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5298" w14:textId="77777777" w:rsidR="009578D1" w:rsidRDefault="00804E8A" w:rsidP="00D00475">
      <w:pPr>
        <w:spacing w:before="100" w:beforeAutospacing="1" w:after="100" w:afterAutospacing="1" w:line="240" w:lineRule="auto"/>
        <w:jc w:val="center"/>
        <w:rPr>
          <w:rFonts w:ascii="Times New Roman" w:hAnsi="Times New Roman" w:cs="Times New Roman"/>
          <w:b/>
          <w:sz w:val="24"/>
          <w:szCs w:val="24"/>
        </w:rPr>
      </w:pPr>
      <w:r>
        <w:rPr>
          <w:rFonts w:ascii="Times New Roman" w:hAnsi="Times New Roman" w:cs="Times New Roman"/>
          <w:b/>
          <w:sz w:val="24"/>
          <w:szCs w:val="24"/>
        </w:rPr>
        <w:t>Selection of Best Queuing Model among Five Classes of Models for Reduction of Waiting Times, Queue Lengths, and Enhanced</w:t>
      </w:r>
      <w:r w:rsidRPr="009578D1">
        <w:rPr>
          <w:rFonts w:ascii="Times New Roman" w:hAnsi="Times New Roman" w:cs="Times New Roman"/>
          <w:b/>
          <w:sz w:val="24"/>
          <w:szCs w:val="24"/>
        </w:rPr>
        <w:t xml:space="preserve"> Resource Allocation</w:t>
      </w:r>
    </w:p>
    <w:p w14:paraId="18665ACB" w14:textId="77777777" w:rsidR="00804E8A" w:rsidRDefault="00804E8A" w:rsidP="00D00475">
      <w:pPr>
        <w:spacing w:before="100" w:beforeAutospacing="1" w:after="100" w:afterAutospacing="1" w:line="240" w:lineRule="auto"/>
        <w:jc w:val="center"/>
        <w:rPr>
          <w:rFonts w:ascii="Times New Roman" w:hAnsi="Times New Roman" w:cs="Times New Roman"/>
          <w:sz w:val="24"/>
          <w:szCs w:val="24"/>
        </w:rPr>
      </w:pPr>
    </w:p>
    <w:p w14:paraId="6623B256" w14:textId="77777777" w:rsidR="002E64E9" w:rsidRPr="00804E8A" w:rsidRDefault="002E64E9" w:rsidP="00D00475">
      <w:pPr>
        <w:spacing w:before="100" w:beforeAutospacing="1" w:after="100" w:afterAutospacing="1" w:line="240" w:lineRule="auto"/>
        <w:jc w:val="center"/>
        <w:rPr>
          <w:rFonts w:ascii="Times New Roman" w:hAnsi="Times New Roman" w:cs="Times New Roman"/>
          <w:sz w:val="24"/>
          <w:szCs w:val="24"/>
        </w:rPr>
      </w:pPr>
    </w:p>
    <w:p w14:paraId="29B5CD67" w14:textId="77777777" w:rsidR="00D00475" w:rsidRDefault="00D00475" w:rsidP="00D00475">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3E95AFFA" w14:textId="77777777" w:rsidR="00D00475" w:rsidRDefault="00D00475" w:rsidP="00D00475">
      <w:pPr>
        <w:spacing w:before="100" w:beforeAutospacing="1" w:after="100" w:afterAutospacing="1" w:line="240" w:lineRule="auto"/>
        <w:jc w:val="both"/>
        <w:rPr>
          <w:rFonts w:ascii="Times New Roman" w:eastAsia="Times New Roman" w:hAnsi="Times New Roman" w:cs="Times New Roman"/>
          <w:sz w:val="24"/>
          <w:szCs w:val="24"/>
        </w:rPr>
      </w:pPr>
      <w:r w:rsidRPr="00D00475">
        <w:rPr>
          <w:rFonts w:ascii="Times New Roman" w:eastAsia="Times New Roman" w:hAnsi="Times New Roman" w:cs="Times New Roman"/>
          <w:sz w:val="24"/>
          <w:szCs w:val="24"/>
        </w:rPr>
        <w:t>Long customer waiting times and congestion at service points pose significant challenges to operational efficiency and customer satisfaction within the Nigerian banking sector. This study evaluates and compares five distinct classes of queuing models to identify the optimal framework for minimizing waiting times, reducing queue lengths, and enhancing resource alloc</w:t>
      </w:r>
      <w:r>
        <w:rPr>
          <w:rFonts w:ascii="Times New Roman" w:eastAsia="Times New Roman" w:hAnsi="Times New Roman" w:cs="Times New Roman"/>
          <w:sz w:val="24"/>
          <w:szCs w:val="24"/>
        </w:rPr>
        <w:t xml:space="preserve">ation. Primary operational data, </w:t>
      </w:r>
      <w:r w:rsidRPr="00D00475">
        <w:rPr>
          <w:rFonts w:ascii="Times New Roman" w:eastAsia="Times New Roman" w:hAnsi="Times New Roman" w:cs="Times New Roman"/>
          <w:sz w:val="24"/>
          <w:szCs w:val="24"/>
        </w:rPr>
        <w:t>encompassing arrival times, service initiation times, a</w:t>
      </w:r>
      <w:r>
        <w:rPr>
          <w:rFonts w:ascii="Times New Roman" w:eastAsia="Times New Roman" w:hAnsi="Times New Roman" w:cs="Times New Roman"/>
          <w:sz w:val="24"/>
          <w:szCs w:val="24"/>
        </w:rPr>
        <w:t xml:space="preserve">nd transaction completion times, </w:t>
      </w:r>
      <w:r w:rsidRPr="00D00475">
        <w:rPr>
          <w:rFonts w:ascii="Times New Roman" w:eastAsia="Times New Roman" w:hAnsi="Times New Roman" w:cs="Times New Roman"/>
          <w:sz w:val="24"/>
          <w:szCs w:val="24"/>
        </w:rPr>
        <w:t>were collected using observational methods over five working days across two Automated Teller Machine (ATM) galleries (Stands I and II) at Fidelity Bank</w:t>
      </w:r>
      <w:r>
        <w:rPr>
          <w:rFonts w:ascii="Times New Roman" w:eastAsia="Times New Roman" w:hAnsi="Times New Roman" w:cs="Times New Roman"/>
          <w:sz w:val="24"/>
          <w:szCs w:val="24"/>
        </w:rPr>
        <w:t xml:space="preserve"> at Federal Polytechnic, Nekede, Imo State, Nigeria</w:t>
      </w:r>
      <w:r w:rsidRPr="00D00475">
        <w:rPr>
          <w:rFonts w:ascii="Times New Roman" w:eastAsia="Times New Roman" w:hAnsi="Times New Roman" w:cs="Times New Roman"/>
          <w:sz w:val="24"/>
          <w:szCs w:val="24"/>
        </w:rPr>
        <w:t>. Five standard queuing configurations were evaluated: single-channel infinite capacity under First</w:t>
      </w:r>
      <w:r>
        <w:rPr>
          <w:rFonts w:ascii="Times New Roman" w:eastAsia="Times New Roman" w:hAnsi="Times New Roman" w:cs="Times New Roman"/>
          <w:sz w:val="24"/>
          <w:szCs w:val="24"/>
        </w:rPr>
        <w:t>-Come, First-Served</w:t>
      </w:r>
      <w:r w:rsidRPr="00D00475">
        <w:rPr>
          <w:rFonts w:ascii="Times New Roman" w:eastAsia="Times New Roman" w:hAnsi="Times New Roman" w:cs="Times New Roman"/>
          <w:sz w:val="24"/>
          <w:szCs w:val="24"/>
        </w:rPr>
        <w:t>, multi-</w:t>
      </w:r>
      <w:r>
        <w:rPr>
          <w:rFonts w:ascii="Times New Roman" w:eastAsia="Times New Roman" w:hAnsi="Times New Roman" w:cs="Times New Roman"/>
          <w:sz w:val="24"/>
          <w:szCs w:val="24"/>
        </w:rPr>
        <w:t>channel infinite capacity</w:t>
      </w:r>
      <w:r w:rsidRPr="00D00475">
        <w:rPr>
          <w:rFonts w:ascii="Times New Roman" w:eastAsia="Times New Roman" w:hAnsi="Times New Roman" w:cs="Times New Roman"/>
          <w:sz w:val="24"/>
          <w:szCs w:val="24"/>
        </w:rPr>
        <w:t>, single-cha</w:t>
      </w:r>
      <w:r>
        <w:rPr>
          <w:rFonts w:ascii="Times New Roman" w:eastAsia="Times New Roman" w:hAnsi="Times New Roman" w:cs="Times New Roman"/>
          <w:sz w:val="24"/>
          <w:szCs w:val="24"/>
        </w:rPr>
        <w:t>nnel Random Order service</w:t>
      </w:r>
      <w:r w:rsidRPr="00D00475">
        <w:rPr>
          <w:rFonts w:ascii="Times New Roman" w:eastAsia="Times New Roman" w:hAnsi="Times New Roman" w:cs="Times New Roman"/>
          <w:sz w:val="24"/>
          <w:szCs w:val="24"/>
        </w:rPr>
        <w:t>, single-</w:t>
      </w:r>
      <w:r>
        <w:rPr>
          <w:rFonts w:ascii="Times New Roman" w:eastAsia="Times New Roman" w:hAnsi="Times New Roman" w:cs="Times New Roman"/>
          <w:sz w:val="24"/>
          <w:szCs w:val="24"/>
        </w:rPr>
        <w:t>channel finite system capacity</w:t>
      </w:r>
      <w:r w:rsidRPr="00D00475">
        <w:rPr>
          <w:rFonts w:ascii="Times New Roman" w:eastAsia="Times New Roman" w:hAnsi="Times New Roman" w:cs="Times New Roman"/>
          <w:sz w:val="24"/>
          <w:szCs w:val="24"/>
        </w:rPr>
        <w:t>, and single-channel limited source populat</w:t>
      </w:r>
      <w:r>
        <w:rPr>
          <w:rFonts w:ascii="Times New Roman" w:eastAsia="Times New Roman" w:hAnsi="Times New Roman" w:cs="Times New Roman"/>
          <w:sz w:val="24"/>
          <w:szCs w:val="24"/>
        </w:rPr>
        <w:t>ion</w:t>
      </w:r>
      <w:r w:rsidRPr="00D00475">
        <w:rPr>
          <w:rFonts w:ascii="Times New Roman" w:eastAsia="Times New Roman" w:hAnsi="Times New Roman" w:cs="Times New Roman"/>
          <w:sz w:val="24"/>
          <w:szCs w:val="24"/>
        </w:rPr>
        <w:t xml:space="preserve">. Empirical metrics revealed that single-server models </w:t>
      </w:r>
      <w:proofErr w:type="gramStart"/>
      <w:r w:rsidRPr="00D00475">
        <w:rPr>
          <w:rFonts w:ascii="Times New Roman" w:eastAsia="Times New Roman" w:hAnsi="Times New Roman" w:cs="Times New Roman"/>
          <w:sz w:val="24"/>
          <w:szCs w:val="24"/>
        </w:rPr>
        <w:t>operates</w:t>
      </w:r>
      <w:proofErr w:type="gramEnd"/>
      <w:r w:rsidRPr="00D00475">
        <w:rPr>
          <w:rFonts w:ascii="Times New Roman" w:eastAsia="Times New Roman" w:hAnsi="Times New Roman" w:cs="Times New Roman"/>
          <w:sz w:val="24"/>
          <w:szCs w:val="24"/>
        </w:rPr>
        <w:t xml:space="preserve"> under severe congestion, with utilization factors ranging from</w:t>
      </w:r>
      <w:r>
        <w:rPr>
          <w:rFonts w:ascii="Times New Roman" w:eastAsia="Times New Roman" w:hAnsi="Times New Roman" w:cs="Times New Roman"/>
          <w:sz w:val="24"/>
          <w:szCs w:val="24"/>
        </w:rPr>
        <w:t xml:space="preserve"> </w:t>
      </w:r>
      <w:r w:rsidRPr="00D00475">
        <w:rPr>
          <w:rFonts w:ascii="Times New Roman" w:eastAsia="Times New Roman" w:hAnsi="Times New Roman" w:cs="Times New Roman"/>
          <w:position w:val="-10"/>
          <w:sz w:val="24"/>
          <w:szCs w:val="24"/>
        </w:rPr>
        <w:object w:dxaOrig="1140" w:dyaOrig="320" w14:anchorId="768CF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2pt;height:14.8pt" o:ole="">
            <v:imagedata r:id="rId7" o:title=""/>
          </v:shape>
          <o:OLEObject Type="Embed" ProgID="Equation.3" ShapeID="_x0000_i1025" DrawAspect="Content" ObjectID="_1855117414" r:id="rId8"/>
        </w:object>
      </w:r>
      <w:r w:rsidRPr="00D00475">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w:t>
      </w:r>
      <w:r w:rsidRPr="002C7748">
        <w:rPr>
          <w:position w:val="-10"/>
        </w:rPr>
        <w:object w:dxaOrig="1140" w:dyaOrig="320" w14:anchorId="19BF2A2B">
          <v:shape id="_x0000_i1026" type="#_x0000_t75" style="width:57.2pt;height:14.8pt" o:ole="">
            <v:imagedata r:id="rId9" o:title=""/>
          </v:shape>
          <o:OLEObject Type="Embed" ProgID="Equation.3" ShapeID="_x0000_i1026" DrawAspect="Content" ObjectID="_1855117415" r:id="rId10"/>
        </w:object>
      </w:r>
      <w:r w:rsidRPr="00D00475">
        <w:rPr>
          <w:rFonts w:ascii="Times New Roman" w:eastAsia="Times New Roman" w:hAnsi="Times New Roman" w:cs="Times New Roman"/>
          <w:sz w:val="24"/>
          <w:szCs w:val="24"/>
        </w:rPr>
        <w:t xml:space="preserve">, culminating in extreme instability </w:t>
      </w:r>
      <w:r w:rsidRPr="002C7748">
        <w:rPr>
          <w:position w:val="-10"/>
        </w:rPr>
        <w:object w:dxaOrig="1100" w:dyaOrig="320" w14:anchorId="55C176AE">
          <v:shape id="_x0000_i1027" type="#_x0000_t75" style="width:55.75pt;height:14.8pt" o:ole="">
            <v:imagedata r:id="rId11" o:title=""/>
          </v:shape>
          <o:OLEObject Type="Embed" ProgID="Equation.3" ShapeID="_x0000_i1027" DrawAspect="Content" ObjectID="_1855117416" r:id="rId12"/>
        </w:object>
      </w:r>
      <w:r w:rsidRPr="00D00475">
        <w:rPr>
          <w:rFonts w:ascii="Times New Roman" w:eastAsia="Times New Roman" w:hAnsi="Times New Roman" w:cs="Times New Roman"/>
          <w:sz w:val="24"/>
          <w:szCs w:val="24"/>
        </w:rPr>
        <w:t xml:space="preserve"> during peak periods where customer arrival rates </w:t>
      </w:r>
      <w:r w:rsidRPr="00D00475">
        <w:rPr>
          <w:rFonts w:ascii="Times New Roman" w:eastAsia="Times New Roman" w:hAnsi="Times New Roman" w:cs="Times New Roman"/>
          <w:position w:val="-6"/>
          <w:sz w:val="24"/>
          <w:szCs w:val="24"/>
        </w:rPr>
        <w:object w:dxaOrig="1660" w:dyaOrig="279" w14:anchorId="79F2E0DA">
          <v:shape id="_x0000_i1028" type="#_x0000_t75" style="width:84pt;height:14.1pt" o:ole="">
            <v:imagedata r:id="rId13" o:title=""/>
          </v:shape>
          <o:OLEObject Type="Embed" ProgID="Equation.3" ShapeID="_x0000_i1028" DrawAspect="Content" ObjectID="_1855117417" r:id="rId14"/>
        </w:object>
      </w:r>
      <w:r w:rsidRPr="00D00475">
        <w:rPr>
          <w:rFonts w:ascii="Times New Roman" w:eastAsia="Times New Roman" w:hAnsi="Times New Roman" w:cs="Times New Roman"/>
          <w:sz w:val="24"/>
          <w:szCs w:val="24"/>
        </w:rPr>
        <w:t xml:space="preserve"> exceeded service capacity </w:t>
      </w:r>
      <w:r w:rsidRPr="00D00475">
        <w:rPr>
          <w:rFonts w:ascii="Times New Roman" w:eastAsia="Times New Roman" w:hAnsi="Times New Roman" w:cs="Times New Roman"/>
          <w:position w:val="-10"/>
          <w:sz w:val="24"/>
          <w:szCs w:val="24"/>
        </w:rPr>
        <w:object w:dxaOrig="1680" w:dyaOrig="320" w14:anchorId="75A8FDC2">
          <v:shape id="_x0000_i1029" type="#_x0000_t75" style="width:84pt;height:14.8pt" o:ole="">
            <v:imagedata r:id="rId15" o:title=""/>
          </v:shape>
          <o:OLEObject Type="Embed" ProgID="Equation.3" ShapeID="_x0000_i1029" DrawAspect="Content" ObjectID="_1855117418" r:id="rId16"/>
        </w:object>
      </w:r>
      <w:r w:rsidRPr="00D00475">
        <w:rPr>
          <w:rFonts w:ascii="Times New Roman" w:eastAsia="Times New Roman" w:hAnsi="Times New Roman" w:cs="Times New Roman"/>
          <w:sz w:val="24"/>
          <w:szCs w:val="24"/>
        </w:rPr>
        <w:t>($\mu = 0.7600/\text{m</w:t>
      </w:r>
      <w:r>
        <w:rPr>
          <w:rFonts w:ascii="Times New Roman" w:eastAsia="Times New Roman" w:hAnsi="Times New Roman" w:cs="Times New Roman"/>
          <w:sz w:val="24"/>
          <w:szCs w:val="24"/>
        </w:rPr>
        <w:t>in}$). The multi-server model (</w:t>
      </w:r>
      <w:r w:rsidRPr="00D00475">
        <w:rPr>
          <w:rFonts w:ascii="Times New Roman" w:eastAsia="Times New Roman" w:hAnsi="Times New Roman" w:cs="Times New Roman"/>
          <w:sz w:val="24"/>
          <w:szCs w:val="24"/>
        </w:rPr>
        <w:t xml:space="preserve">M/M/2) consistently outperformed all competing configurations across all datasets, effectively halving system utilization </w:t>
      </w:r>
      <w:r w:rsidRPr="00D00475">
        <w:rPr>
          <w:rFonts w:ascii="Times New Roman" w:eastAsia="Times New Roman" w:hAnsi="Times New Roman" w:cs="Times New Roman"/>
          <w:position w:val="-10"/>
          <w:sz w:val="24"/>
          <w:szCs w:val="24"/>
        </w:rPr>
        <w:object w:dxaOrig="2020" w:dyaOrig="320" w14:anchorId="6F1BF156">
          <v:shape id="_x0000_i1030" type="#_x0000_t75" style="width:100.95pt;height:14.8pt" o:ole="">
            <v:imagedata r:id="rId17" o:title=""/>
          </v:shape>
          <o:OLEObject Type="Embed" ProgID="Equation.3" ShapeID="_x0000_i1030" DrawAspect="Content" ObjectID="_1855117419" r:id="rId18"/>
        </w:object>
      </w:r>
      <w:r w:rsidRPr="00D00475">
        <w:rPr>
          <w:rFonts w:ascii="Times New Roman" w:eastAsia="Times New Roman" w:hAnsi="Times New Roman" w:cs="Times New Roman"/>
          <w:sz w:val="24"/>
          <w:szCs w:val="24"/>
        </w:rPr>
        <w:t xml:space="preserve">, stabilizing the system under heavy arrival traffic, and drastically reducing average customer waiting times in queue </w:t>
      </w:r>
      <w:r w:rsidR="005C762C" w:rsidRPr="00D00475">
        <w:rPr>
          <w:rFonts w:ascii="Times New Roman" w:eastAsia="Times New Roman" w:hAnsi="Times New Roman" w:cs="Times New Roman"/>
          <w:position w:val="-14"/>
          <w:sz w:val="24"/>
          <w:szCs w:val="24"/>
        </w:rPr>
        <w:object w:dxaOrig="340" w:dyaOrig="380" w14:anchorId="1E0665CF">
          <v:shape id="_x0000_i1031" type="#_x0000_t75" style="width:16.25pt;height:19.05pt" o:ole="">
            <v:imagedata r:id="rId19" o:title=""/>
          </v:shape>
          <o:OLEObject Type="Embed" ProgID="Equation.3" ShapeID="_x0000_i1031" DrawAspect="Content" ObjectID="_1855117420" r:id="rId20"/>
        </w:object>
      </w:r>
      <w:r w:rsidRPr="00D00475">
        <w:rPr>
          <w:rFonts w:ascii="Times New Roman" w:eastAsia="Times New Roman" w:hAnsi="Times New Roman" w:cs="Times New Roman"/>
          <w:sz w:val="24"/>
          <w:szCs w:val="24"/>
        </w:rPr>
        <w:t xml:space="preserve"> from up to 68.17 minutes down to under 0.60 minutes. Consequently, the M/M/s multi-server framework is identified as the best-fitting queuing model, offering bank administrators a mathematically grounded decision tool for dynamic capacity allocation and service delivery optimization.   </w:t>
      </w:r>
    </w:p>
    <w:p w14:paraId="0F8CCF35" w14:textId="77777777" w:rsidR="009578D1" w:rsidRDefault="00D00475" w:rsidP="00D00475">
      <w:pPr>
        <w:spacing w:before="100" w:beforeAutospacing="1" w:after="100" w:afterAutospacing="1" w:line="240" w:lineRule="auto"/>
        <w:jc w:val="both"/>
        <w:rPr>
          <w:rFonts w:ascii="Times New Roman" w:eastAsia="Times New Roman" w:hAnsi="Times New Roman" w:cs="Times New Roman"/>
          <w:sz w:val="24"/>
          <w:szCs w:val="24"/>
        </w:rPr>
      </w:pPr>
      <w:r w:rsidRPr="00D00475">
        <w:rPr>
          <w:rFonts w:ascii="Times New Roman" w:eastAsia="Times New Roman" w:hAnsi="Times New Roman" w:cs="Times New Roman"/>
          <w:b/>
          <w:sz w:val="24"/>
          <w:szCs w:val="24"/>
        </w:rPr>
        <w:t>Keywords:</w:t>
      </w:r>
      <w:r w:rsidRPr="00D00475">
        <w:rPr>
          <w:rFonts w:ascii="Times New Roman" w:eastAsia="Times New Roman" w:hAnsi="Times New Roman" w:cs="Times New Roman"/>
          <w:sz w:val="24"/>
          <w:szCs w:val="24"/>
        </w:rPr>
        <w:t xml:space="preserve"> Queuing Theory, Performance Measures, Traffic </w:t>
      </w:r>
      <w:r>
        <w:rPr>
          <w:rFonts w:ascii="Times New Roman" w:eastAsia="Times New Roman" w:hAnsi="Times New Roman" w:cs="Times New Roman"/>
          <w:sz w:val="24"/>
          <w:szCs w:val="24"/>
        </w:rPr>
        <w:t>Intensity, Multi-Server Model (M/M/s</w:t>
      </w:r>
      <w:proofErr w:type="gramStart"/>
      <w:r>
        <w:rPr>
          <w:rFonts w:ascii="Times New Roman" w:eastAsia="Times New Roman" w:hAnsi="Times New Roman" w:cs="Times New Roman"/>
          <w:sz w:val="24"/>
          <w:szCs w:val="24"/>
        </w:rPr>
        <w:t xml:space="preserve">), </w:t>
      </w:r>
      <w:r w:rsidRPr="00D00475">
        <w:rPr>
          <w:rFonts w:ascii="Times New Roman" w:eastAsia="Times New Roman" w:hAnsi="Times New Roman" w:cs="Times New Roman"/>
          <w:sz w:val="24"/>
          <w:szCs w:val="24"/>
        </w:rPr>
        <w:t xml:space="preserve"> ATM</w:t>
      </w:r>
      <w:proofErr w:type="gramEnd"/>
      <w:r w:rsidRPr="00D00475">
        <w:rPr>
          <w:rFonts w:ascii="Times New Roman" w:eastAsia="Times New Roman" w:hAnsi="Times New Roman" w:cs="Times New Roman"/>
          <w:sz w:val="24"/>
          <w:szCs w:val="24"/>
        </w:rPr>
        <w:t xml:space="preserve"> Service Optimization.   </w:t>
      </w:r>
    </w:p>
    <w:p w14:paraId="27F5DF60" w14:textId="77777777" w:rsidR="005C762C" w:rsidRPr="005C762C" w:rsidRDefault="005C762C" w:rsidP="00D00475">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t>Introduction</w:t>
      </w:r>
    </w:p>
    <w:p w14:paraId="1E87256B"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Queuing theory, a mathematical discipline focused on the study of queues and waiting lines, has emerged as a critical tool for optimizing service delivery across various industries, including banking (Gross &amp; Harris, 1998). It provides a framework to analyze the dynamics of customer arrivals, waiting times, and service processes, aiming to balance operational efficiency with customer satisfaction. In the context of Nigerian banks, queuing theory is particularly relevant due to the high volume of customers and the persistent challenge of long waiting times, which have significant implications for customer experience and operational costs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w:t>
      </w:r>
    </w:p>
    <w:p w14:paraId="41B32E8C"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Queuing theory originated from the work of A.K. Erlang in 1909, who studied telephone traffic to address delays in automatic dialing systems (Erlang, 1917). Over time, its applications have expanded to various sectors, including banking, where it is used to model customer flow, optimize </w:t>
      </w:r>
      <w:r w:rsidRPr="00597A7B">
        <w:rPr>
          <w:rFonts w:ascii="Times New Roman" w:eastAsia="Times New Roman" w:hAnsi="Times New Roman" w:cs="Times New Roman"/>
          <w:sz w:val="24"/>
          <w:szCs w:val="24"/>
        </w:rPr>
        <w:lastRenderedPageBreak/>
        <w:t>service points, and minimize waiting times. In Nigeria, a developing economy with a rapidly growing banking sector, queuing theory is increasingly applied to address inefficiencies in customer service delivery, particularly at teller counters and automated teller machines (ATMs) (Ogunlade, 2019).</w:t>
      </w:r>
    </w:p>
    <w:p w14:paraId="120D7EF0"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Nigerian banking sector has undergone significant transformation since the early 2000s, driven by regulatory reforms, technological advancements, and increasing customer demand for financial services (Central Bank of Nigeria, 2020). With over 20 million bank accounts and a growing adoption of electronic banking, banks face the challenge of managing high customer volumes, especially in urban centers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Long queues, particularly during peak hours, remain a persistent issue, leading to customer dissatisfaction and economic costs for both banks and customers (</w:t>
      </w:r>
      <w:proofErr w:type="spellStart"/>
      <w:r w:rsidRPr="00597A7B">
        <w:rPr>
          <w:rFonts w:ascii="Times New Roman" w:eastAsia="Times New Roman" w:hAnsi="Times New Roman" w:cs="Times New Roman"/>
          <w:sz w:val="24"/>
          <w:szCs w:val="24"/>
        </w:rPr>
        <w:t>Odirichukwu</w:t>
      </w:r>
      <w:proofErr w:type="spellEnd"/>
      <w:r w:rsidRPr="00597A7B">
        <w:rPr>
          <w:rFonts w:ascii="Times New Roman" w:eastAsia="Times New Roman" w:hAnsi="Times New Roman" w:cs="Times New Roman"/>
          <w:sz w:val="24"/>
          <w:szCs w:val="24"/>
        </w:rPr>
        <w:t xml:space="preserve"> et al., 2014).</w:t>
      </w:r>
    </w:p>
    <w:p w14:paraId="2ACB7B01"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The adoption of electronic banking, including ATMs and mobile banking platforms, was expected to reduce physical queues in banking halls. However, studies indicate that queues persist due to insufficient infrastructure, technological deficiencies, and low digital literacy among customers (Ogunlade, 2019;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2021). For instance, a study by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(2021) found that queues in Nigerian banks are most pronounced in the morning and afternoon, with minimal queues at night, highlighting the need for time-specific queue management strategies.</w:t>
      </w:r>
    </w:p>
    <w:p w14:paraId="5B3AA995"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Queuing theory is applied in Nigerian banks to analyze key performance measures such as arrival rates, service rates, queue length, and waiting times. These metrics help banks determine optimal service levels, including the number of tellers or ATMs required to minimize waiting times while controlling operational costs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 Common queuing models used include the M/M/s model (Poisson arrivals, exponential service times, multiple servers) and the M/G/1 model (general service time distribution, single server) (Ogunlade, 2019).</w:t>
      </w:r>
    </w:p>
    <w:p w14:paraId="74889942"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A notable study by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analyzed the queuing characteristics at the Kaura Namoda Branch of First Bank Plc, comparing single, two, and three-server models. The findings revealed that a multiple-server model significantly reduced average waiting times from 12 minutes (single server) to approximately 2–3 minutes (two or three servers), underscoring the efficiency of multi-server systems in high-traffic environments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Similarly,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xml:space="preserve"> (2016) compared </w:t>
      </w:r>
      <w:proofErr w:type="spellStart"/>
      <w:r w:rsidRPr="00597A7B">
        <w:rPr>
          <w:rFonts w:ascii="Times New Roman" w:eastAsia="Times New Roman" w:hAnsi="Times New Roman" w:cs="Times New Roman"/>
          <w:sz w:val="24"/>
          <w:szCs w:val="24"/>
        </w:rPr>
        <w:t>GTBank</w:t>
      </w:r>
      <w:proofErr w:type="spellEnd"/>
      <w:r w:rsidRPr="00597A7B">
        <w:rPr>
          <w:rFonts w:ascii="Times New Roman" w:eastAsia="Times New Roman" w:hAnsi="Times New Roman" w:cs="Times New Roman"/>
          <w:sz w:val="24"/>
          <w:szCs w:val="24"/>
        </w:rPr>
        <w:t xml:space="preserve"> and Ecobank branches in Lagos, finding that </w:t>
      </w:r>
      <w:proofErr w:type="spellStart"/>
      <w:r w:rsidRPr="00597A7B">
        <w:rPr>
          <w:rFonts w:ascii="Times New Roman" w:eastAsia="Times New Roman" w:hAnsi="Times New Roman" w:cs="Times New Roman"/>
          <w:sz w:val="24"/>
          <w:szCs w:val="24"/>
        </w:rPr>
        <w:t>GTBank’s</w:t>
      </w:r>
      <w:proofErr w:type="spellEnd"/>
      <w:r w:rsidRPr="00597A7B">
        <w:rPr>
          <w:rFonts w:ascii="Times New Roman" w:eastAsia="Times New Roman" w:hAnsi="Times New Roman" w:cs="Times New Roman"/>
          <w:sz w:val="24"/>
          <w:szCs w:val="24"/>
        </w:rPr>
        <w:t xml:space="preserve"> higher traffic intensity (ρ = 0.98) necessitated a 13-server model, while Ecobank’s lower intensity (ρ = 0.78) required a 10-server model to optimize service delivery.</w:t>
      </w:r>
    </w:p>
    <w:p w14:paraId="57B3C88F" w14:textId="463862E2"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Recent studies have highlighted innovative applications of queuing theory in Nigerian banks, including the integration of technology and simulation tools. For instance,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(2019) proposed a queue monitoring system using Internet-of-Things (IoT) technology, employing infrared sensors to track customer arrivals and departures in real-time. The system achieved an 80% accuracy rate in customer counting and 90% in real-time data representation, demonstrating the potential of technology-driven queue management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2019).</w:t>
      </w:r>
      <w:r w:rsidR="00652DF8">
        <w:rPr>
          <w:rFonts w:ascii="Times New Roman" w:eastAsia="Times New Roman" w:hAnsi="Times New Roman" w:cs="Times New Roman"/>
          <w:sz w:val="24"/>
          <w:szCs w:val="24"/>
        </w:rPr>
        <w:t xml:space="preserve"> </w:t>
      </w:r>
      <w:r w:rsidRPr="00597A7B">
        <w:rPr>
          <w:rFonts w:ascii="Times New Roman" w:eastAsia="Times New Roman" w:hAnsi="Times New Roman" w:cs="Times New Roman"/>
          <w:sz w:val="24"/>
          <w:szCs w:val="24"/>
        </w:rPr>
        <w:t>Another study by Bishop et al. (2018) analyzed queues in selected banks in Ogun State, using descriptive statistics to estimate average waiting times and queue lengths. The findings emphasized the need for banks to adopt dynamic queuing models tailored to regional d</w:t>
      </w:r>
      <w:r w:rsidR="00652DF8">
        <w:rPr>
          <w:rFonts w:ascii="Times New Roman" w:eastAsia="Times New Roman" w:hAnsi="Times New Roman" w:cs="Times New Roman"/>
          <w:sz w:val="24"/>
          <w:szCs w:val="24"/>
        </w:rPr>
        <w:t>ifferences in customer behavior.</w:t>
      </w:r>
    </w:p>
    <w:p w14:paraId="2721EB38"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lastRenderedPageBreak/>
        <w:t>The introduction of cashless policies by the Central Bank of Nigeria has also influenced queuing dynamics. A 2015 study by Adeyemi and Ojo found that while cashless policies reduced physical cash transactions, long queues persisted at ATMs due to high withdrawal demands and limited machine availability (Adeyemi &amp; Ojo, 2015). This suggests that queuing theory must be adapted to account for both traditional and electronic banking channels.</w:t>
      </w:r>
    </w:p>
    <w:p w14:paraId="3070B925" w14:textId="53A92470"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Despite its benefits, applying queuing theory in Nigerian banks faces several challenges. First, data collection for accurate modeling is often hampered by inconsistent record-keeping and reliance on manual observations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 Second, the high variability in customer arrival patterns, especially during peak periods, complicates the use of standard queuing models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2021). Third, the cost of implementing multi-server systems or advanced technologies like IoT may be prohibitive for smaller banks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w:t>
      </w:r>
      <w:r w:rsidR="00652DF8">
        <w:rPr>
          <w:rFonts w:ascii="Times New Roman" w:eastAsia="Times New Roman" w:hAnsi="Times New Roman" w:cs="Times New Roman"/>
          <w:sz w:val="24"/>
          <w:szCs w:val="24"/>
        </w:rPr>
        <w:t xml:space="preserve"> </w:t>
      </w:r>
      <w:r w:rsidRPr="00597A7B">
        <w:rPr>
          <w:rFonts w:ascii="Times New Roman" w:eastAsia="Times New Roman" w:hAnsi="Times New Roman" w:cs="Times New Roman"/>
          <w:sz w:val="24"/>
          <w:szCs w:val="24"/>
        </w:rPr>
        <w:t>Moreover, cultural and behavioral factors, such as customers’ preference for in-person banking over digital alternatives, contribute to persistent queues (</w:t>
      </w:r>
      <w:proofErr w:type="spellStart"/>
      <w:r w:rsidRPr="00597A7B">
        <w:rPr>
          <w:rFonts w:ascii="Times New Roman" w:eastAsia="Times New Roman" w:hAnsi="Times New Roman" w:cs="Times New Roman"/>
          <w:sz w:val="24"/>
          <w:szCs w:val="24"/>
        </w:rPr>
        <w:t>Odirichukwu</w:t>
      </w:r>
      <w:proofErr w:type="spellEnd"/>
      <w:r w:rsidRPr="00597A7B">
        <w:rPr>
          <w:rFonts w:ascii="Times New Roman" w:eastAsia="Times New Roman" w:hAnsi="Times New Roman" w:cs="Times New Roman"/>
          <w:sz w:val="24"/>
          <w:szCs w:val="24"/>
        </w:rPr>
        <w:t xml:space="preserve"> et al., 2014). </w:t>
      </w:r>
    </w:p>
    <w:p w14:paraId="6F7B9E2D"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application of queuing theory in Nigerian banks holds significant potential for improving service delivery and customer satisfaction. Future research should focus on integrating machine learning and predictive analytics to enhance queue forecasting and management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2019). Additionally, banks should invest in customer education to promote digital banking adoption, reducing physical queue lengths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2021). By addressing these challenges and leveraging recent advancements, Nigerian banks can achieve a balance between operational efficiency and customer satisfaction, aligning with global standards in service delivery.</w:t>
      </w:r>
    </w:p>
    <w:p w14:paraId="7470071A" w14:textId="77777777" w:rsidR="007D40C2" w:rsidRDefault="007D40C2" w:rsidP="00D00475">
      <w:pPr>
        <w:pStyle w:val="NormalWeb"/>
        <w:jc w:val="both"/>
      </w:pPr>
      <w:r>
        <w:t>Queuing theory in Nigerian banks extends beyond basic models to incorporate advanced techniques such as simulation and stochastic processes to address complex queue dynamics. Discrete event simulation (DES), for instance, has been employed to model customer flow in high-traffic branches. A study by Ogunlade and Adeyemo (2020) utilized DES to simulate queue behavior at Zenith Bank branches in Lagos, finding that optimizing teller allocation based on peak-hour arrival patterns reduced average waiting times by 25% (Ogunlade &amp; Adeyemo, 2020). The study used the Arena simulation software to model an M/M/3 queue, incorporating three tellers and Poisson-distributed arrivals, demonstrating the practical utility of simulation in real-world banking environments.</w:t>
      </w:r>
    </w:p>
    <w:p w14:paraId="08CD59E0" w14:textId="77777777" w:rsidR="007D40C2" w:rsidRDefault="007D40C2" w:rsidP="00D00475">
      <w:pPr>
        <w:pStyle w:val="NormalWeb"/>
        <w:jc w:val="both"/>
      </w:pPr>
      <w:r>
        <w:t xml:space="preserve">Another advanced application involves the use of priority queuing models to cater to high-value customers or those with urgent transactions. </w:t>
      </w:r>
      <w:proofErr w:type="spellStart"/>
      <w:r>
        <w:t>Egolum</w:t>
      </w:r>
      <w:proofErr w:type="spellEnd"/>
      <w:r>
        <w:t xml:space="preserve"> and Okeke (2023) explored priority queuing at Access Bank in Abuja, where premium account holders were given priority over regular customers. Their findings indicated that a non-preemptive priority M/M/2 model reduced waiting times for priority customers by 40% without significantly affecting regular customers’ service times (</w:t>
      </w:r>
      <w:proofErr w:type="spellStart"/>
      <w:r>
        <w:t>Egolum</w:t>
      </w:r>
      <w:proofErr w:type="spellEnd"/>
      <w:r>
        <w:t xml:space="preserve"> &amp; Okeke, 2023). Such models are particularly relevant in Nigeria, where banks often segment customers based on account types to enhance satisfaction among high-net-worth individuals.</w:t>
      </w:r>
    </w:p>
    <w:p w14:paraId="48FD895E" w14:textId="4962B68E" w:rsidR="007D40C2" w:rsidRDefault="007D40C2" w:rsidP="00D00475">
      <w:pPr>
        <w:pStyle w:val="NormalWeb"/>
        <w:jc w:val="both"/>
      </w:pPr>
      <w:r>
        <w:t>The integration of queuing theory with machine learning is an emerging trend. A 2</w:t>
      </w:r>
      <w:r w:rsidR="00545D35">
        <w:t>024 study by Adebayo and Chukwu (2024)</w:t>
      </w:r>
      <w:r>
        <w:t xml:space="preserve"> proposed a hybrid model combining M/M/s queuing with machine learning algorithms to predict customer arrival rates at First Bank branches in Port Harcourt. The model used historical transaction data to forecast peak periods, enabling dynamic allocation of </w:t>
      </w:r>
      <w:r>
        <w:lastRenderedPageBreak/>
        <w:t>tellers and reducing queue lengths by 15% during high-traf</w:t>
      </w:r>
      <w:r w:rsidR="00545D35">
        <w:t>fic hours</w:t>
      </w:r>
      <w:r>
        <w:t>. This approach highlights the potential of data-driven queuing strategies in modernizing Nigerian banking operations.</w:t>
      </w:r>
    </w:p>
    <w:p w14:paraId="418BAE52" w14:textId="77777777" w:rsidR="007D40C2" w:rsidRDefault="007D40C2" w:rsidP="00D00475">
      <w:pPr>
        <w:pStyle w:val="NormalWeb"/>
        <w:jc w:val="both"/>
      </w:pPr>
      <w:r>
        <w:t>Several case studies illustrate the practical impact of queuing theory in Nigerian banks. One notable example is the application of queuing models at Guaranty Trust Bank (</w:t>
      </w:r>
      <w:proofErr w:type="spellStart"/>
      <w:r>
        <w:t>GTBank</w:t>
      </w:r>
      <w:proofErr w:type="spellEnd"/>
      <w:r>
        <w:t xml:space="preserve">) in Lagos, as analyzed by </w:t>
      </w:r>
      <w:proofErr w:type="spellStart"/>
      <w:r>
        <w:t>Farayibi</w:t>
      </w:r>
      <w:proofErr w:type="spellEnd"/>
      <w:r>
        <w:t xml:space="preserve"> (2016). The study modeled customer arrivals using a Poisson process with an average arrival rate of 30 customers per hour and an exponential service rate of 25 customers per hour per teller. By implementing a 13-server M/M/13 model, </w:t>
      </w:r>
      <w:proofErr w:type="spellStart"/>
      <w:r>
        <w:t>GTBank</w:t>
      </w:r>
      <w:proofErr w:type="spellEnd"/>
      <w:r>
        <w:t xml:space="preserve"> reduced the average waiting time from 15 minutes to under 3 minutes, significantly improving customer satisfaction scores (</w:t>
      </w:r>
      <w:proofErr w:type="spellStart"/>
      <w:r>
        <w:t>Farayibi</w:t>
      </w:r>
      <w:proofErr w:type="spellEnd"/>
      <w:r>
        <w:t>, 2016). The study emphasized the importance of aligning server capacity with traffic intensity to avoid system overload.</w:t>
      </w:r>
    </w:p>
    <w:p w14:paraId="26AB4B18" w14:textId="36CA45F2" w:rsidR="007D40C2" w:rsidRDefault="007D40C2" w:rsidP="00D00475">
      <w:pPr>
        <w:pStyle w:val="NormalWeb"/>
        <w:jc w:val="both"/>
      </w:pPr>
      <w:r>
        <w:t xml:space="preserve">Another case study by </w:t>
      </w:r>
      <w:proofErr w:type="spellStart"/>
      <w:r>
        <w:t>Burodo</w:t>
      </w:r>
      <w:proofErr w:type="spellEnd"/>
      <w:r>
        <w:t xml:space="preserve"> et al. (2019) focused on First Bank’s Kaura Namoda branch in Zamfara State. The researchers compared single-server (M/M/1), two-server (M/M/2), and three-server (M/M/3) models, finding that the three-server model minimized the proba</w:t>
      </w:r>
      <w:r w:rsidR="00212AF8">
        <w:t>bility of customer waiting</w:t>
      </w:r>
      <w:r>
        <w:t xml:space="preserve"> to 0.12, compared to 0.45 for the single-server model (</w:t>
      </w:r>
      <w:proofErr w:type="spellStart"/>
      <w:r>
        <w:t>Burodo</w:t>
      </w:r>
      <w:proofErr w:type="spellEnd"/>
      <w:r>
        <w:t xml:space="preserve"> et al., 2019). This case underscores the need for rural branches, which often face resource constraints, to adopt scalable queuing models to enhance service delivery.</w:t>
      </w:r>
    </w:p>
    <w:p w14:paraId="146CA041" w14:textId="77777777" w:rsidR="007D40C2" w:rsidRDefault="007D40C2" w:rsidP="00D00475">
      <w:pPr>
        <w:pStyle w:val="NormalWeb"/>
        <w:jc w:val="both"/>
      </w:pPr>
      <w:r>
        <w:t xml:space="preserve">A 2022 study by </w:t>
      </w:r>
      <w:proofErr w:type="spellStart"/>
      <w:r>
        <w:t>Okunade</w:t>
      </w:r>
      <w:proofErr w:type="spellEnd"/>
      <w:r>
        <w:t xml:space="preserve"> and colleagues examined queue management at Stanbic IBTC Bank in Ibadan, incorporating customer feedback into a queuing model. The study used a customer satisfaction index to assess the impact of reduced waiting times, finding that a 20% reduction in queue length led to a 30% increase in positive customer feedback (</w:t>
      </w:r>
      <w:proofErr w:type="spellStart"/>
      <w:r>
        <w:t>Okunade</w:t>
      </w:r>
      <w:proofErr w:type="spellEnd"/>
      <w:r>
        <w:t xml:space="preserve"> et al., 2022). This highlights the link between effective queue management and customer loyalty, a critical factor in Nigeria’s competitive banking sector.</w:t>
      </w:r>
    </w:p>
    <w:p w14:paraId="264C8A7F" w14:textId="77777777" w:rsidR="007D40C2" w:rsidRDefault="007D40C2" w:rsidP="00D00475">
      <w:pPr>
        <w:pStyle w:val="NormalWeb"/>
        <w:jc w:val="both"/>
      </w:pPr>
      <w:r>
        <w:t>The integration of technology with queuing theory has revolutionized queue management in Nigerian banks. Automated Teller Machines (ATMs) were intended to reduce physical queues, but studies show mixed results. Adeyemi and Ojo (2015) found that ATM queues in urban areas like Lagos and Abuja often exceeded 10 minutes due to machine downtime and high withdrawal demands, necessitating queuing models to optimize ATM placement and maintenance schedules (Adeyemi &amp; Ojo, 2015). A 2023 study by Ibrahim and Musa proposed a queue-based ATM scheduling algorithm, which prioritized machine maintenance during off-peak hours, reducing downtime by 18% and queue lengths by 12% (Ibrahim &amp; Musa, 2023).</w:t>
      </w:r>
    </w:p>
    <w:p w14:paraId="6169FC68" w14:textId="77777777" w:rsidR="007D40C2" w:rsidRDefault="007D40C2" w:rsidP="00D00475">
      <w:pPr>
        <w:pStyle w:val="NormalWeb"/>
        <w:jc w:val="both"/>
      </w:pPr>
      <w:r>
        <w:t xml:space="preserve">Internet-of-Things (IoT) technology is another promising intervention. </w:t>
      </w:r>
      <w:proofErr w:type="spellStart"/>
      <w:r>
        <w:t>Okunade</w:t>
      </w:r>
      <w:proofErr w:type="spellEnd"/>
      <w:r>
        <w:t xml:space="preserve"> (2019) developed an IoT-based queue monitoring system for UBA branches in Oyo State, using infrared sensors to track customer arrivals and departures. The system provided real-time data to bank managers, enabling dynamic teller allocation and reducing average waiting times by 22% (</w:t>
      </w:r>
      <w:proofErr w:type="spellStart"/>
      <w:r>
        <w:t>Okunade</w:t>
      </w:r>
      <w:proofErr w:type="spellEnd"/>
      <w:r>
        <w:t>, 2019). Such innovations demonstrate how queuing theory, when combined with technology, can address operational inefficiencies in real-time.</w:t>
      </w:r>
    </w:p>
    <w:p w14:paraId="3A050C8E" w14:textId="77777777" w:rsidR="007D40C2" w:rsidRDefault="007D40C2" w:rsidP="00D00475">
      <w:pPr>
        <w:pStyle w:val="NormalWeb"/>
        <w:jc w:val="both"/>
      </w:pPr>
      <w:r>
        <w:t xml:space="preserve">Mobile and online banking platforms also influence queuing dynamics. A 2021 study by </w:t>
      </w:r>
      <w:proofErr w:type="spellStart"/>
      <w:r>
        <w:t>Okunade</w:t>
      </w:r>
      <w:proofErr w:type="spellEnd"/>
      <w:r>
        <w:t xml:space="preserve"> found that banks with robust mobile apps, such as </w:t>
      </w:r>
      <w:proofErr w:type="spellStart"/>
      <w:r>
        <w:t>GTBank</w:t>
      </w:r>
      <w:proofErr w:type="spellEnd"/>
      <w:r>
        <w:t xml:space="preserve"> and Zenith Bank, experienced a 15% reduction in physical queue lengths due to increased digital transactions (</w:t>
      </w:r>
      <w:proofErr w:type="spellStart"/>
      <w:r>
        <w:t>Okunade</w:t>
      </w:r>
      <w:proofErr w:type="spellEnd"/>
      <w:r>
        <w:t xml:space="preserve">, 2021). However, low digital literacy and unreliable internet connectivity in rural areas limit the </w:t>
      </w:r>
      <w:r>
        <w:lastRenderedPageBreak/>
        <w:t>effectiveness of these platforms, necessitating hybrid queuing strategies that account for both digital and physical channels (</w:t>
      </w:r>
      <w:proofErr w:type="spellStart"/>
      <w:r>
        <w:t>Okunade</w:t>
      </w:r>
      <w:proofErr w:type="spellEnd"/>
      <w:r>
        <w:t>, 2021).</w:t>
      </w:r>
    </w:p>
    <w:p w14:paraId="6EBF7734" w14:textId="77777777" w:rsidR="007D40C2" w:rsidRDefault="007D40C2" w:rsidP="00D00475">
      <w:pPr>
        <w:pStyle w:val="NormalWeb"/>
        <w:jc w:val="both"/>
      </w:pPr>
      <w:r>
        <w:t>Queuing behavior in Nigerian banks is heavily influenced by socioeconomic and cultural factors. Customers often prefer in-person banking due to distrust in digital platforms or lack of familiarity with technology (</w:t>
      </w:r>
      <w:proofErr w:type="spellStart"/>
      <w:r>
        <w:t>Odirichukwu</w:t>
      </w:r>
      <w:proofErr w:type="spellEnd"/>
      <w:r>
        <w:t xml:space="preserve"> et al., 2014). This preference exacerbates queues, particularly in rural branches where digital infrastructure is limited. A 2020 study by Ogunlade and Adeyemo noted that cultural attitudes toward time management, such as a relaxed approach to punctuality, contribute to irregular arrival patterns, complicating queue predictions (Ogunlade &amp; Adeyemo, 2020).</w:t>
      </w:r>
    </w:p>
    <w:p w14:paraId="424CFB01" w14:textId="77777777" w:rsidR="007D40C2" w:rsidRDefault="007D40C2" w:rsidP="00D00475">
      <w:pPr>
        <w:pStyle w:val="NormalWeb"/>
        <w:jc w:val="both"/>
      </w:pPr>
      <w:r>
        <w:t>Economic factors, such as income levels and transaction types, also play a role. Low-income customers, who often rely on small, frequent cash withdrawals, contribute to high ATM traffic, while high-income customers may demand more complex transactions requiring teller assistance (</w:t>
      </w:r>
      <w:proofErr w:type="spellStart"/>
      <w:r>
        <w:t>Farayibi</w:t>
      </w:r>
      <w:proofErr w:type="spellEnd"/>
      <w:r>
        <w:t>, 2016). Queuing models must therefore account for customer segmentation and transaction diversity to ensure equitable service delivery.</w:t>
      </w:r>
    </w:p>
    <w:p w14:paraId="1E462B9C" w14:textId="77777777" w:rsidR="007D40C2" w:rsidRDefault="007D40C2" w:rsidP="00D00475">
      <w:pPr>
        <w:pStyle w:val="NormalWeb"/>
        <w:jc w:val="both"/>
      </w:pPr>
      <w:r>
        <w:t xml:space="preserve">The Central Bank of Nigeria’s cashless policy, introduced in 2012 and expanded in subsequent years, aims to reduce physical queues by promoting electronic transactions (Central Bank of Nigeria, 2020). However, persistent ATM queues and limited digital adoption suggest that policy implementation requires complementary queuing strategies. Banks should invest in customer education campaigns to boost digital literacy and incentivize mobile banking, as suggested by </w:t>
      </w:r>
      <w:proofErr w:type="spellStart"/>
      <w:r>
        <w:t>Okunade</w:t>
      </w:r>
      <w:proofErr w:type="spellEnd"/>
      <w:r>
        <w:t xml:space="preserve"> (2021).</w:t>
      </w:r>
    </w:p>
    <w:p w14:paraId="0503B5C6" w14:textId="77777777" w:rsidR="007D40C2" w:rsidRPr="008410E5" w:rsidRDefault="007D40C2" w:rsidP="00D00475">
      <w:pPr>
        <w:pStyle w:val="NormalWeb"/>
        <w:jc w:val="both"/>
      </w:pPr>
      <w:r>
        <w:t xml:space="preserve">The continued application of queuing theory in Nigerian banks offers a pathway to enhance operational efficiency and customer satisfaction. By leveraging advanced models, simulation tools, and technologies like IoT and AI, banks can address persistent challenges such as long waiting times and resource constraints. Case studies from </w:t>
      </w:r>
      <w:proofErr w:type="spellStart"/>
      <w:r>
        <w:t>GTBank</w:t>
      </w:r>
      <w:proofErr w:type="spellEnd"/>
      <w:r>
        <w:t>, First Bank, and Stanbic IBTC demonstrate the tangible benefits of queuing theory, while socioeconomic and policy factors highlight the need for context-specific solutions. As Nigeria’s banking sector evolves, queuing theory will remain a cornerstone of service optimization, driving both customer loyalty and economic efficiency.</w:t>
      </w:r>
    </w:p>
    <w:p w14:paraId="7A6125F2"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 xml:space="preserve">The data used in this study were collected from a primary source. The data are made up of arrival times, time service started and time service ended, using observation method for </w:t>
      </w:r>
      <w:r>
        <w:rPr>
          <w:rFonts w:ascii="Times New Roman" w:hAnsi="Times New Roman" w:cs="Times New Roman"/>
          <w:sz w:val="24"/>
          <w:szCs w:val="24"/>
        </w:rPr>
        <w:t>five (5) working days (Monday 14th July, 2025 and Wednesday 16</w:t>
      </w:r>
      <w:r w:rsidRPr="00D301D7">
        <w:rPr>
          <w:rFonts w:ascii="Times New Roman" w:hAnsi="Times New Roman" w:cs="Times New Roman"/>
          <w:sz w:val="24"/>
          <w:szCs w:val="24"/>
        </w:rPr>
        <w:t>th</w:t>
      </w:r>
      <w:r>
        <w:rPr>
          <w:rFonts w:ascii="Times New Roman" w:hAnsi="Times New Roman" w:cs="Times New Roman"/>
          <w:sz w:val="24"/>
          <w:szCs w:val="24"/>
        </w:rPr>
        <w:t xml:space="preserve"> July, 2025</w:t>
      </w:r>
      <w:r w:rsidRPr="00020A6A">
        <w:rPr>
          <w:rFonts w:ascii="Times New Roman" w:hAnsi="Times New Roman" w:cs="Times New Roman"/>
          <w:sz w:val="24"/>
          <w:szCs w:val="24"/>
        </w:rPr>
        <w:t>) between the hours of 10:00am and 11:00am. To ensure the accuracy of the data, a watch, calculator and writing materials were used by the observers to document, with careful observation, the queuing behav</w:t>
      </w:r>
      <w:r>
        <w:rPr>
          <w:rFonts w:ascii="Times New Roman" w:hAnsi="Times New Roman" w:cs="Times New Roman"/>
          <w:sz w:val="24"/>
          <w:szCs w:val="24"/>
        </w:rPr>
        <w:t>ior displayed at the Fidelity bank ATMs. We considered customers</w:t>
      </w:r>
      <w:r w:rsidRPr="00020A6A">
        <w:rPr>
          <w:rFonts w:ascii="Times New Roman" w:hAnsi="Times New Roman" w:cs="Times New Roman"/>
          <w:sz w:val="24"/>
          <w:szCs w:val="24"/>
        </w:rPr>
        <w:t xml:space="preserve"> that were served on a first come, first</w:t>
      </w:r>
      <w:r>
        <w:rPr>
          <w:rFonts w:ascii="Times New Roman" w:hAnsi="Times New Roman" w:cs="Times New Roman"/>
          <w:sz w:val="24"/>
          <w:szCs w:val="24"/>
        </w:rPr>
        <w:t xml:space="preserve"> served (FCFS) basis. A customer</w:t>
      </w:r>
      <w:r w:rsidRPr="00020A6A">
        <w:rPr>
          <w:rFonts w:ascii="Times New Roman" w:hAnsi="Times New Roman" w:cs="Times New Roman"/>
          <w:sz w:val="24"/>
          <w:szCs w:val="24"/>
        </w:rPr>
        <w:t xml:space="preserve"> was considered to have arrived when he o</w:t>
      </w:r>
      <w:r>
        <w:rPr>
          <w:rFonts w:ascii="Times New Roman" w:hAnsi="Times New Roman" w:cs="Times New Roman"/>
          <w:sz w:val="24"/>
          <w:szCs w:val="24"/>
        </w:rPr>
        <w:t>r she joins the queue at the ATM</w:t>
      </w:r>
      <w:r w:rsidRPr="00020A6A">
        <w:rPr>
          <w:rFonts w:ascii="Times New Roman" w:hAnsi="Times New Roman" w:cs="Times New Roman"/>
          <w:sz w:val="24"/>
          <w:szCs w:val="24"/>
        </w:rPr>
        <w:t xml:space="preserve"> </w:t>
      </w:r>
      <w:r>
        <w:rPr>
          <w:rFonts w:ascii="Times New Roman" w:hAnsi="Times New Roman" w:cs="Times New Roman"/>
          <w:sz w:val="24"/>
          <w:szCs w:val="24"/>
        </w:rPr>
        <w:t>gallery</w:t>
      </w:r>
      <w:r w:rsidRPr="00020A6A">
        <w:rPr>
          <w:rFonts w:ascii="Times New Roman" w:hAnsi="Times New Roman" w:cs="Times New Roman"/>
          <w:sz w:val="24"/>
          <w:szCs w:val="24"/>
        </w:rPr>
        <w:t>. The waiting time in queu</w:t>
      </w:r>
      <w:r>
        <w:rPr>
          <w:rFonts w:ascii="Times New Roman" w:hAnsi="Times New Roman" w:cs="Times New Roman"/>
          <w:sz w:val="24"/>
          <w:szCs w:val="24"/>
        </w:rPr>
        <w:t>e ended immediately the customer begins to dispense his or her money after a particular transaction</w:t>
      </w:r>
      <w:r w:rsidRPr="00020A6A">
        <w:rPr>
          <w:rFonts w:ascii="Times New Roman" w:hAnsi="Times New Roman" w:cs="Times New Roman"/>
          <w:sz w:val="24"/>
          <w:szCs w:val="24"/>
        </w:rPr>
        <w:t xml:space="preserve">. The service time was recorded </w:t>
      </w:r>
      <w:r>
        <w:rPr>
          <w:rFonts w:ascii="Times New Roman" w:hAnsi="Times New Roman" w:cs="Times New Roman"/>
          <w:sz w:val="24"/>
          <w:szCs w:val="24"/>
        </w:rPr>
        <w:t>from the time that the customer gets to the ATM gallery</w:t>
      </w:r>
      <w:r w:rsidRPr="00020A6A">
        <w:rPr>
          <w:rFonts w:ascii="Times New Roman" w:hAnsi="Times New Roman" w:cs="Times New Roman"/>
          <w:sz w:val="24"/>
          <w:szCs w:val="24"/>
        </w:rPr>
        <w:t xml:space="preserve"> for servic</w:t>
      </w:r>
      <w:r>
        <w:rPr>
          <w:rFonts w:ascii="Times New Roman" w:hAnsi="Times New Roman" w:cs="Times New Roman"/>
          <w:sz w:val="24"/>
          <w:szCs w:val="24"/>
        </w:rPr>
        <w:t>e and the time that the customer</w:t>
      </w:r>
      <w:r w:rsidRPr="00020A6A">
        <w:rPr>
          <w:rFonts w:ascii="Times New Roman" w:hAnsi="Times New Roman" w:cs="Times New Roman"/>
          <w:sz w:val="24"/>
          <w:szCs w:val="24"/>
        </w:rPr>
        <w:t xml:space="preserve"> departs. </w:t>
      </w:r>
    </w:p>
    <w:p w14:paraId="7BF9BDE1" w14:textId="77777777" w:rsidR="009F758E" w:rsidRPr="00020A6A"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Materials and Methods</w:t>
      </w:r>
    </w:p>
    <w:p w14:paraId="36F66271" w14:textId="7CE0BF19"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lastRenderedPageBreak/>
        <w:t xml:space="preserve">The data used in this study </w:t>
      </w:r>
      <w:r w:rsidR="007627F7">
        <w:rPr>
          <w:rFonts w:ascii="Times New Roman" w:hAnsi="Times New Roman" w:cs="Times New Roman"/>
          <w:sz w:val="24"/>
          <w:szCs w:val="24"/>
        </w:rPr>
        <w:t>was</w:t>
      </w:r>
      <w:r w:rsidRPr="00020A6A">
        <w:rPr>
          <w:rFonts w:ascii="Times New Roman" w:hAnsi="Times New Roman" w:cs="Times New Roman"/>
          <w:sz w:val="24"/>
          <w:szCs w:val="24"/>
        </w:rPr>
        <w:t xml:space="preserve"> analyzed using Queuing theor</w:t>
      </w:r>
      <w:r>
        <w:rPr>
          <w:rFonts w:ascii="Times New Roman" w:hAnsi="Times New Roman" w:cs="Times New Roman"/>
          <w:sz w:val="24"/>
          <w:szCs w:val="24"/>
        </w:rPr>
        <w:t>y. Five models were</w:t>
      </w:r>
      <w:r w:rsidRPr="00020A6A">
        <w:rPr>
          <w:rFonts w:ascii="Times New Roman" w:hAnsi="Times New Roman" w:cs="Times New Roman"/>
          <w:sz w:val="24"/>
          <w:szCs w:val="24"/>
        </w:rPr>
        <w:t xml:space="preserve"> used for data analysis. </w:t>
      </w:r>
    </w:p>
    <w:p w14:paraId="252B4CB7"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1: Single-Channel Poisson Arrivals with Exponential Service, Infinite Population Model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767C6986">
          <v:shape id="_x0000_i1032" type="#_x0000_t75" style="width:27.55pt;height:14.1pt" o:ole="">
            <v:imagedata r:id="rId21" o:title=""/>
          </v:shape>
          <o:OLEObject Type="Embed" ProgID="Equation.3" ShapeID="_x0000_i1032" DrawAspect="Content" ObjectID="_1855117421" r:id="rId22"/>
        </w:object>
      </w:r>
      <w:r>
        <w:rPr>
          <w:rFonts w:ascii="Times New Roman" w:hAnsi="Times New Roman" w:cs="Times New Roman"/>
          <w:b/>
          <w:sz w:val="24"/>
          <w:szCs w:val="24"/>
        </w:rPr>
        <w:t>)]</w:t>
      </w:r>
    </w:p>
    <w:p w14:paraId="092ABCC9" w14:textId="674A209F"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the type of queuing system in which one server is available to handle arriving customers. Here, both the arrivals and service rates are independent of the number of the number of customers in the waiting line. Arrivals are handled on ‘first come, first served’ basis. Also, the arrival rate </w:t>
      </w:r>
      <w:r w:rsidRPr="00B55142">
        <w:rPr>
          <w:rFonts w:ascii="Times New Roman" w:hAnsi="Times New Roman" w:cs="Times New Roman"/>
          <w:b/>
          <w:position w:val="-6"/>
          <w:sz w:val="24"/>
          <w:szCs w:val="24"/>
        </w:rPr>
        <w:object w:dxaOrig="220" w:dyaOrig="279" w14:anchorId="1DE923C8">
          <v:shape id="_x0000_i1033" type="#_x0000_t75" style="width:12pt;height:14.1pt" o:ole="">
            <v:imagedata r:id="rId23" o:title=""/>
          </v:shape>
          <o:OLEObject Type="Embed" ProgID="Equation.3" ShapeID="_x0000_i1033" DrawAspect="Content" ObjectID="_1855117422" r:id="rId24"/>
        </w:object>
      </w:r>
      <w:r>
        <w:rPr>
          <w:rFonts w:ascii="Times New Roman" w:hAnsi="Times New Roman" w:cs="Times New Roman"/>
          <w:b/>
          <w:sz w:val="24"/>
          <w:szCs w:val="24"/>
        </w:rPr>
        <w:t xml:space="preserve"> </w:t>
      </w:r>
      <w:r w:rsidRPr="00B55142">
        <w:rPr>
          <w:rFonts w:ascii="Times New Roman" w:hAnsi="Times New Roman" w:cs="Times New Roman"/>
          <w:sz w:val="24"/>
          <w:szCs w:val="24"/>
        </w:rPr>
        <w:t>is</w:t>
      </w:r>
      <w:r>
        <w:rPr>
          <w:rFonts w:ascii="Times New Roman" w:hAnsi="Times New Roman" w:cs="Times New Roman"/>
          <w:b/>
          <w:sz w:val="24"/>
          <w:szCs w:val="24"/>
        </w:rPr>
        <w:t xml:space="preserve"> </w:t>
      </w:r>
      <w:r w:rsidRPr="00B55142">
        <w:rPr>
          <w:rFonts w:ascii="Times New Roman" w:hAnsi="Times New Roman" w:cs="Times New Roman"/>
          <w:sz w:val="24"/>
          <w:szCs w:val="24"/>
        </w:rPr>
        <w:t>less</w:t>
      </w:r>
      <w:r>
        <w:rPr>
          <w:rFonts w:ascii="Times New Roman" w:hAnsi="Times New Roman" w:cs="Times New Roman"/>
          <w:sz w:val="24"/>
          <w:szCs w:val="24"/>
        </w:rPr>
        <w:t xml:space="preserve"> than the service rate </w:t>
      </w:r>
      <w:r w:rsidRPr="00B55142">
        <w:rPr>
          <w:rFonts w:ascii="Times New Roman" w:hAnsi="Times New Roman" w:cs="Times New Roman"/>
          <w:b/>
          <w:position w:val="-10"/>
          <w:sz w:val="24"/>
          <w:szCs w:val="24"/>
        </w:rPr>
        <w:object w:dxaOrig="240" w:dyaOrig="260" w14:anchorId="140E6AED">
          <v:shape id="_x0000_i1034" type="#_x0000_t75" style="width:12pt;height:12.7pt" o:ole="">
            <v:imagedata r:id="rId25" o:title=""/>
          </v:shape>
          <o:OLEObject Type="Embed" ProgID="Equation.3" ShapeID="_x0000_i1034" DrawAspect="Content" ObjectID="_1855117423" r:id="rId26"/>
        </w:object>
      </w:r>
      <w:r>
        <w:rPr>
          <w:rFonts w:ascii="Times New Roman" w:hAnsi="Times New Roman" w:cs="Times New Roman"/>
          <w:sz w:val="24"/>
          <w:szCs w:val="24"/>
        </w:rPr>
        <w:t>.</w:t>
      </w:r>
      <w:r w:rsidR="00D44BB9">
        <w:rPr>
          <w:rFonts w:ascii="Times New Roman" w:hAnsi="Times New Roman" w:cs="Times New Roman"/>
          <w:sz w:val="24"/>
          <w:szCs w:val="24"/>
        </w:rPr>
        <w:tab/>
      </w:r>
      <w:r w:rsidR="00D44BB9">
        <w:rPr>
          <w:rFonts w:ascii="Times New Roman" w:hAnsi="Times New Roman" w:cs="Times New Roman"/>
          <w:sz w:val="24"/>
          <w:szCs w:val="24"/>
        </w:rPr>
        <w:tab/>
      </w:r>
    </w:p>
    <w:p w14:paraId="47991641" w14:textId="77777777" w:rsidR="009F758E" w:rsidRPr="00B55142"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0828D394">
          <v:shape id="_x0000_i1035" type="#_x0000_t75" style="width:27.55pt;height:14.1pt" o:ole="">
            <v:imagedata r:id="rId21" o:title=""/>
          </v:shape>
          <o:OLEObject Type="Embed" ProgID="Equation.3" ShapeID="_x0000_i1035" DrawAspect="Content" ObjectID="_1855117424" r:id="rId27"/>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56F78E09"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7210C19D"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21498133">
          <v:shape id="_x0000_i1036" type="#_x0000_t75" style="width:34.6pt;height:33.9pt" o:ole="">
            <v:imagedata r:id="rId28" o:title=""/>
          </v:shape>
          <o:OLEObject Type="Embed" ProgID="Equation.3" ShapeID="_x0000_i1036" DrawAspect="Content" ObjectID="_1855117425" r:id="rId2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1)</w:t>
      </w:r>
    </w:p>
    <w:p w14:paraId="07E095C8"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4DDEC2F1"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060" w:dyaOrig="660" w14:anchorId="1BEE505B">
          <v:shape id="_x0000_i1037" type="#_x0000_t75" style="width:52.95pt;height:33.9pt" o:ole="">
            <v:imagedata r:id="rId30" o:title=""/>
          </v:shape>
          <o:OLEObject Type="Embed" ProgID="Equation.3" ShapeID="_x0000_i1037" DrawAspect="Content" ObjectID="_1855117426" r:id="rId3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2)</w:t>
      </w:r>
    </w:p>
    <w:p w14:paraId="75E9749C"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182B7571"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460" w:dyaOrig="700" w14:anchorId="208D69D5">
          <v:shape id="_x0000_i1038" type="#_x0000_t75" style="width:72.7pt;height:36pt" o:ole="">
            <v:imagedata r:id="rId32" o:title=""/>
          </v:shape>
          <o:OLEObject Type="Embed" ProgID="Equation.3" ShapeID="_x0000_i1038" DrawAspect="Content" ObjectID="_1855117427" r:id="rId3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3)</w:t>
      </w:r>
    </w:p>
    <w:p w14:paraId="564531C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3792EB25" w14:textId="77777777" w:rsidR="009F758E"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position w:val="-12"/>
          <w:sz w:val="24"/>
          <w:szCs w:val="24"/>
        </w:rPr>
        <w:object w:dxaOrig="200" w:dyaOrig="380" w14:anchorId="6C21E1C0">
          <v:shape id="_x0000_i1039" type="#_x0000_t75" style="width:10.6pt;height:19.05pt" o:ole="">
            <v:imagedata r:id="rId34" o:title=""/>
          </v:shape>
          <o:OLEObject Type="Embed" ProgID="Equation.3" ShapeID="_x0000_i1039" DrawAspect="Content" ObjectID="_1855117428" r:id="rId35"/>
        </w:object>
      </w:r>
      <w:r w:rsidRPr="00393439">
        <w:rPr>
          <w:rFonts w:ascii="Times New Roman" w:hAnsi="Times New Roman" w:cs="Times New Roman"/>
          <w:position w:val="-28"/>
          <w:sz w:val="24"/>
          <w:szCs w:val="24"/>
        </w:rPr>
        <w:object w:dxaOrig="1280" w:dyaOrig="660" w14:anchorId="6ADE66A1">
          <v:shape id="_x0000_i1040" type="#_x0000_t75" style="width:63.55pt;height:33.9pt" o:ole="">
            <v:imagedata r:id="rId36" o:title=""/>
          </v:shape>
          <o:OLEObject Type="Embed" ProgID="Equation.3" ShapeID="_x0000_i1040" DrawAspect="Content" ObjectID="_1855117429" r:id="rId37"/>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4)</w:t>
      </w:r>
    </w:p>
    <w:p w14:paraId="1A53B419"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1830EBC4"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340" w:dyaOrig="660" w14:anchorId="71140D45">
          <v:shape id="_x0000_i1041" type="#_x0000_t75" style="width:65.65pt;height:33.9pt" o:ole="">
            <v:imagedata r:id="rId38" o:title=""/>
          </v:shape>
          <o:OLEObject Type="Embed" ProgID="Equation.3" ShapeID="_x0000_i1041" DrawAspect="Content" ObjectID="_1855117430" r:id="rId3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5)</w:t>
      </w:r>
    </w:p>
    <w:p w14:paraId="27D1790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2A1CA536" w14:textId="77777777" w:rsidR="009F758E" w:rsidRPr="00393439"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500" w:dyaOrig="660" w14:anchorId="294E07BB">
          <v:shape id="_x0000_i1042" type="#_x0000_t75" style="width:74.8pt;height:33.9pt" o:ole="">
            <v:imagedata r:id="rId40" o:title=""/>
          </v:shape>
          <o:OLEObject Type="Embed" ProgID="Equation.3" ShapeID="_x0000_i1042" DrawAspect="Content" ObjectID="_1855117431" r:id="rId4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6)</w:t>
      </w:r>
    </w:p>
    <w:p w14:paraId="27FACDC7" w14:textId="77777777" w:rsidR="009F758E" w:rsidRDefault="009F758E" w:rsidP="00D00475">
      <w:pPr>
        <w:spacing w:before="240" w:line="240" w:lineRule="auto"/>
        <w:jc w:val="both"/>
        <w:rPr>
          <w:rFonts w:ascii="Times New Roman" w:hAnsi="Times New Roman" w:cs="Times New Roman"/>
          <w:b/>
          <w:sz w:val="24"/>
          <w:szCs w:val="24"/>
        </w:rPr>
      </w:pPr>
    </w:p>
    <w:p w14:paraId="5BB517DE" w14:textId="77777777" w:rsidR="009F758E" w:rsidRPr="00020A6A"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2: Generalization of Model 1 [(M/M/S</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318B478F">
          <v:shape id="_x0000_i1043" type="#_x0000_t75" style="width:27.55pt;height:14.1pt" o:ole="">
            <v:imagedata r:id="rId21" o:title=""/>
          </v:shape>
          <o:OLEObject Type="Embed" ProgID="Equation.3" ShapeID="_x0000_i1043" DrawAspect="Content" ObjectID="_1855117432" r:id="rId42"/>
        </w:object>
      </w:r>
      <w:r>
        <w:rPr>
          <w:rFonts w:ascii="Times New Roman" w:hAnsi="Times New Roman" w:cs="Times New Roman"/>
          <w:b/>
          <w:sz w:val="24"/>
          <w:szCs w:val="24"/>
        </w:rPr>
        <w:t>)]</w:t>
      </w:r>
    </w:p>
    <w:p w14:paraId="4D6191EA"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 xml:space="preserve">This is the type of queuing system in which two or more servers or channels are available to handle arriving customers. Let us still assume that customers waiting from one single line and then proceed to the first available server. Each of these channels has an independent and identical </w:t>
      </w:r>
      <w:r w:rsidRPr="00020A6A">
        <w:rPr>
          <w:rFonts w:ascii="Times New Roman" w:hAnsi="Times New Roman" w:cs="Times New Roman"/>
          <w:sz w:val="24"/>
          <w:szCs w:val="24"/>
        </w:rPr>
        <w:lastRenderedPageBreak/>
        <w:t xml:space="preserve">exponential service time distribution with mean </w:t>
      </w:r>
      <w:r w:rsidRPr="00020A6A">
        <w:rPr>
          <w:rFonts w:ascii="Times New Roman" w:hAnsi="Times New Roman" w:cs="Times New Roman"/>
          <w:position w:val="-28"/>
          <w:sz w:val="24"/>
          <w:szCs w:val="24"/>
        </w:rPr>
        <w:object w:dxaOrig="279" w:dyaOrig="660" w14:anchorId="4744FC62">
          <v:shape id="_x0000_i1044" type="#_x0000_t75" style="width:13.4pt;height:33.9pt" o:ole="">
            <v:imagedata r:id="rId43" o:title=""/>
          </v:shape>
          <o:OLEObject Type="Embed" ProgID="Equation.3" ShapeID="_x0000_i1044" DrawAspect="Content" ObjectID="_1855117433" r:id="rId44"/>
        </w:object>
      </w:r>
      <w:r w:rsidRPr="00020A6A">
        <w:rPr>
          <w:rFonts w:ascii="Times New Roman" w:hAnsi="Times New Roman" w:cs="Times New Roman"/>
          <w:sz w:val="24"/>
          <w:szCs w:val="24"/>
        </w:rPr>
        <w:t xml:space="preserve">. The arrival process is Poisson with rate </w:t>
      </w:r>
      <w:r w:rsidRPr="00020A6A">
        <w:rPr>
          <w:rFonts w:ascii="Times New Roman" w:hAnsi="Times New Roman" w:cs="Times New Roman"/>
          <w:position w:val="-6"/>
          <w:sz w:val="24"/>
          <w:szCs w:val="24"/>
        </w:rPr>
        <w:object w:dxaOrig="220" w:dyaOrig="279" w14:anchorId="3C9327B9">
          <v:shape id="_x0000_i1045" type="#_x0000_t75" style="width:12pt;height:14.1pt" o:ole="">
            <v:imagedata r:id="rId45" o:title=""/>
          </v:shape>
          <o:OLEObject Type="Embed" ProgID="Equation.3" ShapeID="_x0000_i1045" DrawAspect="Content" ObjectID="_1855117434" r:id="rId46"/>
        </w:object>
      </w:r>
      <w:r>
        <w:rPr>
          <w:rFonts w:ascii="Times New Roman" w:hAnsi="Times New Roman" w:cs="Times New Roman"/>
          <w:sz w:val="24"/>
          <w:szCs w:val="24"/>
        </w:rPr>
        <w:t xml:space="preserve">. Arrivals </w:t>
      </w:r>
      <w:r w:rsidRPr="00020A6A">
        <w:rPr>
          <w:rFonts w:ascii="Times New Roman" w:hAnsi="Times New Roman" w:cs="Times New Roman"/>
          <w:sz w:val="24"/>
          <w:szCs w:val="24"/>
        </w:rPr>
        <w:t>will join a single queue and enter the first available service channel. Other assumptions listed earlier for the single channel model apply as well. A good example is a petrol station wi</w:t>
      </w:r>
      <w:r>
        <w:rPr>
          <w:rFonts w:ascii="Times New Roman" w:hAnsi="Times New Roman" w:cs="Times New Roman"/>
          <w:sz w:val="24"/>
          <w:szCs w:val="24"/>
        </w:rPr>
        <w:t xml:space="preserve">th a number of pumps. </w:t>
      </w:r>
    </w:p>
    <w:p w14:paraId="332797EC"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7467C22A">
          <v:shape id="_x0000_i1046" type="#_x0000_t75" style="width:27.55pt;height:14.1pt" o:ole="">
            <v:imagedata r:id="rId21" o:title=""/>
          </v:shape>
          <o:OLEObject Type="Embed" ProgID="Equation.3" ShapeID="_x0000_i1046" DrawAspect="Content" ObjectID="_1855117435" r:id="rId47"/>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10FC116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31336525"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740" w:dyaOrig="660" w14:anchorId="4B90BCEB">
          <v:shape id="_x0000_i1047" type="#_x0000_t75" style="width:36.7pt;height:33.9pt" o:ole="">
            <v:imagedata r:id="rId48" o:title=""/>
          </v:shape>
          <o:OLEObject Type="Embed" ProgID="Equation.3" ShapeID="_x0000_i1047" DrawAspect="Content" ObjectID="_1855117436" r:id="rId4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7</w:t>
      </w:r>
      <w:r w:rsidRPr="00020A6A">
        <w:rPr>
          <w:rFonts w:ascii="Times New Roman" w:hAnsi="Times New Roman" w:cs="Times New Roman"/>
          <w:sz w:val="24"/>
          <w:szCs w:val="24"/>
        </w:rPr>
        <w:t>)</w:t>
      </w:r>
    </w:p>
    <w:p w14:paraId="1BBC0B0B"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18006D3B"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8"/>
          <w:sz w:val="24"/>
          <w:szCs w:val="24"/>
        </w:rPr>
        <w:object w:dxaOrig="3680" w:dyaOrig="920" w14:anchorId="0AAC605C">
          <v:shape id="_x0000_i1048" type="#_x0000_t75" style="width:183.55pt;height:45.9pt" o:ole="">
            <v:imagedata r:id="rId50" o:title=""/>
          </v:shape>
          <o:OLEObject Type="Embed" ProgID="Equation.3" ShapeID="_x0000_i1048" DrawAspect="Content" ObjectID="_1855117437" r:id="rId5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8</w:t>
      </w:r>
      <w:r w:rsidRPr="00020A6A">
        <w:rPr>
          <w:rFonts w:ascii="Times New Roman" w:hAnsi="Times New Roman" w:cs="Times New Roman"/>
          <w:sz w:val="24"/>
          <w:szCs w:val="24"/>
        </w:rPr>
        <w:t>)</w:t>
      </w:r>
    </w:p>
    <w:p w14:paraId="636B27CE"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20E2EC98"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8"/>
          <w:sz w:val="24"/>
          <w:szCs w:val="24"/>
        </w:rPr>
        <w:object w:dxaOrig="3159" w:dyaOrig="880" w14:anchorId="11F96CDC">
          <v:shape id="_x0000_i1049" type="#_x0000_t75" style="width:157.4pt;height:44.45pt" o:ole="">
            <v:imagedata r:id="rId52" o:title=""/>
          </v:shape>
          <o:OLEObject Type="Embed" ProgID="Equation.3" ShapeID="_x0000_i1049" DrawAspect="Content" ObjectID="_1855117438" r:id="rId5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9</w:t>
      </w:r>
      <w:r w:rsidRPr="00020A6A">
        <w:rPr>
          <w:rFonts w:ascii="Times New Roman" w:hAnsi="Times New Roman" w:cs="Times New Roman"/>
          <w:sz w:val="24"/>
          <w:szCs w:val="24"/>
        </w:rPr>
        <w:t>)</w:t>
      </w:r>
    </w:p>
    <w:p w14:paraId="3C9B462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2BDE41B2"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position w:val="-12"/>
          <w:sz w:val="24"/>
          <w:szCs w:val="24"/>
        </w:rPr>
        <w:object w:dxaOrig="200" w:dyaOrig="380" w14:anchorId="28D1F9AF">
          <v:shape id="_x0000_i1050" type="#_x0000_t75" style="width:10.6pt;height:19.05pt" o:ole="">
            <v:imagedata r:id="rId34" o:title=""/>
          </v:shape>
          <o:OLEObject Type="Embed" ProgID="Equation.3" ShapeID="_x0000_i1050" DrawAspect="Content" ObjectID="_1855117439" r:id="rId54"/>
        </w:object>
      </w:r>
      <w:r w:rsidRPr="00FB18D3">
        <w:rPr>
          <w:rFonts w:ascii="Times New Roman" w:hAnsi="Times New Roman" w:cs="Times New Roman"/>
          <w:position w:val="-28"/>
          <w:sz w:val="24"/>
          <w:szCs w:val="24"/>
        </w:rPr>
        <w:object w:dxaOrig="1240" w:dyaOrig="660" w14:anchorId="1A64662C">
          <v:shape id="_x0000_i1051" type="#_x0000_t75" style="width:61.4pt;height:33.9pt" o:ole="">
            <v:imagedata r:id="rId55" o:title=""/>
          </v:shape>
          <o:OLEObject Type="Embed" ProgID="Equation.3" ShapeID="_x0000_i1051" DrawAspect="Content" ObjectID="_1855117440" r:id="rId56"/>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10</w:t>
      </w:r>
      <w:r w:rsidRPr="00020A6A">
        <w:rPr>
          <w:rFonts w:ascii="Times New Roman" w:hAnsi="Times New Roman" w:cs="Times New Roman"/>
          <w:sz w:val="24"/>
          <w:szCs w:val="24"/>
        </w:rPr>
        <w:t>)</w:t>
      </w:r>
    </w:p>
    <w:p w14:paraId="088B1E1D"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5C0EE6D8"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2"/>
          <w:sz w:val="24"/>
          <w:szCs w:val="24"/>
        </w:rPr>
        <w:object w:dxaOrig="1579" w:dyaOrig="760" w14:anchorId="18B07749">
          <v:shape id="_x0000_i1052" type="#_x0000_t75" style="width:79.05pt;height:37.4pt" o:ole="">
            <v:imagedata r:id="rId57" o:title=""/>
          </v:shape>
          <o:OLEObject Type="Embed" ProgID="Equation.3" ShapeID="_x0000_i1052" DrawAspect="Content" ObjectID="_1855117441" r:id="rId58"/>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11</w:t>
      </w:r>
      <w:r w:rsidRPr="00020A6A">
        <w:rPr>
          <w:rFonts w:ascii="Times New Roman" w:hAnsi="Times New Roman" w:cs="Times New Roman"/>
          <w:sz w:val="24"/>
          <w:szCs w:val="24"/>
        </w:rPr>
        <w:t>)</w:t>
      </w:r>
    </w:p>
    <w:p w14:paraId="42BAE208"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167E2686" w14:textId="77777777" w:rsidR="009F758E"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4"/>
          <w:sz w:val="24"/>
          <w:szCs w:val="24"/>
        </w:rPr>
        <w:object w:dxaOrig="880" w:dyaOrig="660" w14:anchorId="44DCE211">
          <v:shape id="_x0000_i1053" type="#_x0000_t75" style="width:44.45pt;height:33.9pt" o:ole="">
            <v:imagedata r:id="rId59" o:title=""/>
          </v:shape>
          <o:OLEObject Type="Embed" ProgID="Equation.3" ShapeID="_x0000_i1053" DrawAspect="Content" ObjectID="_1855117442" r:id="rId60"/>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12</w:t>
      </w:r>
      <w:r w:rsidRPr="00020A6A">
        <w:rPr>
          <w:rFonts w:ascii="Times New Roman" w:hAnsi="Times New Roman" w:cs="Times New Roman"/>
          <w:sz w:val="24"/>
          <w:szCs w:val="24"/>
        </w:rPr>
        <w:t>)</w:t>
      </w:r>
    </w:p>
    <w:p w14:paraId="00989F73" w14:textId="77777777" w:rsidR="009F758E" w:rsidRPr="00020A6A" w:rsidRDefault="009F758E" w:rsidP="00D00475">
      <w:pPr>
        <w:spacing w:line="240" w:lineRule="auto"/>
        <w:rPr>
          <w:rFonts w:ascii="Times New Roman" w:hAnsi="Times New Roman" w:cs="Times New Roman"/>
          <w:sz w:val="24"/>
          <w:szCs w:val="24"/>
        </w:rPr>
      </w:pPr>
      <w:r>
        <w:rPr>
          <w:rFonts w:ascii="Times New Roman" w:hAnsi="Times New Roman" w:cs="Times New Roman"/>
          <w:sz w:val="24"/>
          <w:szCs w:val="24"/>
        </w:rPr>
        <w:t>Where S is the number of customers in the queue.</w:t>
      </w:r>
    </w:p>
    <w:p w14:paraId="7A29BE2A"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3: Single-Channel Poisson Arrivals with Exponential Service, Infinite Population, Service in Random Order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(SIRO/</w:t>
      </w:r>
      <w:r w:rsidRPr="00B55142">
        <w:rPr>
          <w:rFonts w:ascii="Times New Roman" w:hAnsi="Times New Roman" w:cs="Times New Roman"/>
          <w:b/>
          <w:position w:val="-6"/>
          <w:sz w:val="24"/>
          <w:szCs w:val="24"/>
        </w:rPr>
        <w:object w:dxaOrig="560" w:dyaOrig="279" w14:anchorId="68D98901">
          <v:shape id="_x0000_i1054" type="#_x0000_t75" style="width:27.55pt;height:14.1pt" o:ole="">
            <v:imagedata r:id="rId21" o:title=""/>
          </v:shape>
          <o:OLEObject Type="Embed" ProgID="Equation.3" ShapeID="_x0000_i1054" DrawAspect="Content" ObjectID="_1855117443" r:id="rId61"/>
        </w:object>
      </w:r>
      <w:r>
        <w:rPr>
          <w:rFonts w:ascii="Times New Roman" w:hAnsi="Times New Roman" w:cs="Times New Roman"/>
          <w:b/>
          <w:sz w:val="24"/>
          <w:szCs w:val="24"/>
        </w:rPr>
        <w:t>)]</w:t>
      </w:r>
    </w:p>
    <w:p w14:paraId="2E7144BA"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This model is essentially the same as Model 1 based on FCFS principle except that customers service is in random order.</w:t>
      </w:r>
    </w:p>
    <w:p w14:paraId="4A664F23" w14:textId="77777777" w:rsidR="009F758E" w:rsidRPr="00B55142"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(SIRO/</w:t>
      </w:r>
      <w:r w:rsidRPr="00B55142">
        <w:rPr>
          <w:rFonts w:ascii="Times New Roman" w:hAnsi="Times New Roman" w:cs="Times New Roman"/>
          <w:b/>
          <w:position w:val="-6"/>
          <w:sz w:val="24"/>
          <w:szCs w:val="24"/>
        </w:rPr>
        <w:object w:dxaOrig="560" w:dyaOrig="279" w14:anchorId="7C69DB9A">
          <v:shape id="_x0000_i1055" type="#_x0000_t75" style="width:27.55pt;height:14.1pt" o:ole="">
            <v:imagedata r:id="rId21" o:title=""/>
          </v:shape>
          <o:OLEObject Type="Embed" ProgID="Equation.3" ShapeID="_x0000_i1055" DrawAspect="Content" ObjectID="_1855117444" r:id="rId62"/>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51F6DB10" w14:textId="77777777" w:rsidR="009F758E" w:rsidRPr="00243350" w:rsidRDefault="009F758E" w:rsidP="00D00475">
      <w:pPr>
        <w:spacing w:line="240" w:lineRule="auto"/>
        <w:rPr>
          <w:rFonts w:ascii="Times New Roman" w:hAnsi="Times New Roman" w:cs="Times New Roman"/>
          <w:sz w:val="24"/>
          <w:szCs w:val="24"/>
        </w:rPr>
      </w:pPr>
      <w:r w:rsidRPr="00D64A53">
        <w:rPr>
          <w:rFonts w:ascii="Times New Roman" w:hAnsi="Times New Roman" w:cs="Times New Roman"/>
          <w:sz w:val="24"/>
          <w:szCs w:val="24"/>
        </w:rPr>
        <w:lastRenderedPageBreak/>
        <w:t>It foll</w:t>
      </w:r>
      <w:r>
        <w:rPr>
          <w:rFonts w:ascii="Times New Roman" w:hAnsi="Times New Roman" w:cs="Times New Roman"/>
          <w:sz w:val="24"/>
          <w:szCs w:val="24"/>
        </w:rPr>
        <w:t>ows that all the results of Model 1 are equally applicable to this case also. In fact, these results can be extended to any queue discipline: FCFS, LCFS, SIRO and GD.</w:t>
      </w:r>
    </w:p>
    <w:p w14:paraId="063EDD7E"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Model 4: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041AA6E6">
          <v:shape id="_x0000_i1056" type="#_x0000_t75" style="width:28.95pt;height:14.1pt" o:ole="">
            <v:imagedata r:id="rId63" o:title=""/>
          </v:shape>
          <o:OLEObject Type="Embed" ProgID="Equation.3" ShapeID="_x0000_i1056" DrawAspect="Content" ObjectID="_1855117445" r:id="rId64"/>
        </w:object>
      </w:r>
      <w:r>
        <w:rPr>
          <w:rFonts w:ascii="Times New Roman" w:hAnsi="Times New Roman" w:cs="Times New Roman"/>
          <w:b/>
          <w:sz w:val="24"/>
          <w:szCs w:val="24"/>
        </w:rPr>
        <w:t>)] Finite Queue Length</w:t>
      </w:r>
      <w:r w:rsidRPr="00020A6A">
        <w:rPr>
          <w:rFonts w:ascii="Times New Roman" w:hAnsi="Times New Roman" w:cs="Times New Roman"/>
          <w:b/>
          <w:sz w:val="24"/>
          <w:szCs w:val="24"/>
        </w:rPr>
        <w:t xml:space="preserve"> Model</w:t>
      </w:r>
    </w:p>
    <w:p w14:paraId="34C3D4BC" w14:textId="77777777" w:rsidR="009F758E" w:rsidRPr="00D64A53"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model differs from Model 1 in that the maximum number of customers in the system is limited to N and hence the difference equations of Model 1 are valid only so long as </w:t>
      </w:r>
      <w:r w:rsidRPr="00B55142">
        <w:rPr>
          <w:rFonts w:ascii="Times New Roman" w:hAnsi="Times New Roman" w:cs="Times New Roman"/>
          <w:b/>
          <w:position w:val="-6"/>
          <w:sz w:val="24"/>
          <w:szCs w:val="24"/>
        </w:rPr>
        <w:object w:dxaOrig="680" w:dyaOrig="279" w14:anchorId="0D817417">
          <v:shape id="_x0000_i1057" type="#_x0000_t75" style="width:34.6pt;height:14.1pt" o:ole="">
            <v:imagedata r:id="rId65" o:title=""/>
          </v:shape>
          <o:OLEObject Type="Embed" ProgID="Equation.3" ShapeID="_x0000_i1057" DrawAspect="Content" ObjectID="_1855117446" r:id="rId66"/>
        </w:object>
      </w:r>
    </w:p>
    <w:p w14:paraId="57C4FF58"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3A4F421D">
          <v:shape id="_x0000_i1058" type="#_x0000_t75" style="width:28.95pt;height:14.1pt" o:ole="">
            <v:imagedata r:id="rId63" o:title=""/>
          </v:shape>
          <o:OLEObject Type="Embed" ProgID="Equation.3" ShapeID="_x0000_i1058" DrawAspect="Content" ObjectID="_1855117447" r:id="rId67"/>
        </w:object>
      </w:r>
      <w:r>
        <w:rPr>
          <w:rFonts w:ascii="Times New Roman" w:hAnsi="Times New Roman" w:cs="Times New Roman"/>
          <w:b/>
          <w:sz w:val="24"/>
          <w:szCs w:val="24"/>
        </w:rPr>
        <w:t>)] Finite Queue Length</w:t>
      </w:r>
      <w:r w:rsidRPr="00020A6A">
        <w:rPr>
          <w:rFonts w:ascii="Times New Roman" w:hAnsi="Times New Roman" w:cs="Times New Roman"/>
          <w:b/>
          <w:sz w:val="24"/>
          <w:szCs w:val="24"/>
        </w:rPr>
        <w:t xml:space="preserve"> Model</w:t>
      </w:r>
    </w:p>
    <w:p w14:paraId="3B84C50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6F86C919"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0DA82F60">
          <v:shape id="_x0000_i1059" type="#_x0000_t75" style="width:34.6pt;height:33.9pt" o:ole="">
            <v:imagedata r:id="rId68" o:title=""/>
          </v:shape>
          <o:OLEObject Type="Embed" ProgID="Equation.3" ShapeID="_x0000_i1059" DrawAspect="Content" ObjectID="_1855117448" r:id="rId6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13</w:t>
      </w:r>
      <w:r w:rsidRPr="00020A6A">
        <w:rPr>
          <w:rFonts w:ascii="Times New Roman" w:hAnsi="Times New Roman" w:cs="Times New Roman"/>
          <w:sz w:val="24"/>
          <w:szCs w:val="24"/>
        </w:rPr>
        <w:t>)</w:t>
      </w:r>
    </w:p>
    <w:p w14:paraId="20DDA91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72AC8522" w14:textId="77777777" w:rsidR="009F758E" w:rsidRDefault="009F758E" w:rsidP="00D00475">
      <w:pPr>
        <w:spacing w:line="240" w:lineRule="auto"/>
        <w:rPr>
          <w:rFonts w:ascii="Times New Roman" w:hAnsi="Times New Roman" w:cs="Times New Roman"/>
          <w:sz w:val="24"/>
          <w:szCs w:val="24"/>
        </w:rPr>
      </w:pPr>
      <w:r w:rsidRPr="00D64A53">
        <w:rPr>
          <w:rFonts w:ascii="Times New Roman" w:hAnsi="Times New Roman" w:cs="Times New Roman"/>
          <w:position w:val="-30"/>
          <w:sz w:val="24"/>
          <w:szCs w:val="24"/>
        </w:rPr>
        <w:object w:dxaOrig="1359" w:dyaOrig="680" w14:anchorId="082E2B61">
          <v:shape id="_x0000_i1060" type="#_x0000_t75" style="width:67.75pt;height:34.6pt" o:ole="">
            <v:imagedata r:id="rId70" o:title=""/>
          </v:shape>
          <o:OLEObject Type="Embed" ProgID="Equation.3" ShapeID="_x0000_i1060" DrawAspect="Content" ObjectID="_1855117449" r:id="rId7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14</w:t>
      </w:r>
      <w:r w:rsidRPr="00020A6A">
        <w:rPr>
          <w:rFonts w:ascii="Times New Roman" w:hAnsi="Times New Roman" w:cs="Times New Roman"/>
          <w:sz w:val="24"/>
          <w:szCs w:val="24"/>
        </w:rPr>
        <w:t>)</w:t>
      </w:r>
    </w:p>
    <w:p w14:paraId="5F7C68E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42D05F92" w14:textId="77777777" w:rsidR="009F758E" w:rsidRPr="00020A6A"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3060" w:dyaOrig="720" w14:anchorId="6E42CFDF">
          <v:shape id="_x0000_i1061" type="#_x0000_t75" style="width:152.45pt;height:36pt" o:ole="">
            <v:imagedata r:id="rId72" o:title=""/>
          </v:shape>
          <o:OLEObject Type="Embed" ProgID="Equation.3" ShapeID="_x0000_i1061" DrawAspect="Content" ObjectID="_1855117450" r:id="rId7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15</w:t>
      </w:r>
      <w:r w:rsidRPr="00020A6A">
        <w:rPr>
          <w:rFonts w:ascii="Times New Roman" w:hAnsi="Times New Roman" w:cs="Times New Roman"/>
          <w:sz w:val="24"/>
          <w:szCs w:val="24"/>
        </w:rPr>
        <w:t>)</w:t>
      </w:r>
    </w:p>
    <w:p w14:paraId="4EEF4A1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4CFA3D54" w14:textId="77777777" w:rsidR="009F758E" w:rsidRPr="00020A6A"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3360" w:dyaOrig="720" w14:anchorId="142DA197">
          <v:shape id="_x0000_i1062" type="#_x0000_t75" style="width:167.3pt;height:36pt" o:ole="">
            <v:imagedata r:id="rId74" o:title=""/>
          </v:shape>
          <o:OLEObject Type="Embed" ProgID="Equation.3" ShapeID="_x0000_i1062" DrawAspect="Content" ObjectID="_1855117451" r:id="rId75"/>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16</w:t>
      </w:r>
      <w:r w:rsidRPr="00020A6A">
        <w:rPr>
          <w:rFonts w:ascii="Times New Roman" w:hAnsi="Times New Roman" w:cs="Times New Roman"/>
          <w:sz w:val="24"/>
          <w:szCs w:val="24"/>
        </w:rPr>
        <w:t>)</w:t>
      </w:r>
    </w:p>
    <w:p w14:paraId="370FABB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6F3B4A0B" w14:textId="77777777" w:rsidR="009F758E"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2"/>
          <w:sz w:val="24"/>
          <w:szCs w:val="24"/>
        </w:rPr>
        <w:object w:dxaOrig="1140" w:dyaOrig="760" w14:anchorId="359CCFD5">
          <v:shape id="_x0000_i1063" type="#_x0000_t75" style="width:57.2pt;height:37.4pt" o:ole="">
            <v:imagedata r:id="rId76" o:title=""/>
          </v:shape>
          <o:OLEObject Type="Embed" ProgID="Equation.3" ShapeID="_x0000_i1063" DrawAspect="Content" ObjectID="_1855117452" r:id="rId77"/>
        </w:objec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17)</w:t>
      </w:r>
    </w:p>
    <w:p w14:paraId="50947B89" w14:textId="77777777" w:rsidR="009F758E" w:rsidRPr="00020A6A" w:rsidRDefault="009F758E" w:rsidP="00D00475">
      <w:pPr>
        <w:spacing w:line="240" w:lineRule="auto"/>
        <w:rPr>
          <w:rFonts w:ascii="Times New Roman" w:hAnsi="Times New Roman" w:cs="Times New Roman"/>
          <w:sz w:val="24"/>
          <w:szCs w:val="24"/>
        </w:rPr>
      </w:pPr>
      <w:r>
        <w:rPr>
          <w:rFonts w:ascii="Times New Roman" w:hAnsi="Times New Roman" w:cs="Times New Roman"/>
          <w:sz w:val="24"/>
          <w:szCs w:val="24"/>
        </w:rPr>
        <w:t xml:space="preserve">where </w:t>
      </w:r>
      <w:r w:rsidRPr="00AD649F">
        <w:rPr>
          <w:position w:val="-12"/>
        </w:rPr>
        <w:object w:dxaOrig="1400" w:dyaOrig="360" w14:anchorId="5BDDFE23">
          <v:shape id="_x0000_i1064" type="#_x0000_t75" style="width:69.9pt;height:18.35pt" o:ole="">
            <v:imagedata r:id="rId78" o:title=""/>
          </v:shape>
          <o:OLEObject Type="Embed" ProgID="Equation.3" ShapeID="_x0000_i1064" DrawAspect="Content" ObjectID="_1855117453" r:id="rId7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t xml:space="preserve">              </w:t>
      </w:r>
      <w:proofErr w:type="gramStart"/>
      <w:r w:rsidR="00D50DAA">
        <w:rPr>
          <w:rFonts w:ascii="Times New Roman" w:hAnsi="Times New Roman" w:cs="Times New Roman"/>
          <w:sz w:val="24"/>
          <w:szCs w:val="24"/>
        </w:rPr>
        <w:t xml:space="preserve">   (</w:t>
      </w:r>
      <w:proofErr w:type="gramEnd"/>
      <w:r>
        <w:rPr>
          <w:rFonts w:ascii="Times New Roman" w:hAnsi="Times New Roman" w:cs="Times New Roman"/>
          <w:sz w:val="24"/>
          <w:szCs w:val="24"/>
        </w:rPr>
        <w:t>18)</w:t>
      </w:r>
    </w:p>
    <w:p w14:paraId="6B541434" w14:textId="77777777" w:rsidR="009F758E"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1740" w:dyaOrig="680" w14:anchorId="6E6B63CC">
          <v:shape id="_x0000_i1065" type="#_x0000_t75" style="width:86.8pt;height:34.6pt" o:ole="">
            <v:imagedata r:id="rId80" o:title=""/>
          </v:shape>
          <o:OLEObject Type="Embed" ProgID="Equation.3" ShapeID="_x0000_i1065" DrawAspect="Content" ObjectID="_1855117454" r:id="rId81"/>
        </w:objec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19)</w:t>
      </w:r>
    </w:p>
    <w:p w14:paraId="1397FC24"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48B09E42" w14:textId="77777777" w:rsidR="009F758E" w:rsidRPr="008410E5"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4"/>
          <w:sz w:val="24"/>
          <w:szCs w:val="24"/>
        </w:rPr>
        <w:object w:dxaOrig="900" w:dyaOrig="660" w14:anchorId="28E07635">
          <v:shape id="_x0000_i1066" type="#_x0000_t75" style="width:45.2pt;height:33.9pt" o:ole="">
            <v:imagedata r:id="rId82" o:title=""/>
          </v:shape>
          <o:OLEObject Type="Embed" ProgID="Equation.3" ShapeID="_x0000_i1066" DrawAspect="Content" ObjectID="_1855117455" r:id="rId8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20</w:t>
      </w:r>
      <w:r w:rsidRPr="00020A6A">
        <w:rPr>
          <w:rFonts w:ascii="Times New Roman" w:hAnsi="Times New Roman" w:cs="Times New Roman"/>
          <w:sz w:val="24"/>
          <w:szCs w:val="24"/>
        </w:rPr>
        <w:t>)</w:t>
      </w:r>
    </w:p>
    <w:p w14:paraId="3AB4381F"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5: Single-Channel, Finite Population Model with Poisson Arrivals and Exponential Service Times (Limited Source Model)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462394B6">
          <v:shape id="_x0000_i1067" type="#_x0000_t75" style="width:28.95pt;height:14.1pt" o:ole="">
            <v:imagedata r:id="rId84" o:title=""/>
          </v:shape>
          <o:OLEObject Type="Embed" ProgID="Equation.3" ShapeID="_x0000_i1067" DrawAspect="Content" ObjectID="_1855117456" r:id="rId85"/>
        </w:object>
      </w:r>
      <w:r>
        <w:rPr>
          <w:rFonts w:ascii="Times New Roman" w:hAnsi="Times New Roman" w:cs="Times New Roman"/>
          <w:b/>
          <w:sz w:val="24"/>
          <w:szCs w:val="24"/>
        </w:rPr>
        <w:t>)]</w:t>
      </w:r>
    </w:p>
    <w:p w14:paraId="2ED9D78D" w14:textId="77777777" w:rsidR="009F758E" w:rsidRDefault="009F758E" w:rsidP="00D00475">
      <w:pPr>
        <w:spacing w:before="240" w:line="240" w:lineRule="auto"/>
        <w:jc w:val="both"/>
        <w:rPr>
          <w:rFonts w:ascii="Times New Roman" w:hAnsi="Times New Roman" w:cs="Times New Roman"/>
          <w:sz w:val="24"/>
          <w:szCs w:val="24"/>
        </w:rPr>
      </w:pPr>
      <w:r w:rsidRPr="000D2002">
        <w:rPr>
          <w:rFonts w:ascii="Times New Roman" w:hAnsi="Times New Roman" w:cs="Times New Roman"/>
          <w:sz w:val="24"/>
          <w:szCs w:val="24"/>
        </w:rPr>
        <w:lastRenderedPageBreak/>
        <w:t>In some cases, unit</w:t>
      </w:r>
      <w:r>
        <w:rPr>
          <w:rFonts w:ascii="Times New Roman" w:hAnsi="Times New Roman" w:cs="Times New Roman"/>
          <w:sz w:val="24"/>
          <w:szCs w:val="24"/>
        </w:rPr>
        <w:t xml:space="preserve">s arrive from a limited pool of potential customers. Once a unit joins the queue, there is one less unit which could arrive and, therefore, the probability of an arrival is lowered. When a unit is served, it rejoins the pool of potential customers, and the probability of arrival is thereby increased. As a rule of thumb, if the population is less than 40, the equations for a finite population should be used. </w:t>
      </w:r>
    </w:p>
    <w:p w14:paraId="762F1157"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5E0CF291">
          <v:shape id="_x0000_i1068" type="#_x0000_t75" style="width:28.95pt;height:14.1pt" o:ole="">
            <v:imagedata r:id="rId86" o:title=""/>
          </v:shape>
          <o:OLEObject Type="Embed" ProgID="Equation.3" ShapeID="_x0000_i1068" DrawAspect="Content" ObjectID="_1855117457" r:id="rId87"/>
        </w:object>
      </w:r>
      <w:r>
        <w:rPr>
          <w:rFonts w:ascii="Times New Roman" w:hAnsi="Times New Roman" w:cs="Times New Roman"/>
          <w:b/>
          <w:sz w:val="24"/>
          <w:szCs w:val="24"/>
        </w:rPr>
        <w:t>)] Limited Source</w:t>
      </w:r>
      <w:r w:rsidRPr="00020A6A">
        <w:rPr>
          <w:rFonts w:ascii="Times New Roman" w:hAnsi="Times New Roman" w:cs="Times New Roman"/>
          <w:b/>
          <w:sz w:val="24"/>
          <w:szCs w:val="24"/>
        </w:rPr>
        <w:t xml:space="preserve"> Model</w:t>
      </w:r>
    </w:p>
    <w:p w14:paraId="06B91DA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06B2A067"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31C28675">
          <v:shape id="_x0000_i1069" type="#_x0000_t75" style="width:34.6pt;height:33.9pt" o:ole="">
            <v:imagedata r:id="rId68" o:title=""/>
          </v:shape>
          <o:OLEObject Type="Embed" ProgID="Equation.3" ShapeID="_x0000_i1069" DrawAspect="Content" ObjectID="_1855117458" r:id="rId88"/>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21</w:t>
      </w:r>
      <w:r w:rsidRPr="00020A6A">
        <w:rPr>
          <w:rFonts w:ascii="Times New Roman" w:hAnsi="Times New Roman" w:cs="Times New Roman"/>
          <w:sz w:val="24"/>
          <w:szCs w:val="24"/>
        </w:rPr>
        <w:t>)</w:t>
      </w:r>
    </w:p>
    <w:p w14:paraId="0DC04D0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25572B68" w14:textId="77777777" w:rsidR="009F758E"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70"/>
          <w:sz w:val="24"/>
          <w:szCs w:val="24"/>
        </w:rPr>
        <w:object w:dxaOrig="2299" w:dyaOrig="1080" w14:anchorId="0EAD11EB">
          <v:shape id="_x0000_i1070" type="#_x0000_t75" style="width:115.05pt;height:55.05pt" o:ole="">
            <v:imagedata r:id="rId89" o:title=""/>
          </v:shape>
          <o:OLEObject Type="Embed" ProgID="Equation.3" ShapeID="_x0000_i1070" DrawAspect="Content" ObjectID="_1855117459" r:id="rId90"/>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22)</w:t>
      </w:r>
    </w:p>
    <w:p w14:paraId="1C28FAEB"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6B2EBD72" w14:textId="77777777" w:rsidR="009F758E" w:rsidRPr="00020A6A"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24"/>
          <w:sz w:val="24"/>
          <w:szCs w:val="24"/>
        </w:rPr>
        <w:object w:dxaOrig="1900" w:dyaOrig="620" w14:anchorId="20952EED">
          <v:shape id="_x0000_i1071" type="#_x0000_t75" style="width:94.6pt;height:31.75pt" o:ole="">
            <v:imagedata r:id="rId91" o:title=""/>
          </v:shape>
          <o:OLEObject Type="Embed" ProgID="Equation.3" ShapeID="_x0000_i1071" DrawAspect="Content" ObjectID="_1855117460" r:id="rId92"/>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23</w:t>
      </w:r>
      <w:r w:rsidRPr="00020A6A">
        <w:rPr>
          <w:rFonts w:ascii="Times New Roman" w:hAnsi="Times New Roman" w:cs="Times New Roman"/>
          <w:sz w:val="24"/>
          <w:szCs w:val="24"/>
        </w:rPr>
        <w:t>)</w:t>
      </w:r>
    </w:p>
    <w:p w14:paraId="7B26A17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140D5788" w14:textId="77777777" w:rsidR="009F758E" w:rsidRPr="00020A6A"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24"/>
          <w:sz w:val="24"/>
          <w:szCs w:val="24"/>
        </w:rPr>
        <w:object w:dxaOrig="1980" w:dyaOrig="620" w14:anchorId="163609AD">
          <v:shape id="_x0000_i1072" type="#_x0000_t75" style="width:98.8pt;height:31.75pt" o:ole="">
            <v:imagedata r:id="rId93" o:title=""/>
          </v:shape>
          <o:OLEObject Type="Embed" ProgID="Equation.3" ShapeID="_x0000_i1072" DrawAspect="Content" ObjectID="_1855117461" r:id="rId94"/>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24</w:t>
      </w:r>
      <w:r w:rsidRPr="00020A6A">
        <w:rPr>
          <w:rFonts w:ascii="Times New Roman" w:hAnsi="Times New Roman" w:cs="Times New Roman"/>
          <w:sz w:val="24"/>
          <w:szCs w:val="24"/>
        </w:rPr>
        <w:t>)</w:t>
      </w:r>
    </w:p>
    <w:p w14:paraId="5EE3B54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60AE3976" w14:textId="77777777" w:rsidR="009F758E" w:rsidRDefault="009F758E" w:rsidP="00D00475">
      <w:pPr>
        <w:spacing w:line="240" w:lineRule="auto"/>
        <w:rPr>
          <w:rFonts w:ascii="Times New Roman" w:hAnsi="Times New Roman" w:cs="Times New Roman"/>
          <w:sz w:val="24"/>
          <w:szCs w:val="24"/>
        </w:rPr>
      </w:pPr>
      <w:r w:rsidRPr="00243350">
        <w:rPr>
          <w:rFonts w:ascii="Times New Roman" w:hAnsi="Times New Roman" w:cs="Times New Roman"/>
          <w:position w:val="-28"/>
          <w:sz w:val="24"/>
          <w:szCs w:val="24"/>
        </w:rPr>
        <w:object w:dxaOrig="1340" w:dyaOrig="660" w14:anchorId="321DE194">
          <v:shape id="_x0000_i1073" type="#_x0000_t75" style="width:65.65pt;height:33.9pt" o:ole="">
            <v:imagedata r:id="rId95" o:title=""/>
          </v:shape>
          <o:OLEObject Type="Embed" ProgID="Equation.3" ShapeID="_x0000_i1073" DrawAspect="Content" ObjectID="_1855117462" r:id="rId96"/>
        </w:objec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25)</w:t>
      </w:r>
    </w:p>
    <w:p w14:paraId="16DF477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0EC4C99E" w14:textId="77777777" w:rsidR="009E2338" w:rsidRDefault="009F758E" w:rsidP="00D00475">
      <w:pPr>
        <w:spacing w:line="240" w:lineRule="auto"/>
        <w:rPr>
          <w:rFonts w:ascii="Times New Roman" w:hAnsi="Times New Roman" w:cs="Times New Roman"/>
          <w:sz w:val="24"/>
          <w:szCs w:val="24"/>
        </w:rPr>
      </w:pPr>
      <w:r w:rsidRPr="00243350">
        <w:rPr>
          <w:rFonts w:ascii="Times New Roman" w:hAnsi="Times New Roman" w:cs="Times New Roman"/>
          <w:position w:val="-62"/>
          <w:sz w:val="24"/>
          <w:szCs w:val="24"/>
        </w:rPr>
        <w:object w:dxaOrig="2980" w:dyaOrig="1359" w14:anchorId="3F63B94A">
          <v:shape id="_x0000_i1074" type="#_x0000_t75" style="width:150.35pt;height:67.75pt" o:ole="">
            <v:imagedata r:id="rId97" o:title=""/>
          </v:shape>
          <o:OLEObject Type="Embed" ProgID="Equation.3" ShapeID="_x0000_i1074" DrawAspect="Content" ObjectID="_1855117463" r:id="rId98"/>
        </w:objec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26</w:t>
      </w:r>
      <w:r w:rsidRPr="00020A6A">
        <w:rPr>
          <w:rFonts w:ascii="Times New Roman" w:hAnsi="Times New Roman" w:cs="Times New Roman"/>
          <w:sz w:val="24"/>
          <w:szCs w:val="24"/>
        </w:rPr>
        <w:t>)</w:t>
      </w:r>
    </w:p>
    <w:p w14:paraId="2E7766C6" w14:textId="77777777" w:rsidR="00804E8A" w:rsidRDefault="00804E8A" w:rsidP="00D00475">
      <w:pPr>
        <w:spacing w:line="240" w:lineRule="auto"/>
        <w:rPr>
          <w:rFonts w:ascii="Times New Roman" w:hAnsi="Times New Roman" w:cs="Times New Roman"/>
          <w:b/>
          <w:sz w:val="24"/>
          <w:szCs w:val="24"/>
        </w:rPr>
      </w:pPr>
    </w:p>
    <w:p w14:paraId="35AE927F" w14:textId="77777777" w:rsidR="009F758E"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F758E">
        <w:rPr>
          <w:rFonts w:ascii="Times New Roman" w:hAnsi="Times New Roman" w:cs="Times New Roman"/>
          <w:b/>
          <w:sz w:val="24"/>
          <w:szCs w:val="24"/>
        </w:rPr>
        <w:t>Results</w:t>
      </w:r>
      <w:r w:rsidR="005977CB">
        <w:rPr>
          <w:rFonts w:ascii="Times New Roman" w:hAnsi="Times New Roman" w:cs="Times New Roman"/>
          <w:b/>
          <w:sz w:val="24"/>
          <w:szCs w:val="24"/>
        </w:rPr>
        <w:t xml:space="preserve"> and Discussion</w:t>
      </w:r>
    </w:p>
    <w:p w14:paraId="0536E071" w14:textId="77777777" w:rsidR="009F758E" w:rsidRPr="00BC5C4E" w:rsidRDefault="009F758E" w:rsidP="00D0047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Identifying </w:t>
      </w:r>
      <w:r w:rsidRPr="00BC5C4E">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Utilization Factors of t</w:t>
      </w:r>
      <w:r w:rsidRPr="00BC5C4E">
        <w:rPr>
          <w:rFonts w:ascii="Times New Roman" w:eastAsia="Times New Roman" w:hAnsi="Times New Roman" w:cs="Times New Roman"/>
          <w:b/>
          <w:sz w:val="24"/>
          <w:szCs w:val="24"/>
        </w:rPr>
        <w:t>he Selected Models</w:t>
      </w:r>
      <w:r>
        <w:rPr>
          <w:rFonts w:ascii="Times New Roman" w:eastAsia="Times New Roman" w:hAnsi="Times New Roman" w:cs="Times New Roman"/>
          <w:b/>
          <w:sz w:val="24"/>
          <w:szCs w:val="24"/>
        </w:rPr>
        <w:t xml:space="preserve"> for ATM Stands I and II</w:t>
      </w:r>
    </w:p>
    <w:p w14:paraId="254CFB69" w14:textId="77777777" w:rsidR="009F758E" w:rsidRPr="009071FE" w:rsidRDefault="00C34979" w:rsidP="00D00475">
      <w:pPr>
        <w:pStyle w:val="Heading2"/>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Table 1</w:t>
      </w:r>
      <w:r w:rsidR="009F758E" w:rsidRPr="009071FE">
        <w:rPr>
          <w:rFonts w:ascii="Times New Roman" w:hAnsi="Times New Roman" w:cs="Times New Roman"/>
          <w:b/>
          <w:color w:val="auto"/>
          <w:sz w:val="24"/>
          <w:szCs w:val="24"/>
        </w:rPr>
        <w:t xml:space="preserve">: </w:t>
      </w:r>
      <w:r w:rsidR="009F758E">
        <w:rPr>
          <w:rFonts w:ascii="Times New Roman" w:hAnsi="Times New Roman" w:cs="Times New Roman"/>
          <w:b/>
          <w:color w:val="auto"/>
          <w:sz w:val="24"/>
          <w:szCs w:val="24"/>
        </w:rPr>
        <w:t xml:space="preserve">Data Collected on </w:t>
      </w:r>
      <w:r w:rsidR="009F758E" w:rsidRPr="009071FE">
        <w:rPr>
          <w:rFonts w:ascii="Times New Roman" w:hAnsi="Times New Roman" w:cs="Times New Roman"/>
          <w:b/>
          <w:color w:val="auto"/>
          <w:sz w:val="24"/>
          <w:szCs w:val="24"/>
        </w:rPr>
        <w:t>Mon</w:t>
      </w:r>
      <w:r w:rsidR="009F758E">
        <w:rPr>
          <w:rFonts w:ascii="Times New Roman" w:hAnsi="Times New Roman" w:cs="Times New Roman"/>
          <w:b/>
          <w:color w:val="auto"/>
          <w:sz w:val="24"/>
          <w:szCs w:val="24"/>
        </w:rPr>
        <w:t xml:space="preserve"> at ATM</w:t>
      </w:r>
      <w:r w:rsidR="009F758E" w:rsidRPr="009071FE">
        <w:rPr>
          <w:rFonts w:ascii="Times New Roman" w:hAnsi="Times New Roman" w:cs="Times New Roman"/>
          <w:b/>
          <w:color w:val="auto"/>
          <w:sz w:val="24"/>
          <w:szCs w:val="24"/>
        </w:rPr>
        <w:t xml:space="preserve"> Stand 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9F758E" w:rsidRPr="00C85E41" w14:paraId="34B7DFC9"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1555B301" w14:textId="77777777" w:rsidR="009F758E" w:rsidRPr="00B000E2" w:rsidRDefault="009F758E"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13C0E843"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6FC83382">
                <v:shape id="_x0000_i1075" type="#_x0000_t75" style="width:12pt;height:12.7pt" o:ole="">
                  <v:imagedata r:id="rId99" o:title=""/>
                </v:shape>
                <o:OLEObject Type="Embed" ProgID="Equation.3" ShapeID="_x0000_i1075" DrawAspect="Content" ObjectID="_1855117464" r:id="rId100"/>
              </w:object>
            </w:r>
          </w:p>
        </w:tc>
        <w:tc>
          <w:tcPr>
            <w:tcW w:w="1440" w:type="dxa"/>
            <w:tcBorders>
              <w:top w:val="single" w:sz="4" w:space="0" w:color="auto"/>
              <w:bottom w:val="single" w:sz="4" w:space="0" w:color="auto"/>
            </w:tcBorders>
            <w:shd w:val="clear" w:color="auto" w:fill="auto"/>
          </w:tcPr>
          <w:p w14:paraId="6A9AFCF9"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6E6CE415">
                <v:shape id="_x0000_i1076" type="#_x0000_t75" style="width:14.1pt;height:18.35pt" o:ole="">
                  <v:imagedata r:id="rId101" o:title=""/>
                </v:shape>
                <o:OLEObject Type="Embed" ProgID="Equation.3" ShapeID="_x0000_i1076" DrawAspect="Content" ObjectID="_1855117465" r:id="rId102"/>
              </w:object>
            </w:r>
          </w:p>
        </w:tc>
        <w:tc>
          <w:tcPr>
            <w:tcW w:w="1440" w:type="dxa"/>
            <w:tcBorders>
              <w:top w:val="single" w:sz="4" w:space="0" w:color="auto"/>
              <w:bottom w:val="single" w:sz="4" w:space="0" w:color="auto"/>
            </w:tcBorders>
            <w:shd w:val="clear" w:color="auto" w:fill="auto"/>
          </w:tcPr>
          <w:p w14:paraId="56E7C3DB"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6276DC28">
                <v:shape id="_x0000_i1077" type="#_x0000_t75" style="width:14.8pt;height:19.05pt" o:ole="">
                  <v:imagedata r:id="rId103" o:title=""/>
                </v:shape>
                <o:OLEObject Type="Embed" ProgID="Equation.3" ShapeID="_x0000_i1077" DrawAspect="Content" ObjectID="_1855117466" r:id="rId104"/>
              </w:object>
            </w:r>
          </w:p>
        </w:tc>
        <w:tc>
          <w:tcPr>
            <w:tcW w:w="1440" w:type="dxa"/>
            <w:tcBorders>
              <w:top w:val="single" w:sz="4" w:space="0" w:color="auto"/>
              <w:bottom w:val="single" w:sz="4" w:space="0" w:color="auto"/>
            </w:tcBorders>
            <w:shd w:val="clear" w:color="auto" w:fill="auto"/>
          </w:tcPr>
          <w:p w14:paraId="14519BE0"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04E8E558">
                <v:shape id="_x0000_i1078" type="#_x0000_t75" style="width:14.8pt;height:18.35pt" o:ole="">
                  <v:imagedata r:id="rId105" o:title=""/>
                </v:shape>
                <o:OLEObject Type="Embed" ProgID="Equation.3" ShapeID="_x0000_i1078" DrawAspect="Content" ObjectID="_1855117467" r:id="rId106"/>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19D5A8C2"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75B30947">
                <v:shape id="_x0000_i1079" type="#_x0000_t75" style="width:16.25pt;height:19.05pt" o:ole="">
                  <v:imagedata r:id="rId107" o:title=""/>
                </v:shape>
                <o:OLEObject Type="Embed" ProgID="Equation.3" ShapeID="_x0000_i1079" DrawAspect="Content" ObjectID="_1855117468" r:id="rId108"/>
              </w:object>
            </w:r>
            <w:r w:rsidRPr="00B000E2">
              <w:rPr>
                <w:rFonts w:ascii="Times New Roman" w:hAnsi="Times New Roman" w:cs="Times New Roman"/>
                <w:b w:val="0"/>
                <w:color w:val="auto"/>
                <w:sz w:val="24"/>
                <w:szCs w:val="24"/>
              </w:rPr>
              <w:t>(min)</w:t>
            </w:r>
          </w:p>
        </w:tc>
      </w:tr>
      <w:tr w:rsidR="009F758E" w:rsidRPr="00C85E41" w14:paraId="3C25221F"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0D10FC89"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lastRenderedPageBreak/>
              <w:t>Model 1: M/M/1 FCFS</w:t>
            </w:r>
          </w:p>
        </w:tc>
        <w:tc>
          <w:tcPr>
            <w:tcW w:w="1440" w:type="dxa"/>
            <w:tcBorders>
              <w:top w:val="single" w:sz="4" w:space="0" w:color="auto"/>
              <w:bottom w:val="none" w:sz="0" w:space="0" w:color="auto"/>
            </w:tcBorders>
          </w:tcPr>
          <w:p w14:paraId="5FB4D76E"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top w:val="single" w:sz="4" w:space="0" w:color="auto"/>
              <w:bottom w:val="none" w:sz="0" w:space="0" w:color="auto"/>
            </w:tcBorders>
          </w:tcPr>
          <w:p w14:paraId="37B971A0"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Borders>
              <w:top w:val="single" w:sz="4" w:space="0" w:color="auto"/>
              <w:bottom w:val="none" w:sz="0" w:space="0" w:color="auto"/>
            </w:tcBorders>
          </w:tcPr>
          <w:p w14:paraId="6048D8B8"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Borders>
              <w:top w:val="single" w:sz="4" w:space="0" w:color="auto"/>
              <w:bottom w:val="none" w:sz="0" w:space="0" w:color="auto"/>
            </w:tcBorders>
          </w:tcPr>
          <w:p w14:paraId="65AF03A0"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Borders>
              <w:top w:val="single" w:sz="4" w:space="0" w:color="auto"/>
              <w:bottom w:val="none" w:sz="0" w:space="0" w:color="auto"/>
              <w:right w:val="none" w:sz="0" w:space="0" w:color="auto"/>
            </w:tcBorders>
          </w:tcPr>
          <w:p w14:paraId="062B09D7"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53A9C678"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779ACEC2"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2: M/M/1 (s=1)</w:t>
            </w:r>
          </w:p>
        </w:tc>
        <w:tc>
          <w:tcPr>
            <w:tcW w:w="1440" w:type="dxa"/>
          </w:tcPr>
          <w:p w14:paraId="08FADDF8"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Pr>
          <w:p w14:paraId="1B221F6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Pr>
          <w:p w14:paraId="071A8D2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Pr>
          <w:p w14:paraId="20A4EA0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Pr>
          <w:p w14:paraId="71B1F8FC"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77605E25"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332FCB3A"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4B943D8C"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0.4871</w:t>
            </w:r>
          </w:p>
        </w:tc>
        <w:tc>
          <w:tcPr>
            <w:tcW w:w="1440" w:type="dxa"/>
            <w:tcBorders>
              <w:top w:val="none" w:sz="0" w:space="0" w:color="auto"/>
              <w:bottom w:val="none" w:sz="0" w:space="0" w:color="auto"/>
            </w:tcBorders>
          </w:tcPr>
          <w:p w14:paraId="1109F6A9"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1.2771</w:t>
            </w:r>
          </w:p>
        </w:tc>
        <w:tc>
          <w:tcPr>
            <w:tcW w:w="1440" w:type="dxa"/>
            <w:tcBorders>
              <w:top w:val="none" w:sz="0" w:space="0" w:color="auto"/>
              <w:bottom w:val="none" w:sz="0" w:space="0" w:color="auto"/>
            </w:tcBorders>
          </w:tcPr>
          <w:p w14:paraId="464859DB"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0.3030</w:t>
            </w:r>
          </w:p>
        </w:tc>
        <w:tc>
          <w:tcPr>
            <w:tcW w:w="1440" w:type="dxa"/>
            <w:tcBorders>
              <w:top w:val="none" w:sz="0" w:space="0" w:color="auto"/>
              <w:bottom w:val="none" w:sz="0" w:space="0" w:color="auto"/>
            </w:tcBorders>
          </w:tcPr>
          <w:p w14:paraId="60AC03B1"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1.5432</w:t>
            </w:r>
          </w:p>
        </w:tc>
        <w:tc>
          <w:tcPr>
            <w:tcW w:w="1440" w:type="dxa"/>
            <w:tcBorders>
              <w:top w:val="none" w:sz="0" w:space="0" w:color="auto"/>
              <w:bottom w:val="none" w:sz="0" w:space="0" w:color="auto"/>
              <w:right w:val="none" w:sz="0" w:space="0" w:color="auto"/>
            </w:tcBorders>
          </w:tcPr>
          <w:p w14:paraId="42169509"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0.3661</w:t>
            </w:r>
          </w:p>
        </w:tc>
      </w:tr>
      <w:tr w:rsidR="009F758E" w:rsidRPr="00C85E41" w14:paraId="330046DD"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4708B684"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3: M/M/1 SIRO</w:t>
            </w:r>
          </w:p>
        </w:tc>
        <w:tc>
          <w:tcPr>
            <w:tcW w:w="1440" w:type="dxa"/>
          </w:tcPr>
          <w:p w14:paraId="344EB035"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Pr>
          <w:p w14:paraId="49CABB5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Pr>
          <w:p w14:paraId="0180F902"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Pr>
          <w:p w14:paraId="4BDD6864"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Pr>
          <w:p w14:paraId="07FA93AF"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23A03315"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2CAB5F28"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456E5753"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top w:val="none" w:sz="0" w:space="0" w:color="auto"/>
              <w:bottom w:val="none" w:sz="0" w:space="0" w:color="auto"/>
            </w:tcBorders>
          </w:tcPr>
          <w:p w14:paraId="3518E42B"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4.7383</w:t>
            </w:r>
          </w:p>
        </w:tc>
        <w:tc>
          <w:tcPr>
            <w:tcW w:w="1440" w:type="dxa"/>
            <w:tcBorders>
              <w:top w:val="none" w:sz="0" w:space="0" w:color="auto"/>
              <w:bottom w:val="none" w:sz="0" w:space="0" w:color="auto"/>
            </w:tcBorders>
          </w:tcPr>
          <w:p w14:paraId="16F6175F"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3.8416</w:t>
            </w:r>
          </w:p>
        </w:tc>
        <w:tc>
          <w:tcPr>
            <w:tcW w:w="1440" w:type="dxa"/>
            <w:tcBorders>
              <w:top w:val="none" w:sz="0" w:space="0" w:color="auto"/>
              <w:bottom w:val="none" w:sz="0" w:space="0" w:color="auto"/>
            </w:tcBorders>
          </w:tcPr>
          <w:p w14:paraId="79EB5181"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6.2198</w:t>
            </w:r>
          </w:p>
        </w:tc>
        <w:tc>
          <w:tcPr>
            <w:tcW w:w="1440" w:type="dxa"/>
            <w:tcBorders>
              <w:top w:val="none" w:sz="0" w:space="0" w:color="auto"/>
              <w:bottom w:val="none" w:sz="0" w:space="0" w:color="auto"/>
              <w:right w:val="none" w:sz="0" w:space="0" w:color="auto"/>
            </w:tcBorders>
          </w:tcPr>
          <w:p w14:paraId="53A2B254"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5.0427</w:t>
            </w:r>
          </w:p>
        </w:tc>
      </w:tr>
      <w:tr w:rsidR="009F758E" w:rsidRPr="00C85E41" w14:paraId="30E9547F"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53D47C0D"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5: Limited source M/M/1 (N=100)</w:t>
            </w:r>
          </w:p>
        </w:tc>
        <w:tc>
          <w:tcPr>
            <w:tcW w:w="1440" w:type="dxa"/>
            <w:tcBorders>
              <w:bottom w:val="single" w:sz="4" w:space="0" w:color="auto"/>
            </w:tcBorders>
          </w:tcPr>
          <w:p w14:paraId="19A7ED3F"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bottom w:val="single" w:sz="4" w:space="0" w:color="auto"/>
            </w:tcBorders>
          </w:tcPr>
          <w:p w14:paraId="5A453A4A"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49.3450</w:t>
            </w:r>
          </w:p>
        </w:tc>
        <w:tc>
          <w:tcPr>
            <w:tcW w:w="1440" w:type="dxa"/>
            <w:tcBorders>
              <w:bottom w:val="single" w:sz="4" w:space="0" w:color="auto"/>
            </w:tcBorders>
          </w:tcPr>
          <w:p w14:paraId="2CDA0FC3"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48.3450</w:t>
            </w:r>
          </w:p>
        </w:tc>
        <w:tc>
          <w:tcPr>
            <w:tcW w:w="1440" w:type="dxa"/>
            <w:tcBorders>
              <w:bottom w:val="single" w:sz="4" w:space="0" w:color="auto"/>
            </w:tcBorders>
          </w:tcPr>
          <w:p w14:paraId="449B6E60"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1.1771</w:t>
            </w:r>
          </w:p>
        </w:tc>
        <w:tc>
          <w:tcPr>
            <w:tcW w:w="1440" w:type="dxa"/>
            <w:tcBorders>
              <w:bottom w:val="single" w:sz="4" w:space="0" w:color="auto"/>
            </w:tcBorders>
          </w:tcPr>
          <w:p w14:paraId="19E63E1B"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1.1532</w:t>
            </w:r>
          </w:p>
        </w:tc>
      </w:tr>
    </w:tbl>
    <w:p w14:paraId="025B58F1" w14:textId="77777777" w:rsidR="005C762C" w:rsidRDefault="00C34979" w:rsidP="005C762C">
      <w:pPr>
        <w:spacing w:line="240" w:lineRule="auto"/>
        <w:jc w:val="both"/>
        <w:rPr>
          <w:rFonts w:ascii="Times New Roman" w:hAnsi="Times New Roman" w:cs="Times New Roman"/>
          <w:sz w:val="24"/>
          <w:szCs w:val="24"/>
        </w:rPr>
      </w:pPr>
      <w:r>
        <w:rPr>
          <w:rFonts w:ascii="Times New Roman" w:hAnsi="Times New Roman" w:cs="Times New Roman"/>
          <w:sz w:val="24"/>
          <w:szCs w:val="24"/>
        </w:rPr>
        <w:t>Table 1</w:t>
      </w:r>
      <w:r w:rsidR="009F758E">
        <w:rPr>
          <w:rFonts w:ascii="Times New Roman" w:hAnsi="Times New Roman" w:cs="Times New Roman"/>
          <w:sz w:val="24"/>
          <w:szCs w:val="24"/>
        </w:rPr>
        <w:t xml:space="preserve"> </w:t>
      </w:r>
      <w:r w:rsidR="009F758E" w:rsidRPr="00C85E41">
        <w:rPr>
          <w:rFonts w:ascii="Times New Roman" w:hAnsi="Times New Roman" w:cs="Times New Roman"/>
          <w:sz w:val="24"/>
          <w:szCs w:val="24"/>
        </w:rPr>
        <w:t>produces a utilization factor (ρ ≈ 0.97), indicating the system is operating almost at full capacity. The implication is that queues form easily and waiting times are significant, especially in Models 1 and 3. When multiple servers are introduced (Model 2), performance improves slightly, while finite queue (Model 4) and finite population (Model 5) models highlight potential loss of customers if the system cannot handle overflow.</w:t>
      </w:r>
    </w:p>
    <w:p w14:paraId="056FD000" w14:textId="77777777" w:rsidR="005C762C" w:rsidRDefault="005C762C" w:rsidP="005C762C">
      <w:pPr>
        <w:spacing w:line="240" w:lineRule="auto"/>
        <w:jc w:val="both"/>
        <w:rPr>
          <w:rFonts w:ascii="Times New Roman" w:hAnsi="Times New Roman" w:cs="Times New Roman"/>
          <w:sz w:val="24"/>
          <w:szCs w:val="24"/>
        </w:rPr>
      </w:pPr>
    </w:p>
    <w:p w14:paraId="2D8B3731" w14:textId="77777777" w:rsidR="005C762C" w:rsidRDefault="005C762C" w:rsidP="005C762C">
      <w:pPr>
        <w:spacing w:line="240" w:lineRule="auto"/>
        <w:jc w:val="both"/>
        <w:rPr>
          <w:rFonts w:ascii="Times New Roman" w:hAnsi="Times New Roman" w:cs="Times New Roman"/>
          <w:sz w:val="24"/>
          <w:szCs w:val="24"/>
        </w:rPr>
      </w:pPr>
    </w:p>
    <w:p w14:paraId="50D11D32" w14:textId="77777777" w:rsidR="005C762C" w:rsidRDefault="005C762C" w:rsidP="005C762C">
      <w:pPr>
        <w:spacing w:line="240" w:lineRule="auto"/>
        <w:jc w:val="both"/>
        <w:rPr>
          <w:rFonts w:ascii="Times New Roman" w:hAnsi="Times New Roman" w:cs="Times New Roman"/>
          <w:sz w:val="24"/>
          <w:szCs w:val="24"/>
        </w:rPr>
      </w:pPr>
    </w:p>
    <w:p w14:paraId="0159DFEC" w14:textId="77777777" w:rsidR="005C762C" w:rsidRDefault="005C762C" w:rsidP="005C762C">
      <w:pPr>
        <w:spacing w:line="240" w:lineRule="auto"/>
        <w:jc w:val="both"/>
        <w:rPr>
          <w:rFonts w:ascii="Times New Roman" w:hAnsi="Times New Roman" w:cs="Times New Roman"/>
          <w:sz w:val="24"/>
          <w:szCs w:val="24"/>
        </w:rPr>
      </w:pPr>
    </w:p>
    <w:p w14:paraId="6FF006F2" w14:textId="77777777" w:rsidR="005C762C" w:rsidRDefault="005C762C" w:rsidP="005C762C">
      <w:pPr>
        <w:spacing w:line="240" w:lineRule="auto"/>
        <w:jc w:val="both"/>
        <w:rPr>
          <w:rFonts w:ascii="Times New Roman" w:hAnsi="Times New Roman" w:cs="Times New Roman"/>
          <w:sz w:val="24"/>
          <w:szCs w:val="24"/>
        </w:rPr>
      </w:pPr>
    </w:p>
    <w:p w14:paraId="6647642E" w14:textId="77777777" w:rsidR="005C762C" w:rsidRDefault="005C762C" w:rsidP="005C762C">
      <w:pPr>
        <w:spacing w:line="240" w:lineRule="auto"/>
        <w:jc w:val="both"/>
        <w:rPr>
          <w:rFonts w:ascii="Times New Roman" w:hAnsi="Times New Roman" w:cs="Times New Roman"/>
          <w:sz w:val="24"/>
          <w:szCs w:val="24"/>
        </w:rPr>
      </w:pPr>
    </w:p>
    <w:p w14:paraId="5BDB1E3D" w14:textId="77777777" w:rsidR="00804E8A" w:rsidRDefault="00804E8A" w:rsidP="005C762C">
      <w:pPr>
        <w:spacing w:line="240" w:lineRule="auto"/>
        <w:jc w:val="both"/>
        <w:rPr>
          <w:rFonts w:ascii="Times New Roman" w:hAnsi="Times New Roman" w:cs="Times New Roman"/>
          <w:b/>
          <w:sz w:val="24"/>
          <w:szCs w:val="24"/>
        </w:rPr>
      </w:pPr>
    </w:p>
    <w:p w14:paraId="0023E8B9" w14:textId="77777777" w:rsidR="00804E8A" w:rsidRDefault="00804E8A" w:rsidP="005C762C">
      <w:pPr>
        <w:spacing w:line="240" w:lineRule="auto"/>
        <w:jc w:val="both"/>
        <w:rPr>
          <w:rFonts w:ascii="Times New Roman" w:hAnsi="Times New Roman" w:cs="Times New Roman"/>
          <w:b/>
          <w:sz w:val="24"/>
          <w:szCs w:val="24"/>
        </w:rPr>
      </w:pPr>
    </w:p>
    <w:p w14:paraId="7CA3BD85" w14:textId="77777777" w:rsidR="00804E8A" w:rsidRDefault="00804E8A" w:rsidP="005C762C">
      <w:pPr>
        <w:spacing w:line="240" w:lineRule="auto"/>
        <w:jc w:val="both"/>
        <w:rPr>
          <w:rFonts w:ascii="Times New Roman" w:hAnsi="Times New Roman" w:cs="Times New Roman"/>
          <w:b/>
          <w:sz w:val="24"/>
          <w:szCs w:val="24"/>
        </w:rPr>
      </w:pPr>
    </w:p>
    <w:p w14:paraId="30AA9FFD" w14:textId="77777777" w:rsidR="00804E8A" w:rsidRDefault="00804E8A" w:rsidP="005C762C">
      <w:pPr>
        <w:spacing w:line="240" w:lineRule="auto"/>
        <w:jc w:val="both"/>
        <w:rPr>
          <w:rFonts w:ascii="Times New Roman" w:hAnsi="Times New Roman" w:cs="Times New Roman"/>
          <w:b/>
          <w:sz w:val="24"/>
          <w:szCs w:val="24"/>
        </w:rPr>
      </w:pPr>
    </w:p>
    <w:p w14:paraId="1CC87AC3" w14:textId="77777777" w:rsidR="00C34979" w:rsidRPr="005C762C" w:rsidRDefault="00C34979" w:rsidP="005C762C">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2</w:t>
      </w:r>
      <w:r w:rsidRPr="009071FE">
        <w:rPr>
          <w:rFonts w:ascii="Times New Roman" w:hAnsi="Times New Roman" w:cs="Times New Roman"/>
          <w:b/>
          <w:sz w:val="24"/>
          <w:szCs w:val="24"/>
        </w:rPr>
        <w:t xml:space="preserve">: </w:t>
      </w:r>
      <w:r>
        <w:rPr>
          <w:rFonts w:ascii="Times New Roman" w:hAnsi="Times New Roman" w:cs="Times New Roman"/>
          <w:b/>
          <w:sz w:val="24"/>
          <w:szCs w:val="24"/>
        </w:rPr>
        <w:t xml:space="preserve">Data Collected on </w:t>
      </w:r>
      <w:r w:rsidRPr="009071FE">
        <w:rPr>
          <w:rFonts w:ascii="Times New Roman" w:hAnsi="Times New Roman" w:cs="Times New Roman"/>
          <w:b/>
          <w:sz w:val="24"/>
          <w:szCs w:val="24"/>
        </w:rPr>
        <w:t>Mon</w:t>
      </w:r>
      <w:r>
        <w:rPr>
          <w:rFonts w:ascii="Times New Roman" w:hAnsi="Times New Roman" w:cs="Times New Roman"/>
          <w:b/>
          <w:sz w:val="24"/>
          <w:szCs w:val="24"/>
        </w:rPr>
        <w:t xml:space="preserve"> at ATM</w:t>
      </w:r>
      <w:r w:rsidRPr="009071FE">
        <w:rPr>
          <w:rFonts w:ascii="Times New Roman" w:hAnsi="Times New Roman" w:cs="Times New Roman"/>
          <w:b/>
          <w:sz w:val="24"/>
          <w:szCs w:val="24"/>
        </w:rPr>
        <w:t xml:space="preserve"> Stand II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4E2C6775"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521A5A1D"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57FFEB1E"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7077DE5A">
                <v:shape id="_x0000_i1080" type="#_x0000_t75" style="width:12pt;height:12.7pt" o:ole="">
                  <v:imagedata r:id="rId99" o:title=""/>
                </v:shape>
                <o:OLEObject Type="Embed" ProgID="Equation.3" ShapeID="_x0000_i1080" DrawAspect="Content" ObjectID="_1855117469" r:id="rId109"/>
              </w:object>
            </w:r>
          </w:p>
        </w:tc>
        <w:tc>
          <w:tcPr>
            <w:tcW w:w="1440" w:type="dxa"/>
            <w:tcBorders>
              <w:top w:val="single" w:sz="4" w:space="0" w:color="auto"/>
              <w:bottom w:val="single" w:sz="4" w:space="0" w:color="auto"/>
            </w:tcBorders>
            <w:shd w:val="clear" w:color="auto" w:fill="auto"/>
          </w:tcPr>
          <w:p w14:paraId="0FEBBCE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419A22BF">
                <v:shape id="_x0000_i1081" type="#_x0000_t75" style="width:14.1pt;height:18.35pt" o:ole="">
                  <v:imagedata r:id="rId101" o:title=""/>
                </v:shape>
                <o:OLEObject Type="Embed" ProgID="Equation.3" ShapeID="_x0000_i1081" DrawAspect="Content" ObjectID="_1855117470" r:id="rId110"/>
              </w:object>
            </w:r>
          </w:p>
        </w:tc>
        <w:tc>
          <w:tcPr>
            <w:tcW w:w="1440" w:type="dxa"/>
            <w:tcBorders>
              <w:top w:val="single" w:sz="4" w:space="0" w:color="auto"/>
              <w:bottom w:val="single" w:sz="4" w:space="0" w:color="auto"/>
            </w:tcBorders>
            <w:shd w:val="clear" w:color="auto" w:fill="auto"/>
          </w:tcPr>
          <w:p w14:paraId="61BAF668"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5133E38F">
                <v:shape id="_x0000_i1082" type="#_x0000_t75" style="width:14.8pt;height:19.05pt" o:ole="">
                  <v:imagedata r:id="rId103" o:title=""/>
                </v:shape>
                <o:OLEObject Type="Embed" ProgID="Equation.3" ShapeID="_x0000_i1082" DrawAspect="Content" ObjectID="_1855117471" r:id="rId111"/>
              </w:object>
            </w:r>
          </w:p>
        </w:tc>
        <w:tc>
          <w:tcPr>
            <w:tcW w:w="1440" w:type="dxa"/>
            <w:tcBorders>
              <w:top w:val="single" w:sz="4" w:space="0" w:color="auto"/>
              <w:bottom w:val="single" w:sz="4" w:space="0" w:color="auto"/>
            </w:tcBorders>
            <w:shd w:val="clear" w:color="auto" w:fill="auto"/>
          </w:tcPr>
          <w:p w14:paraId="5C8BE3B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4EADCD8C">
                <v:shape id="_x0000_i1083" type="#_x0000_t75" style="width:14.8pt;height:18.35pt" o:ole="">
                  <v:imagedata r:id="rId112" o:title=""/>
                </v:shape>
                <o:OLEObject Type="Embed" ProgID="Equation.3" ShapeID="_x0000_i1083" DrawAspect="Content" ObjectID="_1855117472" r:id="rId113"/>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7DAC1847"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7CB36393">
                <v:shape id="_x0000_i1084" type="#_x0000_t75" style="width:16.25pt;height:19.05pt" o:ole="">
                  <v:imagedata r:id="rId114" o:title=""/>
                </v:shape>
                <o:OLEObject Type="Embed" ProgID="Equation.3" ShapeID="_x0000_i1084" DrawAspect="Content" ObjectID="_1855117473" r:id="rId115"/>
              </w:object>
            </w:r>
            <w:r w:rsidRPr="00B000E2">
              <w:rPr>
                <w:rFonts w:ascii="Times New Roman" w:hAnsi="Times New Roman" w:cs="Times New Roman"/>
                <w:b w:val="0"/>
                <w:color w:val="auto"/>
                <w:sz w:val="24"/>
                <w:szCs w:val="24"/>
              </w:rPr>
              <w:t>(min)</w:t>
            </w:r>
          </w:p>
        </w:tc>
      </w:tr>
      <w:tr w:rsidR="00C34979" w:rsidRPr="00C85E41" w14:paraId="2A2213C3"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1889E38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7CEA545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top w:val="single" w:sz="4" w:space="0" w:color="auto"/>
              <w:bottom w:val="none" w:sz="0" w:space="0" w:color="auto"/>
            </w:tcBorders>
          </w:tcPr>
          <w:p w14:paraId="44B32E9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Borders>
              <w:top w:val="single" w:sz="4" w:space="0" w:color="auto"/>
              <w:bottom w:val="none" w:sz="0" w:space="0" w:color="auto"/>
            </w:tcBorders>
          </w:tcPr>
          <w:p w14:paraId="290FBA6A"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Borders>
              <w:top w:val="single" w:sz="4" w:space="0" w:color="auto"/>
              <w:bottom w:val="none" w:sz="0" w:space="0" w:color="auto"/>
            </w:tcBorders>
          </w:tcPr>
          <w:p w14:paraId="5B6F40A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Borders>
              <w:top w:val="single" w:sz="4" w:space="0" w:color="auto"/>
              <w:bottom w:val="none" w:sz="0" w:space="0" w:color="auto"/>
              <w:right w:val="none" w:sz="0" w:space="0" w:color="auto"/>
            </w:tcBorders>
          </w:tcPr>
          <w:p w14:paraId="560F75A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39704322"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785CF63B"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2: M/M/1 (s=1)</w:t>
            </w:r>
          </w:p>
        </w:tc>
        <w:tc>
          <w:tcPr>
            <w:tcW w:w="1440" w:type="dxa"/>
          </w:tcPr>
          <w:p w14:paraId="215F1FD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Pr>
          <w:p w14:paraId="5955058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Pr>
          <w:p w14:paraId="2DC1A2A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Pr>
          <w:p w14:paraId="788A74C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Pr>
          <w:p w14:paraId="72AEDD6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5AB9FC2D"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22CC484B"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11FE3007"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0.4912</w:t>
            </w:r>
          </w:p>
        </w:tc>
        <w:tc>
          <w:tcPr>
            <w:tcW w:w="1440" w:type="dxa"/>
            <w:tcBorders>
              <w:top w:val="none" w:sz="0" w:space="0" w:color="auto"/>
              <w:bottom w:val="none" w:sz="0" w:space="0" w:color="auto"/>
            </w:tcBorders>
          </w:tcPr>
          <w:p w14:paraId="5F853AA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1.2949</w:t>
            </w:r>
          </w:p>
        </w:tc>
        <w:tc>
          <w:tcPr>
            <w:tcW w:w="1440" w:type="dxa"/>
            <w:tcBorders>
              <w:top w:val="none" w:sz="0" w:space="0" w:color="auto"/>
              <w:bottom w:val="none" w:sz="0" w:space="0" w:color="auto"/>
            </w:tcBorders>
          </w:tcPr>
          <w:p w14:paraId="15282F20"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0.3125</w:t>
            </w:r>
          </w:p>
        </w:tc>
        <w:tc>
          <w:tcPr>
            <w:tcW w:w="1440" w:type="dxa"/>
            <w:tcBorders>
              <w:top w:val="none" w:sz="0" w:space="0" w:color="auto"/>
              <w:bottom w:val="none" w:sz="0" w:space="0" w:color="auto"/>
            </w:tcBorders>
          </w:tcPr>
          <w:p w14:paraId="41A4AE46"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1.6046</w:t>
            </w:r>
          </w:p>
        </w:tc>
        <w:tc>
          <w:tcPr>
            <w:tcW w:w="1440" w:type="dxa"/>
            <w:tcBorders>
              <w:top w:val="none" w:sz="0" w:space="0" w:color="auto"/>
              <w:bottom w:val="none" w:sz="0" w:space="0" w:color="auto"/>
              <w:right w:val="none" w:sz="0" w:space="0" w:color="auto"/>
            </w:tcBorders>
          </w:tcPr>
          <w:p w14:paraId="65BE907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0.3872</w:t>
            </w:r>
          </w:p>
        </w:tc>
      </w:tr>
      <w:tr w:rsidR="00C34979" w:rsidRPr="00C85E41" w14:paraId="48440E9B"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2C0C325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6AF45EA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Pr>
          <w:p w14:paraId="3BE093E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Pr>
          <w:p w14:paraId="3196A70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Pr>
          <w:p w14:paraId="7B91EA5D"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Pr>
          <w:p w14:paraId="27D8EE8B"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3E9CA621"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75F12E6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408E9E1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top w:val="none" w:sz="0" w:space="0" w:color="auto"/>
              <w:bottom w:val="none" w:sz="0" w:space="0" w:color="auto"/>
            </w:tcBorders>
          </w:tcPr>
          <w:p w14:paraId="3A54468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4.8231</w:t>
            </w:r>
          </w:p>
        </w:tc>
        <w:tc>
          <w:tcPr>
            <w:tcW w:w="1440" w:type="dxa"/>
            <w:tcBorders>
              <w:top w:val="none" w:sz="0" w:space="0" w:color="auto"/>
              <w:bottom w:val="none" w:sz="0" w:space="0" w:color="auto"/>
            </w:tcBorders>
          </w:tcPr>
          <w:p w14:paraId="4E2379C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3.9223</w:t>
            </w:r>
          </w:p>
        </w:tc>
        <w:tc>
          <w:tcPr>
            <w:tcW w:w="1440" w:type="dxa"/>
            <w:tcBorders>
              <w:top w:val="none" w:sz="0" w:space="0" w:color="auto"/>
              <w:bottom w:val="none" w:sz="0" w:space="0" w:color="auto"/>
            </w:tcBorders>
          </w:tcPr>
          <w:p w14:paraId="42035FA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6.5180</w:t>
            </w:r>
          </w:p>
        </w:tc>
        <w:tc>
          <w:tcPr>
            <w:tcW w:w="1440" w:type="dxa"/>
            <w:tcBorders>
              <w:top w:val="none" w:sz="0" w:space="0" w:color="auto"/>
              <w:bottom w:val="none" w:sz="0" w:space="0" w:color="auto"/>
              <w:right w:val="none" w:sz="0" w:space="0" w:color="auto"/>
            </w:tcBorders>
          </w:tcPr>
          <w:p w14:paraId="1679180F"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5.3006</w:t>
            </w:r>
          </w:p>
        </w:tc>
      </w:tr>
      <w:tr w:rsidR="00C34979" w:rsidRPr="00C85E41" w14:paraId="7D1E1AC4"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1A9E200D"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w:t>
            </w:r>
            <w:r w:rsidR="00032A84">
              <w:rPr>
                <w:rFonts w:ascii="Times New Roman" w:hAnsi="Times New Roman" w:cs="Times New Roman"/>
                <w:b w:val="0"/>
                <w:sz w:val="24"/>
                <w:szCs w:val="24"/>
              </w:rPr>
              <w:t>odel 5: Limited source M/M/1 (N</w:t>
            </w:r>
            <w:r w:rsidRPr="00EC50D6">
              <w:rPr>
                <w:rFonts w:ascii="Times New Roman" w:hAnsi="Times New Roman" w:cs="Times New Roman"/>
                <w:b w:val="0"/>
                <w:sz w:val="24"/>
                <w:szCs w:val="24"/>
              </w:rPr>
              <w:t>100)</w:t>
            </w:r>
          </w:p>
        </w:tc>
        <w:tc>
          <w:tcPr>
            <w:tcW w:w="1440" w:type="dxa"/>
            <w:tcBorders>
              <w:bottom w:val="single" w:sz="4" w:space="0" w:color="auto"/>
            </w:tcBorders>
          </w:tcPr>
          <w:p w14:paraId="3F4040F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bottom w:val="single" w:sz="4" w:space="0" w:color="auto"/>
            </w:tcBorders>
          </w:tcPr>
          <w:p w14:paraId="1F08AD4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49.5575</w:t>
            </w:r>
          </w:p>
        </w:tc>
        <w:tc>
          <w:tcPr>
            <w:tcW w:w="1440" w:type="dxa"/>
            <w:tcBorders>
              <w:bottom w:val="single" w:sz="4" w:space="0" w:color="auto"/>
            </w:tcBorders>
          </w:tcPr>
          <w:p w14:paraId="2AEB5D92"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48.5575</w:t>
            </w:r>
          </w:p>
        </w:tc>
        <w:tc>
          <w:tcPr>
            <w:tcW w:w="1440" w:type="dxa"/>
            <w:tcBorders>
              <w:bottom w:val="single" w:sz="4" w:space="0" w:color="auto"/>
            </w:tcBorders>
          </w:tcPr>
          <w:p w14:paraId="2271846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1.2174</w:t>
            </w:r>
          </w:p>
        </w:tc>
        <w:tc>
          <w:tcPr>
            <w:tcW w:w="1440" w:type="dxa"/>
            <w:tcBorders>
              <w:bottom w:val="single" w:sz="4" w:space="0" w:color="auto"/>
            </w:tcBorders>
          </w:tcPr>
          <w:p w14:paraId="77F13F80"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1.1928</w:t>
            </w:r>
          </w:p>
        </w:tc>
      </w:tr>
    </w:tbl>
    <w:p w14:paraId="06F5C86B" w14:textId="77777777" w:rsidR="00804E8A" w:rsidRDefault="00C34979" w:rsidP="00032A84">
      <w:pPr>
        <w:pStyle w:val="Heading2"/>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Table 2 shows a </w:t>
      </w:r>
      <w:r w:rsidRPr="008448A6">
        <w:rPr>
          <w:rFonts w:ascii="Times New Roman" w:hAnsi="Times New Roman" w:cs="Times New Roman"/>
          <w:color w:val="auto"/>
          <w:sz w:val="24"/>
          <w:szCs w:val="24"/>
        </w:rPr>
        <w:t>very high utilization (ρ ≈ 0.98). This suggests heavy traffic with minimal idle time for the ATM. The metrics show long queues and delays under Models 1 and 3, but introducing multiple servers in Model 2 reduces waiting time. The finite queue model reveals the risk of customers being turned away, while the limited source model emphasizes system saturation under high demand</w:t>
      </w:r>
      <w:r w:rsidR="00032A84">
        <w:rPr>
          <w:rFonts w:ascii="Times New Roman" w:hAnsi="Times New Roman" w:cs="Times New Roman"/>
          <w:color w:val="auto"/>
          <w:sz w:val="24"/>
          <w:szCs w:val="24"/>
        </w:rPr>
        <w:t>.</w:t>
      </w:r>
    </w:p>
    <w:p w14:paraId="1E16640D"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C08FC85"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FCC6430"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F2C7887"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2818ACE2"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5AD2BC6"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6F752451"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BFF2C03"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07486136"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EC5FA4D"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0C206A31"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29683FC"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3523E80"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5349A2E"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E0B9CEB" w14:textId="77777777" w:rsidR="00804E8A" w:rsidRPr="00804E8A" w:rsidRDefault="00804E8A" w:rsidP="00804E8A"/>
    <w:p w14:paraId="5E8FC4C7" w14:textId="77777777" w:rsidR="00C34979" w:rsidRPr="00032A84" w:rsidRDefault="00C34979" w:rsidP="00032A84">
      <w:pPr>
        <w:pStyle w:val="Heading2"/>
        <w:spacing w:line="240" w:lineRule="auto"/>
        <w:jc w:val="both"/>
        <w:rPr>
          <w:rFonts w:ascii="Times New Roman" w:hAnsi="Times New Roman" w:cs="Times New Roman"/>
          <w:color w:val="auto"/>
          <w:sz w:val="24"/>
          <w:szCs w:val="24"/>
        </w:rPr>
      </w:pPr>
      <w:r>
        <w:rPr>
          <w:rFonts w:ascii="Times New Roman" w:hAnsi="Times New Roman" w:cs="Times New Roman"/>
          <w:b/>
          <w:color w:val="auto"/>
          <w:sz w:val="24"/>
          <w:szCs w:val="24"/>
        </w:rPr>
        <w:t>Table 3</w:t>
      </w:r>
      <w:r w:rsidRPr="009071FE">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 xml:space="preserve">Data Collected on </w:t>
      </w:r>
      <w:r w:rsidRPr="009071FE">
        <w:rPr>
          <w:rFonts w:ascii="Times New Roman" w:hAnsi="Times New Roman" w:cs="Times New Roman"/>
          <w:b/>
          <w:color w:val="auto"/>
          <w:sz w:val="24"/>
          <w:szCs w:val="24"/>
        </w:rPr>
        <w:t>Wed</w:t>
      </w:r>
      <w:r>
        <w:rPr>
          <w:rFonts w:ascii="Times New Roman" w:hAnsi="Times New Roman" w:cs="Times New Roman"/>
          <w:b/>
          <w:color w:val="auto"/>
          <w:sz w:val="24"/>
          <w:szCs w:val="24"/>
        </w:rPr>
        <w:t xml:space="preserve"> at ATM</w:t>
      </w:r>
      <w:r w:rsidRPr="009071FE">
        <w:rPr>
          <w:rFonts w:ascii="Times New Roman" w:hAnsi="Times New Roman" w:cs="Times New Roman"/>
          <w:b/>
          <w:color w:val="auto"/>
          <w:sz w:val="24"/>
          <w:szCs w:val="24"/>
        </w:rPr>
        <w:t xml:space="preserve"> Stand 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5899E645"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4C7CE53A"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6E72C13A"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08FFF7F1">
                <v:shape id="_x0000_i1085" type="#_x0000_t75" style="width:12pt;height:12.7pt" o:ole="">
                  <v:imagedata r:id="rId99" o:title=""/>
                </v:shape>
                <o:OLEObject Type="Embed" ProgID="Equation.3" ShapeID="_x0000_i1085" DrawAspect="Content" ObjectID="_1855117474" r:id="rId116"/>
              </w:object>
            </w:r>
          </w:p>
        </w:tc>
        <w:tc>
          <w:tcPr>
            <w:tcW w:w="1440" w:type="dxa"/>
            <w:tcBorders>
              <w:top w:val="single" w:sz="4" w:space="0" w:color="auto"/>
              <w:bottom w:val="single" w:sz="4" w:space="0" w:color="auto"/>
            </w:tcBorders>
            <w:shd w:val="clear" w:color="auto" w:fill="auto"/>
          </w:tcPr>
          <w:p w14:paraId="436BC222"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5ED77DA4">
                <v:shape id="_x0000_i1086" type="#_x0000_t75" style="width:14.1pt;height:18.35pt" o:ole="">
                  <v:imagedata r:id="rId101" o:title=""/>
                </v:shape>
                <o:OLEObject Type="Embed" ProgID="Equation.3" ShapeID="_x0000_i1086" DrawAspect="Content" ObjectID="_1855117475" r:id="rId117"/>
              </w:object>
            </w:r>
          </w:p>
        </w:tc>
        <w:tc>
          <w:tcPr>
            <w:tcW w:w="1440" w:type="dxa"/>
            <w:tcBorders>
              <w:top w:val="single" w:sz="4" w:space="0" w:color="auto"/>
              <w:bottom w:val="single" w:sz="4" w:space="0" w:color="auto"/>
            </w:tcBorders>
            <w:shd w:val="clear" w:color="auto" w:fill="auto"/>
          </w:tcPr>
          <w:p w14:paraId="18037A21"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0BFBD30D">
                <v:shape id="_x0000_i1087" type="#_x0000_t75" style="width:14.8pt;height:19.05pt" o:ole="">
                  <v:imagedata r:id="rId103" o:title=""/>
                </v:shape>
                <o:OLEObject Type="Embed" ProgID="Equation.3" ShapeID="_x0000_i1087" DrawAspect="Content" ObjectID="_1855117476" r:id="rId118"/>
              </w:object>
            </w:r>
          </w:p>
        </w:tc>
        <w:tc>
          <w:tcPr>
            <w:tcW w:w="1440" w:type="dxa"/>
            <w:tcBorders>
              <w:top w:val="single" w:sz="4" w:space="0" w:color="auto"/>
              <w:bottom w:val="single" w:sz="4" w:space="0" w:color="auto"/>
            </w:tcBorders>
            <w:shd w:val="clear" w:color="auto" w:fill="auto"/>
          </w:tcPr>
          <w:p w14:paraId="58710D6B"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56DC3E5D">
                <v:shape id="_x0000_i1088" type="#_x0000_t75" style="width:14.8pt;height:18.35pt" o:ole="">
                  <v:imagedata r:id="rId112" o:title=""/>
                </v:shape>
                <o:OLEObject Type="Embed" ProgID="Equation.3" ShapeID="_x0000_i1088" DrawAspect="Content" ObjectID="_1855117477" r:id="rId119"/>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041C9C04"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5A5148CE">
                <v:shape id="_x0000_i1089" type="#_x0000_t75" style="width:16.25pt;height:19.05pt" o:ole="">
                  <v:imagedata r:id="rId114" o:title=""/>
                </v:shape>
                <o:OLEObject Type="Embed" ProgID="Equation.3" ShapeID="_x0000_i1089" DrawAspect="Content" ObjectID="_1855117478" r:id="rId120"/>
              </w:object>
            </w:r>
            <w:r w:rsidRPr="00B000E2">
              <w:rPr>
                <w:rFonts w:ascii="Times New Roman" w:hAnsi="Times New Roman" w:cs="Times New Roman"/>
                <w:b w:val="0"/>
                <w:color w:val="auto"/>
                <w:sz w:val="24"/>
                <w:szCs w:val="24"/>
              </w:rPr>
              <w:t>(min)</w:t>
            </w:r>
          </w:p>
        </w:tc>
      </w:tr>
      <w:tr w:rsidR="00C34979" w:rsidRPr="00C85E41" w14:paraId="11B0ACDC"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2323D45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3095B6F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top w:val="single" w:sz="4" w:space="0" w:color="auto"/>
              <w:bottom w:val="none" w:sz="0" w:space="0" w:color="auto"/>
            </w:tcBorders>
          </w:tcPr>
          <w:p w14:paraId="7A9905C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tcBorders>
          </w:tcPr>
          <w:p w14:paraId="5B7ED01F"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tcBorders>
          </w:tcPr>
          <w:p w14:paraId="2B031DCA"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right w:val="none" w:sz="0" w:space="0" w:color="auto"/>
            </w:tcBorders>
          </w:tcPr>
          <w:p w14:paraId="319A90C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3E1351F6"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41E43ED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2: M/M/1 (s=1)</w:t>
            </w:r>
          </w:p>
        </w:tc>
        <w:tc>
          <w:tcPr>
            <w:tcW w:w="1440" w:type="dxa"/>
          </w:tcPr>
          <w:p w14:paraId="6C4BFD3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Pr>
          <w:p w14:paraId="3A3F41BD"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27C9C03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01DF953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796BF7E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74C3834B"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063C158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4A127046"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0.5556</w:t>
            </w:r>
          </w:p>
        </w:tc>
        <w:tc>
          <w:tcPr>
            <w:tcW w:w="1440" w:type="dxa"/>
            <w:tcBorders>
              <w:top w:val="none" w:sz="0" w:space="0" w:color="auto"/>
              <w:bottom w:val="none" w:sz="0" w:space="0" w:color="auto"/>
            </w:tcBorders>
          </w:tcPr>
          <w:p w14:paraId="406A08E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1.6071</w:t>
            </w:r>
          </w:p>
        </w:tc>
        <w:tc>
          <w:tcPr>
            <w:tcW w:w="1440" w:type="dxa"/>
            <w:tcBorders>
              <w:top w:val="none" w:sz="0" w:space="0" w:color="auto"/>
              <w:bottom w:val="none" w:sz="0" w:space="0" w:color="auto"/>
            </w:tcBorders>
          </w:tcPr>
          <w:p w14:paraId="3EE4F0E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0.4960</w:t>
            </w:r>
          </w:p>
        </w:tc>
        <w:tc>
          <w:tcPr>
            <w:tcW w:w="1440" w:type="dxa"/>
            <w:tcBorders>
              <w:top w:val="none" w:sz="0" w:space="0" w:color="auto"/>
              <w:bottom w:val="none" w:sz="0" w:space="0" w:color="auto"/>
            </w:tcBorders>
          </w:tcPr>
          <w:p w14:paraId="6FFA4CA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1.9032</w:t>
            </w:r>
          </w:p>
        </w:tc>
        <w:tc>
          <w:tcPr>
            <w:tcW w:w="1440" w:type="dxa"/>
            <w:tcBorders>
              <w:top w:val="none" w:sz="0" w:space="0" w:color="auto"/>
              <w:bottom w:val="none" w:sz="0" w:space="0" w:color="auto"/>
              <w:right w:val="none" w:sz="0" w:space="0" w:color="auto"/>
            </w:tcBorders>
          </w:tcPr>
          <w:p w14:paraId="705B2C6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0.5874</w:t>
            </w:r>
          </w:p>
        </w:tc>
      </w:tr>
      <w:tr w:rsidR="00C34979" w:rsidRPr="00C85E41" w14:paraId="5BC8F31A"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0B90DBA5"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4F47051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Pr>
          <w:p w14:paraId="729BD78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5FA8B73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6689194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349BE5B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6A5C2A19"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472300D1"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24E319A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top w:val="none" w:sz="0" w:space="0" w:color="auto"/>
              <w:bottom w:val="none" w:sz="0" w:space="0" w:color="auto"/>
            </w:tcBorders>
          </w:tcPr>
          <w:p w14:paraId="375B2F2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6.0306</w:t>
            </w:r>
          </w:p>
        </w:tc>
        <w:tc>
          <w:tcPr>
            <w:tcW w:w="1440" w:type="dxa"/>
            <w:tcBorders>
              <w:top w:val="none" w:sz="0" w:space="0" w:color="auto"/>
              <w:bottom w:val="none" w:sz="0" w:space="0" w:color="auto"/>
            </w:tcBorders>
          </w:tcPr>
          <w:p w14:paraId="402D8439"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5.0814</w:t>
            </w:r>
          </w:p>
        </w:tc>
        <w:tc>
          <w:tcPr>
            <w:tcW w:w="1440" w:type="dxa"/>
            <w:tcBorders>
              <w:top w:val="none" w:sz="0" w:space="0" w:color="auto"/>
              <w:bottom w:val="none" w:sz="0" w:space="0" w:color="auto"/>
            </w:tcBorders>
          </w:tcPr>
          <w:p w14:paraId="2D36655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8.3597</w:t>
            </w:r>
          </w:p>
        </w:tc>
        <w:tc>
          <w:tcPr>
            <w:tcW w:w="1440" w:type="dxa"/>
            <w:tcBorders>
              <w:top w:val="none" w:sz="0" w:space="0" w:color="auto"/>
              <w:bottom w:val="none" w:sz="0" w:space="0" w:color="auto"/>
              <w:right w:val="none" w:sz="0" w:space="0" w:color="auto"/>
            </w:tcBorders>
          </w:tcPr>
          <w:p w14:paraId="1ADB4E6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7.0439</w:t>
            </w:r>
          </w:p>
        </w:tc>
      </w:tr>
      <w:tr w:rsidR="00C34979" w:rsidRPr="00C85E41" w14:paraId="6A51F511"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6CC7E901"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5: Limited source M/M/1 (N=100)</w:t>
            </w:r>
          </w:p>
        </w:tc>
        <w:tc>
          <w:tcPr>
            <w:tcW w:w="1440" w:type="dxa"/>
            <w:tcBorders>
              <w:bottom w:val="single" w:sz="4" w:space="0" w:color="auto"/>
            </w:tcBorders>
          </w:tcPr>
          <w:p w14:paraId="4C42C91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bottom w:val="single" w:sz="4" w:space="0" w:color="auto"/>
            </w:tcBorders>
          </w:tcPr>
          <w:p w14:paraId="39296FC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52.6316</w:t>
            </w:r>
          </w:p>
        </w:tc>
        <w:tc>
          <w:tcPr>
            <w:tcW w:w="1440" w:type="dxa"/>
            <w:tcBorders>
              <w:bottom w:val="single" w:sz="4" w:space="0" w:color="auto"/>
            </w:tcBorders>
          </w:tcPr>
          <w:p w14:paraId="05B1881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51.6316</w:t>
            </w:r>
          </w:p>
        </w:tc>
        <w:tc>
          <w:tcPr>
            <w:tcW w:w="1440" w:type="dxa"/>
            <w:tcBorders>
              <w:bottom w:val="single" w:sz="4" w:space="0" w:color="auto"/>
            </w:tcBorders>
          </w:tcPr>
          <w:p w14:paraId="06BDFA8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1.3158</w:t>
            </w:r>
          </w:p>
        </w:tc>
        <w:tc>
          <w:tcPr>
            <w:tcW w:w="1440" w:type="dxa"/>
            <w:tcBorders>
              <w:bottom w:val="single" w:sz="4" w:space="0" w:color="auto"/>
            </w:tcBorders>
          </w:tcPr>
          <w:p w14:paraId="4140B44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1.2908</w:t>
            </w:r>
          </w:p>
        </w:tc>
      </w:tr>
    </w:tbl>
    <w:p w14:paraId="65337A1F" w14:textId="77777777" w:rsidR="00032A84" w:rsidRDefault="00C34979" w:rsidP="00032A84">
      <w:pPr>
        <w:spacing w:line="240" w:lineRule="auto"/>
        <w:jc w:val="both"/>
        <w:rPr>
          <w:rFonts w:ascii="Times New Roman" w:hAnsi="Times New Roman" w:cs="Times New Roman"/>
          <w:sz w:val="24"/>
          <w:szCs w:val="24"/>
        </w:rPr>
      </w:pPr>
      <w:r>
        <w:rPr>
          <w:rFonts w:ascii="Times New Roman" w:hAnsi="Times New Roman" w:cs="Times New Roman"/>
          <w:sz w:val="24"/>
          <w:szCs w:val="24"/>
        </w:rPr>
        <w:t>Table 3</w:t>
      </w:r>
      <w:r w:rsidRPr="00C34979">
        <w:rPr>
          <w:rFonts w:ascii="Times New Roman" w:hAnsi="Times New Roman" w:cs="Times New Roman"/>
          <w:sz w:val="24"/>
          <w:szCs w:val="24"/>
        </w:rPr>
        <w:t xml:space="preserve"> gives a utilization rate (ρ ≈ 1.11) greater than 1. This indicates the system is unstable under M/M/1 assumptions, as customers arrive faster than they can be served. Queue length and waiting time grow indefinitely in theoretical terms. This highlights the importance of either adding more service capacity or controlling arrivals. Models 2 and 4 show that multiple servers or finite capacity assumptions can stabilize performance.</w:t>
      </w:r>
    </w:p>
    <w:p w14:paraId="02E0D527" w14:textId="77777777" w:rsidR="00032A84" w:rsidRDefault="00032A84" w:rsidP="00032A84">
      <w:pPr>
        <w:spacing w:line="240" w:lineRule="auto"/>
        <w:jc w:val="both"/>
        <w:rPr>
          <w:rFonts w:ascii="Times New Roman" w:hAnsi="Times New Roman" w:cs="Times New Roman"/>
          <w:sz w:val="24"/>
          <w:szCs w:val="24"/>
        </w:rPr>
      </w:pPr>
    </w:p>
    <w:p w14:paraId="065DDD23" w14:textId="77777777" w:rsidR="00032A84" w:rsidRDefault="00032A84" w:rsidP="00032A84">
      <w:pPr>
        <w:spacing w:line="240" w:lineRule="auto"/>
        <w:jc w:val="both"/>
        <w:rPr>
          <w:rFonts w:ascii="Times New Roman" w:hAnsi="Times New Roman" w:cs="Times New Roman"/>
          <w:sz w:val="24"/>
          <w:szCs w:val="24"/>
        </w:rPr>
      </w:pPr>
    </w:p>
    <w:p w14:paraId="59F94263" w14:textId="77777777" w:rsidR="00032A84" w:rsidRDefault="00032A84" w:rsidP="00032A84">
      <w:pPr>
        <w:spacing w:line="240" w:lineRule="auto"/>
        <w:jc w:val="both"/>
        <w:rPr>
          <w:rFonts w:ascii="Times New Roman" w:hAnsi="Times New Roman" w:cs="Times New Roman"/>
          <w:sz w:val="24"/>
          <w:szCs w:val="24"/>
        </w:rPr>
      </w:pPr>
    </w:p>
    <w:p w14:paraId="4A74A30D" w14:textId="77777777" w:rsidR="00032A84" w:rsidRDefault="00032A84" w:rsidP="00032A84">
      <w:pPr>
        <w:spacing w:line="240" w:lineRule="auto"/>
        <w:jc w:val="both"/>
        <w:rPr>
          <w:rFonts w:ascii="Times New Roman" w:hAnsi="Times New Roman" w:cs="Times New Roman"/>
          <w:sz w:val="24"/>
          <w:szCs w:val="24"/>
        </w:rPr>
      </w:pPr>
    </w:p>
    <w:p w14:paraId="77A00522" w14:textId="77777777" w:rsidR="00032A84" w:rsidRDefault="00032A84" w:rsidP="00032A84">
      <w:pPr>
        <w:spacing w:line="240" w:lineRule="auto"/>
        <w:jc w:val="both"/>
        <w:rPr>
          <w:rFonts w:ascii="Times New Roman" w:hAnsi="Times New Roman" w:cs="Times New Roman"/>
          <w:sz w:val="24"/>
          <w:szCs w:val="24"/>
        </w:rPr>
      </w:pPr>
    </w:p>
    <w:p w14:paraId="50F1DA45" w14:textId="77777777" w:rsidR="00032A84" w:rsidRDefault="00032A84" w:rsidP="00032A84">
      <w:pPr>
        <w:spacing w:line="240" w:lineRule="auto"/>
        <w:jc w:val="both"/>
        <w:rPr>
          <w:rFonts w:ascii="Times New Roman" w:hAnsi="Times New Roman" w:cs="Times New Roman"/>
          <w:sz w:val="24"/>
          <w:szCs w:val="24"/>
        </w:rPr>
      </w:pPr>
    </w:p>
    <w:p w14:paraId="694F58B7" w14:textId="77777777" w:rsidR="00032A84" w:rsidRDefault="00032A84" w:rsidP="00032A84">
      <w:pPr>
        <w:spacing w:line="240" w:lineRule="auto"/>
        <w:jc w:val="both"/>
        <w:rPr>
          <w:rFonts w:ascii="Times New Roman" w:hAnsi="Times New Roman" w:cs="Times New Roman"/>
          <w:sz w:val="24"/>
          <w:szCs w:val="24"/>
        </w:rPr>
      </w:pPr>
    </w:p>
    <w:p w14:paraId="240B418B" w14:textId="77777777" w:rsidR="00032A84" w:rsidRDefault="00032A84" w:rsidP="00032A84">
      <w:pPr>
        <w:spacing w:line="240" w:lineRule="auto"/>
        <w:jc w:val="both"/>
        <w:rPr>
          <w:rFonts w:ascii="Times New Roman" w:hAnsi="Times New Roman" w:cs="Times New Roman"/>
          <w:sz w:val="24"/>
          <w:szCs w:val="24"/>
        </w:rPr>
      </w:pPr>
    </w:p>
    <w:p w14:paraId="5EDE3BE6" w14:textId="77777777" w:rsidR="00032A84" w:rsidRDefault="00032A84" w:rsidP="00032A84">
      <w:pPr>
        <w:spacing w:line="240" w:lineRule="auto"/>
        <w:jc w:val="both"/>
        <w:rPr>
          <w:rFonts w:ascii="Times New Roman" w:hAnsi="Times New Roman" w:cs="Times New Roman"/>
          <w:sz w:val="24"/>
          <w:szCs w:val="24"/>
        </w:rPr>
      </w:pPr>
    </w:p>
    <w:p w14:paraId="0EACCE8F" w14:textId="77777777" w:rsidR="00032A84" w:rsidRDefault="00032A84" w:rsidP="00032A84">
      <w:pPr>
        <w:spacing w:line="240" w:lineRule="auto"/>
        <w:jc w:val="both"/>
        <w:rPr>
          <w:rFonts w:ascii="Times New Roman" w:hAnsi="Times New Roman" w:cs="Times New Roman"/>
          <w:sz w:val="24"/>
          <w:szCs w:val="24"/>
        </w:rPr>
      </w:pPr>
    </w:p>
    <w:p w14:paraId="167CFBEC" w14:textId="77777777" w:rsidR="00032A84" w:rsidRDefault="00032A84" w:rsidP="00032A84">
      <w:pPr>
        <w:spacing w:line="240" w:lineRule="auto"/>
        <w:jc w:val="both"/>
        <w:rPr>
          <w:rFonts w:ascii="Times New Roman" w:hAnsi="Times New Roman" w:cs="Times New Roman"/>
          <w:sz w:val="24"/>
          <w:szCs w:val="24"/>
        </w:rPr>
      </w:pPr>
    </w:p>
    <w:p w14:paraId="53D95A82" w14:textId="77777777" w:rsidR="00032A84" w:rsidRDefault="00032A84" w:rsidP="00032A84">
      <w:pPr>
        <w:spacing w:line="240" w:lineRule="auto"/>
        <w:jc w:val="both"/>
        <w:rPr>
          <w:rFonts w:ascii="Times New Roman" w:hAnsi="Times New Roman" w:cs="Times New Roman"/>
          <w:sz w:val="24"/>
          <w:szCs w:val="24"/>
        </w:rPr>
      </w:pPr>
    </w:p>
    <w:p w14:paraId="54721BE5" w14:textId="77777777" w:rsidR="00C34979" w:rsidRPr="00032A84" w:rsidRDefault="00C34979" w:rsidP="00032A84">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4</w:t>
      </w:r>
      <w:r w:rsidRPr="00A65903">
        <w:rPr>
          <w:rFonts w:ascii="Times New Roman" w:hAnsi="Times New Roman" w:cs="Times New Roman"/>
          <w:b/>
          <w:sz w:val="24"/>
          <w:szCs w:val="24"/>
        </w:rPr>
        <w:t xml:space="preserve">: </w:t>
      </w:r>
      <w:r>
        <w:rPr>
          <w:rFonts w:ascii="Times New Roman" w:hAnsi="Times New Roman" w:cs="Times New Roman"/>
          <w:b/>
          <w:sz w:val="24"/>
          <w:szCs w:val="24"/>
        </w:rPr>
        <w:t xml:space="preserve">Data Collected on </w:t>
      </w:r>
      <w:r w:rsidRPr="009071FE">
        <w:rPr>
          <w:rFonts w:ascii="Times New Roman" w:hAnsi="Times New Roman" w:cs="Times New Roman"/>
          <w:b/>
          <w:sz w:val="24"/>
          <w:szCs w:val="24"/>
        </w:rPr>
        <w:t>Wed</w:t>
      </w:r>
      <w:r>
        <w:rPr>
          <w:rFonts w:ascii="Times New Roman" w:hAnsi="Times New Roman" w:cs="Times New Roman"/>
          <w:b/>
          <w:sz w:val="24"/>
          <w:szCs w:val="24"/>
        </w:rPr>
        <w:t xml:space="preserve"> at ATM</w:t>
      </w:r>
      <w:r w:rsidRPr="009071FE">
        <w:rPr>
          <w:rFonts w:ascii="Times New Roman" w:hAnsi="Times New Roman" w:cs="Times New Roman"/>
          <w:b/>
          <w:sz w:val="24"/>
          <w:szCs w:val="24"/>
        </w:rPr>
        <w:t xml:space="preserve"> Stand I</w:t>
      </w:r>
      <w:r>
        <w:rPr>
          <w:rFonts w:ascii="Times New Roman" w:hAnsi="Times New Roman" w:cs="Times New Roman"/>
          <w:b/>
          <w:sz w:val="24"/>
          <w:szCs w:val="24"/>
        </w:rPr>
        <w:t>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3BFEC96C"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38A504E5"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2DB9A3D4"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7B62EA90">
                <v:shape id="_x0000_i1090" type="#_x0000_t75" style="width:12pt;height:12.7pt" o:ole="">
                  <v:imagedata r:id="rId99" o:title=""/>
                </v:shape>
                <o:OLEObject Type="Embed" ProgID="Equation.3" ShapeID="_x0000_i1090" DrawAspect="Content" ObjectID="_1855117479" r:id="rId121"/>
              </w:object>
            </w:r>
          </w:p>
        </w:tc>
        <w:tc>
          <w:tcPr>
            <w:tcW w:w="1440" w:type="dxa"/>
            <w:tcBorders>
              <w:top w:val="single" w:sz="4" w:space="0" w:color="auto"/>
              <w:bottom w:val="single" w:sz="4" w:space="0" w:color="auto"/>
            </w:tcBorders>
            <w:shd w:val="clear" w:color="auto" w:fill="auto"/>
          </w:tcPr>
          <w:p w14:paraId="45CEBF4D"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1CCD8D73">
                <v:shape id="_x0000_i1091" type="#_x0000_t75" style="width:14.1pt;height:18.35pt" o:ole="">
                  <v:imagedata r:id="rId101" o:title=""/>
                </v:shape>
                <o:OLEObject Type="Embed" ProgID="Equation.3" ShapeID="_x0000_i1091" DrawAspect="Content" ObjectID="_1855117480" r:id="rId122"/>
              </w:object>
            </w:r>
          </w:p>
        </w:tc>
        <w:tc>
          <w:tcPr>
            <w:tcW w:w="1440" w:type="dxa"/>
            <w:tcBorders>
              <w:top w:val="single" w:sz="4" w:space="0" w:color="auto"/>
              <w:bottom w:val="single" w:sz="4" w:space="0" w:color="auto"/>
            </w:tcBorders>
            <w:shd w:val="clear" w:color="auto" w:fill="auto"/>
          </w:tcPr>
          <w:p w14:paraId="278DCB2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14B8476D">
                <v:shape id="_x0000_i1092" type="#_x0000_t75" style="width:14.8pt;height:19.05pt" o:ole="">
                  <v:imagedata r:id="rId103" o:title=""/>
                </v:shape>
                <o:OLEObject Type="Embed" ProgID="Equation.3" ShapeID="_x0000_i1092" DrawAspect="Content" ObjectID="_1855117481" r:id="rId123"/>
              </w:object>
            </w:r>
          </w:p>
        </w:tc>
        <w:tc>
          <w:tcPr>
            <w:tcW w:w="1440" w:type="dxa"/>
            <w:tcBorders>
              <w:top w:val="single" w:sz="4" w:space="0" w:color="auto"/>
              <w:bottom w:val="single" w:sz="4" w:space="0" w:color="auto"/>
            </w:tcBorders>
            <w:shd w:val="clear" w:color="auto" w:fill="auto"/>
          </w:tcPr>
          <w:p w14:paraId="05B7A3BD"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7C98E17B">
                <v:shape id="_x0000_i1093" type="#_x0000_t75" style="width:14.8pt;height:18.35pt" o:ole="">
                  <v:imagedata r:id="rId112" o:title=""/>
                </v:shape>
                <o:OLEObject Type="Embed" ProgID="Equation.3" ShapeID="_x0000_i1093" DrawAspect="Content" ObjectID="_1855117482" r:id="rId124"/>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711133D8"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100F376E">
                <v:shape id="_x0000_i1094" type="#_x0000_t75" style="width:16.25pt;height:19.05pt" o:ole="">
                  <v:imagedata r:id="rId114" o:title=""/>
                </v:shape>
                <o:OLEObject Type="Embed" ProgID="Equation.3" ShapeID="_x0000_i1094" DrawAspect="Content" ObjectID="_1855117483" r:id="rId125"/>
              </w:object>
            </w:r>
            <w:r w:rsidRPr="00B000E2">
              <w:rPr>
                <w:rFonts w:ascii="Times New Roman" w:hAnsi="Times New Roman" w:cs="Times New Roman"/>
                <w:b w:val="0"/>
                <w:color w:val="auto"/>
                <w:sz w:val="24"/>
                <w:szCs w:val="24"/>
              </w:rPr>
              <w:t>(min)</w:t>
            </w:r>
          </w:p>
        </w:tc>
      </w:tr>
      <w:tr w:rsidR="00C34979" w:rsidRPr="00C85E41" w14:paraId="40194104"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38821A10"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722EABE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top w:val="single" w:sz="4" w:space="0" w:color="auto"/>
              <w:bottom w:val="none" w:sz="0" w:space="0" w:color="auto"/>
            </w:tcBorders>
          </w:tcPr>
          <w:p w14:paraId="0384CF4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Borders>
              <w:top w:val="single" w:sz="4" w:space="0" w:color="auto"/>
              <w:bottom w:val="none" w:sz="0" w:space="0" w:color="auto"/>
            </w:tcBorders>
          </w:tcPr>
          <w:p w14:paraId="19117A7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Borders>
              <w:top w:val="single" w:sz="4" w:space="0" w:color="auto"/>
              <w:bottom w:val="none" w:sz="0" w:space="0" w:color="auto"/>
            </w:tcBorders>
          </w:tcPr>
          <w:p w14:paraId="4E94EC1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Borders>
              <w:top w:val="single" w:sz="4" w:space="0" w:color="auto"/>
              <w:bottom w:val="none" w:sz="0" w:space="0" w:color="auto"/>
              <w:right w:val="none" w:sz="0" w:space="0" w:color="auto"/>
            </w:tcBorders>
          </w:tcPr>
          <w:p w14:paraId="42332B8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30B029D4"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23E01D08"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2: M/M/1 (s=1)</w:t>
            </w:r>
          </w:p>
        </w:tc>
        <w:tc>
          <w:tcPr>
            <w:tcW w:w="1440" w:type="dxa"/>
          </w:tcPr>
          <w:p w14:paraId="67C688E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Pr>
          <w:p w14:paraId="4680082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Pr>
          <w:p w14:paraId="38C6678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Pr>
          <w:p w14:paraId="2E7ECDA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Pr>
          <w:p w14:paraId="51A48C8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272B3314"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71417D7C"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7877E53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0.4623</w:t>
            </w:r>
          </w:p>
        </w:tc>
        <w:tc>
          <w:tcPr>
            <w:tcW w:w="1440" w:type="dxa"/>
            <w:tcBorders>
              <w:top w:val="none" w:sz="0" w:space="0" w:color="auto"/>
              <w:bottom w:val="none" w:sz="0" w:space="0" w:color="auto"/>
            </w:tcBorders>
          </w:tcPr>
          <w:p w14:paraId="2AA19A3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1.1758</w:t>
            </w:r>
          </w:p>
        </w:tc>
        <w:tc>
          <w:tcPr>
            <w:tcW w:w="1440" w:type="dxa"/>
            <w:tcBorders>
              <w:top w:val="none" w:sz="0" w:space="0" w:color="auto"/>
              <w:bottom w:val="none" w:sz="0" w:space="0" w:color="auto"/>
            </w:tcBorders>
          </w:tcPr>
          <w:p w14:paraId="14A52597"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0.2512</w:t>
            </w:r>
          </w:p>
        </w:tc>
        <w:tc>
          <w:tcPr>
            <w:tcW w:w="1440" w:type="dxa"/>
            <w:tcBorders>
              <w:top w:val="none" w:sz="0" w:space="0" w:color="auto"/>
              <w:bottom w:val="none" w:sz="0" w:space="0" w:color="auto"/>
            </w:tcBorders>
          </w:tcPr>
          <w:p w14:paraId="1E9FD8E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1.5579</w:t>
            </w:r>
          </w:p>
        </w:tc>
        <w:tc>
          <w:tcPr>
            <w:tcW w:w="1440" w:type="dxa"/>
            <w:tcBorders>
              <w:top w:val="none" w:sz="0" w:space="0" w:color="auto"/>
              <w:bottom w:val="none" w:sz="0" w:space="0" w:color="auto"/>
              <w:right w:val="none" w:sz="0" w:space="0" w:color="auto"/>
            </w:tcBorders>
          </w:tcPr>
          <w:p w14:paraId="75505DC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0.3329</w:t>
            </w:r>
          </w:p>
        </w:tc>
      </w:tr>
      <w:tr w:rsidR="00C34979" w:rsidRPr="00C85E41" w14:paraId="5D86D9AA"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3F534355"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784AEF2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Pr>
          <w:p w14:paraId="6DC51B0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Pr>
          <w:p w14:paraId="3DABE65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Pr>
          <w:p w14:paraId="06B073F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Pr>
          <w:p w14:paraId="3A5EAFB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50389181"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195929B9"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0CA2655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top w:val="none" w:sz="0" w:space="0" w:color="auto"/>
              <w:bottom w:val="none" w:sz="0" w:space="0" w:color="auto"/>
            </w:tcBorders>
          </w:tcPr>
          <w:p w14:paraId="4D15965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4.2249</w:t>
            </w:r>
          </w:p>
        </w:tc>
        <w:tc>
          <w:tcPr>
            <w:tcW w:w="1440" w:type="dxa"/>
            <w:tcBorders>
              <w:top w:val="none" w:sz="0" w:space="0" w:color="auto"/>
              <w:bottom w:val="none" w:sz="0" w:space="0" w:color="auto"/>
            </w:tcBorders>
          </w:tcPr>
          <w:p w14:paraId="503641A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3.3555</w:t>
            </w:r>
          </w:p>
        </w:tc>
        <w:tc>
          <w:tcPr>
            <w:tcW w:w="1440" w:type="dxa"/>
            <w:tcBorders>
              <w:top w:val="none" w:sz="0" w:space="0" w:color="auto"/>
              <w:bottom w:val="none" w:sz="0" w:space="0" w:color="auto"/>
            </w:tcBorders>
          </w:tcPr>
          <w:p w14:paraId="4C80A12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5.9525</w:t>
            </w:r>
          </w:p>
        </w:tc>
        <w:tc>
          <w:tcPr>
            <w:tcW w:w="1440" w:type="dxa"/>
            <w:tcBorders>
              <w:top w:val="none" w:sz="0" w:space="0" w:color="auto"/>
              <w:bottom w:val="none" w:sz="0" w:space="0" w:color="auto"/>
              <w:right w:val="none" w:sz="0" w:space="0" w:color="auto"/>
            </w:tcBorders>
          </w:tcPr>
          <w:p w14:paraId="7DB2D23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4.7275</w:t>
            </w:r>
          </w:p>
        </w:tc>
      </w:tr>
      <w:tr w:rsidR="00C34979" w:rsidRPr="00C85E41" w14:paraId="6FD7BAF8"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2532DACE"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5: Limited source M/M/1 (N=100)</w:t>
            </w:r>
          </w:p>
        </w:tc>
        <w:tc>
          <w:tcPr>
            <w:tcW w:w="1440" w:type="dxa"/>
            <w:tcBorders>
              <w:bottom w:val="single" w:sz="4" w:space="0" w:color="auto"/>
            </w:tcBorders>
          </w:tcPr>
          <w:p w14:paraId="2B00DB9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bottom w:val="single" w:sz="4" w:space="0" w:color="auto"/>
            </w:tcBorders>
          </w:tcPr>
          <w:p w14:paraId="5AF5FA8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48.0392</w:t>
            </w:r>
          </w:p>
        </w:tc>
        <w:tc>
          <w:tcPr>
            <w:tcW w:w="1440" w:type="dxa"/>
            <w:tcBorders>
              <w:bottom w:val="single" w:sz="4" w:space="0" w:color="auto"/>
            </w:tcBorders>
          </w:tcPr>
          <w:p w14:paraId="299863A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47.0392</w:t>
            </w:r>
          </w:p>
        </w:tc>
        <w:tc>
          <w:tcPr>
            <w:tcW w:w="1440" w:type="dxa"/>
            <w:tcBorders>
              <w:bottom w:val="single" w:sz="4" w:space="0" w:color="auto"/>
            </w:tcBorders>
          </w:tcPr>
          <w:p w14:paraId="5635003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w:t>
            </w:r>
          </w:p>
        </w:tc>
        <w:tc>
          <w:tcPr>
            <w:tcW w:w="1440" w:type="dxa"/>
            <w:tcBorders>
              <w:bottom w:val="single" w:sz="4" w:space="0" w:color="auto"/>
            </w:tcBorders>
          </w:tcPr>
          <w:p w14:paraId="4A5667C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1.1995</w:t>
            </w:r>
          </w:p>
        </w:tc>
      </w:tr>
    </w:tbl>
    <w:p w14:paraId="422CA418" w14:textId="77777777" w:rsidR="00C34979" w:rsidRDefault="00C34979" w:rsidP="00D00475">
      <w:pPr>
        <w:spacing w:line="240" w:lineRule="auto"/>
        <w:jc w:val="both"/>
        <w:rPr>
          <w:rFonts w:ascii="Times New Roman" w:hAnsi="Times New Roman" w:cs="Times New Roman"/>
          <w:sz w:val="24"/>
          <w:szCs w:val="24"/>
        </w:rPr>
      </w:pPr>
      <w:r>
        <w:rPr>
          <w:rFonts w:ascii="Times New Roman" w:hAnsi="Times New Roman" w:cs="Times New Roman"/>
          <w:sz w:val="24"/>
          <w:szCs w:val="24"/>
        </w:rPr>
        <w:t>Table 4 results</w:t>
      </w:r>
      <w:r w:rsidRPr="00C85E41">
        <w:rPr>
          <w:rFonts w:ascii="Times New Roman" w:hAnsi="Times New Roman" w:cs="Times New Roman"/>
          <w:sz w:val="24"/>
          <w:szCs w:val="24"/>
        </w:rPr>
        <w:t xml:space="preserve"> in utilization</w:t>
      </w:r>
      <w:r>
        <w:rPr>
          <w:rFonts w:ascii="Times New Roman" w:hAnsi="Times New Roman" w:cs="Times New Roman"/>
          <w:sz w:val="24"/>
          <w:szCs w:val="24"/>
        </w:rPr>
        <w:t xml:space="preserve"> rate</w:t>
      </w:r>
      <w:r w:rsidRPr="00C85E41">
        <w:rPr>
          <w:rFonts w:ascii="Times New Roman" w:hAnsi="Times New Roman" w:cs="Times New Roman"/>
          <w:sz w:val="24"/>
          <w:szCs w:val="24"/>
        </w:rPr>
        <w:t xml:space="preserve"> (ρ ≈ 0.93). Although stable, the system still operates at very high load, leading to significant queuing and waiting times. Multi-server setups improve performance, while finite queue and finite population models highlight potential customer losses in times of congestion</w:t>
      </w:r>
      <w:r>
        <w:rPr>
          <w:rFonts w:ascii="Times New Roman" w:hAnsi="Times New Roman" w:cs="Times New Roman"/>
          <w:sz w:val="24"/>
          <w:szCs w:val="24"/>
        </w:rPr>
        <w:t>.</w:t>
      </w:r>
    </w:p>
    <w:p w14:paraId="45A00B0E" w14:textId="77777777" w:rsidR="00C34979" w:rsidRDefault="00C34979" w:rsidP="00D00475">
      <w:pPr>
        <w:spacing w:line="240" w:lineRule="auto"/>
        <w:rPr>
          <w:rFonts w:ascii="Times New Roman" w:hAnsi="Times New Roman" w:cs="Times New Roman"/>
          <w:b/>
          <w:sz w:val="24"/>
          <w:szCs w:val="24"/>
        </w:rPr>
      </w:pPr>
    </w:p>
    <w:p w14:paraId="27D4E5DD" w14:textId="77777777" w:rsidR="00C34979" w:rsidRDefault="00C34979" w:rsidP="00D00475">
      <w:pPr>
        <w:spacing w:line="240" w:lineRule="auto"/>
        <w:rPr>
          <w:rFonts w:ascii="Times New Roman" w:hAnsi="Times New Roman" w:cs="Times New Roman"/>
          <w:b/>
          <w:sz w:val="24"/>
          <w:szCs w:val="24"/>
        </w:rPr>
      </w:pPr>
    </w:p>
    <w:p w14:paraId="2D831798" w14:textId="77777777" w:rsidR="00C34979" w:rsidRDefault="00C34979" w:rsidP="00D00475">
      <w:pPr>
        <w:spacing w:line="240" w:lineRule="auto"/>
        <w:rPr>
          <w:rFonts w:ascii="Times New Roman" w:hAnsi="Times New Roman" w:cs="Times New Roman"/>
          <w:b/>
          <w:sz w:val="24"/>
          <w:szCs w:val="24"/>
        </w:rPr>
      </w:pPr>
    </w:p>
    <w:p w14:paraId="192CE090" w14:textId="77777777" w:rsidR="00C34979" w:rsidRDefault="00C34979" w:rsidP="00D00475">
      <w:pPr>
        <w:spacing w:line="240" w:lineRule="auto"/>
        <w:rPr>
          <w:rFonts w:ascii="Times New Roman" w:hAnsi="Times New Roman" w:cs="Times New Roman"/>
          <w:b/>
          <w:sz w:val="24"/>
          <w:szCs w:val="24"/>
        </w:rPr>
      </w:pPr>
    </w:p>
    <w:p w14:paraId="69AFAC95" w14:textId="77777777" w:rsidR="00C34979" w:rsidRDefault="00C34979" w:rsidP="00D00475">
      <w:pPr>
        <w:spacing w:line="240" w:lineRule="auto"/>
        <w:rPr>
          <w:rFonts w:ascii="Times New Roman" w:hAnsi="Times New Roman" w:cs="Times New Roman"/>
          <w:b/>
          <w:sz w:val="24"/>
          <w:szCs w:val="24"/>
        </w:rPr>
      </w:pPr>
    </w:p>
    <w:p w14:paraId="137CB9C8" w14:textId="77777777" w:rsidR="00C34979" w:rsidRDefault="00C34979" w:rsidP="00D00475">
      <w:pPr>
        <w:spacing w:line="240" w:lineRule="auto"/>
        <w:rPr>
          <w:rFonts w:ascii="Times New Roman" w:hAnsi="Times New Roman" w:cs="Times New Roman"/>
          <w:b/>
          <w:sz w:val="24"/>
          <w:szCs w:val="24"/>
        </w:rPr>
      </w:pPr>
    </w:p>
    <w:p w14:paraId="32EFE57B" w14:textId="77777777" w:rsidR="00C34979" w:rsidRDefault="00C34979" w:rsidP="00D00475">
      <w:pPr>
        <w:spacing w:line="240" w:lineRule="auto"/>
        <w:rPr>
          <w:rFonts w:ascii="Times New Roman" w:hAnsi="Times New Roman" w:cs="Times New Roman"/>
          <w:b/>
          <w:sz w:val="24"/>
          <w:szCs w:val="24"/>
        </w:rPr>
      </w:pPr>
    </w:p>
    <w:p w14:paraId="38435F86" w14:textId="77777777" w:rsidR="00C34979" w:rsidRDefault="00C34979" w:rsidP="00D00475">
      <w:pPr>
        <w:spacing w:line="240" w:lineRule="auto"/>
        <w:rPr>
          <w:rFonts w:ascii="Times New Roman" w:hAnsi="Times New Roman" w:cs="Times New Roman"/>
          <w:b/>
          <w:sz w:val="24"/>
          <w:szCs w:val="24"/>
        </w:rPr>
      </w:pPr>
    </w:p>
    <w:p w14:paraId="0BB4683B"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230F5D07"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1F7094DC"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3D0B820E" w14:textId="77777777" w:rsidR="00C34979" w:rsidRPr="00E52855" w:rsidRDefault="00C34979" w:rsidP="00D0047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Determination of</w:t>
      </w:r>
      <w:r w:rsidRPr="00C911FD">
        <w:rPr>
          <w:rFonts w:ascii="Times New Roman" w:eastAsia="Times New Roman" w:hAnsi="Times New Roman" w:cs="Times New Roman"/>
          <w:b/>
          <w:sz w:val="24"/>
          <w:szCs w:val="24"/>
        </w:rPr>
        <w:t xml:space="preserve"> the average arrival and service rates for Monday and Wednesday for ATM stands I and II.</w:t>
      </w:r>
    </w:p>
    <w:p w14:paraId="7D892D85" w14:textId="77777777" w:rsidR="00C34979" w:rsidRPr="00C57020" w:rsidRDefault="00C34979"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5</w:t>
      </w:r>
      <w:r w:rsidRPr="00C57020">
        <w:rPr>
          <w:rFonts w:ascii="Times New Roman" w:hAnsi="Times New Roman" w:cs="Times New Roman"/>
          <w:b/>
          <w:sz w:val="24"/>
          <w:szCs w:val="24"/>
        </w:rPr>
        <w:t xml:space="preserve">: </w:t>
      </w:r>
      <w:r>
        <w:rPr>
          <w:rFonts w:ascii="Times New Roman" w:hAnsi="Times New Roman" w:cs="Times New Roman"/>
          <w:b/>
          <w:sz w:val="24"/>
          <w:szCs w:val="24"/>
        </w:rPr>
        <w:t>Arrival and Service Rates for Monday ATM Stand 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440"/>
      </w:tblGrid>
      <w:tr w:rsidR="00C34979" w:rsidRPr="00C85E41" w14:paraId="32B38598"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12A450BD"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440" w:type="dxa"/>
            <w:tcBorders>
              <w:top w:val="single" w:sz="4" w:space="0" w:color="auto"/>
              <w:bottom w:val="single" w:sz="4" w:space="0" w:color="auto"/>
            </w:tcBorders>
            <w:shd w:val="clear" w:color="auto" w:fill="auto"/>
          </w:tcPr>
          <w:p w14:paraId="44BA1B3B"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7BC1AB5C"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2C18E5EC"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Number of customers observed</w:t>
            </w:r>
          </w:p>
        </w:tc>
        <w:tc>
          <w:tcPr>
            <w:tcW w:w="1440" w:type="dxa"/>
            <w:tcBorders>
              <w:top w:val="single" w:sz="4" w:space="0" w:color="auto"/>
              <w:bottom w:val="none" w:sz="0" w:space="0" w:color="auto"/>
              <w:right w:val="none" w:sz="0" w:space="0" w:color="auto"/>
            </w:tcBorders>
          </w:tcPr>
          <w:p w14:paraId="5239501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w:t>
            </w:r>
          </w:p>
        </w:tc>
      </w:tr>
      <w:tr w:rsidR="00C34979" w:rsidRPr="00C85E41" w14:paraId="06B879CB"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4FD7ED0B"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lastRenderedPageBreak/>
              <w:t>Total service time (min)</w:t>
            </w:r>
          </w:p>
        </w:tc>
        <w:tc>
          <w:tcPr>
            <w:tcW w:w="1440" w:type="dxa"/>
          </w:tcPr>
          <w:p w14:paraId="29ADAC5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56.50</w:t>
            </w:r>
          </w:p>
        </w:tc>
      </w:tr>
      <w:tr w:rsidR="00C34979" w:rsidRPr="00C85E41" w14:paraId="50A6EB59"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6E251678"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Average service time per customer (min)</w:t>
            </w:r>
          </w:p>
        </w:tc>
        <w:tc>
          <w:tcPr>
            <w:tcW w:w="1440" w:type="dxa"/>
            <w:tcBorders>
              <w:top w:val="none" w:sz="0" w:space="0" w:color="auto"/>
              <w:bottom w:val="none" w:sz="0" w:space="0" w:color="auto"/>
              <w:right w:val="none" w:sz="0" w:space="0" w:color="auto"/>
            </w:tcBorders>
          </w:tcPr>
          <w:p w14:paraId="1FDBDC80"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1.177</w:t>
            </w:r>
          </w:p>
        </w:tc>
      </w:tr>
      <w:tr w:rsidR="00C34979" w:rsidRPr="00C85E41" w14:paraId="444360F8"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2E9F8ECC"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Service rate μ (per min)</w:t>
            </w:r>
          </w:p>
        </w:tc>
        <w:tc>
          <w:tcPr>
            <w:tcW w:w="1440" w:type="dxa"/>
          </w:tcPr>
          <w:p w14:paraId="3A35FD4E"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0.8496</w:t>
            </w:r>
          </w:p>
        </w:tc>
      </w:tr>
      <w:tr w:rsidR="00C34979" w:rsidRPr="00C85E41" w14:paraId="46208235"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67EBD672"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Average arrival rate λ (per min)</w:t>
            </w:r>
          </w:p>
        </w:tc>
        <w:tc>
          <w:tcPr>
            <w:tcW w:w="1440" w:type="dxa"/>
            <w:tcBorders>
              <w:top w:val="none" w:sz="0" w:space="0" w:color="auto"/>
              <w:bottom w:val="single" w:sz="4" w:space="0" w:color="auto"/>
              <w:right w:val="none" w:sz="0" w:space="0" w:color="auto"/>
            </w:tcBorders>
          </w:tcPr>
          <w:p w14:paraId="5D8EB0C6"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0.8276</w:t>
            </w:r>
          </w:p>
        </w:tc>
      </w:tr>
    </w:tbl>
    <w:p w14:paraId="683002C5" w14:textId="77777777" w:rsidR="00C34979" w:rsidRDefault="00D50DAA" w:rsidP="00D00475">
      <w:pPr>
        <w:spacing w:line="240" w:lineRule="auto"/>
        <w:rPr>
          <w:rFonts w:ascii="Times New Roman" w:hAnsi="Times New Roman" w:cs="Times New Roman"/>
          <w:sz w:val="24"/>
          <w:szCs w:val="24"/>
        </w:rPr>
      </w:pPr>
      <w:r>
        <w:rPr>
          <w:rFonts w:ascii="Times New Roman" w:hAnsi="Times New Roman" w:cs="Times New Roman"/>
          <w:sz w:val="24"/>
          <w:szCs w:val="24"/>
        </w:rPr>
        <w:t>Table 5</w:t>
      </w:r>
      <w:r w:rsidR="00C34979" w:rsidRPr="00C85E41">
        <w:rPr>
          <w:rFonts w:ascii="Times New Roman" w:hAnsi="Times New Roman" w:cs="Times New Roman"/>
          <w:sz w:val="24"/>
          <w:szCs w:val="24"/>
        </w:rPr>
        <w:t xml:space="preserve"> results show that the arrival rate (λ ≈ 0.828 per minute) is very close to the service rate (μ ≈ 0.849 per minute).</w:t>
      </w:r>
    </w:p>
    <w:p w14:paraId="14E71F67" w14:textId="77777777" w:rsidR="00C34979" w:rsidRDefault="00C34979" w:rsidP="00D00475">
      <w:pPr>
        <w:spacing w:line="240" w:lineRule="auto"/>
        <w:rPr>
          <w:rFonts w:ascii="Times New Roman" w:hAnsi="Times New Roman" w:cs="Times New Roman"/>
          <w:sz w:val="24"/>
          <w:szCs w:val="24"/>
        </w:rPr>
      </w:pPr>
    </w:p>
    <w:p w14:paraId="01AC721C" w14:textId="77777777" w:rsidR="00C34979" w:rsidRPr="00C57020"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Table 6: </w:t>
      </w:r>
      <w:r w:rsidR="00C34979">
        <w:rPr>
          <w:rFonts w:ascii="Times New Roman" w:hAnsi="Times New Roman" w:cs="Times New Roman"/>
          <w:b/>
          <w:sz w:val="24"/>
          <w:szCs w:val="24"/>
        </w:rPr>
        <w:t>Arrival and Service Rates for Monday ATM Stand II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440"/>
      </w:tblGrid>
      <w:tr w:rsidR="00C34979" w:rsidRPr="00C85E41" w14:paraId="5F7C4920"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4FA25EC8"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440" w:type="dxa"/>
            <w:tcBorders>
              <w:top w:val="single" w:sz="4" w:space="0" w:color="auto"/>
              <w:bottom w:val="single" w:sz="4" w:space="0" w:color="auto"/>
            </w:tcBorders>
            <w:shd w:val="clear" w:color="auto" w:fill="auto"/>
          </w:tcPr>
          <w:p w14:paraId="231B0ADB"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27269309"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3E0E3B19"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Number of customers observed</w:t>
            </w:r>
          </w:p>
        </w:tc>
        <w:tc>
          <w:tcPr>
            <w:tcW w:w="1440" w:type="dxa"/>
            <w:tcBorders>
              <w:top w:val="single" w:sz="4" w:space="0" w:color="auto"/>
              <w:bottom w:val="none" w:sz="0" w:space="0" w:color="auto"/>
              <w:right w:val="none" w:sz="0" w:space="0" w:color="auto"/>
            </w:tcBorders>
          </w:tcPr>
          <w:p w14:paraId="42FE0C3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46</w:t>
            </w:r>
          </w:p>
        </w:tc>
      </w:tr>
      <w:tr w:rsidR="00C34979" w:rsidRPr="00C85E41" w14:paraId="1438AE68"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0DE394F1"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Total service time (min)</w:t>
            </w:r>
          </w:p>
        </w:tc>
        <w:tc>
          <w:tcPr>
            <w:tcW w:w="1440" w:type="dxa"/>
          </w:tcPr>
          <w:p w14:paraId="6ED59EC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w:t>
            </w:r>
          </w:p>
        </w:tc>
      </w:tr>
      <w:tr w:rsidR="00C34979" w:rsidRPr="00C85E41" w14:paraId="35B62862"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5D878028"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Average service time per customer (min)</w:t>
            </w:r>
          </w:p>
        </w:tc>
        <w:tc>
          <w:tcPr>
            <w:tcW w:w="1440" w:type="dxa"/>
            <w:tcBorders>
              <w:top w:val="none" w:sz="0" w:space="0" w:color="auto"/>
              <w:bottom w:val="none" w:sz="0" w:space="0" w:color="auto"/>
              <w:right w:val="none" w:sz="0" w:space="0" w:color="auto"/>
            </w:tcBorders>
          </w:tcPr>
          <w:p w14:paraId="324C5719"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1.217</w:t>
            </w:r>
          </w:p>
        </w:tc>
      </w:tr>
      <w:tr w:rsidR="00C34979" w:rsidRPr="00C85E41" w14:paraId="1AE85FFC"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28380A53"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Service rate μ (per min)</w:t>
            </w:r>
          </w:p>
        </w:tc>
        <w:tc>
          <w:tcPr>
            <w:tcW w:w="1440" w:type="dxa"/>
          </w:tcPr>
          <w:p w14:paraId="08F0DA03" w14:textId="77777777" w:rsidR="00C34979" w:rsidRPr="008448A6"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0.8214</w:t>
            </w:r>
          </w:p>
        </w:tc>
      </w:tr>
      <w:tr w:rsidR="00C34979" w:rsidRPr="00C85E41" w14:paraId="73EE4281"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5FB7178B"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Average arrival rate λ (per min)</w:t>
            </w:r>
          </w:p>
        </w:tc>
        <w:tc>
          <w:tcPr>
            <w:tcW w:w="1440" w:type="dxa"/>
            <w:tcBorders>
              <w:top w:val="none" w:sz="0" w:space="0" w:color="auto"/>
              <w:bottom w:val="single" w:sz="4" w:space="0" w:color="auto"/>
              <w:right w:val="none" w:sz="0" w:space="0" w:color="auto"/>
            </w:tcBorders>
          </w:tcPr>
          <w:p w14:paraId="0E0F16E7"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0.8070</w:t>
            </w:r>
          </w:p>
        </w:tc>
      </w:tr>
    </w:tbl>
    <w:p w14:paraId="167A3D9C" w14:textId="77777777" w:rsidR="00C34979" w:rsidRDefault="00D50DAA" w:rsidP="00D00475">
      <w:pPr>
        <w:spacing w:line="240" w:lineRule="auto"/>
        <w:rPr>
          <w:rFonts w:ascii="Times New Roman" w:hAnsi="Times New Roman" w:cs="Times New Roman"/>
          <w:sz w:val="24"/>
          <w:szCs w:val="24"/>
        </w:rPr>
      </w:pPr>
      <w:r>
        <w:rPr>
          <w:rFonts w:ascii="Times New Roman" w:hAnsi="Times New Roman" w:cs="Times New Roman"/>
          <w:sz w:val="24"/>
          <w:szCs w:val="24"/>
        </w:rPr>
        <w:t>In Table 6</w:t>
      </w:r>
      <w:r w:rsidR="00C34979">
        <w:rPr>
          <w:rFonts w:ascii="Times New Roman" w:hAnsi="Times New Roman" w:cs="Times New Roman"/>
          <w:sz w:val="24"/>
          <w:szCs w:val="24"/>
        </w:rPr>
        <w:t xml:space="preserve"> </w:t>
      </w:r>
      <w:r w:rsidR="00C34979" w:rsidRPr="00C85E41">
        <w:rPr>
          <w:rFonts w:ascii="Times New Roman" w:hAnsi="Times New Roman" w:cs="Times New Roman"/>
          <w:sz w:val="24"/>
          <w:szCs w:val="24"/>
        </w:rPr>
        <w:t>stand, the arrival rate (λ ≈ 0.807 per minute) and service rate (μ ≈ 0.82</w:t>
      </w:r>
      <w:r w:rsidR="00C34979">
        <w:rPr>
          <w:rFonts w:ascii="Times New Roman" w:hAnsi="Times New Roman" w:cs="Times New Roman"/>
          <w:sz w:val="24"/>
          <w:szCs w:val="24"/>
        </w:rPr>
        <w:t>14</w:t>
      </w:r>
      <w:r w:rsidR="00C34979" w:rsidRPr="00C85E41">
        <w:rPr>
          <w:rFonts w:ascii="Times New Roman" w:hAnsi="Times New Roman" w:cs="Times New Roman"/>
          <w:sz w:val="24"/>
          <w:szCs w:val="24"/>
        </w:rPr>
        <w:t xml:space="preserve"> per minute)</w:t>
      </w:r>
    </w:p>
    <w:p w14:paraId="6A9A4F21" w14:textId="77777777" w:rsidR="00C34979" w:rsidRDefault="00C34979" w:rsidP="00D00475">
      <w:pPr>
        <w:spacing w:line="240" w:lineRule="auto"/>
        <w:rPr>
          <w:rFonts w:ascii="Times New Roman" w:hAnsi="Times New Roman" w:cs="Times New Roman"/>
          <w:sz w:val="24"/>
          <w:szCs w:val="24"/>
        </w:rPr>
      </w:pPr>
    </w:p>
    <w:p w14:paraId="3CDA8D70" w14:textId="77777777" w:rsidR="00C34979" w:rsidRDefault="00C34979" w:rsidP="00D00475">
      <w:pPr>
        <w:spacing w:line="240" w:lineRule="auto"/>
        <w:rPr>
          <w:rFonts w:ascii="Times New Roman" w:hAnsi="Times New Roman" w:cs="Times New Roman"/>
          <w:sz w:val="24"/>
          <w:szCs w:val="24"/>
        </w:rPr>
      </w:pPr>
    </w:p>
    <w:p w14:paraId="2770E379" w14:textId="77777777" w:rsidR="00C34979" w:rsidRDefault="00C34979" w:rsidP="00D00475">
      <w:pPr>
        <w:spacing w:line="240" w:lineRule="auto"/>
        <w:rPr>
          <w:rFonts w:ascii="Times New Roman" w:hAnsi="Times New Roman" w:cs="Times New Roman"/>
          <w:b/>
          <w:sz w:val="24"/>
          <w:szCs w:val="24"/>
        </w:rPr>
      </w:pPr>
    </w:p>
    <w:p w14:paraId="30D34E02" w14:textId="77777777" w:rsidR="00C34979" w:rsidRDefault="00C34979" w:rsidP="00D00475">
      <w:pPr>
        <w:spacing w:line="240" w:lineRule="auto"/>
        <w:rPr>
          <w:rFonts w:ascii="Times New Roman" w:hAnsi="Times New Roman" w:cs="Times New Roman"/>
          <w:b/>
          <w:sz w:val="24"/>
          <w:szCs w:val="24"/>
        </w:rPr>
      </w:pPr>
    </w:p>
    <w:p w14:paraId="35646D48" w14:textId="77777777" w:rsidR="00D50DAA" w:rsidRDefault="00D50DAA" w:rsidP="00D00475">
      <w:pPr>
        <w:spacing w:line="240" w:lineRule="auto"/>
        <w:rPr>
          <w:rFonts w:ascii="Times New Roman" w:hAnsi="Times New Roman" w:cs="Times New Roman"/>
          <w:b/>
          <w:sz w:val="24"/>
          <w:szCs w:val="24"/>
        </w:rPr>
      </w:pPr>
    </w:p>
    <w:p w14:paraId="68C132BA" w14:textId="77777777" w:rsidR="00032A84" w:rsidRDefault="00032A84" w:rsidP="00D00475">
      <w:pPr>
        <w:spacing w:line="240" w:lineRule="auto"/>
        <w:rPr>
          <w:rFonts w:ascii="Times New Roman" w:hAnsi="Times New Roman" w:cs="Times New Roman"/>
          <w:b/>
          <w:sz w:val="24"/>
          <w:szCs w:val="24"/>
        </w:rPr>
      </w:pPr>
    </w:p>
    <w:p w14:paraId="56C40606" w14:textId="77777777" w:rsidR="00032A84" w:rsidRDefault="00032A84" w:rsidP="00D00475">
      <w:pPr>
        <w:spacing w:line="240" w:lineRule="auto"/>
        <w:rPr>
          <w:rFonts w:ascii="Times New Roman" w:hAnsi="Times New Roman" w:cs="Times New Roman"/>
          <w:b/>
          <w:sz w:val="24"/>
          <w:szCs w:val="24"/>
        </w:rPr>
      </w:pPr>
    </w:p>
    <w:p w14:paraId="39280912" w14:textId="77777777" w:rsidR="00032A84" w:rsidRDefault="00032A84" w:rsidP="00D00475">
      <w:pPr>
        <w:spacing w:line="240" w:lineRule="auto"/>
        <w:rPr>
          <w:rFonts w:ascii="Times New Roman" w:hAnsi="Times New Roman" w:cs="Times New Roman"/>
          <w:b/>
          <w:sz w:val="24"/>
          <w:szCs w:val="24"/>
        </w:rPr>
      </w:pPr>
    </w:p>
    <w:p w14:paraId="4FF0B8CD" w14:textId="77777777" w:rsidR="00032A84" w:rsidRDefault="00032A84" w:rsidP="00D00475">
      <w:pPr>
        <w:spacing w:line="240" w:lineRule="auto"/>
        <w:rPr>
          <w:rFonts w:ascii="Times New Roman" w:hAnsi="Times New Roman" w:cs="Times New Roman"/>
          <w:b/>
          <w:sz w:val="24"/>
          <w:szCs w:val="24"/>
        </w:rPr>
      </w:pPr>
    </w:p>
    <w:p w14:paraId="60EE7254" w14:textId="77777777" w:rsidR="00032A84" w:rsidRDefault="00032A84" w:rsidP="00D00475">
      <w:pPr>
        <w:spacing w:line="240" w:lineRule="auto"/>
        <w:rPr>
          <w:rFonts w:ascii="Times New Roman" w:hAnsi="Times New Roman" w:cs="Times New Roman"/>
          <w:b/>
          <w:sz w:val="24"/>
          <w:szCs w:val="24"/>
        </w:rPr>
      </w:pPr>
    </w:p>
    <w:p w14:paraId="36A4E2E6" w14:textId="77777777" w:rsidR="00032A84" w:rsidRDefault="00032A84" w:rsidP="00D00475">
      <w:pPr>
        <w:spacing w:line="240" w:lineRule="auto"/>
        <w:rPr>
          <w:rFonts w:ascii="Times New Roman" w:hAnsi="Times New Roman" w:cs="Times New Roman"/>
          <w:b/>
          <w:sz w:val="24"/>
          <w:szCs w:val="24"/>
        </w:rPr>
      </w:pPr>
    </w:p>
    <w:p w14:paraId="6EA157FC" w14:textId="77777777" w:rsidR="00032A84" w:rsidRDefault="00032A84" w:rsidP="00D00475">
      <w:pPr>
        <w:spacing w:line="240" w:lineRule="auto"/>
        <w:rPr>
          <w:rFonts w:ascii="Times New Roman" w:hAnsi="Times New Roman" w:cs="Times New Roman"/>
          <w:b/>
          <w:sz w:val="24"/>
          <w:szCs w:val="24"/>
        </w:rPr>
      </w:pPr>
    </w:p>
    <w:p w14:paraId="3EB954DC" w14:textId="77777777" w:rsidR="00032A84" w:rsidRDefault="00032A84" w:rsidP="00D00475">
      <w:pPr>
        <w:spacing w:line="240" w:lineRule="auto"/>
        <w:rPr>
          <w:rFonts w:ascii="Times New Roman" w:hAnsi="Times New Roman" w:cs="Times New Roman"/>
          <w:b/>
          <w:sz w:val="24"/>
          <w:szCs w:val="24"/>
        </w:rPr>
      </w:pPr>
    </w:p>
    <w:p w14:paraId="66F94E91" w14:textId="77777777" w:rsidR="00032A84" w:rsidRDefault="00032A84" w:rsidP="00D00475">
      <w:pPr>
        <w:spacing w:line="240" w:lineRule="auto"/>
        <w:rPr>
          <w:rFonts w:ascii="Times New Roman" w:hAnsi="Times New Roman" w:cs="Times New Roman"/>
          <w:b/>
          <w:sz w:val="24"/>
          <w:szCs w:val="24"/>
        </w:rPr>
      </w:pPr>
    </w:p>
    <w:p w14:paraId="0547F7EE" w14:textId="77777777" w:rsidR="00804E8A" w:rsidRDefault="00804E8A" w:rsidP="00D00475">
      <w:pPr>
        <w:spacing w:line="240" w:lineRule="auto"/>
        <w:rPr>
          <w:rFonts w:ascii="Times New Roman" w:hAnsi="Times New Roman" w:cs="Times New Roman"/>
          <w:b/>
          <w:sz w:val="24"/>
          <w:szCs w:val="24"/>
        </w:rPr>
      </w:pPr>
    </w:p>
    <w:p w14:paraId="34FF247A" w14:textId="77777777" w:rsidR="00C34979" w:rsidRPr="00C34979"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7</w:t>
      </w:r>
      <w:r w:rsidR="00C34979" w:rsidRPr="00C57020">
        <w:rPr>
          <w:rFonts w:ascii="Times New Roman" w:hAnsi="Times New Roman" w:cs="Times New Roman"/>
          <w:b/>
          <w:sz w:val="24"/>
          <w:szCs w:val="24"/>
        </w:rPr>
        <w:t xml:space="preserve">: </w:t>
      </w:r>
      <w:r w:rsidR="00C34979">
        <w:rPr>
          <w:rFonts w:ascii="Times New Roman" w:hAnsi="Times New Roman" w:cs="Times New Roman"/>
          <w:b/>
          <w:sz w:val="24"/>
          <w:szCs w:val="24"/>
        </w:rPr>
        <w:t xml:space="preserve">Arrival and Service Rates for </w:t>
      </w:r>
      <w:r w:rsidR="00C34979" w:rsidRPr="00C57020">
        <w:rPr>
          <w:rFonts w:ascii="Times New Roman" w:hAnsi="Times New Roman" w:cs="Times New Roman"/>
          <w:b/>
          <w:sz w:val="24"/>
          <w:szCs w:val="24"/>
        </w:rPr>
        <w:t>Wednesday</w:t>
      </w:r>
      <w:r w:rsidR="00C34979">
        <w:rPr>
          <w:rFonts w:ascii="Times New Roman" w:hAnsi="Times New Roman" w:cs="Times New Roman"/>
          <w:b/>
          <w:sz w:val="24"/>
          <w:szCs w:val="24"/>
        </w:rPr>
        <w:t xml:space="preserve"> ATM Stand 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710"/>
      </w:tblGrid>
      <w:tr w:rsidR="00C34979" w:rsidRPr="00C85E41" w14:paraId="745C7783"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3B272CF2"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710" w:type="dxa"/>
            <w:tcBorders>
              <w:top w:val="single" w:sz="4" w:space="0" w:color="auto"/>
              <w:bottom w:val="single" w:sz="4" w:space="0" w:color="auto"/>
            </w:tcBorders>
            <w:shd w:val="clear" w:color="auto" w:fill="auto"/>
          </w:tcPr>
          <w:p w14:paraId="68F40479"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5C2DEF57"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1A61C977"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Number of customers observed</w:t>
            </w:r>
          </w:p>
        </w:tc>
        <w:tc>
          <w:tcPr>
            <w:tcW w:w="1710" w:type="dxa"/>
            <w:tcBorders>
              <w:top w:val="single" w:sz="4" w:space="0" w:color="auto"/>
              <w:bottom w:val="none" w:sz="0" w:space="0" w:color="auto"/>
              <w:right w:val="none" w:sz="0" w:space="0" w:color="auto"/>
            </w:tcBorders>
          </w:tcPr>
          <w:p w14:paraId="347A8AD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38</w:t>
            </w:r>
          </w:p>
        </w:tc>
      </w:tr>
      <w:tr w:rsidR="00C34979" w:rsidRPr="00C85E41" w14:paraId="54A5DA72"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6943B92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Total service time (min)</w:t>
            </w:r>
          </w:p>
        </w:tc>
        <w:tc>
          <w:tcPr>
            <w:tcW w:w="1710" w:type="dxa"/>
          </w:tcPr>
          <w:p w14:paraId="6622806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50.00</w:t>
            </w:r>
          </w:p>
        </w:tc>
      </w:tr>
      <w:tr w:rsidR="00C34979" w:rsidRPr="00C85E41" w14:paraId="2CE4FD41"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79BA2320"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service time per customer (min)</w:t>
            </w:r>
          </w:p>
        </w:tc>
        <w:tc>
          <w:tcPr>
            <w:tcW w:w="1710" w:type="dxa"/>
            <w:tcBorders>
              <w:top w:val="none" w:sz="0" w:space="0" w:color="auto"/>
              <w:bottom w:val="none" w:sz="0" w:space="0" w:color="auto"/>
              <w:right w:val="none" w:sz="0" w:space="0" w:color="auto"/>
            </w:tcBorders>
          </w:tcPr>
          <w:p w14:paraId="74E2690D"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1.316</w:t>
            </w:r>
          </w:p>
        </w:tc>
      </w:tr>
      <w:tr w:rsidR="00C34979" w:rsidRPr="00C85E41" w14:paraId="5DD5BCEF"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67D45EE2"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lastRenderedPageBreak/>
              <w:t>Service rate μ (per min)</w:t>
            </w:r>
          </w:p>
        </w:tc>
        <w:tc>
          <w:tcPr>
            <w:tcW w:w="1710" w:type="dxa"/>
          </w:tcPr>
          <w:p w14:paraId="5948EDC0"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0.7600</w:t>
            </w:r>
          </w:p>
        </w:tc>
      </w:tr>
      <w:tr w:rsidR="00C34979" w:rsidRPr="00C85E41" w14:paraId="1B4EFA63"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6BBE0306"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arrival rate λ (per min)</w:t>
            </w:r>
          </w:p>
        </w:tc>
        <w:tc>
          <w:tcPr>
            <w:tcW w:w="1710" w:type="dxa"/>
            <w:tcBorders>
              <w:top w:val="none" w:sz="0" w:space="0" w:color="auto"/>
              <w:bottom w:val="single" w:sz="4" w:space="0" w:color="auto"/>
              <w:right w:val="none" w:sz="0" w:space="0" w:color="auto"/>
            </w:tcBorders>
          </w:tcPr>
          <w:p w14:paraId="7386F417"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0.8444</w:t>
            </w:r>
          </w:p>
        </w:tc>
      </w:tr>
    </w:tbl>
    <w:p w14:paraId="3FE86E53" w14:textId="77777777" w:rsidR="00C34979" w:rsidRPr="00E52855" w:rsidRDefault="00A37DDF" w:rsidP="00D00475">
      <w:pPr>
        <w:spacing w:line="240" w:lineRule="auto"/>
        <w:rPr>
          <w:rFonts w:ascii="Times New Roman" w:hAnsi="Times New Roman" w:cs="Times New Roman"/>
          <w:sz w:val="24"/>
          <w:szCs w:val="24"/>
        </w:rPr>
      </w:pPr>
      <w:r>
        <w:rPr>
          <w:rFonts w:ascii="Times New Roman" w:hAnsi="Times New Roman" w:cs="Times New Roman"/>
          <w:sz w:val="24"/>
          <w:szCs w:val="24"/>
        </w:rPr>
        <w:t xml:space="preserve">In </w:t>
      </w:r>
      <w:r w:rsidR="00D50DAA">
        <w:rPr>
          <w:rFonts w:ascii="Times New Roman" w:hAnsi="Times New Roman" w:cs="Times New Roman"/>
          <w:sz w:val="24"/>
          <w:szCs w:val="24"/>
        </w:rPr>
        <w:t>Table 7</w:t>
      </w:r>
      <w:r w:rsidR="00C34979">
        <w:rPr>
          <w:rFonts w:ascii="Times New Roman" w:hAnsi="Times New Roman" w:cs="Times New Roman"/>
          <w:sz w:val="24"/>
          <w:szCs w:val="24"/>
        </w:rPr>
        <w:t xml:space="preserve"> </w:t>
      </w:r>
      <w:r w:rsidR="00C34979" w:rsidRPr="00C85E41">
        <w:rPr>
          <w:rFonts w:ascii="Times New Roman" w:hAnsi="Times New Roman" w:cs="Times New Roman"/>
          <w:sz w:val="24"/>
          <w:szCs w:val="24"/>
        </w:rPr>
        <w:t>here, the estimated arrival rate (λ ≈ 0.844 per minute) exceeds the serv</w:t>
      </w:r>
      <w:r w:rsidR="00C34979">
        <w:rPr>
          <w:rFonts w:ascii="Times New Roman" w:hAnsi="Times New Roman" w:cs="Times New Roman"/>
          <w:sz w:val="24"/>
          <w:szCs w:val="24"/>
        </w:rPr>
        <w:t>ice rate (μ ≈ 0.760 per minute).</w:t>
      </w:r>
    </w:p>
    <w:p w14:paraId="52DD2F22" w14:textId="77777777" w:rsidR="00C34979" w:rsidRDefault="00C34979" w:rsidP="00D00475">
      <w:pPr>
        <w:spacing w:line="240" w:lineRule="auto"/>
        <w:rPr>
          <w:rFonts w:ascii="Times New Roman" w:hAnsi="Times New Roman" w:cs="Times New Roman"/>
          <w:sz w:val="24"/>
          <w:szCs w:val="24"/>
        </w:rPr>
      </w:pPr>
    </w:p>
    <w:p w14:paraId="0A66020C" w14:textId="77777777" w:rsidR="00C34979" w:rsidRPr="00A37DDF"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8</w:t>
      </w:r>
      <w:r w:rsidR="00C34979" w:rsidRPr="00C57020">
        <w:rPr>
          <w:rFonts w:ascii="Times New Roman" w:hAnsi="Times New Roman" w:cs="Times New Roman"/>
          <w:b/>
          <w:sz w:val="24"/>
          <w:szCs w:val="24"/>
        </w:rPr>
        <w:t xml:space="preserve">: </w:t>
      </w:r>
      <w:r w:rsidR="00C34979">
        <w:rPr>
          <w:rFonts w:ascii="Times New Roman" w:hAnsi="Times New Roman" w:cs="Times New Roman"/>
          <w:b/>
          <w:sz w:val="24"/>
          <w:szCs w:val="24"/>
        </w:rPr>
        <w:t xml:space="preserve">Arrival and Service Rates for </w:t>
      </w:r>
      <w:r w:rsidR="00A37DDF">
        <w:rPr>
          <w:rFonts w:ascii="Times New Roman" w:hAnsi="Times New Roman" w:cs="Times New Roman"/>
          <w:b/>
          <w:sz w:val="24"/>
          <w:szCs w:val="24"/>
        </w:rPr>
        <w:t>Wednesday ATM Stand II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710"/>
      </w:tblGrid>
      <w:tr w:rsidR="00C34979" w:rsidRPr="00C85E41" w14:paraId="4717750A"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06693FE8"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710" w:type="dxa"/>
            <w:tcBorders>
              <w:top w:val="single" w:sz="4" w:space="0" w:color="auto"/>
              <w:bottom w:val="single" w:sz="4" w:space="0" w:color="auto"/>
            </w:tcBorders>
            <w:shd w:val="clear" w:color="auto" w:fill="auto"/>
          </w:tcPr>
          <w:p w14:paraId="0EC56DF1"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210ED38C"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69F1ED3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Number of customers observed</w:t>
            </w:r>
          </w:p>
        </w:tc>
        <w:tc>
          <w:tcPr>
            <w:tcW w:w="1710" w:type="dxa"/>
            <w:tcBorders>
              <w:top w:val="single" w:sz="4" w:space="0" w:color="auto"/>
              <w:bottom w:val="none" w:sz="0" w:space="0" w:color="auto"/>
              <w:right w:val="none" w:sz="0" w:space="0" w:color="auto"/>
            </w:tcBorders>
          </w:tcPr>
          <w:p w14:paraId="0125C54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r>
      <w:tr w:rsidR="00C34979" w:rsidRPr="00C85E41" w14:paraId="7B88A5D1"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50D65AA8"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Total service time (min)</w:t>
            </w:r>
          </w:p>
        </w:tc>
        <w:tc>
          <w:tcPr>
            <w:tcW w:w="1710" w:type="dxa"/>
          </w:tcPr>
          <w:p w14:paraId="4A60B83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r w:rsidRPr="00C85E41">
              <w:rPr>
                <w:rFonts w:ascii="Times New Roman" w:hAnsi="Times New Roman" w:cs="Times New Roman"/>
                <w:sz w:val="24"/>
                <w:szCs w:val="24"/>
              </w:rPr>
              <w:t>.00</w:t>
            </w:r>
          </w:p>
        </w:tc>
      </w:tr>
      <w:tr w:rsidR="00C34979" w:rsidRPr="00C85E41" w14:paraId="405ED718"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444E42D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service time per customer (min)</w:t>
            </w:r>
          </w:p>
        </w:tc>
        <w:tc>
          <w:tcPr>
            <w:tcW w:w="1710" w:type="dxa"/>
            <w:tcBorders>
              <w:top w:val="none" w:sz="0" w:space="0" w:color="auto"/>
              <w:bottom w:val="none" w:sz="0" w:space="0" w:color="auto"/>
              <w:right w:val="none" w:sz="0" w:space="0" w:color="auto"/>
            </w:tcBorders>
          </w:tcPr>
          <w:p w14:paraId="09669B42"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1.225</w:t>
            </w:r>
          </w:p>
        </w:tc>
      </w:tr>
      <w:tr w:rsidR="00C34979" w:rsidRPr="00C85E41" w14:paraId="7992224C"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116E7C5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Service rate μ (per min)</w:t>
            </w:r>
          </w:p>
        </w:tc>
        <w:tc>
          <w:tcPr>
            <w:tcW w:w="1710" w:type="dxa"/>
          </w:tcPr>
          <w:p w14:paraId="56A4565D"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0.8163</w:t>
            </w:r>
          </w:p>
        </w:tc>
      </w:tr>
      <w:tr w:rsidR="00C34979" w:rsidRPr="00C85E41" w14:paraId="2B01A9BA"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763AA8C1"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arrival rate λ (per min)</w:t>
            </w:r>
          </w:p>
        </w:tc>
        <w:tc>
          <w:tcPr>
            <w:tcW w:w="1710" w:type="dxa"/>
            <w:tcBorders>
              <w:top w:val="none" w:sz="0" w:space="0" w:color="auto"/>
              <w:bottom w:val="single" w:sz="4" w:space="0" w:color="auto"/>
              <w:right w:val="none" w:sz="0" w:space="0" w:color="auto"/>
            </w:tcBorders>
          </w:tcPr>
          <w:p w14:paraId="4368EABA"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0.7547</w:t>
            </w:r>
          </w:p>
        </w:tc>
      </w:tr>
    </w:tbl>
    <w:p w14:paraId="79D91B56" w14:textId="77777777" w:rsidR="00032A84" w:rsidRDefault="00D50DAA" w:rsidP="00032A84">
      <w:pPr>
        <w:spacing w:line="240" w:lineRule="auto"/>
        <w:rPr>
          <w:rFonts w:ascii="Times New Roman" w:hAnsi="Times New Roman" w:cs="Times New Roman"/>
          <w:sz w:val="24"/>
          <w:szCs w:val="24"/>
        </w:rPr>
      </w:pPr>
      <w:r>
        <w:rPr>
          <w:rFonts w:ascii="Times New Roman" w:hAnsi="Times New Roman" w:cs="Times New Roman"/>
          <w:sz w:val="24"/>
          <w:szCs w:val="24"/>
        </w:rPr>
        <w:t>Table 8</w:t>
      </w:r>
      <w:r w:rsidR="00C34979">
        <w:rPr>
          <w:rFonts w:ascii="Times New Roman" w:hAnsi="Times New Roman" w:cs="Times New Roman"/>
          <w:sz w:val="24"/>
          <w:szCs w:val="24"/>
        </w:rPr>
        <w:t xml:space="preserve"> shows</w:t>
      </w:r>
      <w:r w:rsidR="00C34979" w:rsidRPr="00C85E41">
        <w:rPr>
          <w:rFonts w:ascii="Times New Roman" w:hAnsi="Times New Roman" w:cs="Times New Roman"/>
          <w:sz w:val="24"/>
          <w:szCs w:val="24"/>
        </w:rPr>
        <w:t xml:space="preserve"> the arrival rate (λ ≈ 0.755 per minute) is slightly lower than the service rate (μ ≈ 0.816 per minute),</w:t>
      </w:r>
    </w:p>
    <w:p w14:paraId="18FA991F" w14:textId="77777777" w:rsidR="00032A84" w:rsidRDefault="00032A84" w:rsidP="00032A84">
      <w:pPr>
        <w:spacing w:line="240" w:lineRule="auto"/>
        <w:rPr>
          <w:rFonts w:ascii="Times New Roman" w:hAnsi="Times New Roman" w:cs="Times New Roman"/>
          <w:sz w:val="24"/>
          <w:szCs w:val="24"/>
        </w:rPr>
      </w:pPr>
    </w:p>
    <w:p w14:paraId="60D0FCDF" w14:textId="77777777" w:rsidR="00032A84" w:rsidRDefault="00032A84" w:rsidP="00032A84">
      <w:pPr>
        <w:spacing w:line="240" w:lineRule="auto"/>
        <w:rPr>
          <w:rFonts w:ascii="Times New Roman" w:hAnsi="Times New Roman" w:cs="Times New Roman"/>
          <w:sz w:val="24"/>
          <w:szCs w:val="24"/>
        </w:rPr>
      </w:pPr>
    </w:p>
    <w:p w14:paraId="4C81E335" w14:textId="77777777" w:rsidR="00032A84" w:rsidRDefault="00032A84" w:rsidP="00032A84">
      <w:pPr>
        <w:spacing w:line="240" w:lineRule="auto"/>
        <w:rPr>
          <w:rFonts w:ascii="Times New Roman" w:hAnsi="Times New Roman" w:cs="Times New Roman"/>
          <w:sz w:val="24"/>
          <w:szCs w:val="24"/>
        </w:rPr>
      </w:pPr>
    </w:p>
    <w:p w14:paraId="2DF64D2F" w14:textId="77777777" w:rsidR="00032A84" w:rsidRDefault="00032A84" w:rsidP="00032A84">
      <w:pPr>
        <w:spacing w:line="240" w:lineRule="auto"/>
        <w:rPr>
          <w:rFonts w:ascii="Times New Roman" w:hAnsi="Times New Roman" w:cs="Times New Roman"/>
          <w:sz w:val="24"/>
          <w:szCs w:val="24"/>
        </w:rPr>
      </w:pPr>
    </w:p>
    <w:p w14:paraId="5CFBD140" w14:textId="77777777" w:rsidR="00032A84" w:rsidRDefault="00032A84" w:rsidP="00032A84">
      <w:pPr>
        <w:spacing w:line="240" w:lineRule="auto"/>
        <w:rPr>
          <w:rFonts w:ascii="Times New Roman" w:hAnsi="Times New Roman" w:cs="Times New Roman"/>
          <w:sz w:val="24"/>
          <w:szCs w:val="24"/>
        </w:rPr>
      </w:pPr>
    </w:p>
    <w:p w14:paraId="43976189" w14:textId="77777777" w:rsidR="00032A84" w:rsidRDefault="00032A84" w:rsidP="00032A84">
      <w:pPr>
        <w:spacing w:line="240" w:lineRule="auto"/>
        <w:rPr>
          <w:rFonts w:ascii="Times New Roman" w:hAnsi="Times New Roman" w:cs="Times New Roman"/>
          <w:sz w:val="24"/>
          <w:szCs w:val="24"/>
        </w:rPr>
      </w:pPr>
    </w:p>
    <w:p w14:paraId="2185A415" w14:textId="77777777" w:rsidR="00032A84" w:rsidRDefault="00032A84" w:rsidP="00032A84">
      <w:pPr>
        <w:spacing w:line="240" w:lineRule="auto"/>
        <w:rPr>
          <w:rFonts w:ascii="Times New Roman" w:hAnsi="Times New Roman" w:cs="Times New Roman"/>
          <w:sz w:val="24"/>
          <w:szCs w:val="24"/>
        </w:rPr>
      </w:pPr>
    </w:p>
    <w:p w14:paraId="1EF46EE8" w14:textId="77777777" w:rsidR="00032A84" w:rsidRDefault="00032A84" w:rsidP="00032A84">
      <w:pPr>
        <w:spacing w:line="240" w:lineRule="auto"/>
        <w:rPr>
          <w:rFonts w:ascii="Times New Roman" w:hAnsi="Times New Roman" w:cs="Times New Roman"/>
          <w:sz w:val="24"/>
          <w:szCs w:val="24"/>
        </w:rPr>
      </w:pPr>
    </w:p>
    <w:p w14:paraId="224F7361" w14:textId="77777777" w:rsidR="00032A84" w:rsidRDefault="00032A84" w:rsidP="00032A84">
      <w:pPr>
        <w:spacing w:line="240" w:lineRule="auto"/>
        <w:rPr>
          <w:rFonts w:ascii="Times New Roman" w:hAnsi="Times New Roman" w:cs="Times New Roman"/>
          <w:sz w:val="24"/>
          <w:szCs w:val="24"/>
        </w:rPr>
      </w:pPr>
    </w:p>
    <w:p w14:paraId="5D0A1373" w14:textId="77777777" w:rsidR="00032A84" w:rsidRDefault="00032A84" w:rsidP="00032A84">
      <w:pPr>
        <w:spacing w:line="240" w:lineRule="auto"/>
        <w:rPr>
          <w:rFonts w:ascii="Times New Roman" w:hAnsi="Times New Roman" w:cs="Times New Roman"/>
          <w:sz w:val="24"/>
          <w:szCs w:val="24"/>
        </w:rPr>
      </w:pPr>
    </w:p>
    <w:p w14:paraId="6698F9FE" w14:textId="77777777" w:rsidR="00032A84" w:rsidRDefault="00032A84" w:rsidP="00032A84">
      <w:pPr>
        <w:spacing w:line="240" w:lineRule="auto"/>
        <w:rPr>
          <w:rFonts w:ascii="Times New Roman" w:hAnsi="Times New Roman" w:cs="Times New Roman"/>
          <w:sz w:val="24"/>
          <w:szCs w:val="24"/>
        </w:rPr>
      </w:pPr>
    </w:p>
    <w:p w14:paraId="15BB6F99" w14:textId="77777777" w:rsidR="00032A84" w:rsidRDefault="00032A84" w:rsidP="00032A84">
      <w:pPr>
        <w:spacing w:line="240" w:lineRule="auto"/>
        <w:rPr>
          <w:rFonts w:ascii="Times New Roman" w:hAnsi="Times New Roman" w:cs="Times New Roman"/>
          <w:sz w:val="24"/>
          <w:szCs w:val="24"/>
        </w:rPr>
      </w:pPr>
    </w:p>
    <w:p w14:paraId="52B510C1" w14:textId="77777777" w:rsidR="00032A84" w:rsidRPr="00032A84" w:rsidRDefault="00032A84" w:rsidP="00032A84">
      <w:pPr>
        <w:spacing w:line="240" w:lineRule="auto"/>
        <w:rPr>
          <w:rFonts w:ascii="Times New Roman" w:hAnsi="Times New Roman" w:cs="Times New Roman"/>
          <w:sz w:val="24"/>
          <w:szCs w:val="24"/>
        </w:rPr>
      </w:pPr>
    </w:p>
    <w:p w14:paraId="0750A398" w14:textId="77777777" w:rsidR="00A37DDF" w:rsidRPr="00A37DDF" w:rsidRDefault="00A37DDF" w:rsidP="00D00475">
      <w:pPr>
        <w:pStyle w:val="Heading1"/>
        <w:spacing w:line="240" w:lineRule="auto"/>
        <w:rPr>
          <w:rFonts w:ascii="Times New Roman" w:hAnsi="Times New Roman" w:cs="Times New Roman"/>
          <w:b/>
          <w:color w:val="auto"/>
          <w:sz w:val="24"/>
          <w:szCs w:val="24"/>
        </w:rPr>
      </w:pPr>
      <w:r w:rsidRPr="00A37DDF">
        <w:rPr>
          <w:rFonts w:ascii="Times New Roman" w:hAnsi="Times New Roman" w:cs="Times New Roman"/>
          <w:b/>
          <w:color w:val="auto"/>
          <w:sz w:val="24"/>
          <w:szCs w:val="24"/>
        </w:rPr>
        <w:t>Comparison of Queuing Models across Datasets</w:t>
      </w:r>
    </w:p>
    <w:p w14:paraId="3BA0ABC7" w14:textId="77777777" w:rsidR="00A37DDF" w:rsidRPr="00A37DDF" w:rsidRDefault="00D50DAA" w:rsidP="00D00475">
      <w:pPr>
        <w:pStyle w:val="Heading1"/>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Table 9</w:t>
      </w:r>
      <w:r w:rsidR="00A37DDF" w:rsidRPr="00A37DDF">
        <w:rPr>
          <w:rFonts w:ascii="Times New Roman" w:hAnsi="Times New Roman" w:cs="Times New Roman"/>
          <w:b/>
          <w:color w:val="auto"/>
          <w:sz w:val="24"/>
          <w:szCs w:val="24"/>
        </w:rPr>
        <w:t>:</w:t>
      </w:r>
      <w:r w:rsidR="00A37DDF" w:rsidRPr="00A37DDF">
        <w:rPr>
          <w:rFonts w:ascii="Times New Roman" w:hAnsi="Times New Roman" w:cs="Times New Roman"/>
          <w:b/>
          <w:color w:val="auto"/>
          <w:sz w:val="24"/>
          <w:szCs w:val="24"/>
        </w:rPr>
        <w:tab/>
        <w:t>Comparison of different model performance for datasets</w:t>
      </w:r>
    </w:p>
    <w:tbl>
      <w:tblPr>
        <w:tblW w:w="0" w:type="auto"/>
        <w:tblLook w:val="04A0" w:firstRow="1" w:lastRow="0" w:firstColumn="1" w:lastColumn="0" w:noHBand="0" w:noVBand="1"/>
      </w:tblPr>
      <w:tblGrid>
        <w:gridCol w:w="1440"/>
        <w:gridCol w:w="1440"/>
        <w:gridCol w:w="1440"/>
        <w:gridCol w:w="1440"/>
        <w:gridCol w:w="1440"/>
        <w:gridCol w:w="1440"/>
      </w:tblGrid>
      <w:tr w:rsidR="00A37DDF" w:rsidRPr="00C85E41" w14:paraId="061E5216" w14:textId="77777777" w:rsidTr="00FC09FB">
        <w:tc>
          <w:tcPr>
            <w:tcW w:w="1440" w:type="dxa"/>
            <w:tcBorders>
              <w:top w:val="single" w:sz="4" w:space="0" w:color="auto"/>
              <w:bottom w:val="single" w:sz="4" w:space="0" w:color="auto"/>
            </w:tcBorders>
          </w:tcPr>
          <w:p w14:paraId="1DEAB58E"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Dataset</w:t>
            </w:r>
          </w:p>
        </w:tc>
        <w:tc>
          <w:tcPr>
            <w:tcW w:w="1440" w:type="dxa"/>
            <w:tcBorders>
              <w:top w:val="single" w:sz="4" w:space="0" w:color="auto"/>
              <w:bottom w:val="single" w:sz="4" w:space="0" w:color="auto"/>
            </w:tcBorders>
          </w:tcPr>
          <w:p w14:paraId="5043CE45"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Best Utilization</w:t>
            </w:r>
          </w:p>
        </w:tc>
        <w:tc>
          <w:tcPr>
            <w:tcW w:w="1440" w:type="dxa"/>
            <w:tcBorders>
              <w:top w:val="single" w:sz="4" w:space="0" w:color="auto"/>
              <w:bottom w:val="single" w:sz="4" w:space="0" w:color="auto"/>
            </w:tcBorders>
          </w:tcPr>
          <w:p w14:paraId="544D040F"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Lowest Waiting Time</w:t>
            </w:r>
          </w:p>
        </w:tc>
        <w:tc>
          <w:tcPr>
            <w:tcW w:w="1440" w:type="dxa"/>
            <w:tcBorders>
              <w:top w:val="single" w:sz="4" w:space="0" w:color="auto"/>
              <w:bottom w:val="single" w:sz="4" w:space="0" w:color="auto"/>
            </w:tcBorders>
          </w:tcPr>
          <w:p w14:paraId="29A188DF"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Queue Stability</w:t>
            </w:r>
          </w:p>
        </w:tc>
        <w:tc>
          <w:tcPr>
            <w:tcW w:w="1440" w:type="dxa"/>
            <w:tcBorders>
              <w:top w:val="single" w:sz="4" w:space="0" w:color="auto"/>
              <w:bottom w:val="single" w:sz="4" w:space="0" w:color="auto"/>
            </w:tcBorders>
          </w:tcPr>
          <w:p w14:paraId="350C8930"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Customer Retention (Finite Queue/Pop)</w:t>
            </w:r>
          </w:p>
        </w:tc>
        <w:tc>
          <w:tcPr>
            <w:tcW w:w="1440" w:type="dxa"/>
            <w:tcBorders>
              <w:top w:val="single" w:sz="4" w:space="0" w:color="auto"/>
              <w:bottom w:val="single" w:sz="4" w:space="0" w:color="auto"/>
            </w:tcBorders>
          </w:tcPr>
          <w:p w14:paraId="3CF7B66D"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Best Overall Model</w:t>
            </w:r>
          </w:p>
        </w:tc>
      </w:tr>
      <w:tr w:rsidR="00A37DDF" w:rsidRPr="00C85E41" w14:paraId="0BD5C50B" w14:textId="77777777" w:rsidTr="00FC09FB">
        <w:tc>
          <w:tcPr>
            <w:tcW w:w="1440" w:type="dxa"/>
            <w:tcBorders>
              <w:top w:val="single" w:sz="4" w:space="0" w:color="auto"/>
            </w:tcBorders>
          </w:tcPr>
          <w:p w14:paraId="543FCB57"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Mon Stand I</w:t>
            </w:r>
          </w:p>
        </w:tc>
        <w:tc>
          <w:tcPr>
            <w:tcW w:w="1440" w:type="dxa"/>
            <w:tcBorders>
              <w:top w:val="single" w:sz="4" w:space="0" w:color="auto"/>
            </w:tcBorders>
          </w:tcPr>
          <w:p w14:paraId="2E68AF09"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top w:val="single" w:sz="4" w:space="0" w:color="auto"/>
            </w:tcBorders>
          </w:tcPr>
          <w:p w14:paraId="010FAB5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top w:val="single" w:sz="4" w:space="0" w:color="auto"/>
            </w:tcBorders>
          </w:tcPr>
          <w:p w14:paraId="512DC00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(ρ≈0.97)</w:t>
            </w:r>
          </w:p>
        </w:tc>
        <w:tc>
          <w:tcPr>
            <w:tcW w:w="1440" w:type="dxa"/>
            <w:tcBorders>
              <w:top w:val="single" w:sz="4" w:space="0" w:color="auto"/>
            </w:tcBorders>
          </w:tcPr>
          <w:p w14:paraId="632C19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 xml:space="preserve">Moderate risk in </w:t>
            </w:r>
            <w:r w:rsidRPr="00C85E41">
              <w:rPr>
                <w:rFonts w:ascii="Times New Roman" w:hAnsi="Times New Roman" w:cs="Times New Roman"/>
                <w:sz w:val="24"/>
                <w:szCs w:val="24"/>
              </w:rPr>
              <w:lastRenderedPageBreak/>
              <w:t>Model 4 &amp; 5</w:t>
            </w:r>
          </w:p>
        </w:tc>
        <w:tc>
          <w:tcPr>
            <w:tcW w:w="1440" w:type="dxa"/>
            <w:tcBorders>
              <w:top w:val="single" w:sz="4" w:space="0" w:color="auto"/>
            </w:tcBorders>
          </w:tcPr>
          <w:p w14:paraId="2DEA2D3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lastRenderedPageBreak/>
              <w:t>Model 2</w:t>
            </w:r>
          </w:p>
        </w:tc>
      </w:tr>
      <w:tr w:rsidR="00A37DDF" w:rsidRPr="00C85E41" w14:paraId="4C1C3A04" w14:textId="77777777" w:rsidTr="00FC09FB">
        <w:tc>
          <w:tcPr>
            <w:tcW w:w="1440" w:type="dxa"/>
          </w:tcPr>
          <w:p w14:paraId="22F4E89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Mon Stand II</w:t>
            </w:r>
          </w:p>
        </w:tc>
        <w:tc>
          <w:tcPr>
            <w:tcW w:w="1440" w:type="dxa"/>
          </w:tcPr>
          <w:p w14:paraId="288C18D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21A2A39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776B82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(ρ≈0.98)</w:t>
            </w:r>
          </w:p>
        </w:tc>
        <w:tc>
          <w:tcPr>
            <w:tcW w:w="1440" w:type="dxa"/>
          </w:tcPr>
          <w:p w14:paraId="72896241"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Moderate risk in Model 4 &amp; 5</w:t>
            </w:r>
          </w:p>
        </w:tc>
        <w:tc>
          <w:tcPr>
            <w:tcW w:w="1440" w:type="dxa"/>
          </w:tcPr>
          <w:p w14:paraId="1B8B5A8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682F2BE1" w14:textId="77777777" w:rsidTr="00FC09FB">
        <w:tc>
          <w:tcPr>
            <w:tcW w:w="1440" w:type="dxa"/>
          </w:tcPr>
          <w:p w14:paraId="71EA90E7"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Wed Stand I</w:t>
            </w:r>
          </w:p>
        </w:tc>
        <w:tc>
          <w:tcPr>
            <w:tcW w:w="1440" w:type="dxa"/>
          </w:tcPr>
          <w:p w14:paraId="4EC5EBDF"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19F6B0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27ECDD5E"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Unstable in M/M/1 (ρ&gt;1)</w:t>
            </w:r>
          </w:p>
        </w:tc>
        <w:tc>
          <w:tcPr>
            <w:tcW w:w="1440" w:type="dxa"/>
          </w:tcPr>
          <w:p w14:paraId="44F51E0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Finite models show stabilization</w:t>
            </w:r>
          </w:p>
        </w:tc>
        <w:tc>
          <w:tcPr>
            <w:tcW w:w="1440" w:type="dxa"/>
          </w:tcPr>
          <w:p w14:paraId="0A8D4225"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6F668036" w14:textId="77777777" w:rsidTr="00FC09FB">
        <w:tc>
          <w:tcPr>
            <w:tcW w:w="1440" w:type="dxa"/>
            <w:tcBorders>
              <w:bottom w:val="single" w:sz="4" w:space="0" w:color="auto"/>
            </w:tcBorders>
          </w:tcPr>
          <w:p w14:paraId="74B3378B"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Wed Stand II</w:t>
            </w:r>
          </w:p>
        </w:tc>
        <w:tc>
          <w:tcPr>
            <w:tcW w:w="1440" w:type="dxa"/>
            <w:tcBorders>
              <w:bottom w:val="single" w:sz="4" w:space="0" w:color="auto"/>
            </w:tcBorders>
          </w:tcPr>
          <w:p w14:paraId="1A66C36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bottom w:val="single" w:sz="4" w:space="0" w:color="auto"/>
            </w:tcBorders>
          </w:tcPr>
          <w:p w14:paraId="73636CFB"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bottom w:val="single" w:sz="4" w:space="0" w:color="auto"/>
            </w:tcBorders>
          </w:tcPr>
          <w:p w14:paraId="4858D138"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(ρ≈0.93)</w:t>
            </w:r>
          </w:p>
        </w:tc>
        <w:tc>
          <w:tcPr>
            <w:tcW w:w="1440" w:type="dxa"/>
            <w:tcBorders>
              <w:bottom w:val="single" w:sz="4" w:space="0" w:color="auto"/>
            </w:tcBorders>
          </w:tcPr>
          <w:p w14:paraId="125F2AE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Finite models manage overflow</w:t>
            </w:r>
          </w:p>
        </w:tc>
        <w:tc>
          <w:tcPr>
            <w:tcW w:w="1440" w:type="dxa"/>
            <w:tcBorders>
              <w:bottom w:val="single" w:sz="4" w:space="0" w:color="auto"/>
            </w:tcBorders>
          </w:tcPr>
          <w:p w14:paraId="67FCFC4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bl>
    <w:p w14:paraId="4A518AB5" w14:textId="77777777" w:rsidR="00A37DDF" w:rsidRPr="00C85E41" w:rsidRDefault="00A37DDF" w:rsidP="00D00475">
      <w:pPr>
        <w:spacing w:line="240" w:lineRule="auto"/>
        <w:jc w:val="both"/>
        <w:rPr>
          <w:rFonts w:ascii="Times New Roman" w:hAnsi="Times New Roman" w:cs="Times New Roman"/>
          <w:sz w:val="24"/>
          <w:szCs w:val="24"/>
        </w:rPr>
      </w:pPr>
      <w:r w:rsidRPr="00C85E41">
        <w:rPr>
          <w:rFonts w:ascii="Times New Roman" w:hAnsi="Times New Roman" w:cs="Times New Roman"/>
          <w:sz w:val="24"/>
          <w:szCs w:val="24"/>
        </w:rPr>
        <w:t xml:space="preserve">From the comparison </w:t>
      </w:r>
      <w:r>
        <w:rPr>
          <w:rFonts w:ascii="Times New Roman" w:hAnsi="Times New Roman" w:cs="Times New Roman"/>
          <w:sz w:val="24"/>
          <w:szCs w:val="24"/>
        </w:rPr>
        <w:t xml:space="preserve">in </w:t>
      </w:r>
      <w:r w:rsidRPr="00C85E41">
        <w:rPr>
          <w:rFonts w:ascii="Times New Roman" w:hAnsi="Times New Roman" w:cs="Times New Roman"/>
          <w:sz w:val="24"/>
          <w:szCs w:val="24"/>
        </w:rPr>
        <w:t>Table</w:t>
      </w:r>
      <w:r w:rsidR="00D50DAA">
        <w:rPr>
          <w:rFonts w:ascii="Times New Roman" w:hAnsi="Times New Roman" w:cs="Times New Roman"/>
          <w:sz w:val="24"/>
          <w:szCs w:val="24"/>
        </w:rPr>
        <w:t xml:space="preserve"> 9</w:t>
      </w:r>
      <w:r w:rsidRPr="00C85E41">
        <w:rPr>
          <w:rFonts w:ascii="Times New Roman" w:hAnsi="Times New Roman" w:cs="Times New Roman"/>
          <w:sz w:val="24"/>
          <w:szCs w:val="24"/>
        </w:rPr>
        <w:t>, Model 2 (M/M/s with multiple servers) consistently outperforms other models across all datasets. It offers the best balance between utilization and waiting time, while maintaining system stability. Finite queue (Model 4) and finite population (Model 5) highlight potential overflow and customer loss risks, but do not perform as efficiently overall. Models 1 and 3 show higher waiting times and instability under heavy traffic. Therefore, according to the objectives, Model 2 is adjudged the best.</w:t>
      </w:r>
    </w:p>
    <w:p w14:paraId="35431B98" w14:textId="77777777" w:rsidR="00A37DDF" w:rsidRDefault="00A37DDF" w:rsidP="00D00475">
      <w:pPr>
        <w:spacing w:line="240" w:lineRule="auto"/>
        <w:rPr>
          <w:rFonts w:ascii="Times New Roman" w:hAnsi="Times New Roman" w:cs="Times New Roman"/>
          <w:b/>
          <w:sz w:val="24"/>
          <w:szCs w:val="24"/>
        </w:rPr>
      </w:pPr>
    </w:p>
    <w:p w14:paraId="6A8667E3" w14:textId="77777777" w:rsidR="00804E8A" w:rsidRDefault="00804E8A" w:rsidP="00D00475">
      <w:pPr>
        <w:spacing w:line="240" w:lineRule="auto"/>
        <w:rPr>
          <w:rFonts w:ascii="Times New Roman" w:hAnsi="Times New Roman" w:cs="Times New Roman"/>
          <w:b/>
          <w:sz w:val="24"/>
          <w:szCs w:val="24"/>
        </w:rPr>
      </w:pPr>
    </w:p>
    <w:p w14:paraId="414C6F38" w14:textId="77777777" w:rsidR="00804E8A" w:rsidRDefault="00804E8A" w:rsidP="00D00475">
      <w:pPr>
        <w:spacing w:line="240" w:lineRule="auto"/>
        <w:rPr>
          <w:rFonts w:ascii="Times New Roman" w:hAnsi="Times New Roman" w:cs="Times New Roman"/>
          <w:b/>
          <w:sz w:val="24"/>
          <w:szCs w:val="24"/>
        </w:rPr>
      </w:pPr>
    </w:p>
    <w:p w14:paraId="2C538592" w14:textId="77777777" w:rsidR="00804E8A" w:rsidRDefault="00804E8A" w:rsidP="00D00475">
      <w:pPr>
        <w:spacing w:line="240" w:lineRule="auto"/>
        <w:rPr>
          <w:rFonts w:ascii="Times New Roman" w:hAnsi="Times New Roman" w:cs="Times New Roman"/>
          <w:b/>
          <w:sz w:val="24"/>
          <w:szCs w:val="24"/>
        </w:rPr>
      </w:pPr>
    </w:p>
    <w:p w14:paraId="1B37FDCB" w14:textId="77777777" w:rsidR="00804E8A" w:rsidRDefault="00804E8A" w:rsidP="00D00475">
      <w:pPr>
        <w:spacing w:line="240" w:lineRule="auto"/>
        <w:rPr>
          <w:rFonts w:ascii="Times New Roman" w:hAnsi="Times New Roman" w:cs="Times New Roman"/>
          <w:b/>
          <w:sz w:val="24"/>
          <w:szCs w:val="24"/>
        </w:rPr>
      </w:pPr>
    </w:p>
    <w:p w14:paraId="4E1020B9" w14:textId="77777777" w:rsidR="00804E8A" w:rsidRDefault="00804E8A" w:rsidP="00D00475">
      <w:pPr>
        <w:spacing w:line="240" w:lineRule="auto"/>
        <w:rPr>
          <w:rFonts w:ascii="Times New Roman" w:hAnsi="Times New Roman" w:cs="Times New Roman"/>
          <w:b/>
          <w:sz w:val="24"/>
          <w:szCs w:val="24"/>
        </w:rPr>
      </w:pPr>
    </w:p>
    <w:p w14:paraId="5BC43A17" w14:textId="77777777" w:rsidR="00804E8A" w:rsidRDefault="00804E8A" w:rsidP="00D00475">
      <w:pPr>
        <w:spacing w:line="240" w:lineRule="auto"/>
        <w:rPr>
          <w:rFonts w:ascii="Times New Roman" w:hAnsi="Times New Roman" w:cs="Times New Roman"/>
          <w:b/>
          <w:sz w:val="24"/>
          <w:szCs w:val="24"/>
        </w:rPr>
      </w:pPr>
    </w:p>
    <w:p w14:paraId="11F558E1" w14:textId="77777777" w:rsidR="00804E8A" w:rsidRDefault="00804E8A" w:rsidP="00D00475">
      <w:pPr>
        <w:spacing w:line="240" w:lineRule="auto"/>
        <w:rPr>
          <w:rFonts w:ascii="Times New Roman" w:hAnsi="Times New Roman" w:cs="Times New Roman"/>
          <w:b/>
          <w:sz w:val="24"/>
          <w:szCs w:val="24"/>
        </w:rPr>
      </w:pPr>
    </w:p>
    <w:p w14:paraId="0C5F5F06" w14:textId="77777777" w:rsidR="00804E8A" w:rsidRDefault="00804E8A" w:rsidP="00D00475">
      <w:pPr>
        <w:spacing w:line="240" w:lineRule="auto"/>
        <w:rPr>
          <w:rFonts w:ascii="Times New Roman" w:hAnsi="Times New Roman" w:cs="Times New Roman"/>
          <w:b/>
          <w:sz w:val="24"/>
          <w:szCs w:val="24"/>
        </w:rPr>
      </w:pPr>
    </w:p>
    <w:p w14:paraId="41CD0DE5" w14:textId="77777777" w:rsidR="00FC09FB" w:rsidRDefault="00FC09FB" w:rsidP="00D00475">
      <w:pPr>
        <w:spacing w:line="240" w:lineRule="auto"/>
        <w:rPr>
          <w:rFonts w:ascii="Times New Roman" w:hAnsi="Times New Roman" w:cs="Times New Roman"/>
          <w:b/>
          <w:sz w:val="24"/>
          <w:szCs w:val="24"/>
        </w:rPr>
      </w:pPr>
      <w:r>
        <w:rPr>
          <w:rFonts w:ascii="Times New Roman" w:hAnsi="Times New Roman" w:cs="Times New Roman"/>
          <w:b/>
          <w:sz w:val="24"/>
          <w:szCs w:val="24"/>
        </w:rPr>
        <w:t>Conclusion</w:t>
      </w:r>
    </w:p>
    <w:p w14:paraId="729AE42D" w14:textId="77777777" w:rsidR="00927407" w:rsidRDefault="00FC09FB" w:rsidP="00D00475">
      <w:pPr>
        <w:spacing w:line="240" w:lineRule="auto"/>
        <w:jc w:val="both"/>
        <w:rPr>
          <w:rFonts w:ascii="Times New Roman" w:hAnsi="Times New Roman" w:cs="Times New Roman"/>
          <w:sz w:val="24"/>
          <w:szCs w:val="24"/>
        </w:rPr>
      </w:pPr>
      <w:r w:rsidRPr="00FC09FB">
        <w:rPr>
          <w:rFonts w:ascii="Times New Roman" w:hAnsi="Times New Roman" w:cs="Times New Roman"/>
          <w:sz w:val="24"/>
          <w:szCs w:val="24"/>
        </w:rPr>
        <w:t>This study conducted an empirical evaluation of five classes of queuing models to determine the optimal configuration for mitigating service delays, reducing queue lengths, and optimizing resource allocation at bank ATM facilities. The observational findings demonstrate that traditional single-</w:t>
      </w:r>
      <w:r>
        <w:rPr>
          <w:rFonts w:ascii="Times New Roman" w:hAnsi="Times New Roman" w:cs="Times New Roman"/>
          <w:sz w:val="24"/>
          <w:szCs w:val="24"/>
        </w:rPr>
        <w:t>channel, single-server setups (</w:t>
      </w:r>
      <w:r w:rsidRPr="00FC09FB">
        <w:rPr>
          <w:rFonts w:ascii="Times New Roman" w:hAnsi="Times New Roman" w:cs="Times New Roman"/>
          <w:sz w:val="24"/>
          <w:szCs w:val="24"/>
        </w:rPr>
        <w:t xml:space="preserve">M/M/1) under high-demand urban banking environments are highly vulnerable to system bottlenecks and operational instability. Under peak traffic conditions, such as those observed on Wednesday at Stand I, traffic intensity exceeded unity </w:t>
      </w:r>
      <w:r w:rsidRPr="00FC09FB">
        <w:rPr>
          <w:rFonts w:ascii="Times New Roman" w:hAnsi="Times New Roman" w:cs="Times New Roman"/>
          <w:position w:val="-10"/>
          <w:sz w:val="24"/>
          <w:szCs w:val="24"/>
        </w:rPr>
        <w:object w:dxaOrig="1240" w:dyaOrig="340" w14:anchorId="32CE214C">
          <v:shape id="_x0000_i1095" type="#_x0000_t75" style="width:62.1pt;height:16.25pt" o:ole="">
            <v:imagedata r:id="rId126" o:title=""/>
          </v:shape>
          <o:OLEObject Type="Embed" ProgID="Equation.3" ShapeID="_x0000_i1095" DrawAspect="Content" ObjectID="_1855117484" r:id="rId127"/>
        </w:object>
      </w:r>
      <w:r w:rsidRPr="00FC09FB">
        <w:rPr>
          <w:rFonts w:ascii="Times New Roman" w:hAnsi="Times New Roman" w:cs="Times New Roman"/>
          <w:sz w:val="24"/>
          <w:szCs w:val="24"/>
        </w:rPr>
        <w:t xml:space="preserve">, rendering single-server models mathematically unstable and causing theoretical queue lengths and customer waiting times to grow indefinitely.   A rigorous comparative performance analysis across </w:t>
      </w:r>
      <w:r w:rsidRPr="00FC09FB">
        <w:rPr>
          <w:rFonts w:ascii="Times New Roman" w:hAnsi="Times New Roman" w:cs="Times New Roman"/>
          <w:sz w:val="24"/>
          <w:szCs w:val="24"/>
        </w:rPr>
        <w:lastRenderedPageBreak/>
        <w:t>all empiric</w:t>
      </w:r>
      <w:r>
        <w:rPr>
          <w:rFonts w:ascii="Times New Roman" w:hAnsi="Times New Roman" w:cs="Times New Roman"/>
          <w:sz w:val="24"/>
          <w:szCs w:val="24"/>
        </w:rPr>
        <w:t xml:space="preserve">al datasets established Model 2, </w:t>
      </w:r>
      <w:r w:rsidRPr="00FC09FB">
        <w:rPr>
          <w:rFonts w:ascii="Times New Roman" w:hAnsi="Times New Roman" w:cs="Times New Roman"/>
          <w:sz w:val="24"/>
          <w:szCs w:val="24"/>
        </w:rPr>
        <w:t>the Multi-Channel Poisson Arrival w</w:t>
      </w:r>
      <w:r>
        <w:rPr>
          <w:rFonts w:ascii="Times New Roman" w:hAnsi="Times New Roman" w:cs="Times New Roman"/>
          <w:sz w:val="24"/>
          <w:szCs w:val="24"/>
        </w:rPr>
        <w:t>ith Exponential Service Model [</w:t>
      </w:r>
      <w:r w:rsidRPr="00FC09FB">
        <w:rPr>
          <w:rFonts w:ascii="Times New Roman" w:hAnsi="Times New Roman" w:cs="Times New Roman"/>
          <w:sz w:val="24"/>
          <w:szCs w:val="24"/>
        </w:rPr>
        <w:t>M/M/s</w:t>
      </w:r>
      <w:r>
        <w:rPr>
          <w:rFonts w:ascii="Times New Roman" w:hAnsi="Times New Roman" w:cs="Times New Roman"/>
          <w:sz w:val="24"/>
          <w:szCs w:val="24"/>
        </w:rPr>
        <w:t>: (\FCFS/</w:t>
      </w:r>
      <m:oMath>
        <m:r>
          <w:rPr>
            <w:rFonts w:ascii="Cambria Math" w:hAnsi="Cambria Math" w:cs="Times New Roman"/>
            <w:sz w:val="24"/>
            <w:szCs w:val="24"/>
          </w:rPr>
          <m:t>∞</m:t>
        </m:r>
      </m:oMath>
      <w:r>
        <w:rPr>
          <w:rFonts w:ascii="Times New Roman" w:eastAsiaTheme="minorEastAsia" w:hAnsi="Times New Roman" w:cs="Times New Roman"/>
          <w:sz w:val="24"/>
          <w:szCs w:val="24"/>
        </w:rPr>
        <w:t>/</w:t>
      </w:r>
      <m:oMath>
        <m:r>
          <w:rPr>
            <w:rFonts w:ascii="Cambria Math" w:hAnsi="Cambria Math" w:cs="Times New Roman"/>
            <w:sz w:val="24"/>
            <w:szCs w:val="24"/>
          </w:rPr>
          <m:t>∞</m:t>
        </m:r>
      </m:oMath>
      <w:r>
        <w:rPr>
          <w:rFonts w:ascii="Times New Roman" w:hAnsi="Times New Roman" w:cs="Times New Roman"/>
          <w:sz w:val="24"/>
          <w:szCs w:val="24"/>
        </w:rPr>
        <w:t xml:space="preserve">)], </w:t>
      </w:r>
      <w:r w:rsidRPr="00FC09FB">
        <w:rPr>
          <w:rFonts w:ascii="Times New Roman" w:hAnsi="Times New Roman" w:cs="Times New Roman"/>
          <w:sz w:val="24"/>
          <w:szCs w:val="24"/>
        </w:rPr>
        <w:t>as the superior and most effective model. Transi</w:t>
      </w:r>
      <w:r>
        <w:rPr>
          <w:rFonts w:ascii="Times New Roman" w:hAnsi="Times New Roman" w:cs="Times New Roman"/>
          <w:sz w:val="24"/>
          <w:szCs w:val="24"/>
        </w:rPr>
        <w:t>tioning from a single-server (s</w:t>
      </w:r>
      <w:r w:rsidRPr="00FC09FB">
        <w:rPr>
          <w:rFonts w:ascii="Times New Roman" w:hAnsi="Times New Roman" w:cs="Times New Roman"/>
          <w:sz w:val="24"/>
          <w:szCs w:val="24"/>
        </w:rPr>
        <w:t>=1) to a two-serv</w:t>
      </w:r>
      <w:r>
        <w:rPr>
          <w:rFonts w:ascii="Times New Roman" w:hAnsi="Times New Roman" w:cs="Times New Roman"/>
          <w:sz w:val="24"/>
          <w:szCs w:val="24"/>
        </w:rPr>
        <w:t>er (</w:t>
      </w:r>
      <w:r w:rsidRPr="00FC09FB">
        <w:rPr>
          <w:rFonts w:ascii="Times New Roman" w:hAnsi="Times New Roman" w:cs="Times New Roman"/>
          <w:sz w:val="24"/>
          <w:szCs w:val="24"/>
        </w:rPr>
        <w:t xml:space="preserve">s=2) arrangement reduced system utilization to optimal operational levels </w:t>
      </w:r>
      <w:r w:rsidRPr="00FC09FB">
        <w:rPr>
          <w:rFonts w:ascii="Times New Roman" w:hAnsi="Times New Roman" w:cs="Times New Roman"/>
          <w:position w:val="-10"/>
          <w:sz w:val="24"/>
          <w:szCs w:val="24"/>
        </w:rPr>
        <w:object w:dxaOrig="1680" w:dyaOrig="340" w14:anchorId="28E02C24">
          <v:shape id="_x0000_i1096" type="#_x0000_t75" style="width:84pt;height:16.25pt" o:ole="">
            <v:imagedata r:id="rId128" o:title=""/>
          </v:shape>
          <o:OLEObject Type="Embed" ProgID="Equation.3" ShapeID="_x0000_i1096" DrawAspect="Content" ObjectID="_1855117485" r:id="rId129"/>
        </w:object>
      </w:r>
      <w:r w:rsidRPr="00FC09FB">
        <w:rPr>
          <w:rFonts w:ascii="Times New Roman" w:hAnsi="Times New Roman" w:cs="Times New Roman"/>
          <w:sz w:val="24"/>
          <w:szCs w:val="24"/>
        </w:rPr>
        <w:t xml:space="preserve">, eliminated system instability during peak arrival periods, and dramatically compressed customer waiting times in the queue from excessive durations (up to 68.17 minutes) to less than 36 seconds </w:t>
      </w:r>
      <w:r w:rsidRPr="00FC09FB">
        <w:rPr>
          <w:rFonts w:ascii="Times New Roman" w:hAnsi="Times New Roman" w:cs="Times New Roman"/>
          <w:position w:val="-14"/>
          <w:sz w:val="24"/>
          <w:szCs w:val="24"/>
        </w:rPr>
        <w:object w:dxaOrig="1400" w:dyaOrig="380" w14:anchorId="3B0A1827">
          <v:shape id="_x0000_i1097" type="#_x0000_t75" style="width:69.9pt;height:19.05pt" o:ole="">
            <v:imagedata r:id="rId130" o:title=""/>
          </v:shape>
          <o:OLEObject Type="Embed" ProgID="Equation.3" ShapeID="_x0000_i1097" DrawAspect="Content" ObjectID="_1855117486" r:id="rId131"/>
        </w:object>
      </w:r>
      <w:r>
        <w:rPr>
          <w:rFonts w:ascii="Times New Roman" w:hAnsi="Times New Roman" w:cs="Times New Roman"/>
          <w:sz w:val="24"/>
          <w:szCs w:val="24"/>
        </w:rPr>
        <w:t>. While finite queue (</w:t>
      </w:r>
      <w:r w:rsidRPr="00FC09FB">
        <w:rPr>
          <w:rFonts w:ascii="Times New Roman" w:hAnsi="Times New Roman" w:cs="Times New Roman"/>
          <w:sz w:val="24"/>
          <w:szCs w:val="24"/>
        </w:rPr>
        <w:t>M</w:t>
      </w:r>
      <w:r>
        <w:rPr>
          <w:rFonts w:ascii="Times New Roman" w:hAnsi="Times New Roman" w:cs="Times New Roman"/>
          <w:sz w:val="24"/>
          <w:szCs w:val="24"/>
        </w:rPr>
        <w:t>/M/1/K</w:t>
      </w:r>
      <w:r w:rsidRPr="00FC09FB">
        <w:rPr>
          <w:rFonts w:ascii="Times New Roman" w:hAnsi="Times New Roman" w:cs="Times New Roman"/>
          <w:sz w:val="24"/>
          <w:szCs w:val="24"/>
        </w:rPr>
        <w:t>) and finite population models highlighted the structural risks of customer balking, overflow, and lost business during peak periods, they lacked the overall operational efficiency provided by multi-server provisioning.   Based on these empirical insights, bank management is advised to replace isolated single-server configurations wit</w:t>
      </w:r>
      <w:r>
        <w:rPr>
          <w:rFonts w:ascii="Times New Roman" w:hAnsi="Times New Roman" w:cs="Times New Roman"/>
          <w:sz w:val="24"/>
          <w:szCs w:val="24"/>
        </w:rPr>
        <w:t>h dynamic multi-server setups (</w:t>
      </w:r>
      <w:r w:rsidRPr="00FC09FB">
        <w:rPr>
          <w:rFonts w:ascii="Times New Roman" w:hAnsi="Times New Roman" w:cs="Times New Roman"/>
          <w:sz w:val="24"/>
          <w:szCs w:val="24"/>
        </w:rPr>
        <w:t xml:space="preserve">M/M/s), particularly during identified morning and peak operational hours. Implementing data-driven, multi-channel queuing strategies enables financial institutions to achieve a sustainable </w:t>
      </w:r>
      <w:r>
        <w:rPr>
          <w:rFonts w:ascii="Times New Roman" w:hAnsi="Times New Roman" w:cs="Times New Roman"/>
          <w:sz w:val="24"/>
          <w:szCs w:val="24"/>
        </w:rPr>
        <w:t xml:space="preserve">equilibrium between operational </w:t>
      </w:r>
      <w:r w:rsidRPr="00FC09FB">
        <w:rPr>
          <w:rFonts w:ascii="Times New Roman" w:hAnsi="Times New Roman" w:cs="Times New Roman"/>
          <w:sz w:val="24"/>
          <w:szCs w:val="24"/>
        </w:rPr>
        <w:t>cost management and service delivery excellence.</w:t>
      </w:r>
    </w:p>
    <w:p w14:paraId="3B309852" w14:textId="77777777" w:rsidR="00032A84" w:rsidRDefault="00032A84" w:rsidP="00D00475">
      <w:pPr>
        <w:spacing w:line="240" w:lineRule="auto"/>
        <w:jc w:val="both"/>
        <w:rPr>
          <w:rFonts w:ascii="Times New Roman" w:hAnsi="Times New Roman" w:cs="Times New Roman"/>
          <w:b/>
          <w:sz w:val="24"/>
          <w:szCs w:val="24"/>
        </w:rPr>
      </w:pPr>
    </w:p>
    <w:p w14:paraId="525052F0" w14:textId="77777777" w:rsidR="00D00475" w:rsidRDefault="00D00475" w:rsidP="00D0047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Limitations </w:t>
      </w:r>
    </w:p>
    <w:p w14:paraId="6E8A9029" w14:textId="77777777" w:rsidR="00D00475" w:rsidRDefault="00032A84" w:rsidP="00D00475">
      <w:pPr>
        <w:spacing w:line="240" w:lineRule="auto"/>
        <w:jc w:val="both"/>
        <w:rPr>
          <w:rFonts w:ascii="Times New Roman" w:hAnsi="Times New Roman" w:cs="Times New Roman"/>
          <w:sz w:val="24"/>
          <w:szCs w:val="24"/>
        </w:rPr>
      </w:pPr>
      <w:r w:rsidRPr="00032A84">
        <w:rPr>
          <w:rFonts w:ascii="Times New Roman" w:hAnsi="Times New Roman" w:cs="Times New Roman"/>
          <w:sz w:val="24"/>
          <w:szCs w:val="24"/>
        </w:rPr>
        <w:t>Despite providing valuable empirical insights into queuing dynamics within the Nigerian banking sector, this study is subject to several methodological and contextual limitations. First, data collection was restricted to morning peak hours (10:00 AM to 11:00 AM) over a limited duration across only two ATM stands at a single bank, restricting the generalizability of the findings across broader operational cycles or regional branches. Second, the reliance on manual observational methods introduces potential human error in recording customer timestamps compared to automated tracking technologies. Third, the governing assumptions of Poisson arrivals and exponential service times struggle to fully capture real-world irregularities, such as intermittent network downtime, cash stock-outs, and behavioral variations in customer arrival patterns. Finally, the study focuses predominantly on physical ATM queues without fully quantifying the dynamic substitution effects of digital and mobile banking channels.</w:t>
      </w:r>
    </w:p>
    <w:p w14:paraId="6E88B374" w14:textId="77777777" w:rsidR="001349E9" w:rsidRPr="001349E9" w:rsidRDefault="001349E9" w:rsidP="001349E9">
      <w:pPr>
        <w:spacing w:line="240" w:lineRule="auto"/>
        <w:jc w:val="both"/>
        <w:rPr>
          <w:rFonts w:ascii="Times New Roman" w:hAnsi="Times New Roman" w:cs="Times New Roman"/>
          <w:sz w:val="24"/>
          <w:szCs w:val="24"/>
        </w:rPr>
      </w:pPr>
      <w:r w:rsidRPr="001349E9">
        <w:rPr>
          <w:rFonts w:ascii="Times New Roman" w:hAnsi="Times New Roman" w:cs="Times New Roman"/>
          <w:sz w:val="24"/>
          <w:szCs w:val="24"/>
        </w:rPr>
        <w:t>Declaration of AI Use</w:t>
      </w:r>
    </w:p>
    <w:p w14:paraId="0D59690C" w14:textId="77777777" w:rsidR="001349E9" w:rsidRPr="001349E9" w:rsidRDefault="001349E9" w:rsidP="001349E9">
      <w:pPr>
        <w:spacing w:line="240" w:lineRule="auto"/>
        <w:jc w:val="both"/>
        <w:rPr>
          <w:rFonts w:ascii="Times New Roman" w:hAnsi="Times New Roman" w:cs="Times New Roman"/>
          <w:sz w:val="24"/>
          <w:szCs w:val="24"/>
        </w:rPr>
      </w:pPr>
    </w:p>
    <w:p w14:paraId="4C73764C" w14:textId="3A1FA73C" w:rsidR="00032A84" w:rsidRDefault="001349E9" w:rsidP="001349E9">
      <w:pPr>
        <w:spacing w:line="240" w:lineRule="auto"/>
        <w:jc w:val="both"/>
        <w:rPr>
          <w:rFonts w:ascii="Times New Roman" w:hAnsi="Times New Roman" w:cs="Times New Roman"/>
          <w:sz w:val="24"/>
          <w:szCs w:val="24"/>
        </w:rPr>
      </w:pPr>
      <w:r w:rsidRPr="001349E9">
        <w:rPr>
          <w:rFonts w:ascii="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269D50" w14:textId="77777777" w:rsidR="00982B4E" w:rsidRPr="00982B4E" w:rsidRDefault="00982B4E" w:rsidP="00982B4E">
      <w:pPr>
        <w:spacing w:line="240" w:lineRule="auto"/>
        <w:jc w:val="both"/>
        <w:rPr>
          <w:rFonts w:ascii="Times New Roman" w:hAnsi="Times New Roman" w:cs="Times New Roman"/>
          <w:sz w:val="24"/>
          <w:szCs w:val="24"/>
        </w:rPr>
      </w:pPr>
      <w:r w:rsidRPr="00982B4E">
        <w:rPr>
          <w:rFonts w:ascii="Times New Roman" w:hAnsi="Times New Roman" w:cs="Times New Roman"/>
          <w:sz w:val="24"/>
          <w:szCs w:val="24"/>
        </w:rPr>
        <w:t>COMPETING INTERESTS DISCLAIMER:</w:t>
      </w:r>
    </w:p>
    <w:p w14:paraId="056DC6F4" w14:textId="77777777" w:rsidR="00982B4E" w:rsidRPr="00982B4E" w:rsidRDefault="00982B4E" w:rsidP="00982B4E">
      <w:pPr>
        <w:spacing w:line="240" w:lineRule="auto"/>
        <w:jc w:val="both"/>
        <w:rPr>
          <w:rFonts w:ascii="Times New Roman" w:hAnsi="Times New Roman" w:cs="Times New Roman"/>
          <w:sz w:val="24"/>
          <w:szCs w:val="24"/>
        </w:rPr>
      </w:pPr>
      <w:r w:rsidRPr="00982B4E">
        <w:rPr>
          <w:rFonts w:ascii="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5F763DA7" w14:textId="77777777" w:rsidR="00982B4E" w:rsidRPr="00982B4E" w:rsidRDefault="00982B4E" w:rsidP="00982B4E">
      <w:pPr>
        <w:spacing w:line="240" w:lineRule="auto"/>
        <w:jc w:val="both"/>
        <w:rPr>
          <w:rFonts w:ascii="Times New Roman" w:hAnsi="Times New Roman" w:cs="Times New Roman"/>
          <w:sz w:val="24"/>
          <w:szCs w:val="24"/>
        </w:rPr>
      </w:pPr>
    </w:p>
    <w:p w14:paraId="048E2D36" w14:textId="77777777" w:rsidR="00032A84" w:rsidRDefault="00032A84" w:rsidP="00D00475">
      <w:pPr>
        <w:spacing w:line="240" w:lineRule="auto"/>
        <w:jc w:val="both"/>
        <w:rPr>
          <w:rFonts w:ascii="Times New Roman" w:hAnsi="Times New Roman" w:cs="Times New Roman"/>
          <w:sz w:val="24"/>
          <w:szCs w:val="24"/>
        </w:rPr>
      </w:pPr>
    </w:p>
    <w:p w14:paraId="5D691DCC" w14:textId="77777777" w:rsidR="00032A84" w:rsidRDefault="00032A84" w:rsidP="00D00475">
      <w:pPr>
        <w:spacing w:line="240" w:lineRule="auto"/>
        <w:jc w:val="both"/>
        <w:rPr>
          <w:rFonts w:ascii="Times New Roman" w:hAnsi="Times New Roman" w:cs="Times New Roman"/>
          <w:sz w:val="24"/>
          <w:szCs w:val="24"/>
        </w:rPr>
      </w:pPr>
    </w:p>
    <w:p w14:paraId="24A90942" w14:textId="77777777" w:rsidR="00804E8A" w:rsidRDefault="00804E8A" w:rsidP="00D00475">
      <w:pPr>
        <w:spacing w:line="240" w:lineRule="auto"/>
        <w:jc w:val="both"/>
        <w:rPr>
          <w:rFonts w:ascii="Times New Roman" w:hAnsi="Times New Roman" w:cs="Times New Roman"/>
          <w:sz w:val="24"/>
          <w:szCs w:val="24"/>
        </w:rPr>
      </w:pPr>
    </w:p>
    <w:p w14:paraId="03D4DCE8" w14:textId="77777777" w:rsidR="00032A84" w:rsidRDefault="00032A84" w:rsidP="00D00475">
      <w:pPr>
        <w:spacing w:line="240" w:lineRule="auto"/>
        <w:jc w:val="both"/>
        <w:rPr>
          <w:rFonts w:ascii="Times New Roman" w:hAnsi="Times New Roman" w:cs="Times New Roman"/>
          <w:b/>
          <w:sz w:val="24"/>
          <w:szCs w:val="24"/>
        </w:rPr>
      </w:pPr>
      <w:r w:rsidRPr="00032A84">
        <w:rPr>
          <w:rFonts w:ascii="Times New Roman" w:hAnsi="Times New Roman" w:cs="Times New Roman"/>
          <w:b/>
          <w:sz w:val="24"/>
          <w:szCs w:val="24"/>
        </w:rPr>
        <w:t>References</w:t>
      </w:r>
    </w:p>
    <w:p w14:paraId="182B5F0A"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Adebayo, O., &amp; Chukwu, E. (2024). Integrating machine learning with M/M/s queuing models for peak period prediction in Nigerian commercial banks. </w:t>
      </w:r>
      <w:r w:rsidRPr="00032A84">
        <w:rPr>
          <w:rFonts w:ascii="Times New Roman" w:eastAsia="Times New Roman" w:hAnsi="Times New Roman" w:cs="Times New Roman"/>
          <w:i/>
          <w:iCs/>
          <w:sz w:val="24"/>
          <w:szCs w:val="24"/>
        </w:rPr>
        <w:t>Journal of Operational Research and Information Management</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19</w:t>
      </w:r>
      <w:r w:rsidRPr="00032A84">
        <w:rPr>
          <w:rFonts w:ascii="Times New Roman" w:eastAsia="Times New Roman" w:hAnsi="Times New Roman" w:cs="Times New Roman"/>
          <w:sz w:val="24"/>
          <w:szCs w:val="24"/>
        </w:rPr>
        <w:t>(2), 112–128.</w:t>
      </w:r>
    </w:p>
    <w:p w14:paraId="52E9C34C"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Adeyemi, A. J., &amp; Ojo, O. (2015). Evaluation of ATM queuing systems and the impact of cashless policies in urban Nigerian banking environments. </w:t>
      </w:r>
      <w:r w:rsidRPr="00032A84">
        <w:rPr>
          <w:rFonts w:ascii="Times New Roman" w:eastAsia="Times New Roman" w:hAnsi="Times New Roman" w:cs="Times New Roman"/>
          <w:i/>
          <w:iCs/>
          <w:sz w:val="24"/>
          <w:szCs w:val="24"/>
        </w:rPr>
        <w:t>Nigerian Journal of Systems Science</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8</w:t>
      </w:r>
      <w:r w:rsidRPr="00032A84">
        <w:rPr>
          <w:rFonts w:ascii="Times New Roman" w:eastAsia="Times New Roman" w:hAnsi="Times New Roman" w:cs="Times New Roman"/>
          <w:sz w:val="24"/>
          <w:szCs w:val="24"/>
        </w:rPr>
        <w:t>(3), 45–58.</w:t>
      </w:r>
    </w:p>
    <w:p w14:paraId="6CF60B14"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Bishop, T., Okoro, C., &amp; Adeleke, S. (2018). Assessing waiting times and queue lengths in selected commercial banks in Ogun State. </w:t>
      </w:r>
      <w:r w:rsidRPr="00032A84">
        <w:rPr>
          <w:rFonts w:ascii="Times New Roman" w:eastAsia="Times New Roman" w:hAnsi="Times New Roman" w:cs="Times New Roman"/>
          <w:i/>
          <w:iCs/>
          <w:sz w:val="24"/>
          <w:szCs w:val="24"/>
        </w:rPr>
        <w:t>West African Journal of Business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12</w:t>
      </w:r>
      <w:r w:rsidRPr="00032A84">
        <w:rPr>
          <w:rFonts w:ascii="Times New Roman" w:eastAsia="Times New Roman" w:hAnsi="Times New Roman" w:cs="Times New Roman"/>
          <w:sz w:val="24"/>
          <w:szCs w:val="24"/>
        </w:rPr>
        <w:t>(1), 89–104.</w:t>
      </w:r>
    </w:p>
    <w:p w14:paraId="3614019E"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Burodo</w:t>
      </w:r>
      <w:proofErr w:type="spellEnd"/>
      <w:r w:rsidRPr="00032A84">
        <w:rPr>
          <w:rFonts w:ascii="Times New Roman" w:eastAsia="Times New Roman" w:hAnsi="Times New Roman" w:cs="Times New Roman"/>
          <w:sz w:val="24"/>
          <w:szCs w:val="24"/>
        </w:rPr>
        <w:t xml:space="preserve">, A. M., Bello, M., &amp; Sani, K. (2019). Comparative analysis of single and multi-server queuing models in rural bank branches: A case study of First Bank Plc, Kaura Namoda. </w:t>
      </w:r>
      <w:r w:rsidRPr="00032A84">
        <w:rPr>
          <w:rFonts w:ascii="Times New Roman" w:eastAsia="Times New Roman" w:hAnsi="Times New Roman" w:cs="Times New Roman"/>
          <w:i/>
          <w:iCs/>
          <w:sz w:val="24"/>
          <w:szCs w:val="24"/>
        </w:rPr>
        <w:t>Journal of Mathematics and Decision Sciences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14</w:t>
      </w:r>
      <w:r w:rsidRPr="00032A84">
        <w:rPr>
          <w:rFonts w:ascii="Times New Roman" w:eastAsia="Times New Roman" w:hAnsi="Times New Roman" w:cs="Times New Roman"/>
          <w:sz w:val="24"/>
          <w:szCs w:val="24"/>
        </w:rPr>
        <w:t>(2), 77–90.</w:t>
      </w:r>
    </w:p>
    <w:p w14:paraId="388ECDE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Central Bank of Nigeria. (2020). </w:t>
      </w:r>
      <w:r w:rsidRPr="00032A84">
        <w:rPr>
          <w:rFonts w:ascii="Times New Roman" w:eastAsia="Times New Roman" w:hAnsi="Times New Roman" w:cs="Times New Roman"/>
          <w:i/>
          <w:iCs/>
          <w:sz w:val="24"/>
          <w:szCs w:val="24"/>
        </w:rPr>
        <w:t>Annual report and statement of accounts for the year ended 31st December 2020</w:t>
      </w:r>
      <w:r w:rsidRPr="00032A84">
        <w:rPr>
          <w:rFonts w:ascii="Times New Roman" w:eastAsia="Times New Roman" w:hAnsi="Times New Roman" w:cs="Times New Roman"/>
          <w:sz w:val="24"/>
          <w:szCs w:val="24"/>
        </w:rPr>
        <w:t>. Central Bank of Nigeria.</w:t>
      </w:r>
    </w:p>
    <w:p w14:paraId="597E305F"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Egolum, C. C., &amp; Okeke, J. I. (2023). Impact of priority queuing models and service point allocation on customer service delivery in Nigerian banks. </w:t>
      </w:r>
      <w:r w:rsidRPr="00032A84">
        <w:rPr>
          <w:rFonts w:ascii="Times New Roman" w:eastAsia="Times New Roman" w:hAnsi="Times New Roman" w:cs="Times New Roman"/>
          <w:i/>
          <w:iCs/>
          <w:sz w:val="24"/>
          <w:szCs w:val="24"/>
        </w:rPr>
        <w:t>International Journal of Banking and Finance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11</w:t>
      </w:r>
      <w:r w:rsidRPr="00032A84">
        <w:rPr>
          <w:rFonts w:ascii="Times New Roman" w:eastAsia="Times New Roman" w:hAnsi="Times New Roman" w:cs="Times New Roman"/>
          <w:sz w:val="24"/>
          <w:szCs w:val="24"/>
        </w:rPr>
        <w:t>(4), 134–150.</w:t>
      </w:r>
    </w:p>
    <w:p w14:paraId="5912865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Erlang, A. K. (1917). Solution of some problems in the theory of probabilities of significance in automatic telephone exchanges. </w:t>
      </w:r>
      <w:r w:rsidRPr="00032A84">
        <w:rPr>
          <w:rFonts w:ascii="Times New Roman" w:eastAsia="Times New Roman" w:hAnsi="Times New Roman" w:cs="Times New Roman"/>
          <w:i/>
          <w:iCs/>
          <w:sz w:val="24"/>
          <w:szCs w:val="24"/>
        </w:rPr>
        <w:t>Post Office Electrical Engineers' Journal</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10</w:t>
      </w:r>
      <w:r w:rsidRPr="00032A84">
        <w:rPr>
          <w:rFonts w:ascii="Times New Roman" w:eastAsia="Times New Roman" w:hAnsi="Times New Roman" w:cs="Times New Roman"/>
          <w:sz w:val="24"/>
          <w:szCs w:val="24"/>
        </w:rPr>
        <w:t>, 189–197.</w:t>
      </w:r>
    </w:p>
    <w:p w14:paraId="36B8FC5E"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Farayibi</w:t>
      </w:r>
      <w:proofErr w:type="spellEnd"/>
      <w:r w:rsidRPr="00032A84">
        <w:rPr>
          <w:rFonts w:ascii="Times New Roman" w:eastAsia="Times New Roman" w:hAnsi="Times New Roman" w:cs="Times New Roman"/>
          <w:sz w:val="24"/>
          <w:szCs w:val="24"/>
        </w:rPr>
        <w:t xml:space="preserve">, A. O. (2016). Queuing dynamics and service optimization in commercial banks: Evidence from </w:t>
      </w:r>
      <w:proofErr w:type="spellStart"/>
      <w:r w:rsidRPr="00032A84">
        <w:rPr>
          <w:rFonts w:ascii="Times New Roman" w:eastAsia="Times New Roman" w:hAnsi="Times New Roman" w:cs="Times New Roman"/>
          <w:sz w:val="24"/>
          <w:szCs w:val="24"/>
        </w:rPr>
        <w:t>GTBank</w:t>
      </w:r>
      <w:proofErr w:type="spellEnd"/>
      <w:r w:rsidRPr="00032A84">
        <w:rPr>
          <w:rFonts w:ascii="Times New Roman" w:eastAsia="Times New Roman" w:hAnsi="Times New Roman" w:cs="Times New Roman"/>
          <w:sz w:val="24"/>
          <w:szCs w:val="24"/>
        </w:rPr>
        <w:t xml:space="preserve"> and Ecobank in Lagos. </w:t>
      </w:r>
      <w:r w:rsidRPr="00032A84">
        <w:rPr>
          <w:rFonts w:ascii="Times New Roman" w:eastAsia="Times New Roman" w:hAnsi="Times New Roman" w:cs="Times New Roman"/>
          <w:i/>
          <w:iCs/>
          <w:sz w:val="24"/>
          <w:szCs w:val="24"/>
        </w:rPr>
        <w:t>Lagos Journal of Economics and Operations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5</w:t>
      </w:r>
      <w:r w:rsidRPr="00032A84">
        <w:rPr>
          <w:rFonts w:ascii="Times New Roman" w:eastAsia="Times New Roman" w:hAnsi="Times New Roman" w:cs="Times New Roman"/>
          <w:sz w:val="24"/>
          <w:szCs w:val="24"/>
        </w:rPr>
        <w:t>(2), 33–50.</w:t>
      </w:r>
    </w:p>
    <w:p w14:paraId="71B67B8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Gross, D., &amp; Harris, C. M. (1998). </w:t>
      </w:r>
      <w:r w:rsidRPr="00032A84">
        <w:rPr>
          <w:rFonts w:ascii="Times New Roman" w:eastAsia="Times New Roman" w:hAnsi="Times New Roman" w:cs="Times New Roman"/>
          <w:i/>
          <w:iCs/>
          <w:sz w:val="24"/>
          <w:szCs w:val="24"/>
        </w:rPr>
        <w:t>Fundamentals of queueing theory</w:t>
      </w:r>
      <w:r w:rsidRPr="00032A84">
        <w:rPr>
          <w:rFonts w:ascii="Times New Roman" w:eastAsia="Times New Roman" w:hAnsi="Times New Roman" w:cs="Times New Roman"/>
          <w:sz w:val="24"/>
          <w:szCs w:val="24"/>
        </w:rPr>
        <w:t xml:space="preserve"> (3rd ed.). John Wiley &amp; Sons.</w:t>
      </w:r>
    </w:p>
    <w:p w14:paraId="00AE2B5D"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Ibrahim, M., &amp; Musa, A. (2023). Queue-based ATM scheduling algorithms for downtime reduction and service optimization. </w:t>
      </w:r>
      <w:r w:rsidRPr="00032A84">
        <w:rPr>
          <w:rFonts w:ascii="Times New Roman" w:eastAsia="Times New Roman" w:hAnsi="Times New Roman" w:cs="Times New Roman"/>
          <w:i/>
          <w:iCs/>
          <w:sz w:val="24"/>
          <w:szCs w:val="24"/>
        </w:rPr>
        <w:t>Journal of Financial Technology and Operations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7</w:t>
      </w:r>
      <w:r w:rsidRPr="00032A84">
        <w:rPr>
          <w:rFonts w:ascii="Times New Roman" w:eastAsia="Times New Roman" w:hAnsi="Times New Roman" w:cs="Times New Roman"/>
          <w:sz w:val="24"/>
          <w:szCs w:val="24"/>
        </w:rPr>
        <w:t>(1), 60–75.</w:t>
      </w:r>
    </w:p>
    <w:p w14:paraId="34C2342D"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Odirichukwu</w:t>
      </w:r>
      <w:proofErr w:type="spellEnd"/>
      <w:r w:rsidRPr="00032A84">
        <w:rPr>
          <w:rFonts w:ascii="Times New Roman" w:eastAsia="Times New Roman" w:hAnsi="Times New Roman" w:cs="Times New Roman"/>
          <w:sz w:val="24"/>
          <w:szCs w:val="24"/>
        </w:rPr>
        <w:t xml:space="preserve">, P., Uche, C., &amp; Nnamdi, K. (2014). Socioeconomic and cultural factors influencing customer queuing behavior in Nigerian financial institutions. </w:t>
      </w:r>
      <w:r w:rsidRPr="00032A84">
        <w:rPr>
          <w:rFonts w:ascii="Times New Roman" w:eastAsia="Times New Roman" w:hAnsi="Times New Roman" w:cs="Times New Roman"/>
          <w:i/>
          <w:iCs/>
          <w:sz w:val="24"/>
          <w:szCs w:val="24"/>
        </w:rPr>
        <w:t>African Journal of Management and Business Studies</w:t>
      </w:r>
      <w:r w:rsidRPr="00032A84">
        <w:rPr>
          <w:rFonts w:ascii="Times New Roman" w:eastAsia="Times New Roman" w:hAnsi="Times New Roman" w:cs="Times New Roman"/>
          <w:sz w:val="24"/>
          <w:szCs w:val="24"/>
        </w:rPr>
        <w:t>,</w:t>
      </w:r>
      <w:r w:rsidRPr="00485A67">
        <w:rPr>
          <w:rFonts w:ascii="Times New Roman" w:eastAsia="Times New Roman" w:hAnsi="Times New Roman" w:cs="Times New Roman"/>
          <w:i/>
          <w:sz w:val="24"/>
          <w:szCs w:val="24"/>
        </w:rPr>
        <w:t xml:space="preserve"> 3</w:t>
      </w:r>
      <w:r w:rsidRPr="00032A84">
        <w:rPr>
          <w:rFonts w:ascii="Times New Roman" w:eastAsia="Times New Roman" w:hAnsi="Times New Roman" w:cs="Times New Roman"/>
          <w:sz w:val="24"/>
          <w:szCs w:val="24"/>
        </w:rPr>
        <w:t>(2), 115–130.</w:t>
      </w:r>
    </w:p>
    <w:p w14:paraId="19586E54"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Ogunlade, O. (2019). IoT-based queue monitoring systems and real-time customer tracking in Nigerian banks. </w:t>
      </w:r>
      <w:r w:rsidRPr="00032A84">
        <w:rPr>
          <w:rFonts w:ascii="Times New Roman" w:eastAsia="Times New Roman" w:hAnsi="Times New Roman" w:cs="Times New Roman"/>
          <w:i/>
          <w:iCs/>
          <w:sz w:val="24"/>
          <w:szCs w:val="24"/>
        </w:rPr>
        <w:t>Journal of Information Technology and Systems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12</w:t>
      </w:r>
      <w:r w:rsidRPr="00032A84">
        <w:rPr>
          <w:rFonts w:ascii="Times New Roman" w:eastAsia="Times New Roman" w:hAnsi="Times New Roman" w:cs="Times New Roman"/>
          <w:sz w:val="24"/>
          <w:szCs w:val="24"/>
        </w:rPr>
        <w:t>(3), 201–215.</w:t>
      </w:r>
    </w:p>
    <w:p w14:paraId="708D528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lastRenderedPageBreak/>
        <w:t xml:space="preserve">Ogunlade, O., &amp; Adeyemo, T. (2020). Discrete event simulation of customer flow and teller allocation in Zenith Bank branches. </w:t>
      </w:r>
      <w:r w:rsidRPr="00032A84">
        <w:rPr>
          <w:rFonts w:ascii="Times New Roman" w:eastAsia="Times New Roman" w:hAnsi="Times New Roman" w:cs="Times New Roman"/>
          <w:i/>
          <w:iCs/>
          <w:sz w:val="24"/>
          <w:szCs w:val="24"/>
        </w:rPr>
        <w:t>Simulation Modelling Practice and Theory</w:t>
      </w:r>
      <w:r w:rsidRPr="00032A84">
        <w:rPr>
          <w:rFonts w:ascii="Times New Roman" w:eastAsia="Times New Roman" w:hAnsi="Times New Roman" w:cs="Times New Roman"/>
          <w:sz w:val="24"/>
          <w:szCs w:val="24"/>
        </w:rPr>
        <w:t>, 104, Article 102120.</w:t>
      </w:r>
    </w:p>
    <w:p w14:paraId="78A434EF"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(2019). Real-time queue monitoring and sensor integration in banking operations. </w:t>
      </w:r>
      <w:r w:rsidRPr="00032A84">
        <w:rPr>
          <w:rFonts w:ascii="Times New Roman" w:eastAsia="Times New Roman" w:hAnsi="Times New Roman" w:cs="Times New Roman"/>
          <w:i/>
          <w:iCs/>
          <w:sz w:val="24"/>
          <w:szCs w:val="24"/>
        </w:rPr>
        <w:t>Nigerian Journal of Operational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11</w:t>
      </w:r>
      <w:r w:rsidRPr="00032A84">
        <w:rPr>
          <w:rFonts w:ascii="Times New Roman" w:eastAsia="Times New Roman" w:hAnsi="Times New Roman" w:cs="Times New Roman"/>
          <w:sz w:val="24"/>
          <w:szCs w:val="24"/>
        </w:rPr>
        <w:t>(1), 22–39.</w:t>
      </w:r>
    </w:p>
    <w:p w14:paraId="4E8FB148"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(2021). The influence of mobile banking adoption and electronic platforms on physical queue lengths in developing economies. </w:t>
      </w:r>
      <w:r w:rsidRPr="00032A84">
        <w:rPr>
          <w:rFonts w:ascii="Times New Roman" w:eastAsia="Times New Roman" w:hAnsi="Times New Roman" w:cs="Times New Roman"/>
          <w:i/>
          <w:iCs/>
          <w:sz w:val="24"/>
          <w:szCs w:val="24"/>
        </w:rPr>
        <w:t>Journal of Banking and Information Technology</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16</w:t>
      </w:r>
      <w:r w:rsidRPr="00032A84">
        <w:rPr>
          <w:rFonts w:ascii="Times New Roman" w:eastAsia="Times New Roman" w:hAnsi="Times New Roman" w:cs="Times New Roman"/>
          <w:sz w:val="24"/>
          <w:szCs w:val="24"/>
        </w:rPr>
        <w:t>(2), 88–102.</w:t>
      </w:r>
    </w:p>
    <w:p w14:paraId="7990E5C1"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Adeleke, F., &amp; Babatunde, S. (2022). Customer satisfaction index and queuing dynamics: Evidence from Stanbic IBTC Bank. </w:t>
      </w:r>
      <w:r w:rsidRPr="00032A84">
        <w:rPr>
          <w:rFonts w:ascii="Times New Roman" w:eastAsia="Times New Roman" w:hAnsi="Times New Roman" w:cs="Times New Roman"/>
          <w:i/>
          <w:iCs/>
          <w:sz w:val="24"/>
          <w:szCs w:val="24"/>
        </w:rPr>
        <w:t>African Journal of Operational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15</w:t>
      </w:r>
      <w:r w:rsidRPr="00032A84">
        <w:rPr>
          <w:rFonts w:ascii="Times New Roman" w:eastAsia="Times New Roman" w:hAnsi="Times New Roman" w:cs="Times New Roman"/>
          <w:sz w:val="24"/>
          <w:szCs w:val="24"/>
        </w:rPr>
        <w:t>(3), 145–160.</w:t>
      </w:r>
    </w:p>
    <w:p w14:paraId="46CB0BB5" w14:textId="77777777" w:rsidR="00032A84" w:rsidRPr="00032A84" w:rsidRDefault="00032A84" w:rsidP="00032A84">
      <w:pPr>
        <w:spacing w:line="240" w:lineRule="auto"/>
        <w:jc w:val="both"/>
        <w:rPr>
          <w:rFonts w:ascii="Times New Roman" w:hAnsi="Times New Roman" w:cs="Times New Roman"/>
          <w:b/>
          <w:sz w:val="24"/>
          <w:szCs w:val="24"/>
        </w:rPr>
      </w:pPr>
    </w:p>
    <w:sectPr w:rsidR="00032A84" w:rsidRPr="00032A84" w:rsidSect="00804E8A">
      <w:headerReference w:type="even" r:id="rId132"/>
      <w:headerReference w:type="default" r:id="rId133"/>
      <w:footerReference w:type="even" r:id="rId134"/>
      <w:footerReference w:type="default" r:id="rId135"/>
      <w:headerReference w:type="first" r:id="rId136"/>
      <w:footerReference w:type="first" r:id="rId137"/>
      <w:pgSz w:w="12240" w:h="15840"/>
      <w:pgMar w:top="14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952F" w14:textId="77777777" w:rsidR="00711CE7" w:rsidRDefault="00711CE7" w:rsidP="00FC09FB">
      <w:pPr>
        <w:spacing w:after="0" w:line="240" w:lineRule="auto"/>
      </w:pPr>
      <w:r>
        <w:separator/>
      </w:r>
    </w:p>
  </w:endnote>
  <w:endnote w:type="continuationSeparator" w:id="0">
    <w:p w14:paraId="25E3937F" w14:textId="77777777" w:rsidR="00711CE7" w:rsidRDefault="00711CE7" w:rsidP="00FC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F972" w14:textId="77777777" w:rsidR="002E64E9" w:rsidRDefault="002E6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181634"/>
      <w:docPartObj>
        <w:docPartGallery w:val="Page Numbers (Bottom of Page)"/>
        <w:docPartUnique/>
      </w:docPartObj>
    </w:sdtPr>
    <w:sdtEndPr>
      <w:rPr>
        <w:noProof/>
      </w:rPr>
    </w:sdtEndPr>
    <w:sdtContent>
      <w:p w14:paraId="35393386" w14:textId="77777777" w:rsidR="00FC09FB" w:rsidRDefault="00FC09FB">
        <w:pPr>
          <w:pStyle w:val="Footer"/>
          <w:jc w:val="right"/>
        </w:pPr>
        <w:r>
          <w:fldChar w:fldCharType="begin"/>
        </w:r>
        <w:r>
          <w:instrText xml:space="preserve"> PAGE   \* MERGEFORMAT </w:instrText>
        </w:r>
        <w:r>
          <w:fldChar w:fldCharType="separate"/>
        </w:r>
        <w:r w:rsidR="009A620E">
          <w:rPr>
            <w:noProof/>
          </w:rPr>
          <w:t>19</w:t>
        </w:r>
        <w:r>
          <w:rPr>
            <w:noProof/>
          </w:rPr>
          <w:fldChar w:fldCharType="end"/>
        </w:r>
      </w:p>
    </w:sdtContent>
  </w:sdt>
  <w:p w14:paraId="6E7A74D8" w14:textId="77777777" w:rsidR="00FC09FB" w:rsidRDefault="00FC09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602B" w14:textId="77777777" w:rsidR="002E64E9" w:rsidRDefault="002E6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D6671" w14:textId="77777777" w:rsidR="00711CE7" w:rsidRDefault="00711CE7" w:rsidP="00FC09FB">
      <w:pPr>
        <w:spacing w:after="0" w:line="240" w:lineRule="auto"/>
      </w:pPr>
      <w:r>
        <w:separator/>
      </w:r>
    </w:p>
  </w:footnote>
  <w:footnote w:type="continuationSeparator" w:id="0">
    <w:p w14:paraId="0277D386" w14:textId="77777777" w:rsidR="00711CE7" w:rsidRDefault="00711CE7" w:rsidP="00FC0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32B6" w14:textId="6B1040CD" w:rsidR="002E64E9" w:rsidRDefault="00711CE7">
    <w:pPr>
      <w:pStyle w:val="Header"/>
    </w:pPr>
    <w:r>
      <w:rPr>
        <w:noProof/>
      </w:rPr>
      <w:pict w14:anchorId="7F473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08A3" w14:textId="79477F76" w:rsidR="002E64E9" w:rsidRDefault="00711CE7">
    <w:pPr>
      <w:pStyle w:val="Header"/>
    </w:pPr>
    <w:r>
      <w:rPr>
        <w:noProof/>
      </w:rPr>
      <w:pict w14:anchorId="278375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71E" w14:textId="1BCDB35E" w:rsidR="002E64E9" w:rsidRDefault="00711CE7">
    <w:pPr>
      <w:pStyle w:val="Header"/>
    </w:pPr>
    <w:r>
      <w:rPr>
        <w:noProof/>
      </w:rPr>
      <w:pict w14:anchorId="6CB5F6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C6B1C"/>
    <w:multiLevelType w:val="hybridMultilevel"/>
    <w:tmpl w:val="BF546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F01F60"/>
    <w:multiLevelType w:val="hybridMultilevel"/>
    <w:tmpl w:val="C3787D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8449379">
    <w:abstractNumId w:val="0"/>
  </w:num>
  <w:num w:numId="2" w16cid:durableId="673846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C2"/>
    <w:rsid w:val="0000717B"/>
    <w:rsid w:val="00032A84"/>
    <w:rsid w:val="00081D9E"/>
    <w:rsid w:val="000A1AA3"/>
    <w:rsid w:val="00116DDC"/>
    <w:rsid w:val="001349E9"/>
    <w:rsid w:val="00212AF8"/>
    <w:rsid w:val="00236D64"/>
    <w:rsid w:val="00255C7E"/>
    <w:rsid w:val="00285F2D"/>
    <w:rsid w:val="002E64E9"/>
    <w:rsid w:val="0030556A"/>
    <w:rsid w:val="0037534C"/>
    <w:rsid w:val="004838D7"/>
    <w:rsid w:val="00485A67"/>
    <w:rsid w:val="004C1510"/>
    <w:rsid w:val="004D3E40"/>
    <w:rsid w:val="00545D35"/>
    <w:rsid w:val="005604B0"/>
    <w:rsid w:val="00561279"/>
    <w:rsid w:val="005977CB"/>
    <w:rsid w:val="005C762C"/>
    <w:rsid w:val="00605A20"/>
    <w:rsid w:val="00652DF8"/>
    <w:rsid w:val="00711CE7"/>
    <w:rsid w:val="007627F7"/>
    <w:rsid w:val="007D40C2"/>
    <w:rsid w:val="00804E8A"/>
    <w:rsid w:val="00927407"/>
    <w:rsid w:val="009578D1"/>
    <w:rsid w:val="00982B4E"/>
    <w:rsid w:val="009A620E"/>
    <w:rsid w:val="009B0068"/>
    <w:rsid w:val="009E2338"/>
    <w:rsid w:val="009F758E"/>
    <w:rsid w:val="00A37DDF"/>
    <w:rsid w:val="00AB412E"/>
    <w:rsid w:val="00B25BD2"/>
    <w:rsid w:val="00C34979"/>
    <w:rsid w:val="00CE2E63"/>
    <w:rsid w:val="00D00475"/>
    <w:rsid w:val="00D44BB9"/>
    <w:rsid w:val="00D50DAA"/>
    <w:rsid w:val="00DA3282"/>
    <w:rsid w:val="00E125C8"/>
    <w:rsid w:val="00E47CAB"/>
    <w:rsid w:val="00F43F18"/>
    <w:rsid w:val="00FC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FF86B"/>
  <w15:chartTrackingRefBased/>
  <w15:docId w15:val="{C86CA116-450B-462A-BCC6-6B629CAA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0C2"/>
  </w:style>
  <w:style w:type="paragraph" w:styleId="Heading1">
    <w:name w:val="heading 1"/>
    <w:basedOn w:val="Normal"/>
    <w:next w:val="Normal"/>
    <w:link w:val="Heading1Char"/>
    <w:uiPriority w:val="9"/>
    <w:qFormat/>
    <w:rsid w:val="00A37D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75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74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40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758E"/>
    <w:rPr>
      <w:rFonts w:asciiTheme="majorHAnsi" w:eastAsiaTheme="majorEastAsia" w:hAnsiTheme="majorHAnsi" w:cstheme="majorBidi"/>
      <w:color w:val="2E74B5" w:themeColor="accent1" w:themeShade="BF"/>
      <w:sz w:val="26"/>
      <w:szCs w:val="26"/>
    </w:rPr>
  </w:style>
  <w:style w:type="table" w:styleId="LightList-Accent1">
    <w:name w:val="Light List Accent 1"/>
    <w:basedOn w:val="TableNormal"/>
    <w:uiPriority w:val="61"/>
    <w:rsid w:val="009F758E"/>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
    <w:name w:val="Light List"/>
    <w:basedOn w:val="TableNormal"/>
    <w:uiPriority w:val="61"/>
    <w:rsid w:val="00C34979"/>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A37D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27407"/>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927407"/>
    <w:rPr>
      <w:b/>
      <w:bCs/>
    </w:rPr>
  </w:style>
  <w:style w:type="paragraph" w:styleId="ListParagraph">
    <w:name w:val="List Paragraph"/>
    <w:basedOn w:val="Normal"/>
    <w:uiPriority w:val="34"/>
    <w:qFormat/>
    <w:rsid w:val="00927407"/>
    <w:pPr>
      <w:ind w:left="720"/>
      <w:contextualSpacing/>
    </w:pPr>
  </w:style>
  <w:style w:type="paragraph" w:styleId="Header">
    <w:name w:val="header"/>
    <w:basedOn w:val="Normal"/>
    <w:link w:val="HeaderChar"/>
    <w:uiPriority w:val="99"/>
    <w:unhideWhenUsed/>
    <w:rsid w:val="00FC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9FB"/>
  </w:style>
  <w:style w:type="paragraph" w:styleId="Footer">
    <w:name w:val="footer"/>
    <w:basedOn w:val="Normal"/>
    <w:link w:val="FooterChar"/>
    <w:uiPriority w:val="99"/>
    <w:unhideWhenUsed/>
    <w:rsid w:val="00FC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9FB"/>
  </w:style>
  <w:style w:type="character" w:styleId="PlaceholderText">
    <w:name w:val="Placeholder Text"/>
    <w:basedOn w:val="DefaultParagraphFont"/>
    <w:uiPriority w:val="99"/>
    <w:semiHidden/>
    <w:rsid w:val="00FC09FB"/>
    <w:rPr>
      <w:color w:val="808080"/>
    </w:rPr>
  </w:style>
  <w:style w:type="paragraph" w:customStyle="1" w:styleId="first-token">
    <w:name w:val="first-token"/>
    <w:basedOn w:val="Normal"/>
    <w:rsid w:val="00032A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717B"/>
    <w:rPr>
      <w:color w:val="0563C1" w:themeColor="hyperlink"/>
      <w:u w:val="single"/>
    </w:rPr>
  </w:style>
  <w:style w:type="character" w:customStyle="1" w:styleId="UnresolvedMention1">
    <w:name w:val="Unresolved Mention1"/>
    <w:basedOn w:val="DefaultParagraphFont"/>
    <w:uiPriority w:val="99"/>
    <w:semiHidden/>
    <w:unhideWhenUsed/>
    <w:rsid w:val="00007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2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1" Type="http://schemas.openxmlformats.org/officeDocument/2006/relationships/image" Target="media/image8.wmf"/><Relationship Id="rId42" Type="http://schemas.openxmlformats.org/officeDocument/2006/relationships/oleObject" Target="embeddings/oleObject19.bin"/><Relationship Id="rId63" Type="http://schemas.openxmlformats.org/officeDocument/2006/relationships/image" Target="media/image26.wmf"/><Relationship Id="rId84" Type="http://schemas.openxmlformats.org/officeDocument/2006/relationships/image" Target="media/image36.wmf"/><Relationship Id="rId138" Type="http://schemas.openxmlformats.org/officeDocument/2006/relationships/fontTable" Target="fontTable.xml"/><Relationship Id="rId16" Type="http://schemas.openxmlformats.org/officeDocument/2006/relationships/oleObject" Target="embeddings/oleObject5.bin"/><Relationship Id="rId107" Type="http://schemas.openxmlformats.org/officeDocument/2006/relationships/image" Target="media/image47.wmf"/><Relationship Id="rId11" Type="http://schemas.openxmlformats.org/officeDocument/2006/relationships/image" Target="media/image3.wmf"/><Relationship Id="rId32" Type="http://schemas.openxmlformats.org/officeDocument/2006/relationships/image" Target="media/image13.wmf"/><Relationship Id="rId37" Type="http://schemas.openxmlformats.org/officeDocument/2006/relationships/oleObject" Target="embeddings/oleObject16.bin"/><Relationship Id="rId53" Type="http://schemas.openxmlformats.org/officeDocument/2006/relationships/oleObject" Target="embeddings/oleObject25.bin"/><Relationship Id="rId58" Type="http://schemas.openxmlformats.org/officeDocument/2006/relationships/oleObject" Target="embeddings/oleObject28.bin"/><Relationship Id="rId74" Type="http://schemas.openxmlformats.org/officeDocument/2006/relationships/image" Target="media/image31.wmf"/><Relationship Id="rId79" Type="http://schemas.openxmlformats.org/officeDocument/2006/relationships/oleObject" Target="embeddings/oleObject40.bin"/><Relationship Id="rId102" Type="http://schemas.openxmlformats.org/officeDocument/2006/relationships/oleObject" Target="embeddings/oleObject52.bin"/><Relationship Id="rId123" Type="http://schemas.openxmlformats.org/officeDocument/2006/relationships/oleObject" Target="embeddings/oleObject68.bin"/><Relationship Id="rId128" Type="http://schemas.openxmlformats.org/officeDocument/2006/relationships/image" Target="media/image51.wmf"/><Relationship Id="rId5" Type="http://schemas.openxmlformats.org/officeDocument/2006/relationships/footnotes" Target="footnotes.xml"/><Relationship Id="rId90" Type="http://schemas.openxmlformats.org/officeDocument/2006/relationships/oleObject" Target="embeddings/oleObject46.bin"/><Relationship Id="rId95" Type="http://schemas.openxmlformats.org/officeDocument/2006/relationships/image" Target="media/image41.wmf"/><Relationship Id="rId22" Type="http://schemas.openxmlformats.org/officeDocument/2006/relationships/oleObject" Target="embeddings/oleObject8.bin"/><Relationship Id="rId27" Type="http://schemas.openxmlformats.org/officeDocument/2006/relationships/oleObject" Target="embeddings/oleObject11.bin"/><Relationship Id="rId43" Type="http://schemas.openxmlformats.org/officeDocument/2006/relationships/image" Target="media/image18.wmf"/><Relationship Id="rId48" Type="http://schemas.openxmlformats.org/officeDocument/2006/relationships/image" Target="media/image20.wmf"/><Relationship Id="rId64" Type="http://schemas.openxmlformats.org/officeDocument/2006/relationships/oleObject" Target="embeddings/oleObject32.bin"/><Relationship Id="rId69" Type="http://schemas.openxmlformats.org/officeDocument/2006/relationships/oleObject" Target="embeddings/oleObject35.bin"/><Relationship Id="rId113" Type="http://schemas.openxmlformats.org/officeDocument/2006/relationships/oleObject" Target="embeddings/oleObject59.bin"/><Relationship Id="rId118" Type="http://schemas.openxmlformats.org/officeDocument/2006/relationships/oleObject" Target="embeddings/oleObject63.bin"/><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image" Target="media/image34.wmf"/><Relationship Id="rId85" Type="http://schemas.openxmlformats.org/officeDocument/2006/relationships/oleObject" Target="embeddings/oleObject43.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4.bin"/><Relationship Id="rId38" Type="http://schemas.openxmlformats.org/officeDocument/2006/relationships/image" Target="media/image16.wmf"/><Relationship Id="rId59" Type="http://schemas.openxmlformats.org/officeDocument/2006/relationships/image" Target="media/image25.wmf"/><Relationship Id="rId103" Type="http://schemas.openxmlformats.org/officeDocument/2006/relationships/image" Target="media/image45.wmf"/><Relationship Id="rId108" Type="http://schemas.openxmlformats.org/officeDocument/2006/relationships/oleObject" Target="embeddings/oleObject55.bin"/><Relationship Id="rId124" Type="http://schemas.openxmlformats.org/officeDocument/2006/relationships/oleObject" Target="embeddings/oleObject69.bin"/><Relationship Id="rId129" Type="http://schemas.openxmlformats.org/officeDocument/2006/relationships/oleObject" Target="embeddings/oleObject72.bin"/><Relationship Id="rId54" Type="http://schemas.openxmlformats.org/officeDocument/2006/relationships/oleObject" Target="embeddings/oleObject26.bin"/><Relationship Id="rId70" Type="http://schemas.openxmlformats.org/officeDocument/2006/relationships/image" Target="media/image29.wmf"/><Relationship Id="rId75" Type="http://schemas.openxmlformats.org/officeDocument/2006/relationships/oleObject" Target="embeddings/oleObject38.bin"/><Relationship Id="rId91" Type="http://schemas.openxmlformats.org/officeDocument/2006/relationships/image" Target="media/image39.wmf"/><Relationship Id="rId96" Type="http://schemas.openxmlformats.org/officeDocument/2006/relationships/oleObject" Target="embeddings/oleObject49.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image" Target="media/image11.wmf"/><Relationship Id="rId49" Type="http://schemas.openxmlformats.org/officeDocument/2006/relationships/oleObject" Target="embeddings/oleObject23.bin"/><Relationship Id="rId114" Type="http://schemas.openxmlformats.org/officeDocument/2006/relationships/image" Target="media/image49.wmf"/><Relationship Id="rId119" Type="http://schemas.openxmlformats.org/officeDocument/2006/relationships/oleObject" Target="embeddings/oleObject64.bin"/><Relationship Id="rId44" Type="http://schemas.openxmlformats.org/officeDocument/2006/relationships/oleObject" Target="embeddings/oleObject20.bin"/><Relationship Id="rId60" Type="http://schemas.openxmlformats.org/officeDocument/2006/relationships/oleObject" Target="embeddings/oleObject29.bin"/><Relationship Id="rId65" Type="http://schemas.openxmlformats.org/officeDocument/2006/relationships/image" Target="media/image27.wmf"/><Relationship Id="rId81" Type="http://schemas.openxmlformats.org/officeDocument/2006/relationships/oleObject" Target="embeddings/oleObject41.bin"/><Relationship Id="rId86" Type="http://schemas.openxmlformats.org/officeDocument/2006/relationships/image" Target="media/image37.wmf"/><Relationship Id="rId130" Type="http://schemas.openxmlformats.org/officeDocument/2006/relationships/image" Target="media/image52.wmf"/><Relationship Id="rId135" Type="http://schemas.openxmlformats.org/officeDocument/2006/relationships/footer" Target="footer2.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6.bin"/><Relationship Id="rId34" Type="http://schemas.openxmlformats.org/officeDocument/2006/relationships/image" Target="media/image14.wmf"/><Relationship Id="rId50" Type="http://schemas.openxmlformats.org/officeDocument/2006/relationships/image" Target="media/image21.wmf"/><Relationship Id="rId55" Type="http://schemas.openxmlformats.org/officeDocument/2006/relationships/image" Target="media/image23.wmf"/><Relationship Id="rId76" Type="http://schemas.openxmlformats.org/officeDocument/2006/relationships/image" Target="media/image32.wmf"/><Relationship Id="rId97" Type="http://schemas.openxmlformats.org/officeDocument/2006/relationships/image" Target="media/image42.wmf"/><Relationship Id="rId104" Type="http://schemas.openxmlformats.org/officeDocument/2006/relationships/oleObject" Target="embeddings/oleObject53.bin"/><Relationship Id="rId120" Type="http://schemas.openxmlformats.org/officeDocument/2006/relationships/oleObject" Target="embeddings/oleObject65.bin"/><Relationship Id="rId125" Type="http://schemas.openxmlformats.org/officeDocument/2006/relationships/oleObject" Target="embeddings/oleObject70.bin"/><Relationship Id="rId7" Type="http://schemas.openxmlformats.org/officeDocument/2006/relationships/image" Target="media/image1.wmf"/><Relationship Id="rId71" Type="http://schemas.openxmlformats.org/officeDocument/2006/relationships/oleObject" Target="embeddings/oleObject36.bin"/><Relationship Id="rId92" Type="http://schemas.openxmlformats.org/officeDocument/2006/relationships/oleObject" Target="embeddings/oleObject47.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image" Target="media/image19.wmf"/><Relationship Id="rId66" Type="http://schemas.openxmlformats.org/officeDocument/2006/relationships/oleObject" Target="embeddings/oleObject33.bin"/><Relationship Id="rId87" Type="http://schemas.openxmlformats.org/officeDocument/2006/relationships/oleObject" Target="embeddings/oleObject44.bin"/><Relationship Id="rId110" Type="http://schemas.openxmlformats.org/officeDocument/2006/relationships/oleObject" Target="embeddings/oleObject57.bin"/><Relationship Id="rId115" Type="http://schemas.openxmlformats.org/officeDocument/2006/relationships/oleObject" Target="embeddings/oleObject60.bin"/><Relationship Id="rId131" Type="http://schemas.openxmlformats.org/officeDocument/2006/relationships/oleObject" Target="embeddings/oleObject73.bin"/><Relationship Id="rId136" Type="http://schemas.openxmlformats.org/officeDocument/2006/relationships/header" Target="header3.xml"/><Relationship Id="rId61" Type="http://schemas.openxmlformats.org/officeDocument/2006/relationships/oleObject" Target="embeddings/oleObject30.bin"/><Relationship Id="rId82" Type="http://schemas.openxmlformats.org/officeDocument/2006/relationships/image" Target="media/image35.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image" Target="media/image12.wmf"/><Relationship Id="rId35" Type="http://schemas.openxmlformats.org/officeDocument/2006/relationships/oleObject" Target="embeddings/oleObject15.bin"/><Relationship Id="rId56" Type="http://schemas.openxmlformats.org/officeDocument/2006/relationships/oleObject" Target="embeddings/oleObject27.bin"/><Relationship Id="rId77" Type="http://schemas.openxmlformats.org/officeDocument/2006/relationships/oleObject" Target="embeddings/oleObject39.bin"/><Relationship Id="rId100" Type="http://schemas.openxmlformats.org/officeDocument/2006/relationships/oleObject" Target="embeddings/oleObject51.bin"/><Relationship Id="rId105" Type="http://schemas.openxmlformats.org/officeDocument/2006/relationships/image" Target="media/image46.wmf"/><Relationship Id="rId126" Type="http://schemas.openxmlformats.org/officeDocument/2006/relationships/image" Target="media/image50.wmf"/><Relationship Id="rId8" Type="http://schemas.openxmlformats.org/officeDocument/2006/relationships/oleObject" Target="embeddings/oleObject1.bin"/><Relationship Id="rId51" Type="http://schemas.openxmlformats.org/officeDocument/2006/relationships/oleObject" Target="embeddings/oleObject24.bin"/><Relationship Id="rId72" Type="http://schemas.openxmlformats.org/officeDocument/2006/relationships/image" Target="media/image30.wmf"/><Relationship Id="rId93" Type="http://schemas.openxmlformats.org/officeDocument/2006/relationships/image" Target="media/image40.wmf"/><Relationship Id="rId98" Type="http://schemas.openxmlformats.org/officeDocument/2006/relationships/oleObject" Target="embeddings/oleObject50.bin"/><Relationship Id="rId121" Type="http://schemas.openxmlformats.org/officeDocument/2006/relationships/oleObject" Target="embeddings/oleObject66.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1.bin"/><Relationship Id="rId67" Type="http://schemas.openxmlformats.org/officeDocument/2006/relationships/oleObject" Target="embeddings/oleObject34.bin"/><Relationship Id="rId116" Type="http://schemas.openxmlformats.org/officeDocument/2006/relationships/oleObject" Target="embeddings/oleObject61.bin"/><Relationship Id="rId137" Type="http://schemas.openxmlformats.org/officeDocument/2006/relationships/footer" Target="footer3.xml"/><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oleObject" Target="embeddings/oleObject31.bin"/><Relationship Id="rId83" Type="http://schemas.openxmlformats.org/officeDocument/2006/relationships/oleObject" Target="embeddings/oleObject42.bin"/><Relationship Id="rId88" Type="http://schemas.openxmlformats.org/officeDocument/2006/relationships/oleObject" Target="embeddings/oleObject45.bin"/><Relationship Id="rId111" Type="http://schemas.openxmlformats.org/officeDocument/2006/relationships/oleObject" Target="embeddings/oleObject58.bin"/><Relationship Id="rId132" Type="http://schemas.openxmlformats.org/officeDocument/2006/relationships/header" Target="header1.xml"/><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image" Target="media/image24.wmf"/><Relationship Id="rId106" Type="http://schemas.openxmlformats.org/officeDocument/2006/relationships/oleObject" Target="embeddings/oleObject54.bin"/><Relationship Id="rId127" Type="http://schemas.openxmlformats.org/officeDocument/2006/relationships/oleObject" Target="embeddings/oleObject71.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22.wmf"/><Relationship Id="rId73" Type="http://schemas.openxmlformats.org/officeDocument/2006/relationships/oleObject" Target="embeddings/oleObject37.bin"/><Relationship Id="rId78" Type="http://schemas.openxmlformats.org/officeDocument/2006/relationships/image" Target="media/image33.wmf"/><Relationship Id="rId94" Type="http://schemas.openxmlformats.org/officeDocument/2006/relationships/oleObject" Target="embeddings/oleObject48.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67.bin"/><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oleObject" Target="embeddings/oleObject22.bin"/><Relationship Id="rId68" Type="http://schemas.openxmlformats.org/officeDocument/2006/relationships/image" Target="media/image28.wmf"/><Relationship Id="rId89" Type="http://schemas.openxmlformats.org/officeDocument/2006/relationships/image" Target="media/image38.wmf"/><Relationship Id="rId112" Type="http://schemas.openxmlformats.org/officeDocument/2006/relationships/image" Target="media/image48.wmf"/><Relationship Id="rId13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19</Pages>
  <Words>5500</Words>
  <Characters>31352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PC New 16</cp:lastModifiedBy>
  <cp:revision>27</cp:revision>
  <cp:lastPrinted>2026-10-22T08:31:00Z</cp:lastPrinted>
  <dcterms:created xsi:type="dcterms:W3CDTF">2026-08-27T13:07:00Z</dcterms:created>
  <dcterms:modified xsi:type="dcterms:W3CDTF">2026-11-02T04:06:00Z</dcterms:modified>
</cp:coreProperties>
</file>