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F9FBA" w14:textId="77777777" w:rsidR="009D7D0A" w:rsidRPr="00C278CD" w:rsidRDefault="00E96B57">
      <w:pPr>
        <w:pStyle w:val="IEEETitle"/>
        <w:keepNext/>
        <w:spacing w:after="120" w:line="240" w:lineRule="auto"/>
        <w:jc w:val="center"/>
      </w:pPr>
      <w:r w:rsidRPr="00C278CD">
        <w:t>Design and Implementation of a Web-BDMS for Donor, Recipient, and Inventory Coordination</w:t>
      </w:r>
    </w:p>
    <w:p w14:paraId="489F870D" w14:textId="77777777" w:rsidR="009D7D0A" w:rsidRPr="00C278CD" w:rsidRDefault="009D7D0A">
      <w:pPr>
        <w:pStyle w:val="IEEETitle"/>
        <w:keepNext/>
        <w:spacing w:after="120" w:line="240" w:lineRule="auto"/>
        <w:jc w:val="center"/>
      </w:pPr>
    </w:p>
    <w:p w14:paraId="4CBB4C8B" w14:textId="77777777" w:rsidR="00DD4D4D" w:rsidRDefault="00E96B57">
      <w:pPr>
        <w:pStyle w:val="IEEEAbstract"/>
        <w:spacing w:after="60" w:line="360" w:lineRule="auto"/>
        <w:jc w:val="both"/>
        <w:rPr>
          <w:rFonts w:asciiTheme="majorBidi" w:hAnsiTheme="majorBidi" w:cstheme="majorBidi"/>
          <w:b/>
          <w:sz w:val="24"/>
          <w:szCs w:val="24"/>
        </w:rPr>
      </w:pPr>
      <w:r w:rsidRPr="00C278CD">
        <w:rPr>
          <w:rFonts w:asciiTheme="majorBidi" w:hAnsiTheme="majorBidi" w:cstheme="majorBidi"/>
          <w:b/>
          <w:sz w:val="24"/>
          <w:szCs w:val="24"/>
        </w:rPr>
        <w:t>Abstract</w:t>
      </w:r>
    </w:p>
    <w:p w14:paraId="244F5CA9" w14:textId="4867AF42" w:rsidR="009D7D0A" w:rsidRPr="00C278CD" w:rsidRDefault="00E96B57">
      <w:pPr>
        <w:pStyle w:val="IEEEAbstract"/>
        <w:spacing w:after="60" w:line="360" w:lineRule="auto"/>
        <w:jc w:val="both"/>
        <w:rPr>
          <w:rFonts w:asciiTheme="majorBidi" w:hAnsiTheme="majorBidi" w:cstheme="majorBidi"/>
          <w:sz w:val="24"/>
          <w:szCs w:val="24"/>
        </w:rPr>
      </w:pPr>
      <w:r w:rsidRPr="00C278CD">
        <w:rPr>
          <w:rFonts w:asciiTheme="majorBidi" w:hAnsiTheme="majorBidi" w:cstheme="majorBidi"/>
          <w:sz w:val="24"/>
          <w:szCs w:val="24"/>
          <w:lang w:val="en-IN"/>
        </w:rPr>
        <w:t>Blood plays a crucial role in the treatment of medical emergencies, surgical conditions, childbirth-related complications, injuries and chronic health conditions. Demand for blood can exceed available supplies, while its limited shelf life and unequal access to blood services increase the need for effective information management. This study presents the design and development of a web-based Blood Donation Management System (BDMS) for donor registration, recipient requests, blood inventory monitoring, donation history and administrative reporting. PHP handles server-side operations, MySQL manages data storage and Bootstrap supports a responsive interface. The system provides separate functions for administrators, donors and those submitting blood requests. Its inventory module records units added following donations and units issued in response to requests, while shortage alerts identify critically low stock. The application was developed using a sequential Waterfall approach encompassing requirements analysis, system design, implementation, testing, deployment and maintenance.</w:t>
      </w:r>
      <w:r w:rsidR="009D34E8">
        <w:rPr>
          <w:rFonts w:asciiTheme="majorBidi" w:hAnsiTheme="majorBidi" w:cstheme="majorBidi"/>
          <w:sz w:val="24"/>
          <w:szCs w:val="24"/>
          <w:lang w:val="en-IN"/>
        </w:rPr>
        <w:t xml:space="preserve"> </w:t>
      </w:r>
      <w:r w:rsidRPr="00C278CD">
        <w:rPr>
          <w:rFonts w:asciiTheme="majorBidi" w:hAnsiTheme="majorBidi" w:cstheme="majorBidi"/>
          <w:sz w:val="24"/>
          <w:szCs w:val="24"/>
        </w:rPr>
        <w:t xml:space="preserve">Scenario-based black-box testing assessed administrator login, donor registration and record updates, blood request submission and tracking, inventory changes, links between donation history and stock records, and data retrieval. All ten reported functional test cases passed in the local demonstration environment. However, this evaluation established functional </w:t>
      </w:r>
      <w:proofErr w:type="spellStart"/>
      <w:r w:rsidRPr="00C278CD">
        <w:rPr>
          <w:rFonts w:asciiTheme="majorBidi" w:hAnsiTheme="majorBidi" w:cstheme="majorBidi"/>
          <w:sz w:val="24"/>
          <w:szCs w:val="24"/>
        </w:rPr>
        <w:t>behaviour</w:t>
      </w:r>
      <w:proofErr w:type="spellEnd"/>
      <w:r w:rsidRPr="00C278CD">
        <w:rPr>
          <w:rFonts w:asciiTheme="majorBidi" w:hAnsiTheme="majorBidi" w:cstheme="majorBidi"/>
          <w:sz w:val="24"/>
          <w:szCs w:val="24"/>
        </w:rPr>
        <w:t xml:space="preserve"> rather than operational effectiveness. System response times, notification delays, inventory accuracy, user satisfaction and other quantitative performance measures were not assessed. The application has also not undergone large-scale field deployment. The study therefore presents a low-cost administrative framework that may support future extensions, including geolocation, automated notifications, demand forecasting, interoperability and data-informed donor engagement.</w:t>
      </w:r>
    </w:p>
    <w:p w14:paraId="13A29856" w14:textId="6F089EF6" w:rsidR="009D7D0A" w:rsidRPr="00C278CD" w:rsidRDefault="00E96B57">
      <w:pPr>
        <w:pStyle w:val="IEEEAbstract"/>
        <w:spacing w:after="60" w:line="360" w:lineRule="auto"/>
        <w:jc w:val="both"/>
        <w:rPr>
          <w:rFonts w:asciiTheme="majorBidi" w:hAnsiTheme="majorBidi" w:cstheme="majorBidi"/>
          <w:sz w:val="24"/>
          <w:szCs w:val="24"/>
        </w:rPr>
      </w:pPr>
      <w:r w:rsidRPr="00C278CD">
        <w:rPr>
          <w:rFonts w:asciiTheme="majorBidi" w:hAnsiTheme="majorBidi" w:cstheme="majorBidi"/>
          <w:b/>
          <w:sz w:val="24"/>
          <w:szCs w:val="24"/>
        </w:rPr>
        <w:t>Keywords</w:t>
      </w:r>
      <w:r w:rsidR="004769AA">
        <w:rPr>
          <w:rFonts w:asciiTheme="majorBidi" w:hAnsiTheme="majorBidi" w:cstheme="majorBidi"/>
          <w:b/>
          <w:sz w:val="24"/>
          <w:szCs w:val="24"/>
        </w:rPr>
        <w:t xml:space="preserve">: </w:t>
      </w:r>
      <w:r w:rsidRPr="00C278CD">
        <w:rPr>
          <w:rFonts w:asciiTheme="majorBidi" w:hAnsiTheme="majorBidi" w:cstheme="majorBidi"/>
          <w:b/>
          <w:sz w:val="24"/>
          <w:szCs w:val="24"/>
        </w:rPr>
        <w:t>blood donation management; blood bank; health informatics; inventory management; PHP; MySQL; web application; donor management; blood supply chain</w:t>
      </w:r>
    </w:p>
    <w:p w14:paraId="6A067273" w14:textId="77777777" w:rsidR="009D7D0A" w:rsidRDefault="009D7D0A">
      <w:pPr>
        <w:rPr>
          <w:rFonts w:asciiTheme="majorBidi" w:hAnsiTheme="majorBidi" w:cstheme="majorBidi"/>
          <w:sz w:val="24"/>
          <w:szCs w:val="24"/>
        </w:rPr>
      </w:pPr>
    </w:p>
    <w:p w14:paraId="5FBAE605" w14:textId="77777777" w:rsidR="00A230C1" w:rsidRPr="00C278CD" w:rsidRDefault="00A230C1">
      <w:pPr>
        <w:rPr>
          <w:rFonts w:asciiTheme="majorBidi" w:hAnsiTheme="majorBidi" w:cstheme="majorBidi"/>
          <w:sz w:val="24"/>
          <w:szCs w:val="24"/>
        </w:rPr>
        <w:sectPr w:rsidR="00A230C1" w:rsidRPr="00C278CD">
          <w:headerReference w:type="even" r:id="rId9"/>
          <w:headerReference w:type="default" r:id="rId10"/>
          <w:footerReference w:type="even" r:id="rId11"/>
          <w:footerReference w:type="default" r:id="rId12"/>
          <w:headerReference w:type="first" r:id="rId13"/>
          <w:footerReference w:type="first" r:id="rId14"/>
          <w:pgSz w:w="12240" w:h="15840"/>
          <w:pgMar w:top="1080" w:right="900" w:bottom="1440" w:left="900" w:header="720" w:footer="720" w:gutter="0"/>
          <w:cols w:space="720"/>
          <w:docGrid w:linePitch="360"/>
        </w:sectPr>
      </w:pPr>
    </w:p>
    <w:p w14:paraId="2017324C" w14:textId="77777777" w:rsidR="009D7D0A" w:rsidRPr="00C278CD" w:rsidRDefault="00E96B57">
      <w:pPr>
        <w:pStyle w:val="IEEESection"/>
        <w:keepNext/>
        <w:spacing w:after="60" w:line="360" w:lineRule="auto"/>
        <w:jc w:val="both"/>
        <w:rPr>
          <w:rFonts w:asciiTheme="majorBidi" w:hAnsiTheme="majorBidi" w:cstheme="majorBidi"/>
          <w:sz w:val="24"/>
          <w:szCs w:val="24"/>
        </w:rPr>
      </w:pPr>
      <w:r w:rsidRPr="00C278CD">
        <w:rPr>
          <w:rFonts w:asciiTheme="majorBidi" w:hAnsiTheme="majorBidi" w:cstheme="majorBidi"/>
          <w:sz w:val="24"/>
          <w:szCs w:val="24"/>
        </w:rPr>
        <w:t>I. INTRODUCTION</w:t>
      </w:r>
    </w:p>
    <w:p w14:paraId="34F15757" w14:textId="4E11D4F8" w:rsidR="009D7D0A" w:rsidRPr="00C278CD" w:rsidRDefault="00E96B57">
      <w:pPr>
        <w:pStyle w:val="IEEESubsection"/>
        <w:keepNext/>
        <w:spacing w:after="40" w:line="360" w:lineRule="auto"/>
        <w:jc w:val="both"/>
        <w:rPr>
          <w:rFonts w:asciiTheme="majorBidi" w:hAnsiTheme="majorBidi" w:cstheme="majorBidi"/>
          <w:b/>
          <w:bCs/>
          <w:sz w:val="24"/>
          <w:szCs w:val="24"/>
        </w:rPr>
      </w:pPr>
      <w:r w:rsidRPr="00C278CD">
        <w:rPr>
          <w:rFonts w:asciiTheme="majorBidi" w:hAnsiTheme="majorBidi" w:cstheme="majorBidi"/>
          <w:b/>
          <w:bCs/>
          <w:sz w:val="24"/>
          <w:szCs w:val="24"/>
        </w:rPr>
        <w:t xml:space="preserve">A. BACKGROUND </w:t>
      </w:r>
    </w:p>
    <w:p w14:paraId="7168BEAC" w14:textId="5B7B2027" w:rsidR="003F566F" w:rsidRPr="003C3FB5" w:rsidRDefault="00E96B57" w:rsidP="003C3FB5">
      <w:pPr>
        <w:pStyle w:val="IEEEBody"/>
        <w:spacing w:after="60" w:line="360" w:lineRule="auto"/>
        <w:jc w:val="both"/>
        <w:rPr>
          <w:bCs/>
        </w:rPr>
      </w:pPr>
      <w:r w:rsidRPr="00C278CD">
        <w:rPr>
          <w:rFonts w:asciiTheme="majorBidi" w:hAnsiTheme="majorBidi" w:cstheme="majorBidi"/>
          <w:sz w:val="24"/>
          <w:szCs w:val="24"/>
          <w:lang w:val="en-IN"/>
        </w:rPr>
        <w:t xml:space="preserve">Blood donation services play an important role in contemporary healthcare systems. The World Health Organization (WHO) continues to emphasise the significance of coordinated blood collection, testing, </w:t>
      </w:r>
      <w:r w:rsidRPr="00C278CD">
        <w:rPr>
          <w:rFonts w:asciiTheme="majorBidi" w:hAnsiTheme="majorBidi" w:cstheme="majorBidi"/>
          <w:sz w:val="24"/>
          <w:szCs w:val="24"/>
          <w:lang w:val="en-IN"/>
        </w:rPr>
        <w:lastRenderedPageBreak/>
        <w:t xml:space="preserve">processing, storage and clinical transfusion services. Global data reveal variations in blood availability across countries and regions, making dependable information systems an important support for blood transfusion services (World Health Organization, 2022). In India, a national study estimated the clinical requirement at 14.6 million whole-blood units, equivalent to 36.3 donations per 1,000 eligible individuals. Supply met 93% of demand, leaving a gap of 2.5 donations per 1,000 eligible individuals, or approximately one million units (Mammen &amp; </w:t>
      </w:r>
      <w:proofErr w:type="spellStart"/>
      <w:r w:rsidRPr="00C278CD">
        <w:rPr>
          <w:rFonts w:asciiTheme="majorBidi" w:hAnsiTheme="majorBidi" w:cstheme="majorBidi"/>
          <w:sz w:val="24"/>
          <w:szCs w:val="24"/>
          <w:lang w:val="en-IN"/>
        </w:rPr>
        <w:t>Asirvatham</w:t>
      </w:r>
      <w:proofErr w:type="spellEnd"/>
      <w:r w:rsidRPr="00C278CD">
        <w:rPr>
          <w:rFonts w:asciiTheme="majorBidi" w:hAnsiTheme="majorBidi" w:cstheme="majorBidi"/>
          <w:sz w:val="24"/>
          <w:szCs w:val="24"/>
          <w:lang w:val="en-IN"/>
        </w:rPr>
        <w:t>, 2020; Mammen et al., 2022).</w:t>
      </w:r>
      <w:r w:rsidR="003C3FB5">
        <w:rPr>
          <w:rFonts w:asciiTheme="majorBidi" w:hAnsiTheme="majorBidi" w:cstheme="majorBidi"/>
          <w:sz w:val="24"/>
          <w:szCs w:val="24"/>
          <w:lang w:val="en-IN"/>
        </w:rPr>
        <w:t xml:space="preserve"> </w:t>
      </w:r>
      <w:r w:rsidR="00000000" w:rsidRPr="003C3FB5">
        <w:rPr>
          <w:bCs/>
        </w:rPr>
        <w:t>A published online blood donation system employing PHP and MySQL provides a relevant example of web-based donor coordination and information management (Abdul-</w:t>
      </w:r>
      <w:proofErr w:type="spellStart"/>
      <w:r w:rsidR="00000000" w:rsidRPr="003C3FB5">
        <w:rPr>
          <w:bCs/>
        </w:rPr>
        <w:t>Gafaru</w:t>
      </w:r>
      <w:proofErr w:type="spellEnd"/>
      <w:r w:rsidR="00000000" w:rsidRPr="003C3FB5">
        <w:rPr>
          <w:bCs/>
        </w:rPr>
        <w:t xml:space="preserve"> et al., 2024).</w:t>
      </w:r>
    </w:p>
    <w:p w14:paraId="5E1BDD74" w14:textId="2BF463BE" w:rsidR="003F566F" w:rsidRPr="004769AA" w:rsidRDefault="00E96B57" w:rsidP="004769AA">
      <w:pPr>
        <w:pStyle w:val="IEEESubsection"/>
        <w:keepNext/>
        <w:spacing w:after="4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A nationwide evaluation indicated variations in the performance and facilities of Indian blood banks, highlighting the need for evidence-based oversight and coordinated data management in blood transfusion services (</w:t>
      </w:r>
      <w:proofErr w:type="spellStart"/>
      <w:r w:rsidRPr="00C278CD">
        <w:rPr>
          <w:rFonts w:asciiTheme="majorBidi" w:hAnsiTheme="majorBidi" w:cstheme="majorBidi"/>
          <w:sz w:val="24"/>
          <w:szCs w:val="24"/>
          <w:lang w:val="en-IN"/>
        </w:rPr>
        <w:t>Asirvatham</w:t>
      </w:r>
      <w:proofErr w:type="spellEnd"/>
      <w:r w:rsidRPr="00C278CD">
        <w:rPr>
          <w:rFonts w:asciiTheme="majorBidi" w:hAnsiTheme="majorBidi" w:cstheme="majorBidi"/>
          <w:sz w:val="24"/>
          <w:szCs w:val="24"/>
          <w:lang w:val="en-IN"/>
        </w:rPr>
        <w:t xml:space="preserve"> et al., 2021). A geospatial study of eight northern Indian states found limited access to facilities equipped to provide blood products, emphasising the importance of timely information and geographical coordination (Kundu et al., 2024). Access constraints have also been discussed in an earlier analysis of blood services in India (Jenny et al., 2017). Blood management operations face challenges arising from unpredictable demand, the limited shelf life of certain blood components and the need to minimise both shortages and waste. Inventory research therefore regards blood products as supply-chain resources for which information on stock quantities, demand, expiry and replenishment is essential. Maintaining records manually can delay access to information and increase the risk of data-entry and coordination errors. Digitalisation can provide a basis for timely donor management, request handling, inventory transparency and reporting.</w:t>
      </w:r>
      <w:r w:rsidR="004769AA">
        <w:rPr>
          <w:rFonts w:asciiTheme="majorBidi" w:hAnsiTheme="majorBidi" w:cstheme="majorBidi"/>
          <w:sz w:val="24"/>
          <w:szCs w:val="24"/>
          <w:lang w:val="en-IN"/>
        </w:rPr>
        <w:t xml:space="preserve"> </w:t>
      </w:r>
      <w:r w:rsidR="00000000" w:rsidRPr="004769AA">
        <w:rPr>
          <w:rFonts w:asciiTheme="majorBidi" w:hAnsiTheme="majorBidi" w:cstheme="majorBidi"/>
          <w:sz w:val="24"/>
          <w:szCs w:val="24"/>
          <w:lang w:val="en-IN"/>
        </w:rPr>
        <w:t xml:space="preserve">Recent research has also examined machine-learning approaches to blood-bank inventory </w:t>
      </w:r>
      <w:proofErr w:type="spellStart"/>
      <w:r w:rsidR="00000000" w:rsidRPr="004769AA">
        <w:rPr>
          <w:rFonts w:asciiTheme="majorBidi" w:hAnsiTheme="majorBidi" w:cstheme="majorBidi"/>
          <w:sz w:val="24"/>
          <w:szCs w:val="24"/>
          <w:lang w:val="en-IN"/>
        </w:rPr>
        <w:t>optimisation</w:t>
      </w:r>
      <w:proofErr w:type="spellEnd"/>
      <w:r w:rsidR="00000000" w:rsidRPr="004769AA">
        <w:rPr>
          <w:rFonts w:asciiTheme="majorBidi" w:hAnsiTheme="majorBidi" w:cstheme="majorBidi"/>
          <w:sz w:val="24"/>
          <w:szCs w:val="24"/>
          <w:lang w:val="en-IN"/>
        </w:rPr>
        <w:t xml:space="preserve"> and shortage prediction, although predictive functions are not included in the present prototype (Singh et al., 2025).</w:t>
      </w:r>
      <w:r w:rsidR="004769AA" w:rsidRPr="004769AA">
        <w:rPr>
          <w:rFonts w:asciiTheme="majorBidi" w:hAnsiTheme="majorBidi" w:cstheme="majorBidi"/>
          <w:sz w:val="24"/>
          <w:szCs w:val="24"/>
          <w:lang w:val="en-IN"/>
        </w:rPr>
        <w:t xml:space="preserve"> </w:t>
      </w:r>
      <w:r w:rsidR="00000000" w:rsidRPr="004769AA">
        <w:rPr>
          <w:rFonts w:asciiTheme="majorBidi" w:hAnsiTheme="majorBidi" w:cstheme="majorBidi"/>
          <w:sz w:val="24"/>
          <w:szCs w:val="24"/>
          <w:lang w:val="en-IN"/>
        </w:rPr>
        <w:t>For platelet inventory, data-driven modelling has considered how demand forecasts may inform stock management under conditions of limited shelf life (Motamedi et al., 2025).</w:t>
      </w:r>
    </w:p>
    <w:p w14:paraId="4E4C3C93" w14:textId="62978BDD" w:rsidR="003F566F" w:rsidRPr="00C278CD" w:rsidRDefault="00E96B57" w:rsidP="004769AA">
      <w:pPr>
        <w:pStyle w:val="IEEESubsection"/>
        <w:keepNext/>
        <w:spacing w:after="40" w:line="360" w:lineRule="auto"/>
        <w:jc w:val="both"/>
      </w:pPr>
      <w:r w:rsidRPr="00C278CD">
        <w:rPr>
          <w:rFonts w:asciiTheme="majorBidi" w:hAnsiTheme="majorBidi" w:cstheme="majorBidi"/>
          <w:sz w:val="24"/>
          <w:szCs w:val="24"/>
          <w:lang w:val="en-IN"/>
        </w:rPr>
        <w:t>The present project develops a BDMS intended for hospitals, blood banks and organisations involved in blood donation. The system integrates donor information, recipient requests, blood inventory, donation records and administrative oversight within a relational application. It is not intended to replace clinical eligibility assessment, blood typing, screening, cross-matching or transfusion decisions; rather, it provides an administrative layer that may support related operational tasks.</w:t>
      </w:r>
      <w:r w:rsidR="004769AA">
        <w:rPr>
          <w:rFonts w:asciiTheme="majorBidi" w:hAnsiTheme="majorBidi" w:cstheme="majorBidi"/>
          <w:sz w:val="24"/>
          <w:szCs w:val="24"/>
          <w:lang w:val="en-IN"/>
        </w:rPr>
        <w:t xml:space="preserve"> </w:t>
      </w:r>
      <w:r w:rsidR="00000000" w:rsidRPr="004769AA">
        <w:rPr>
          <w:rFonts w:asciiTheme="majorBidi" w:hAnsiTheme="majorBidi" w:cstheme="majorBidi"/>
          <w:sz w:val="24"/>
          <w:szCs w:val="24"/>
          <w:lang w:val="en-IN"/>
        </w:rPr>
        <w:t xml:space="preserve">Research on blood-bank supply-chain </w:t>
      </w:r>
      <w:r w:rsidR="00000000" w:rsidRPr="004769AA">
        <w:rPr>
          <w:rFonts w:asciiTheme="majorBidi" w:hAnsiTheme="majorBidi" w:cstheme="majorBidi"/>
          <w:sz w:val="24"/>
          <w:szCs w:val="24"/>
          <w:lang w:val="en-IN"/>
        </w:rPr>
        <w:lastRenderedPageBreak/>
        <w:t>information systems has also examined encryption and data-management techniques, underscoring the importance of information security in subsequent development (Kirupa Shankar &amp; Santhi, 2025).</w:t>
      </w:r>
    </w:p>
    <w:p w14:paraId="5DBCB4BC" w14:textId="77777777" w:rsidR="009D7D0A" w:rsidRPr="00C278CD" w:rsidRDefault="00E96B57">
      <w:pPr>
        <w:pStyle w:val="IEEESubsection"/>
        <w:keepNext/>
        <w:spacing w:after="40" w:line="360" w:lineRule="auto"/>
        <w:jc w:val="both"/>
        <w:rPr>
          <w:rFonts w:asciiTheme="majorBidi" w:hAnsiTheme="majorBidi" w:cstheme="majorBidi"/>
          <w:b/>
          <w:bCs/>
          <w:sz w:val="24"/>
          <w:szCs w:val="24"/>
        </w:rPr>
      </w:pPr>
      <w:r w:rsidRPr="00C278CD">
        <w:rPr>
          <w:rFonts w:asciiTheme="majorBidi" w:hAnsiTheme="majorBidi" w:cstheme="majorBidi"/>
          <w:b/>
          <w:bCs/>
          <w:sz w:val="24"/>
          <w:szCs w:val="24"/>
        </w:rPr>
        <w:t>B. PROBLEM STATEMENT</w:t>
      </w:r>
    </w:p>
    <w:p w14:paraId="45A2B59F" w14:textId="094FE785" w:rsidR="003F566F" w:rsidRPr="007E24CB" w:rsidRDefault="00E96B57" w:rsidP="007E24CB">
      <w:pPr>
        <w:pStyle w:val="IEEESubsection"/>
        <w:keepNext/>
        <w:spacing w:after="40" w:line="360" w:lineRule="auto"/>
        <w:jc w:val="both"/>
        <w:rPr>
          <w:bCs/>
        </w:rPr>
      </w:pPr>
      <w:r w:rsidRPr="00C278CD">
        <w:rPr>
          <w:rFonts w:asciiTheme="majorBidi" w:hAnsiTheme="majorBidi" w:cstheme="majorBidi"/>
          <w:sz w:val="24"/>
          <w:szCs w:val="24"/>
          <w:lang w:val="en-IN"/>
        </w:rPr>
        <w:t>Conventional and partly manual approaches to blood management often distribute donor information, requests and inventory records across paper documents, spreadsheets, ledgers and separate communication tools. This fragmented arrangement can be inefficient during emergencies. When time is limited, personnel must verify blood-group availability, locate the relevant records, update inventory and maintain an accurate record of transactions. Accordingly, this study focuses on developing a unified, affordable web platform that maintains records from donor registration through blood requests, inventory updates and donation history.</w:t>
      </w:r>
      <w:r w:rsidR="007E24CB">
        <w:rPr>
          <w:rFonts w:asciiTheme="majorBidi" w:hAnsiTheme="majorBidi" w:cstheme="majorBidi"/>
          <w:sz w:val="24"/>
          <w:szCs w:val="24"/>
          <w:lang w:val="en-IN"/>
        </w:rPr>
        <w:t xml:space="preserve"> </w:t>
      </w:r>
      <w:r w:rsidR="00000000" w:rsidRPr="00B9691A">
        <w:rPr>
          <w:rFonts w:asciiTheme="majorBidi" w:hAnsiTheme="majorBidi" w:cstheme="majorBidi"/>
          <w:sz w:val="24"/>
          <w:szCs w:val="24"/>
          <w:lang w:val="en-IN"/>
        </w:rPr>
        <w:t>An evaluation of electronic blood transfusion systems in hospitals in England further illustrates why implementation and integration require assessment beyond demonstrations of software functionality (</w:t>
      </w:r>
      <w:proofErr w:type="spellStart"/>
      <w:r w:rsidR="00000000" w:rsidRPr="00B9691A">
        <w:rPr>
          <w:rFonts w:asciiTheme="majorBidi" w:hAnsiTheme="majorBidi" w:cstheme="majorBidi"/>
          <w:sz w:val="24"/>
          <w:szCs w:val="24"/>
          <w:lang w:val="en-IN"/>
        </w:rPr>
        <w:t>Tomini</w:t>
      </w:r>
      <w:proofErr w:type="spellEnd"/>
      <w:r w:rsidR="00000000" w:rsidRPr="00B9691A">
        <w:rPr>
          <w:rFonts w:asciiTheme="majorBidi" w:hAnsiTheme="majorBidi" w:cstheme="majorBidi"/>
          <w:sz w:val="24"/>
          <w:szCs w:val="24"/>
          <w:lang w:val="en-IN"/>
        </w:rPr>
        <w:t xml:space="preserve"> et al., 2025).</w:t>
      </w:r>
    </w:p>
    <w:p w14:paraId="0E1E6217" w14:textId="77777777" w:rsidR="009D7D0A" w:rsidRPr="00C278CD" w:rsidRDefault="00E96B57">
      <w:pPr>
        <w:pStyle w:val="IEEESubsection"/>
        <w:keepNext/>
        <w:spacing w:after="40" w:line="360" w:lineRule="auto"/>
        <w:jc w:val="both"/>
        <w:rPr>
          <w:rFonts w:asciiTheme="majorBidi" w:hAnsiTheme="majorBidi" w:cstheme="majorBidi"/>
          <w:b/>
          <w:bCs/>
          <w:sz w:val="24"/>
          <w:szCs w:val="24"/>
        </w:rPr>
      </w:pPr>
      <w:r w:rsidRPr="00C278CD">
        <w:rPr>
          <w:rFonts w:asciiTheme="majorBidi" w:hAnsiTheme="majorBidi" w:cstheme="majorBidi"/>
          <w:b/>
          <w:bCs/>
          <w:sz w:val="24"/>
          <w:szCs w:val="24"/>
        </w:rPr>
        <w:t>C. CONTRIBUTIONS</w:t>
      </w:r>
    </w:p>
    <w:p w14:paraId="3EA5D137" w14:textId="77777777" w:rsidR="009D7D0A" w:rsidRPr="00C278CD" w:rsidRDefault="00E96B57">
      <w:pPr>
        <w:pStyle w:val="IEEESection"/>
        <w:keepNext/>
        <w:spacing w:after="60" w:line="360" w:lineRule="auto"/>
        <w:jc w:val="both"/>
        <w:rPr>
          <w:rFonts w:asciiTheme="majorBidi" w:hAnsiTheme="majorBidi" w:cstheme="majorBidi"/>
          <w:b w:val="0"/>
          <w:bCs/>
          <w:sz w:val="24"/>
          <w:szCs w:val="24"/>
          <w:lang w:val="en-IN"/>
        </w:rPr>
      </w:pPr>
      <w:r w:rsidRPr="00C278CD">
        <w:rPr>
          <w:rFonts w:asciiTheme="majorBidi" w:hAnsiTheme="majorBidi" w:cstheme="majorBidi"/>
          <w:b w:val="0"/>
          <w:bCs/>
          <w:sz w:val="24"/>
          <w:szCs w:val="24"/>
          <w:lang w:val="en-IN"/>
        </w:rPr>
        <w:t>The principal contributions of the study are: (</w:t>
      </w:r>
      <w:proofErr w:type="spellStart"/>
      <w:r w:rsidRPr="00C278CD">
        <w:rPr>
          <w:rFonts w:asciiTheme="majorBidi" w:hAnsiTheme="majorBidi" w:cstheme="majorBidi"/>
          <w:b w:val="0"/>
          <w:bCs/>
          <w:sz w:val="24"/>
          <w:szCs w:val="24"/>
          <w:lang w:val="en-IN"/>
        </w:rPr>
        <w:t>i</w:t>
      </w:r>
      <w:proofErr w:type="spellEnd"/>
      <w:r w:rsidRPr="00C278CD">
        <w:rPr>
          <w:rFonts w:asciiTheme="majorBidi" w:hAnsiTheme="majorBidi" w:cstheme="majorBidi"/>
          <w:b w:val="0"/>
          <w:bCs/>
          <w:sz w:val="24"/>
          <w:szCs w:val="24"/>
          <w:lang w:val="en-IN"/>
        </w:rPr>
        <w:t>) a unified architecture for donor, request and administrative roles; (ii) a relational data structure linking donors, requests, inventory and donation records; (iii) transaction-based inventory updates reflecting recorded donations and issued units; (iv) shortage alerts and reporting functions; and (v) black-box functional assessment of the main modules, alongside explicit acknowledgement of the absence of comprehensive empirical validation.</w:t>
      </w:r>
    </w:p>
    <w:p w14:paraId="7A58020B" w14:textId="77777777" w:rsidR="003F566F" w:rsidRPr="00C278CD" w:rsidRDefault="00000000">
      <w:pPr>
        <w:pStyle w:val="IEEESubsection"/>
        <w:keepNext/>
        <w:spacing w:before="80" w:after="120"/>
        <w:jc w:val="both"/>
      </w:pPr>
      <w:r w:rsidRPr="00C278CD">
        <w:rPr>
          <w:b/>
        </w:rPr>
        <w:t>D. RESEARCH GAP</w:t>
      </w:r>
    </w:p>
    <w:p w14:paraId="1D5362C0" w14:textId="77777777" w:rsidR="003F566F" w:rsidRPr="003E5A92" w:rsidRDefault="00000000">
      <w:pPr>
        <w:pStyle w:val="IEEESubsection"/>
        <w:spacing w:after="120"/>
        <w:jc w:val="both"/>
        <w:rPr>
          <w:bCs/>
        </w:rPr>
      </w:pPr>
      <w:r w:rsidRPr="003E5A92">
        <w:rPr>
          <w:bCs/>
        </w:rPr>
        <w:t>A practical need remains for a consolidated, low-cost administrative application linking donor records, recipient requests, blood-group inventory and donation history within a single workflow. The present study addresses this need through a functional prototype; however, field evaluation in operational blood-bank settings and quantitative performance assessment remain outside the reported scope.</w:t>
      </w:r>
    </w:p>
    <w:p w14:paraId="230011E1" w14:textId="77777777" w:rsidR="009D7D0A" w:rsidRPr="00C278CD" w:rsidRDefault="00E96B57">
      <w:pPr>
        <w:pStyle w:val="IEEESubsection"/>
        <w:keepNext/>
        <w:spacing w:after="40" w:line="360" w:lineRule="auto"/>
        <w:jc w:val="both"/>
        <w:rPr>
          <w:rFonts w:asciiTheme="majorBidi" w:hAnsiTheme="majorBidi" w:cstheme="majorBidi"/>
          <w:b/>
          <w:bCs/>
          <w:sz w:val="24"/>
          <w:szCs w:val="24"/>
        </w:rPr>
      </w:pPr>
      <w:r w:rsidRPr="00C278CD">
        <w:rPr>
          <w:rFonts w:asciiTheme="majorBidi" w:hAnsiTheme="majorBidi" w:cstheme="majorBidi"/>
          <w:b/>
          <w:bCs/>
          <w:sz w:val="24"/>
          <w:szCs w:val="24"/>
        </w:rPr>
        <w:lastRenderedPageBreak/>
        <w:t>E. OBJECTIVES</w:t>
      </w:r>
    </w:p>
    <w:p w14:paraId="54BAAC12" w14:textId="77777777" w:rsidR="009D7D0A" w:rsidRPr="00C278CD" w:rsidRDefault="00E96B57">
      <w:pPr>
        <w:pStyle w:val="IEEESubsection"/>
        <w:keepNext/>
        <w:numPr>
          <w:ilvl w:val="0"/>
          <w:numId w:val="7"/>
        </w:numPr>
        <w:spacing w:after="4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To develop an easy-to-use website for managing blood donation records.</w:t>
      </w:r>
    </w:p>
    <w:p w14:paraId="18680562" w14:textId="77777777" w:rsidR="009D7D0A" w:rsidRPr="00C278CD" w:rsidRDefault="00E96B57">
      <w:pPr>
        <w:pStyle w:val="IEEESubsection"/>
        <w:keepNext/>
        <w:numPr>
          <w:ilvl w:val="0"/>
          <w:numId w:val="7"/>
        </w:numPr>
        <w:spacing w:after="4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To provide a central platform through which administrators can manage donors, recipients, blood requests, inventory and reports.</w:t>
      </w:r>
    </w:p>
    <w:p w14:paraId="69A34815" w14:textId="77777777" w:rsidR="009D7D0A" w:rsidRPr="00C278CD" w:rsidRDefault="00E96B57">
      <w:pPr>
        <w:pStyle w:val="IEEESubsection"/>
        <w:keepNext/>
        <w:numPr>
          <w:ilvl w:val="0"/>
          <w:numId w:val="7"/>
        </w:numPr>
        <w:spacing w:after="4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To enable users to search for and view blood availability by blood group.</w:t>
      </w:r>
    </w:p>
    <w:p w14:paraId="38113269" w14:textId="77777777" w:rsidR="009D7D0A" w:rsidRPr="00C278CD" w:rsidRDefault="00E96B57">
      <w:pPr>
        <w:pStyle w:val="IEEESubsection"/>
        <w:keepNext/>
        <w:numPr>
          <w:ilvl w:val="0"/>
          <w:numId w:val="7"/>
        </w:numPr>
        <w:spacing w:after="4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To reduce dependence on paper records and repetitive manual tasks.</w:t>
      </w:r>
    </w:p>
    <w:p w14:paraId="06C7A563" w14:textId="77777777" w:rsidR="009D7D0A" w:rsidRPr="00C278CD" w:rsidRDefault="00E96B57">
      <w:pPr>
        <w:pStyle w:val="IEEESubsection"/>
        <w:keepNext/>
        <w:numPr>
          <w:ilvl w:val="0"/>
          <w:numId w:val="7"/>
        </w:numPr>
        <w:spacing w:after="4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To maintain records linking each donation to changes in blood inventory.</w:t>
      </w:r>
    </w:p>
    <w:p w14:paraId="34208621" w14:textId="77777777" w:rsidR="009D7D0A" w:rsidRPr="00C278CD" w:rsidRDefault="00E96B57">
      <w:pPr>
        <w:pStyle w:val="IEEESubsection"/>
        <w:keepNext/>
        <w:numPr>
          <w:ilvl w:val="0"/>
          <w:numId w:val="7"/>
        </w:numPr>
        <w:spacing w:after="4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To establish a foundation for future functions, including notifications, geolocation, demand forecasting and interoperability.</w:t>
      </w:r>
    </w:p>
    <w:p w14:paraId="5EC67E8C" w14:textId="77777777" w:rsidR="009D7D0A" w:rsidRPr="00C278CD" w:rsidRDefault="009D7D0A">
      <w:pPr>
        <w:pStyle w:val="IEEESection"/>
        <w:keepNext/>
        <w:spacing w:after="60" w:line="360" w:lineRule="auto"/>
        <w:jc w:val="both"/>
        <w:rPr>
          <w:rFonts w:asciiTheme="majorBidi" w:hAnsiTheme="majorBidi" w:cstheme="majorBidi"/>
          <w:b w:val="0"/>
          <w:sz w:val="24"/>
          <w:szCs w:val="24"/>
          <w:lang w:val="en-IN"/>
        </w:rPr>
      </w:pPr>
    </w:p>
    <w:p w14:paraId="7FF1A389" w14:textId="77777777" w:rsidR="009D7D0A" w:rsidRPr="00C278CD" w:rsidRDefault="00E96B57">
      <w:pPr>
        <w:pStyle w:val="IEEESection"/>
        <w:keepNext/>
        <w:spacing w:after="60" w:line="360" w:lineRule="auto"/>
        <w:jc w:val="both"/>
        <w:rPr>
          <w:rFonts w:asciiTheme="majorBidi" w:hAnsiTheme="majorBidi" w:cstheme="majorBidi"/>
          <w:sz w:val="24"/>
          <w:szCs w:val="24"/>
        </w:rPr>
      </w:pPr>
      <w:r w:rsidRPr="00C278CD">
        <w:rPr>
          <w:rFonts w:asciiTheme="majorBidi" w:hAnsiTheme="majorBidi" w:cstheme="majorBidi"/>
          <w:sz w:val="24"/>
          <w:szCs w:val="24"/>
        </w:rPr>
        <w:t>II. RELATED WORK</w:t>
      </w:r>
    </w:p>
    <w:p w14:paraId="741BC770" w14:textId="77777777" w:rsidR="009D7D0A" w:rsidRPr="00C278CD" w:rsidRDefault="00E96B57">
      <w:pPr>
        <w:pStyle w:val="IEEESubsection"/>
        <w:keepNext/>
        <w:spacing w:after="40" w:line="360" w:lineRule="auto"/>
        <w:jc w:val="both"/>
        <w:rPr>
          <w:rFonts w:asciiTheme="majorBidi" w:hAnsiTheme="majorBidi" w:cstheme="majorBidi"/>
          <w:b/>
          <w:bCs/>
          <w:sz w:val="24"/>
          <w:szCs w:val="24"/>
        </w:rPr>
      </w:pPr>
      <w:r w:rsidRPr="00C278CD">
        <w:rPr>
          <w:rFonts w:asciiTheme="majorBidi" w:hAnsiTheme="majorBidi" w:cstheme="majorBidi"/>
          <w:b/>
          <w:bCs/>
          <w:sz w:val="24"/>
          <w:szCs w:val="24"/>
        </w:rPr>
        <w:t>A. DIGITALISATION OF BLOOD SERVICES</w:t>
      </w:r>
    </w:p>
    <w:p w14:paraId="68BEF983" w14:textId="77777777" w:rsidR="009D7D0A" w:rsidRPr="00C278CD" w:rsidRDefault="00E96B57">
      <w:pPr>
        <w:pStyle w:val="IEEESubsection"/>
        <w:keepNext/>
        <w:spacing w:after="4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Research on digitalisation has increasingly focused on improving transparency and coordination within the blood supply chain. A recent literature review examined technologies such as blockchain, machine learning, artificial intelligence and big data, while also identifying organisational and implementation challenges (Pal et al., 2024). A separate review covering research published between 2014 and 2025 identified key themes in donor engagement, demand forecasting, inventory and logistics optimisation, supply-chain resilience and digital technologies (Siswanto et al., 2025). These findings emphasise the importance of information systems while indicating that digital transformation extends beyond electronic record-keeping.</w:t>
      </w:r>
    </w:p>
    <w:p w14:paraId="0177111A" w14:textId="77777777" w:rsidR="009D7D0A" w:rsidRPr="00C278CD" w:rsidRDefault="00E96B57">
      <w:pPr>
        <w:pStyle w:val="IEEESubsection"/>
        <w:keepNext/>
        <w:spacing w:after="40" w:line="360" w:lineRule="auto"/>
        <w:jc w:val="both"/>
        <w:rPr>
          <w:rFonts w:asciiTheme="majorBidi" w:hAnsiTheme="majorBidi" w:cstheme="majorBidi"/>
          <w:b/>
          <w:bCs/>
          <w:sz w:val="24"/>
          <w:szCs w:val="24"/>
        </w:rPr>
      </w:pPr>
      <w:r w:rsidRPr="00C278CD">
        <w:rPr>
          <w:rFonts w:asciiTheme="majorBidi" w:hAnsiTheme="majorBidi" w:cstheme="majorBidi"/>
          <w:b/>
          <w:bCs/>
          <w:sz w:val="24"/>
          <w:szCs w:val="24"/>
        </w:rPr>
        <w:t>B. BLOOD DONATION AND DONOR ENGAGEMENT</w:t>
      </w:r>
    </w:p>
    <w:p w14:paraId="4FD7C53F" w14:textId="77777777" w:rsidR="009D7D0A" w:rsidRPr="00C278CD" w:rsidRDefault="00E96B57">
      <w:pPr>
        <w:pStyle w:val="IEEESubsection"/>
        <w:keepNext/>
        <w:spacing w:after="4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Donor availability is essential to blood services (World Health Organization, 2010). A meta-analytic review found that perceived benefits, convenience and personal values can encourage donation, while time constraints, inadequate information, limited knowledge and negative donation experiences can discourage participation (</w:t>
      </w:r>
      <w:proofErr w:type="spellStart"/>
      <w:r w:rsidRPr="00C278CD">
        <w:rPr>
          <w:rFonts w:asciiTheme="majorBidi" w:hAnsiTheme="majorBidi" w:cstheme="majorBidi"/>
          <w:sz w:val="24"/>
          <w:szCs w:val="24"/>
          <w:lang w:val="en-IN"/>
        </w:rPr>
        <w:t>Bednall</w:t>
      </w:r>
      <w:proofErr w:type="spellEnd"/>
      <w:r w:rsidRPr="00C278CD">
        <w:rPr>
          <w:rFonts w:asciiTheme="majorBidi" w:hAnsiTheme="majorBidi" w:cstheme="majorBidi"/>
          <w:sz w:val="24"/>
          <w:szCs w:val="24"/>
          <w:lang w:val="en-IN"/>
        </w:rPr>
        <w:t xml:space="preserve"> &amp; Bove, 2011). A separate review identified self-efficacy, perceived behavioural control, positive attitudes, donor identity and previous donation experience as relevant factors (</w:t>
      </w:r>
      <w:proofErr w:type="spellStart"/>
      <w:r w:rsidRPr="00C278CD">
        <w:rPr>
          <w:rFonts w:asciiTheme="majorBidi" w:hAnsiTheme="majorBidi" w:cstheme="majorBidi"/>
          <w:sz w:val="24"/>
          <w:szCs w:val="24"/>
          <w:lang w:val="en-IN"/>
        </w:rPr>
        <w:t>Bednall</w:t>
      </w:r>
      <w:proofErr w:type="spellEnd"/>
      <w:r w:rsidRPr="00C278CD">
        <w:rPr>
          <w:rFonts w:asciiTheme="majorBidi" w:hAnsiTheme="majorBidi" w:cstheme="majorBidi"/>
          <w:sz w:val="24"/>
          <w:szCs w:val="24"/>
          <w:lang w:val="en-IN"/>
        </w:rPr>
        <w:t xml:space="preserve"> et al., 2013). Research has also considered the role of prosocial motivation in blood donation (Goette et al., 2010). </w:t>
      </w:r>
      <w:r w:rsidRPr="00C278CD">
        <w:rPr>
          <w:rFonts w:asciiTheme="majorBidi" w:hAnsiTheme="majorBidi" w:cstheme="majorBidi"/>
          <w:sz w:val="24"/>
          <w:szCs w:val="24"/>
          <w:lang w:val="en-IN"/>
        </w:rPr>
        <w:lastRenderedPageBreak/>
        <w:t>These findings suggest that future digital blood-service systems should not merely monitor available blood quantities; they should also support communication, donor engagement and accessible processes.</w:t>
      </w:r>
    </w:p>
    <w:p w14:paraId="23B6E193" w14:textId="77777777" w:rsidR="009D7D0A" w:rsidRPr="00C278CD" w:rsidRDefault="00E96B57">
      <w:pPr>
        <w:pStyle w:val="IEEESubsection"/>
        <w:keepNext/>
        <w:spacing w:after="40" w:line="360" w:lineRule="auto"/>
        <w:jc w:val="both"/>
        <w:rPr>
          <w:rFonts w:asciiTheme="majorBidi" w:hAnsiTheme="majorBidi" w:cstheme="majorBidi"/>
          <w:b/>
          <w:bCs/>
          <w:sz w:val="24"/>
          <w:szCs w:val="24"/>
        </w:rPr>
      </w:pPr>
      <w:r w:rsidRPr="00C278CD">
        <w:rPr>
          <w:rFonts w:asciiTheme="majorBidi" w:hAnsiTheme="majorBidi" w:cstheme="majorBidi"/>
          <w:b/>
          <w:bCs/>
          <w:sz w:val="24"/>
          <w:szCs w:val="24"/>
        </w:rPr>
        <w:t>C. INVENTORY AND PERISHABILITY</w:t>
      </w:r>
    </w:p>
    <w:p w14:paraId="39F8819F" w14:textId="77777777" w:rsidR="009D7D0A" w:rsidRPr="00C278CD" w:rsidRDefault="00E96B57">
      <w:pPr>
        <w:pStyle w:val="IEEESubsection"/>
        <w:keepNext/>
        <w:spacing w:after="4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Blood products have limited shelf lives, and demand can be difficult to predict. Research on platelet management shows how short shelf life can contribute to wastage and shortages, motivating mathematical approaches to inventory control (</w:t>
      </w:r>
      <w:proofErr w:type="spellStart"/>
      <w:r w:rsidRPr="00C278CD">
        <w:rPr>
          <w:rFonts w:asciiTheme="majorBidi" w:hAnsiTheme="majorBidi" w:cstheme="majorBidi"/>
          <w:sz w:val="24"/>
          <w:szCs w:val="24"/>
          <w:lang w:val="en-IN"/>
        </w:rPr>
        <w:t>Haijema</w:t>
      </w:r>
      <w:proofErr w:type="spellEnd"/>
      <w:r w:rsidRPr="00C278CD">
        <w:rPr>
          <w:rFonts w:asciiTheme="majorBidi" w:hAnsiTheme="majorBidi" w:cstheme="majorBidi"/>
          <w:sz w:val="24"/>
          <w:szCs w:val="24"/>
          <w:lang w:val="en-IN"/>
        </w:rPr>
        <w:t xml:space="preserve"> et al., 2007; Rajendran &amp; Ravindran, 2019). Other studies have considered uncertainty in remaining shelf life and the use of data to inform inventory decisions (</w:t>
      </w:r>
      <w:proofErr w:type="spellStart"/>
      <w:r w:rsidRPr="00C278CD">
        <w:rPr>
          <w:rFonts w:asciiTheme="majorBidi" w:hAnsiTheme="majorBidi" w:cstheme="majorBidi"/>
          <w:sz w:val="24"/>
          <w:szCs w:val="24"/>
          <w:lang w:val="en-IN"/>
        </w:rPr>
        <w:t>Abouee-Mehrizi</w:t>
      </w:r>
      <w:proofErr w:type="spellEnd"/>
      <w:r w:rsidRPr="00C278CD">
        <w:rPr>
          <w:rFonts w:asciiTheme="majorBidi" w:hAnsiTheme="majorBidi" w:cstheme="majorBidi"/>
          <w:sz w:val="24"/>
          <w:szCs w:val="24"/>
          <w:lang w:val="en-IN"/>
        </w:rPr>
        <w:t xml:space="preserve"> et al., 2022; Dillon et al., 2023). The present system does not apply mathematical optimisation or predict future inventory problems. Instead, it establishes an information-management foundation by recording available units by blood group, donations and blood issues. Such transaction records are necessary for subsequent planning and more informed decision-making.</w:t>
      </w:r>
    </w:p>
    <w:p w14:paraId="0D91739A" w14:textId="77777777" w:rsidR="009D7D0A" w:rsidRPr="00C278CD" w:rsidRDefault="00E96B57">
      <w:pPr>
        <w:pStyle w:val="IEEESubsection"/>
        <w:keepNext/>
        <w:spacing w:after="40" w:line="360" w:lineRule="auto"/>
        <w:jc w:val="both"/>
        <w:rPr>
          <w:rFonts w:asciiTheme="majorBidi" w:hAnsiTheme="majorBidi" w:cstheme="majorBidi"/>
          <w:b/>
          <w:bCs/>
          <w:sz w:val="24"/>
          <w:szCs w:val="24"/>
        </w:rPr>
      </w:pPr>
      <w:r w:rsidRPr="00C278CD">
        <w:rPr>
          <w:rFonts w:asciiTheme="majorBidi" w:hAnsiTheme="majorBidi" w:cstheme="majorBidi"/>
          <w:b/>
          <w:bCs/>
          <w:sz w:val="24"/>
          <w:szCs w:val="24"/>
        </w:rPr>
        <w:t>D. DIGITAL BLOOD-MANAGEMENT PLATFORMS</w:t>
      </w:r>
    </w:p>
    <w:p w14:paraId="200C8F53" w14:textId="77777777" w:rsidR="009D7D0A" w:rsidRPr="00C278CD" w:rsidRDefault="00E96B57">
      <w:pPr>
        <w:pStyle w:val="IEEESubsection"/>
        <w:keepNext/>
        <w:spacing w:after="4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Previous blood-bank and donor-management applications have demonstrated the feasibility of using web and mobile platforms for donor registration, request processing, blood-group searches and administrative tasks (Abdul-</w:t>
      </w:r>
      <w:proofErr w:type="spellStart"/>
      <w:r w:rsidRPr="00C278CD">
        <w:rPr>
          <w:rFonts w:asciiTheme="majorBidi" w:hAnsiTheme="majorBidi" w:cstheme="majorBidi"/>
          <w:sz w:val="24"/>
          <w:szCs w:val="24"/>
          <w:lang w:val="en-IN"/>
        </w:rPr>
        <w:t>Gafaru</w:t>
      </w:r>
      <w:proofErr w:type="spellEnd"/>
      <w:r w:rsidRPr="00C278CD">
        <w:rPr>
          <w:rFonts w:asciiTheme="majorBidi" w:hAnsiTheme="majorBidi" w:cstheme="majorBidi"/>
          <w:sz w:val="24"/>
          <w:szCs w:val="24"/>
          <w:lang w:val="en-IN"/>
        </w:rPr>
        <w:t xml:space="preserve"> et al., 2024). More advanced proposals incorporate location-based matching, notifications, dashboards and analytics. By contrast, the present study focuses on a basic application built with PHP, MySQL and Bootstrap. Its contribution is to demonstrate a framework that can be extended without relying on costly technologies.</w:t>
      </w:r>
    </w:p>
    <w:p w14:paraId="1CE3155B" w14:textId="77777777" w:rsidR="009D7D0A" w:rsidRPr="00C278CD" w:rsidRDefault="00E96B57">
      <w:pPr>
        <w:pStyle w:val="IEEESubsection"/>
        <w:keepNext/>
        <w:spacing w:after="40" w:line="360" w:lineRule="auto"/>
        <w:jc w:val="both"/>
        <w:rPr>
          <w:rFonts w:asciiTheme="majorBidi" w:hAnsiTheme="majorBidi" w:cstheme="majorBidi"/>
          <w:b/>
          <w:bCs/>
          <w:sz w:val="24"/>
          <w:szCs w:val="24"/>
        </w:rPr>
      </w:pPr>
      <w:r w:rsidRPr="00C278CD">
        <w:rPr>
          <w:rFonts w:asciiTheme="majorBidi" w:hAnsiTheme="majorBidi" w:cstheme="majorBidi"/>
          <w:b/>
          <w:bCs/>
          <w:sz w:val="24"/>
          <w:szCs w:val="24"/>
        </w:rPr>
        <w:t>E. RESEARCH GAP</w:t>
      </w:r>
    </w:p>
    <w:p w14:paraId="4EB7125C" w14:textId="77777777" w:rsidR="009D7D0A" w:rsidRPr="00C278CD" w:rsidRDefault="00E96B57">
      <w:pPr>
        <w:pStyle w:val="IEEESection"/>
        <w:keepNext/>
        <w:spacing w:after="60" w:line="360" w:lineRule="auto"/>
        <w:jc w:val="both"/>
        <w:rPr>
          <w:rFonts w:asciiTheme="majorBidi" w:hAnsiTheme="majorBidi" w:cstheme="majorBidi"/>
          <w:b w:val="0"/>
          <w:bCs/>
          <w:sz w:val="24"/>
          <w:szCs w:val="24"/>
          <w:lang w:val="en-IN"/>
        </w:rPr>
      </w:pPr>
      <w:r w:rsidRPr="00C278CD">
        <w:rPr>
          <w:rFonts w:asciiTheme="majorBidi" w:hAnsiTheme="majorBidi" w:cstheme="majorBidi"/>
          <w:b w:val="0"/>
          <w:bCs/>
          <w:sz w:val="24"/>
          <w:szCs w:val="24"/>
          <w:lang w:val="en-IN"/>
        </w:rPr>
        <w:t>The literature highlights the importance of blood management, but many advanced proposals focus on individual functions, such as matching, forecasting, geospatial searches or visual analytics, rather than a straightforward integrated administrative platform suited to academic or resource-limited environments. This project addresses that practical gap by combining donor information, recipient requests, blood-group inventory, donation history, shortage alerts and reporting within one application. However, functional correctness alone does not demonstrate real-world impact; field assessment and quantitative performance evaluation remain necessary.</w:t>
      </w:r>
    </w:p>
    <w:p w14:paraId="60482624" w14:textId="77777777" w:rsidR="009D7D0A" w:rsidRPr="00C278CD" w:rsidRDefault="00E96B57">
      <w:pPr>
        <w:pStyle w:val="IEEESection"/>
        <w:keepNext/>
        <w:spacing w:after="60" w:line="360" w:lineRule="auto"/>
        <w:jc w:val="both"/>
        <w:rPr>
          <w:rFonts w:asciiTheme="majorBidi" w:hAnsiTheme="majorBidi" w:cstheme="majorBidi"/>
          <w:sz w:val="24"/>
          <w:szCs w:val="24"/>
        </w:rPr>
      </w:pPr>
      <w:r w:rsidRPr="00C278CD">
        <w:rPr>
          <w:rFonts w:asciiTheme="majorBidi" w:hAnsiTheme="majorBidi" w:cstheme="majorBidi"/>
          <w:sz w:val="24"/>
          <w:szCs w:val="24"/>
        </w:rPr>
        <w:t>III. MATERIALS AND METHODS</w:t>
      </w:r>
    </w:p>
    <w:p w14:paraId="4AEC214C" w14:textId="77777777" w:rsidR="009D7D0A" w:rsidRPr="00C278CD" w:rsidRDefault="00E96B57">
      <w:pPr>
        <w:pStyle w:val="IEEESubsection"/>
        <w:keepNext/>
        <w:spacing w:after="40" w:line="360" w:lineRule="auto"/>
        <w:jc w:val="both"/>
        <w:rPr>
          <w:rFonts w:asciiTheme="majorBidi" w:hAnsiTheme="majorBidi" w:cstheme="majorBidi"/>
          <w:b/>
          <w:bCs/>
          <w:sz w:val="24"/>
          <w:szCs w:val="24"/>
        </w:rPr>
      </w:pPr>
      <w:r w:rsidRPr="00C278CD">
        <w:rPr>
          <w:rFonts w:asciiTheme="majorBidi" w:hAnsiTheme="majorBidi" w:cstheme="majorBidi"/>
          <w:b/>
          <w:bCs/>
          <w:sz w:val="24"/>
          <w:szCs w:val="24"/>
        </w:rPr>
        <w:t>A. RESEARCH AND DEVELOPMENT APPROACH</w:t>
      </w:r>
    </w:p>
    <w:p w14:paraId="5FC641DD" w14:textId="77777777" w:rsidR="009D7D0A" w:rsidRPr="00C278CD" w:rsidRDefault="00E96B57">
      <w:pPr>
        <w:pStyle w:val="IEEESubsection"/>
        <w:keepNext/>
        <w:spacing w:after="40" w:line="360" w:lineRule="auto"/>
        <w:jc w:val="both"/>
        <w:rPr>
          <w:rFonts w:asciiTheme="majorBidi" w:hAnsiTheme="majorBidi" w:cstheme="majorBidi"/>
          <w:sz w:val="24"/>
          <w:szCs w:val="24"/>
        </w:rPr>
      </w:pPr>
      <w:r w:rsidRPr="00C278CD">
        <w:rPr>
          <w:rFonts w:asciiTheme="majorBidi" w:hAnsiTheme="majorBidi" w:cstheme="majorBidi"/>
          <w:sz w:val="24"/>
          <w:szCs w:val="24"/>
        </w:rPr>
        <w:t xml:space="preserve">The study adopted a design-and-development approach. Project requirements were reviewed, the software architecture and database structure were defined, the application was implemented, and the completed </w:t>
      </w:r>
      <w:r w:rsidRPr="00C278CD">
        <w:rPr>
          <w:rFonts w:asciiTheme="majorBidi" w:hAnsiTheme="majorBidi" w:cstheme="majorBidi"/>
          <w:sz w:val="24"/>
          <w:szCs w:val="24"/>
        </w:rPr>
        <w:lastRenderedPageBreak/>
        <w:t>modules were tested for functional correctness. A Waterfall approach was used because the principal requirements had been identified in advance and the project was developed as an academic software system.</w:t>
      </w:r>
    </w:p>
    <w:p w14:paraId="53D9B2A5" w14:textId="77777777" w:rsidR="009D7D0A" w:rsidRPr="00C278CD" w:rsidRDefault="00E96B57">
      <w:pPr>
        <w:pStyle w:val="IEEESubsection"/>
        <w:keepNext/>
        <w:spacing w:after="40" w:line="360" w:lineRule="auto"/>
        <w:jc w:val="both"/>
        <w:rPr>
          <w:rFonts w:asciiTheme="majorBidi" w:hAnsiTheme="majorBidi" w:cstheme="majorBidi"/>
          <w:b/>
          <w:bCs/>
          <w:sz w:val="24"/>
          <w:szCs w:val="24"/>
        </w:rPr>
      </w:pPr>
      <w:r w:rsidRPr="00C278CD">
        <w:rPr>
          <w:rFonts w:asciiTheme="majorBidi" w:hAnsiTheme="majorBidi" w:cstheme="majorBidi"/>
          <w:b/>
          <w:bCs/>
          <w:sz w:val="24"/>
          <w:szCs w:val="24"/>
        </w:rPr>
        <w:t>B. SOFTWARE DEVELOPMENT LIFE CYCLE</w:t>
      </w:r>
    </w:p>
    <w:p w14:paraId="61A74B57" w14:textId="77777777" w:rsidR="003F566F" w:rsidRPr="00C278CD" w:rsidRDefault="00000000">
      <w:pPr>
        <w:spacing w:after="60"/>
      </w:pPr>
      <w:r w:rsidRPr="00C278CD">
        <w:t xml:space="preserve">The development stages and their corresponding outputs are </w:t>
      </w:r>
      <w:proofErr w:type="spellStart"/>
      <w:r w:rsidRPr="00C278CD">
        <w:t>summarised</w:t>
      </w:r>
      <w:proofErr w:type="spellEnd"/>
      <w:r w:rsidRPr="00C278CD">
        <w:t xml:space="preserve"> in Table 1.</w:t>
      </w:r>
    </w:p>
    <w:p w14:paraId="6A023BEB" w14:textId="77777777" w:rsidR="009D7D0A" w:rsidRPr="00C278CD" w:rsidRDefault="00E96B57">
      <w:pPr>
        <w:pStyle w:val="IEEEReferences"/>
        <w:keepNext/>
        <w:spacing w:after="80" w:line="360" w:lineRule="auto"/>
        <w:rPr>
          <w:rFonts w:asciiTheme="majorBidi" w:hAnsiTheme="majorBidi" w:cstheme="majorBidi"/>
          <w:sz w:val="24"/>
          <w:szCs w:val="24"/>
        </w:rPr>
      </w:pPr>
      <w:r w:rsidRPr="00C278CD">
        <w:rPr>
          <w:rFonts w:asciiTheme="majorBidi" w:hAnsiTheme="majorBidi" w:cstheme="majorBidi"/>
          <w:b/>
          <w:sz w:val="24"/>
          <w:szCs w:val="24"/>
        </w:rPr>
        <w:t>TABLE 1:</w:t>
      </w:r>
      <w:r w:rsidRPr="00C278CD">
        <w:rPr>
          <w:b/>
          <w:bCs/>
          <w:sz w:val="20"/>
        </w:rPr>
        <w:t xml:space="preserve"> </w:t>
      </w:r>
      <w:r w:rsidRPr="00C278CD">
        <w:rPr>
          <w:rFonts w:asciiTheme="majorBidi" w:hAnsiTheme="majorBidi" w:cstheme="majorBidi"/>
          <w:sz w:val="24"/>
          <w:szCs w:val="24"/>
        </w:rPr>
        <w:t>Software Development Life Cycle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4545"/>
        <w:gridCol w:w="3476"/>
      </w:tblGrid>
      <w:tr w:rsidR="009D7D0A" w:rsidRPr="00C278CD" w14:paraId="0CCF351A" w14:textId="77777777">
        <w:trPr>
          <w:jc w:val="center"/>
        </w:trPr>
        <w:tc>
          <w:tcPr>
            <w:tcW w:w="2410" w:type="dxa"/>
            <w:vAlign w:val="center"/>
          </w:tcPr>
          <w:p w14:paraId="72C1951D"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b/>
                <w:sz w:val="24"/>
                <w:szCs w:val="24"/>
              </w:rPr>
              <w:t>Phase</w:t>
            </w:r>
          </w:p>
        </w:tc>
        <w:tc>
          <w:tcPr>
            <w:tcW w:w="4550" w:type="dxa"/>
            <w:vAlign w:val="center"/>
          </w:tcPr>
          <w:p w14:paraId="07826536"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b/>
                <w:sz w:val="24"/>
                <w:szCs w:val="24"/>
              </w:rPr>
              <w:t>Activities</w:t>
            </w:r>
          </w:p>
        </w:tc>
        <w:tc>
          <w:tcPr>
            <w:tcW w:w="3480" w:type="dxa"/>
            <w:vAlign w:val="center"/>
          </w:tcPr>
          <w:p w14:paraId="30717CD8"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b/>
                <w:sz w:val="24"/>
                <w:szCs w:val="24"/>
              </w:rPr>
              <w:t>Output</w:t>
            </w:r>
          </w:p>
        </w:tc>
      </w:tr>
      <w:tr w:rsidR="009D7D0A" w:rsidRPr="00C278CD" w14:paraId="51DC145D" w14:textId="77777777">
        <w:trPr>
          <w:jc w:val="center"/>
        </w:trPr>
        <w:tc>
          <w:tcPr>
            <w:tcW w:w="2410" w:type="dxa"/>
            <w:vAlign w:val="center"/>
          </w:tcPr>
          <w:p w14:paraId="0434D6A1"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Requirements analysis</w:t>
            </w:r>
          </w:p>
        </w:tc>
        <w:tc>
          <w:tcPr>
            <w:tcW w:w="4550" w:type="dxa"/>
            <w:vAlign w:val="center"/>
          </w:tcPr>
          <w:p w14:paraId="7A1A8A18"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Identify donor, recipient, request, inventory, reporting, and authentication requirements.</w:t>
            </w:r>
          </w:p>
        </w:tc>
        <w:tc>
          <w:tcPr>
            <w:tcW w:w="3480" w:type="dxa"/>
            <w:vAlign w:val="center"/>
          </w:tcPr>
          <w:p w14:paraId="6730AFFB"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Functional and non-functional requirements</w:t>
            </w:r>
          </w:p>
        </w:tc>
      </w:tr>
      <w:tr w:rsidR="009D7D0A" w:rsidRPr="00C278CD" w14:paraId="63751785" w14:textId="77777777">
        <w:trPr>
          <w:jc w:val="center"/>
        </w:trPr>
        <w:tc>
          <w:tcPr>
            <w:tcW w:w="2410" w:type="dxa"/>
            <w:vAlign w:val="center"/>
          </w:tcPr>
          <w:p w14:paraId="03060802"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System design</w:t>
            </w:r>
          </w:p>
        </w:tc>
        <w:tc>
          <w:tcPr>
            <w:tcW w:w="4550" w:type="dxa"/>
            <w:vAlign w:val="center"/>
          </w:tcPr>
          <w:p w14:paraId="196DEE80"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Define modules, data flows, entities, relationships, and database tables.</w:t>
            </w:r>
          </w:p>
        </w:tc>
        <w:tc>
          <w:tcPr>
            <w:tcW w:w="3480" w:type="dxa"/>
            <w:vAlign w:val="center"/>
          </w:tcPr>
          <w:p w14:paraId="296359B4"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Architecture and database design</w:t>
            </w:r>
          </w:p>
        </w:tc>
      </w:tr>
      <w:tr w:rsidR="009D7D0A" w:rsidRPr="00C278CD" w14:paraId="5CEE4894" w14:textId="77777777">
        <w:trPr>
          <w:jc w:val="center"/>
        </w:trPr>
        <w:tc>
          <w:tcPr>
            <w:tcW w:w="2410" w:type="dxa"/>
            <w:vAlign w:val="center"/>
          </w:tcPr>
          <w:p w14:paraId="1E142DF3"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Implementation</w:t>
            </w:r>
          </w:p>
        </w:tc>
        <w:tc>
          <w:tcPr>
            <w:tcW w:w="4550" w:type="dxa"/>
            <w:vAlign w:val="center"/>
          </w:tcPr>
          <w:p w14:paraId="07337495"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Develop PHP application, MySQL database, and Bootstrap interfaces.</w:t>
            </w:r>
          </w:p>
        </w:tc>
        <w:tc>
          <w:tcPr>
            <w:tcW w:w="3480" w:type="dxa"/>
            <w:vAlign w:val="center"/>
          </w:tcPr>
          <w:p w14:paraId="5C0C3F89"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Working web application</w:t>
            </w:r>
          </w:p>
        </w:tc>
      </w:tr>
      <w:tr w:rsidR="009D7D0A" w:rsidRPr="00C278CD" w14:paraId="3D41AC9D" w14:textId="77777777">
        <w:trPr>
          <w:jc w:val="center"/>
        </w:trPr>
        <w:tc>
          <w:tcPr>
            <w:tcW w:w="2410" w:type="dxa"/>
            <w:vAlign w:val="center"/>
          </w:tcPr>
          <w:p w14:paraId="3C633F7D"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Testing</w:t>
            </w:r>
          </w:p>
        </w:tc>
        <w:tc>
          <w:tcPr>
            <w:tcW w:w="4550" w:type="dxa"/>
            <w:vAlign w:val="center"/>
          </w:tcPr>
          <w:p w14:paraId="46878390"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Execute black-box functional test cases for major modules.</w:t>
            </w:r>
          </w:p>
        </w:tc>
        <w:tc>
          <w:tcPr>
            <w:tcW w:w="3480" w:type="dxa"/>
            <w:vAlign w:val="center"/>
          </w:tcPr>
          <w:p w14:paraId="57CF0D64"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Verified test cases and defect observations</w:t>
            </w:r>
          </w:p>
        </w:tc>
      </w:tr>
      <w:tr w:rsidR="009D7D0A" w:rsidRPr="00C278CD" w14:paraId="333F1DD2" w14:textId="77777777">
        <w:trPr>
          <w:jc w:val="center"/>
        </w:trPr>
        <w:tc>
          <w:tcPr>
            <w:tcW w:w="2410" w:type="dxa"/>
            <w:vAlign w:val="center"/>
          </w:tcPr>
          <w:p w14:paraId="1B87E378"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Deployment</w:t>
            </w:r>
          </w:p>
        </w:tc>
        <w:tc>
          <w:tcPr>
            <w:tcW w:w="4550" w:type="dxa"/>
            <w:vAlign w:val="center"/>
          </w:tcPr>
          <w:p w14:paraId="472E43AB"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Run the application in a local XAMPP/WAMP environment for demonstration.</w:t>
            </w:r>
          </w:p>
        </w:tc>
        <w:tc>
          <w:tcPr>
            <w:tcW w:w="3480" w:type="dxa"/>
            <w:vAlign w:val="center"/>
          </w:tcPr>
          <w:p w14:paraId="54E6BF20"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Demonstration deployment</w:t>
            </w:r>
          </w:p>
        </w:tc>
      </w:tr>
      <w:tr w:rsidR="009D7D0A" w:rsidRPr="00C278CD" w14:paraId="26A1DD04" w14:textId="77777777">
        <w:trPr>
          <w:jc w:val="center"/>
        </w:trPr>
        <w:tc>
          <w:tcPr>
            <w:tcW w:w="2410" w:type="dxa"/>
            <w:vAlign w:val="center"/>
          </w:tcPr>
          <w:p w14:paraId="1767CA0C"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Maintenance</w:t>
            </w:r>
          </w:p>
        </w:tc>
        <w:tc>
          <w:tcPr>
            <w:tcW w:w="4550" w:type="dxa"/>
            <w:vAlign w:val="center"/>
          </w:tcPr>
          <w:p w14:paraId="03BEF027"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Plan database backup, bug fixing, security improvements, and feature extensions.</w:t>
            </w:r>
          </w:p>
        </w:tc>
        <w:tc>
          <w:tcPr>
            <w:tcW w:w="3480" w:type="dxa"/>
            <w:vAlign w:val="center"/>
          </w:tcPr>
          <w:p w14:paraId="4F0FA7B6"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Maintenance roadmap</w:t>
            </w:r>
          </w:p>
        </w:tc>
      </w:tr>
    </w:tbl>
    <w:p w14:paraId="2AA8AB83" w14:textId="77777777" w:rsidR="009D7D0A" w:rsidRPr="00C278CD" w:rsidRDefault="009D7D0A">
      <w:pPr>
        <w:pStyle w:val="IEEESubsection"/>
        <w:keepNext/>
        <w:spacing w:after="40" w:line="360" w:lineRule="auto"/>
        <w:jc w:val="both"/>
        <w:rPr>
          <w:rFonts w:asciiTheme="majorBidi" w:hAnsiTheme="majorBidi" w:cstheme="majorBidi"/>
          <w:sz w:val="24"/>
          <w:szCs w:val="24"/>
        </w:rPr>
      </w:pPr>
    </w:p>
    <w:p w14:paraId="23C877E4" w14:textId="77777777" w:rsidR="003F566F" w:rsidRPr="00C278CD" w:rsidRDefault="00000000">
      <w:pPr>
        <w:spacing w:after="60"/>
      </w:pPr>
      <w:r w:rsidRPr="00C278CD">
        <w:t xml:space="preserve">The principal functions of the system modules are </w:t>
      </w:r>
      <w:proofErr w:type="spellStart"/>
      <w:r w:rsidRPr="00C278CD">
        <w:t>summarised</w:t>
      </w:r>
      <w:proofErr w:type="spellEnd"/>
      <w:r w:rsidRPr="00C278CD">
        <w:t xml:space="preserve"> in Table 2.</w:t>
      </w:r>
    </w:p>
    <w:p w14:paraId="5CAC1B40" w14:textId="77777777" w:rsidR="009D7D0A" w:rsidRPr="00C278CD" w:rsidRDefault="00E96B57">
      <w:pPr>
        <w:pStyle w:val="IEEESubsection"/>
        <w:keepNext/>
        <w:spacing w:after="40" w:line="360" w:lineRule="auto"/>
        <w:jc w:val="both"/>
        <w:rPr>
          <w:rFonts w:asciiTheme="majorBidi" w:hAnsiTheme="majorBidi" w:cstheme="majorBidi"/>
          <w:sz w:val="24"/>
          <w:szCs w:val="24"/>
        </w:rPr>
      </w:pPr>
      <w:r w:rsidRPr="00C278CD">
        <w:rPr>
          <w:rFonts w:asciiTheme="majorBidi" w:hAnsiTheme="majorBidi" w:cstheme="majorBidi"/>
          <w:b/>
          <w:bCs/>
          <w:sz w:val="24"/>
          <w:szCs w:val="24"/>
        </w:rPr>
        <w:t>C. FUNCTIONAL REQUIREMENTS</w:t>
      </w:r>
    </w:p>
    <w:p w14:paraId="519E53A5" w14:textId="77777777" w:rsidR="009D7D0A" w:rsidRPr="00C278CD" w:rsidRDefault="00E96B57">
      <w:pPr>
        <w:pStyle w:val="IEEEReferences"/>
        <w:keepNext/>
        <w:spacing w:after="80" w:line="360" w:lineRule="auto"/>
        <w:rPr>
          <w:rFonts w:asciiTheme="majorBidi" w:hAnsiTheme="majorBidi" w:cstheme="majorBidi"/>
          <w:sz w:val="24"/>
          <w:szCs w:val="24"/>
        </w:rPr>
      </w:pPr>
      <w:r w:rsidRPr="00C278CD">
        <w:rPr>
          <w:rFonts w:asciiTheme="majorBidi" w:hAnsiTheme="majorBidi" w:cstheme="majorBidi"/>
          <w:b/>
          <w:sz w:val="24"/>
          <w:szCs w:val="24"/>
        </w:rPr>
        <w:t>TABLE 2</w:t>
      </w:r>
      <w:r w:rsidRPr="00C278CD">
        <w:rPr>
          <w:rFonts w:asciiTheme="majorBidi" w:hAnsiTheme="majorBidi" w:cstheme="majorBidi"/>
          <w:bCs/>
          <w:sz w:val="24"/>
          <w:szCs w:val="24"/>
        </w:rPr>
        <w:t>:</w:t>
      </w:r>
      <w:r w:rsidRPr="00C278CD">
        <w:rPr>
          <w:bCs/>
          <w:sz w:val="20"/>
        </w:rPr>
        <w:t xml:space="preserve"> </w:t>
      </w:r>
      <w:r w:rsidRPr="00C278CD">
        <w:rPr>
          <w:rFonts w:asciiTheme="majorBidi" w:hAnsiTheme="majorBidi" w:cstheme="majorBidi"/>
          <w:bCs/>
          <w:sz w:val="24"/>
          <w:szCs w:val="24"/>
        </w:rPr>
        <w:t>Functional Requirements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5"/>
        <w:gridCol w:w="7455"/>
      </w:tblGrid>
      <w:tr w:rsidR="009D7D0A" w:rsidRPr="00C278CD" w14:paraId="541938F8" w14:textId="77777777">
        <w:trPr>
          <w:jc w:val="center"/>
        </w:trPr>
        <w:tc>
          <w:tcPr>
            <w:tcW w:w="2977" w:type="dxa"/>
            <w:vAlign w:val="center"/>
          </w:tcPr>
          <w:p w14:paraId="41FBC246"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b/>
                <w:sz w:val="24"/>
                <w:szCs w:val="24"/>
              </w:rPr>
              <w:t>Module</w:t>
            </w:r>
          </w:p>
        </w:tc>
        <w:tc>
          <w:tcPr>
            <w:tcW w:w="7463" w:type="dxa"/>
            <w:vAlign w:val="center"/>
          </w:tcPr>
          <w:p w14:paraId="7258CF65"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b/>
                <w:sz w:val="24"/>
                <w:szCs w:val="24"/>
              </w:rPr>
              <w:t>Principal functions</w:t>
            </w:r>
          </w:p>
        </w:tc>
      </w:tr>
      <w:tr w:rsidR="009D7D0A" w:rsidRPr="00C278CD" w14:paraId="42BB4CB2" w14:textId="77777777">
        <w:trPr>
          <w:jc w:val="center"/>
        </w:trPr>
        <w:tc>
          <w:tcPr>
            <w:tcW w:w="2977" w:type="dxa"/>
            <w:vAlign w:val="center"/>
          </w:tcPr>
          <w:p w14:paraId="66AB75DB"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Administrator</w:t>
            </w:r>
          </w:p>
        </w:tc>
        <w:tc>
          <w:tcPr>
            <w:tcW w:w="7463" w:type="dxa"/>
            <w:vAlign w:val="center"/>
          </w:tcPr>
          <w:p w14:paraId="5AD544BF"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Secure login/logout; manage donors, recipients, requests, inventory, donation history, and reports.</w:t>
            </w:r>
          </w:p>
        </w:tc>
      </w:tr>
      <w:tr w:rsidR="009D7D0A" w:rsidRPr="00C278CD" w14:paraId="472C02E5" w14:textId="77777777">
        <w:trPr>
          <w:jc w:val="center"/>
        </w:trPr>
        <w:tc>
          <w:tcPr>
            <w:tcW w:w="2977" w:type="dxa"/>
            <w:vAlign w:val="center"/>
          </w:tcPr>
          <w:p w14:paraId="267A256D"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Donor</w:t>
            </w:r>
          </w:p>
        </w:tc>
        <w:tc>
          <w:tcPr>
            <w:tcW w:w="7463" w:type="dxa"/>
            <w:vAlign w:val="center"/>
          </w:tcPr>
          <w:p w14:paraId="36FA9B7E"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Register donor details and maintain donor information.</w:t>
            </w:r>
          </w:p>
        </w:tc>
      </w:tr>
      <w:tr w:rsidR="009D7D0A" w:rsidRPr="00C278CD" w14:paraId="6A06D3EE" w14:textId="77777777">
        <w:trPr>
          <w:jc w:val="center"/>
        </w:trPr>
        <w:tc>
          <w:tcPr>
            <w:tcW w:w="2977" w:type="dxa"/>
            <w:vAlign w:val="center"/>
          </w:tcPr>
          <w:p w14:paraId="7E77E806"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Recipient / Request</w:t>
            </w:r>
          </w:p>
        </w:tc>
        <w:tc>
          <w:tcPr>
            <w:tcW w:w="7463" w:type="dxa"/>
            <w:vAlign w:val="center"/>
          </w:tcPr>
          <w:p w14:paraId="590D3067"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Submit blood requests and track request status.</w:t>
            </w:r>
          </w:p>
        </w:tc>
      </w:tr>
      <w:tr w:rsidR="009D7D0A" w:rsidRPr="00C278CD" w14:paraId="088FF214" w14:textId="77777777">
        <w:trPr>
          <w:jc w:val="center"/>
        </w:trPr>
        <w:tc>
          <w:tcPr>
            <w:tcW w:w="2977" w:type="dxa"/>
            <w:vAlign w:val="center"/>
          </w:tcPr>
          <w:p w14:paraId="22FD3C9C"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Blood inventory</w:t>
            </w:r>
          </w:p>
        </w:tc>
        <w:tc>
          <w:tcPr>
            <w:tcW w:w="7463" w:type="dxa"/>
            <w:vAlign w:val="center"/>
          </w:tcPr>
          <w:p w14:paraId="680AFCC5"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Maintain stock by blood group; increase stock after donation; decrease stock after issue; flag critical shortages.</w:t>
            </w:r>
          </w:p>
        </w:tc>
      </w:tr>
      <w:tr w:rsidR="009D7D0A" w:rsidRPr="00C278CD" w14:paraId="7D25F6AD" w14:textId="77777777">
        <w:trPr>
          <w:jc w:val="center"/>
        </w:trPr>
        <w:tc>
          <w:tcPr>
            <w:tcW w:w="2977" w:type="dxa"/>
            <w:vAlign w:val="center"/>
          </w:tcPr>
          <w:p w14:paraId="15469AF2"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lastRenderedPageBreak/>
              <w:t>Donation history</w:t>
            </w:r>
          </w:p>
        </w:tc>
        <w:tc>
          <w:tcPr>
            <w:tcW w:w="7463" w:type="dxa"/>
            <w:vAlign w:val="center"/>
          </w:tcPr>
          <w:p w14:paraId="50B2F9CC"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Record donor, donation date, units donated, and linkage to inventory.</w:t>
            </w:r>
          </w:p>
        </w:tc>
      </w:tr>
      <w:tr w:rsidR="009D7D0A" w:rsidRPr="00C278CD" w14:paraId="68645325" w14:textId="77777777">
        <w:trPr>
          <w:jc w:val="center"/>
        </w:trPr>
        <w:tc>
          <w:tcPr>
            <w:tcW w:w="2977" w:type="dxa"/>
            <w:vAlign w:val="center"/>
          </w:tcPr>
          <w:p w14:paraId="34753672"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Reports and analytics</w:t>
            </w:r>
          </w:p>
        </w:tc>
        <w:tc>
          <w:tcPr>
            <w:tcW w:w="7463" w:type="dxa"/>
            <w:vAlign w:val="center"/>
          </w:tcPr>
          <w:p w14:paraId="0FB686F6"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Summarize donors, requests, donations, inventory, and blood-group demand/supply.</w:t>
            </w:r>
          </w:p>
        </w:tc>
      </w:tr>
    </w:tbl>
    <w:p w14:paraId="6BD6B317" w14:textId="77777777" w:rsidR="009D7D0A" w:rsidRPr="00C278CD" w:rsidRDefault="00E96B57">
      <w:pPr>
        <w:pStyle w:val="IEEESubsection"/>
        <w:keepNext/>
        <w:spacing w:after="40" w:line="360" w:lineRule="auto"/>
        <w:jc w:val="both"/>
        <w:rPr>
          <w:rFonts w:asciiTheme="majorBidi" w:hAnsiTheme="majorBidi" w:cstheme="majorBidi"/>
          <w:b/>
          <w:bCs/>
          <w:sz w:val="24"/>
          <w:szCs w:val="24"/>
        </w:rPr>
      </w:pPr>
      <w:r w:rsidRPr="00C278CD">
        <w:rPr>
          <w:rFonts w:asciiTheme="majorBidi" w:hAnsiTheme="majorBidi" w:cstheme="majorBidi"/>
          <w:b/>
          <w:bCs/>
          <w:sz w:val="24"/>
          <w:szCs w:val="24"/>
        </w:rPr>
        <w:t>D. SYSTEM ARCHITECTURE</w:t>
      </w:r>
    </w:p>
    <w:p w14:paraId="26A174D7" w14:textId="77777777" w:rsidR="003F566F" w:rsidRPr="00C278CD" w:rsidRDefault="00000000">
      <w:pPr>
        <w:spacing w:after="60"/>
      </w:pPr>
      <w:r w:rsidRPr="00C278CD">
        <w:t>The database tables and their roles are described in Table 3.</w:t>
      </w:r>
    </w:p>
    <w:p w14:paraId="1B0C1CC5" w14:textId="77777777" w:rsidR="009D7D0A" w:rsidRPr="00C278CD" w:rsidRDefault="00E96B57">
      <w:pPr>
        <w:pStyle w:val="IEEESubsection"/>
        <w:keepNext/>
        <w:spacing w:after="4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The application consists of three components: a presentation layer, application logic and relational data storage. The presentation layer uses a Bootstrap-based interface to provide web pages. PHP handles server-side processing and business logic, while persistent data are stored in MySQL. Administrative tasks are separated from donor- and request-related tasks. The inventory module uses transaction-based updates: a recorded donation increases the available units for the relevant blood group, while the issue of blood following an approved request decreases the balance. Donation-history records link donor activity to inventory changes, providing a traceable record.</w:t>
      </w:r>
    </w:p>
    <w:p w14:paraId="3AB8820A" w14:textId="77777777" w:rsidR="009D7D0A" w:rsidRPr="00C278CD" w:rsidRDefault="00E96B57">
      <w:pPr>
        <w:pStyle w:val="IEEESubsection"/>
        <w:keepNext/>
        <w:spacing w:after="40" w:line="360" w:lineRule="auto"/>
        <w:jc w:val="both"/>
        <w:rPr>
          <w:rFonts w:asciiTheme="majorBidi" w:hAnsiTheme="majorBidi" w:cstheme="majorBidi"/>
          <w:b/>
          <w:bCs/>
          <w:sz w:val="24"/>
          <w:szCs w:val="24"/>
        </w:rPr>
      </w:pPr>
      <w:r w:rsidRPr="00C278CD">
        <w:rPr>
          <w:rFonts w:asciiTheme="majorBidi" w:hAnsiTheme="majorBidi" w:cstheme="majorBidi"/>
          <w:b/>
          <w:bCs/>
          <w:sz w:val="24"/>
          <w:szCs w:val="24"/>
        </w:rPr>
        <w:t>E. DATABASE DESIGN</w:t>
      </w:r>
    </w:p>
    <w:p w14:paraId="5361969E" w14:textId="77777777" w:rsidR="003F566F" w:rsidRPr="00C278CD" w:rsidRDefault="00000000">
      <w:pPr>
        <w:spacing w:after="60"/>
      </w:pPr>
      <w:r w:rsidRPr="00C278CD">
        <w:t>The software technologies and their roles are listed in Table 4.</w:t>
      </w:r>
    </w:p>
    <w:p w14:paraId="61DC1532" w14:textId="77777777" w:rsidR="009D7D0A" w:rsidRPr="00C278CD" w:rsidRDefault="00E96B57">
      <w:pPr>
        <w:pStyle w:val="IEEEReferences"/>
        <w:keepNext/>
        <w:spacing w:after="80" w:line="360" w:lineRule="auto"/>
        <w:rPr>
          <w:rFonts w:asciiTheme="majorBidi" w:hAnsiTheme="majorBidi" w:cstheme="majorBidi"/>
          <w:sz w:val="24"/>
          <w:szCs w:val="24"/>
        </w:rPr>
      </w:pPr>
      <w:r w:rsidRPr="00C278CD">
        <w:rPr>
          <w:rFonts w:asciiTheme="majorBidi" w:hAnsiTheme="majorBidi" w:cstheme="majorBidi"/>
          <w:b/>
          <w:sz w:val="24"/>
          <w:szCs w:val="24"/>
        </w:rPr>
        <w:t>TABLE 3:</w:t>
      </w:r>
      <w:r w:rsidRPr="00C278CD">
        <w:rPr>
          <w:b/>
          <w:bCs/>
          <w:sz w:val="20"/>
        </w:rPr>
        <w:t xml:space="preserve"> </w:t>
      </w:r>
      <w:r w:rsidRPr="00C278CD">
        <w:rPr>
          <w:rFonts w:asciiTheme="majorBidi" w:hAnsiTheme="majorBidi" w:cstheme="majorBidi"/>
          <w:sz w:val="24"/>
          <w:szCs w:val="24"/>
        </w:rPr>
        <w:t>Database Design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4536"/>
        <w:gridCol w:w="4481"/>
      </w:tblGrid>
      <w:tr w:rsidR="009D7D0A" w:rsidRPr="00C278CD" w14:paraId="0D03522C" w14:textId="77777777">
        <w:trPr>
          <w:jc w:val="center"/>
        </w:trPr>
        <w:tc>
          <w:tcPr>
            <w:tcW w:w="1413" w:type="dxa"/>
            <w:vAlign w:val="center"/>
          </w:tcPr>
          <w:p w14:paraId="53260B49"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b/>
                <w:sz w:val="24"/>
                <w:szCs w:val="24"/>
              </w:rPr>
              <w:t>Table</w:t>
            </w:r>
          </w:p>
        </w:tc>
        <w:tc>
          <w:tcPr>
            <w:tcW w:w="4536" w:type="dxa"/>
            <w:vAlign w:val="center"/>
          </w:tcPr>
          <w:p w14:paraId="758BCD7A"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b/>
                <w:sz w:val="24"/>
                <w:szCs w:val="24"/>
              </w:rPr>
              <w:t>Purpose</w:t>
            </w:r>
          </w:p>
        </w:tc>
        <w:tc>
          <w:tcPr>
            <w:tcW w:w="4481" w:type="dxa"/>
            <w:vAlign w:val="center"/>
          </w:tcPr>
          <w:p w14:paraId="0F56B8FC"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b/>
                <w:sz w:val="24"/>
                <w:szCs w:val="24"/>
              </w:rPr>
              <w:t>Representative data</w:t>
            </w:r>
          </w:p>
        </w:tc>
      </w:tr>
      <w:tr w:rsidR="009D7D0A" w:rsidRPr="00C278CD" w14:paraId="1EF69219" w14:textId="77777777">
        <w:trPr>
          <w:jc w:val="center"/>
        </w:trPr>
        <w:tc>
          <w:tcPr>
            <w:tcW w:w="1413" w:type="dxa"/>
            <w:vAlign w:val="center"/>
          </w:tcPr>
          <w:p w14:paraId="5374256B"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Admin</w:t>
            </w:r>
          </w:p>
        </w:tc>
        <w:tc>
          <w:tcPr>
            <w:tcW w:w="4536" w:type="dxa"/>
            <w:vAlign w:val="center"/>
          </w:tcPr>
          <w:p w14:paraId="29CC65FF"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Authentication and administrative access</w:t>
            </w:r>
          </w:p>
        </w:tc>
        <w:tc>
          <w:tcPr>
            <w:tcW w:w="4481" w:type="dxa"/>
            <w:vAlign w:val="center"/>
          </w:tcPr>
          <w:p w14:paraId="21719F3C"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Credentials, login information</w:t>
            </w:r>
          </w:p>
        </w:tc>
      </w:tr>
      <w:tr w:rsidR="009D7D0A" w:rsidRPr="00C278CD" w14:paraId="1A231A94" w14:textId="77777777">
        <w:trPr>
          <w:jc w:val="center"/>
        </w:trPr>
        <w:tc>
          <w:tcPr>
            <w:tcW w:w="1413" w:type="dxa"/>
            <w:vAlign w:val="center"/>
          </w:tcPr>
          <w:p w14:paraId="744F7FA1"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Donor</w:t>
            </w:r>
          </w:p>
        </w:tc>
        <w:tc>
          <w:tcPr>
            <w:tcW w:w="4536" w:type="dxa"/>
            <w:vAlign w:val="center"/>
          </w:tcPr>
          <w:p w14:paraId="28E02652"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Donor master records</w:t>
            </w:r>
          </w:p>
        </w:tc>
        <w:tc>
          <w:tcPr>
            <w:tcW w:w="4481" w:type="dxa"/>
            <w:vAlign w:val="center"/>
          </w:tcPr>
          <w:p w14:paraId="3A2AE1BE"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Name, age, blood group, contact information</w:t>
            </w:r>
          </w:p>
        </w:tc>
      </w:tr>
      <w:tr w:rsidR="009D7D0A" w:rsidRPr="00C278CD" w14:paraId="684E7AF6" w14:textId="77777777">
        <w:trPr>
          <w:jc w:val="center"/>
        </w:trPr>
        <w:tc>
          <w:tcPr>
            <w:tcW w:w="1413" w:type="dxa"/>
            <w:vAlign w:val="center"/>
          </w:tcPr>
          <w:p w14:paraId="4FBF7076"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Requests</w:t>
            </w:r>
          </w:p>
        </w:tc>
        <w:tc>
          <w:tcPr>
            <w:tcW w:w="4536" w:type="dxa"/>
            <w:vAlign w:val="center"/>
          </w:tcPr>
          <w:p w14:paraId="7E4A50C1"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Recipient/patient blood requests</w:t>
            </w:r>
          </w:p>
        </w:tc>
        <w:tc>
          <w:tcPr>
            <w:tcW w:w="4481" w:type="dxa"/>
            <w:vAlign w:val="center"/>
          </w:tcPr>
          <w:p w14:paraId="0408FFEB"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Request details, blood group, status</w:t>
            </w:r>
          </w:p>
        </w:tc>
      </w:tr>
      <w:tr w:rsidR="009D7D0A" w:rsidRPr="00C278CD" w14:paraId="5CD46ADF" w14:textId="77777777">
        <w:trPr>
          <w:jc w:val="center"/>
        </w:trPr>
        <w:tc>
          <w:tcPr>
            <w:tcW w:w="1413" w:type="dxa"/>
            <w:vAlign w:val="center"/>
          </w:tcPr>
          <w:p w14:paraId="25D03019"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Blood Inventory</w:t>
            </w:r>
          </w:p>
        </w:tc>
        <w:tc>
          <w:tcPr>
            <w:tcW w:w="4536" w:type="dxa"/>
            <w:vAlign w:val="center"/>
          </w:tcPr>
          <w:p w14:paraId="3ED1E4CE"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Current stock</w:t>
            </w:r>
          </w:p>
        </w:tc>
        <w:tc>
          <w:tcPr>
            <w:tcW w:w="4481" w:type="dxa"/>
            <w:vAlign w:val="center"/>
          </w:tcPr>
          <w:p w14:paraId="154395BF"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Blood group, available units</w:t>
            </w:r>
          </w:p>
        </w:tc>
      </w:tr>
      <w:tr w:rsidR="009D7D0A" w:rsidRPr="00C278CD" w14:paraId="6B1FDCD8" w14:textId="77777777">
        <w:trPr>
          <w:jc w:val="center"/>
        </w:trPr>
        <w:tc>
          <w:tcPr>
            <w:tcW w:w="1413" w:type="dxa"/>
            <w:vAlign w:val="center"/>
          </w:tcPr>
          <w:p w14:paraId="5C14C67A"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Donation History</w:t>
            </w:r>
          </w:p>
        </w:tc>
        <w:tc>
          <w:tcPr>
            <w:tcW w:w="4536" w:type="dxa"/>
            <w:vAlign w:val="center"/>
          </w:tcPr>
          <w:p w14:paraId="240F0B84"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Historical donation transactions</w:t>
            </w:r>
          </w:p>
        </w:tc>
        <w:tc>
          <w:tcPr>
            <w:tcW w:w="4481" w:type="dxa"/>
            <w:vAlign w:val="center"/>
          </w:tcPr>
          <w:p w14:paraId="70398E95"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Donor, date, units donated, inventory linkage</w:t>
            </w:r>
          </w:p>
        </w:tc>
      </w:tr>
    </w:tbl>
    <w:p w14:paraId="406827E8" w14:textId="77777777" w:rsidR="009D7D0A" w:rsidRPr="00C278CD" w:rsidRDefault="009D7D0A">
      <w:pPr>
        <w:pStyle w:val="IEEESubsection"/>
        <w:keepNext/>
        <w:spacing w:after="40" w:line="360" w:lineRule="auto"/>
        <w:jc w:val="both"/>
        <w:rPr>
          <w:rFonts w:asciiTheme="majorBidi" w:hAnsiTheme="majorBidi" w:cstheme="majorBidi"/>
          <w:sz w:val="24"/>
          <w:szCs w:val="24"/>
        </w:rPr>
      </w:pPr>
    </w:p>
    <w:p w14:paraId="76CFB63C" w14:textId="77777777" w:rsidR="009D7D0A" w:rsidRPr="00C278CD" w:rsidRDefault="00E96B57">
      <w:pPr>
        <w:pStyle w:val="IEEESubsection"/>
        <w:keepNext/>
        <w:spacing w:after="40" w:line="360" w:lineRule="auto"/>
        <w:jc w:val="both"/>
        <w:rPr>
          <w:rFonts w:asciiTheme="majorBidi" w:hAnsiTheme="majorBidi" w:cstheme="majorBidi"/>
          <w:b/>
          <w:bCs/>
          <w:sz w:val="24"/>
          <w:szCs w:val="24"/>
        </w:rPr>
      </w:pPr>
      <w:r w:rsidRPr="00C278CD">
        <w:rPr>
          <w:rFonts w:asciiTheme="majorBidi" w:hAnsiTheme="majorBidi" w:cstheme="majorBidi"/>
          <w:b/>
          <w:bCs/>
          <w:sz w:val="24"/>
          <w:szCs w:val="24"/>
        </w:rPr>
        <w:t>F. TECHNOLOGY STACK</w:t>
      </w:r>
    </w:p>
    <w:p w14:paraId="198F1C87" w14:textId="77777777" w:rsidR="009D7D0A" w:rsidRPr="00C278CD" w:rsidRDefault="00E96B57">
      <w:pPr>
        <w:pStyle w:val="IEEEReferences"/>
        <w:keepNext/>
        <w:spacing w:after="80" w:line="360" w:lineRule="auto"/>
        <w:rPr>
          <w:rFonts w:asciiTheme="majorBidi" w:hAnsiTheme="majorBidi" w:cstheme="majorBidi"/>
          <w:sz w:val="24"/>
          <w:szCs w:val="24"/>
        </w:rPr>
      </w:pPr>
      <w:r w:rsidRPr="00C278CD">
        <w:rPr>
          <w:rFonts w:asciiTheme="majorBidi" w:hAnsiTheme="majorBidi" w:cstheme="majorBidi"/>
          <w:b/>
          <w:sz w:val="24"/>
          <w:szCs w:val="24"/>
        </w:rPr>
        <w:t>TABLE 4:</w:t>
      </w:r>
      <w:r w:rsidRPr="00C278CD">
        <w:rPr>
          <w:sz w:val="20"/>
        </w:rPr>
        <w:t xml:space="preserve"> </w:t>
      </w:r>
      <w:r w:rsidRPr="00C278CD">
        <w:rPr>
          <w:rFonts w:asciiTheme="majorBidi" w:hAnsiTheme="majorBidi" w:cstheme="majorBidi"/>
          <w:bCs/>
          <w:sz w:val="24"/>
          <w:szCs w:val="24"/>
        </w:rPr>
        <w:t>Technology Stack</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1"/>
        <w:gridCol w:w="7029"/>
      </w:tblGrid>
      <w:tr w:rsidR="009D7D0A" w:rsidRPr="00C278CD" w14:paraId="2B7BCCCD" w14:textId="77777777">
        <w:trPr>
          <w:jc w:val="center"/>
        </w:trPr>
        <w:tc>
          <w:tcPr>
            <w:tcW w:w="3402" w:type="dxa"/>
            <w:vAlign w:val="center"/>
          </w:tcPr>
          <w:p w14:paraId="22461CEB"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b/>
                <w:sz w:val="24"/>
                <w:szCs w:val="24"/>
              </w:rPr>
              <w:t>Technology</w:t>
            </w:r>
          </w:p>
        </w:tc>
        <w:tc>
          <w:tcPr>
            <w:tcW w:w="7038" w:type="dxa"/>
            <w:vAlign w:val="center"/>
          </w:tcPr>
          <w:p w14:paraId="76D02DD9"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b/>
                <w:sz w:val="24"/>
                <w:szCs w:val="24"/>
              </w:rPr>
              <w:t>Role in the system</w:t>
            </w:r>
          </w:p>
        </w:tc>
      </w:tr>
      <w:tr w:rsidR="009D7D0A" w:rsidRPr="00C278CD" w14:paraId="5A30F507" w14:textId="77777777">
        <w:trPr>
          <w:jc w:val="center"/>
        </w:trPr>
        <w:tc>
          <w:tcPr>
            <w:tcW w:w="3402" w:type="dxa"/>
            <w:vAlign w:val="center"/>
          </w:tcPr>
          <w:p w14:paraId="476CAEC3"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PHP</w:t>
            </w:r>
          </w:p>
        </w:tc>
        <w:tc>
          <w:tcPr>
            <w:tcW w:w="7038" w:type="dxa"/>
            <w:vAlign w:val="center"/>
          </w:tcPr>
          <w:p w14:paraId="2F7943F6"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Server-side application logic and CRUD operations.</w:t>
            </w:r>
          </w:p>
        </w:tc>
      </w:tr>
      <w:tr w:rsidR="009D7D0A" w:rsidRPr="00C278CD" w14:paraId="49C1A681" w14:textId="77777777">
        <w:trPr>
          <w:jc w:val="center"/>
        </w:trPr>
        <w:tc>
          <w:tcPr>
            <w:tcW w:w="3402" w:type="dxa"/>
            <w:vAlign w:val="center"/>
          </w:tcPr>
          <w:p w14:paraId="23350462"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MySQL</w:t>
            </w:r>
          </w:p>
        </w:tc>
        <w:tc>
          <w:tcPr>
            <w:tcW w:w="7038" w:type="dxa"/>
            <w:vAlign w:val="center"/>
          </w:tcPr>
          <w:p w14:paraId="43F5DA39"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Relational storage and retrieval of application data.</w:t>
            </w:r>
          </w:p>
        </w:tc>
      </w:tr>
      <w:tr w:rsidR="009D7D0A" w:rsidRPr="00C278CD" w14:paraId="68754786" w14:textId="77777777">
        <w:trPr>
          <w:jc w:val="center"/>
        </w:trPr>
        <w:tc>
          <w:tcPr>
            <w:tcW w:w="3402" w:type="dxa"/>
            <w:vAlign w:val="center"/>
          </w:tcPr>
          <w:p w14:paraId="251D8EFD"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Bootstrap</w:t>
            </w:r>
          </w:p>
        </w:tc>
        <w:tc>
          <w:tcPr>
            <w:tcW w:w="7038" w:type="dxa"/>
            <w:vAlign w:val="center"/>
          </w:tcPr>
          <w:p w14:paraId="7A033781"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Responsive front-end layout and interface components.</w:t>
            </w:r>
          </w:p>
        </w:tc>
      </w:tr>
      <w:tr w:rsidR="009D7D0A" w:rsidRPr="00C278CD" w14:paraId="4752C6B5" w14:textId="77777777">
        <w:trPr>
          <w:jc w:val="center"/>
        </w:trPr>
        <w:tc>
          <w:tcPr>
            <w:tcW w:w="3402" w:type="dxa"/>
            <w:vAlign w:val="center"/>
          </w:tcPr>
          <w:p w14:paraId="7645BCAA"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lastRenderedPageBreak/>
              <w:t>HTML/CSS/JavaScript</w:t>
            </w:r>
          </w:p>
        </w:tc>
        <w:tc>
          <w:tcPr>
            <w:tcW w:w="7038" w:type="dxa"/>
            <w:vAlign w:val="center"/>
          </w:tcPr>
          <w:p w14:paraId="6C63AF8E"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Browser-side presentation and interaction.</w:t>
            </w:r>
          </w:p>
        </w:tc>
      </w:tr>
      <w:tr w:rsidR="009D7D0A" w:rsidRPr="00C278CD" w14:paraId="3C99C518" w14:textId="77777777">
        <w:trPr>
          <w:jc w:val="center"/>
        </w:trPr>
        <w:tc>
          <w:tcPr>
            <w:tcW w:w="3402" w:type="dxa"/>
            <w:vAlign w:val="center"/>
          </w:tcPr>
          <w:p w14:paraId="4D9DEBCA"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XAMPP/WAMP</w:t>
            </w:r>
          </w:p>
        </w:tc>
        <w:tc>
          <w:tcPr>
            <w:tcW w:w="7038" w:type="dxa"/>
            <w:vAlign w:val="center"/>
          </w:tcPr>
          <w:p w14:paraId="3E6B7CA6"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Local development and demonstration environment.</w:t>
            </w:r>
          </w:p>
        </w:tc>
      </w:tr>
    </w:tbl>
    <w:p w14:paraId="722B0CEC" w14:textId="77777777" w:rsidR="009D7D0A" w:rsidRPr="00C278CD" w:rsidRDefault="00E96B57">
      <w:pPr>
        <w:pStyle w:val="IEEESection"/>
        <w:keepNext/>
        <w:spacing w:after="60" w:line="360" w:lineRule="auto"/>
        <w:jc w:val="both"/>
        <w:rPr>
          <w:rFonts w:asciiTheme="majorBidi" w:hAnsiTheme="majorBidi" w:cstheme="majorBidi"/>
          <w:sz w:val="24"/>
          <w:szCs w:val="24"/>
        </w:rPr>
      </w:pPr>
      <w:r w:rsidRPr="00C278CD">
        <w:rPr>
          <w:rFonts w:asciiTheme="majorBidi" w:hAnsiTheme="majorBidi" w:cstheme="majorBidi"/>
          <w:sz w:val="24"/>
          <w:szCs w:val="24"/>
        </w:rPr>
        <w:t>IV. SYSTEM IMPLEMENTATION</w:t>
      </w:r>
    </w:p>
    <w:p w14:paraId="789BA674" w14:textId="77777777" w:rsidR="009D7D0A" w:rsidRPr="00C278CD" w:rsidRDefault="00E96B57">
      <w:pPr>
        <w:pStyle w:val="IEEESection"/>
        <w:keepNext/>
        <w:spacing w:after="6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A. ADMINISTRATOR AUTHENTICATION</w:t>
      </w:r>
    </w:p>
    <w:p w14:paraId="064D9F90" w14:textId="77777777" w:rsidR="009D7D0A" w:rsidRPr="00C278CD" w:rsidRDefault="00E96B57">
      <w:pPr>
        <w:pStyle w:val="IEEESection"/>
        <w:keepNext/>
        <w:spacing w:after="60" w:line="360" w:lineRule="auto"/>
        <w:jc w:val="both"/>
        <w:rPr>
          <w:rFonts w:asciiTheme="majorBidi" w:hAnsiTheme="majorBidi" w:cstheme="majorBidi"/>
          <w:b w:val="0"/>
          <w:sz w:val="24"/>
          <w:szCs w:val="24"/>
          <w:lang w:val="en-IN"/>
        </w:rPr>
      </w:pPr>
      <w:r w:rsidRPr="00C278CD">
        <w:rPr>
          <w:rFonts w:asciiTheme="majorBidi" w:hAnsiTheme="majorBidi" w:cstheme="majorBidi"/>
          <w:b w:val="0"/>
          <w:sz w:val="24"/>
          <w:szCs w:val="24"/>
          <w:lang w:val="en-IN"/>
        </w:rPr>
        <w:t>The administrator authentication module provides access to management functions. After successfully logging in, the administrator can access the donor, recipient, request, inventory, donation-history and reporting modules. Project testing indicated that unauthorised access was blocked in the demonstration environment.</w:t>
      </w:r>
    </w:p>
    <w:p w14:paraId="6AEF0EAF" w14:textId="77777777" w:rsidR="009D7D0A" w:rsidRPr="00C278CD" w:rsidRDefault="00E96B57">
      <w:pPr>
        <w:pStyle w:val="IEEESection"/>
        <w:keepNext/>
        <w:spacing w:after="6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B. DONOR MANAGEMENT</w:t>
      </w:r>
    </w:p>
    <w:p w14:paraId="70133254" w14:textId="77777777" w:rsidR="009D7D0A" w:rsidRPr="00C278CD" w:rsidRDefault="00E96B57">
      <w:pPr>
        <w:pStyle w:val="IEEESection"/>
        <w:keepNext/>
        <w:spacing w:after="60" w:line="360" w:lineRule="auto"/>
        <w:jc w:val="both"/>
        <w:rPr>
          <w:rFonts w:asciiTheme="majorBidi" w:hAnsiTheme="majorBidi" w:cstheme="majorBidi"/>
          <w:b w:val="0"/>
          <w:sz w:val="24"/>
          <w:szCs w:val="24"/>
          <w:lang w:val="en-IN"/>
        </w:rPr>
      </w:pPr>
      <w:r w:rsidRPr="00C278CD">
        <w:rPr>
          <w:rFonts w:asciiTheme="majorBidi" w:hAnsiTheme="majorBidi" w:cstheme="majorBidi"/>
          <w:b w:val="0"/>
          <w:sz w:val="24"/>
          <w:szCs w:val="24"/>
          <w:lang w:val="en-IN"/>
        </w:rPr>
        <w:t>The donor-management module maintains records containing identifying details, age, blood group and contact information. Administrators can add, modify, delete, search for and view donor records. The resulting donor database may support future communication and retention activities.</w:t>
      </w:r>
    </w:p>
    <w:p w14:paraId="2B7EA9F1" w14:textId="77777777" w:rsidR="009D7D0A" w:rsidRPr="00C278CD" w:rsidRDefault="00E96B57">
      <w:pPr>
        <w:pStyle w:val="IEEESection"/>
        <w:keepNext/>
        <w:spacing w:after="6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C. BLOOD REQUEST MANAGEMENT</w:t>
      </w:r>
    </w:p>
    <w:p w14:paraId="354A4BE8" w14:textId="77777777" w:rsidR="009D7D0A" w:rsidRPr="00C278CD" w:rsidRDefault="00E96B57">
      <w:pPr>
        <w:pStyle w:val="IEEESection"/>
        <w:keepNext/>
        <w:spacing w:after="60" w:line="360" w:lineRule="auto"/>
        <w:jc w:val="both"/>
        <w:rPr>
          <w:rFonts w:asciiTheme="majorBidi" w:hAnsiTheme="majorBidi" w:cstheme="majorBidi"/>
          <w:b w:val="0"/>
          <w:sz w:val="24"/>
          <w:szCs w:val="24"/>
          <w:lang w:val="en-IN"/>
        </w:rPr>
      </w:pPr>
      <w:r w:rsidRPr="00C278CD">
        <w:rPr>
          <w:rFonts w:asciiTheme="majorBidi" w:hAnsiTheme="majorBidi" w:cstheme="majorBidi"/>
          <w:b w:val="0"/>
          <w:sz w:val="24"/>
          <w:szCs w:val="24"/>
          <w:lang w:val="en-IN"/>
        </w:rPr>
        <w:t>Recipients or patients can submit blood requests. Administrators can review each request, approve or reject it, and update its status. The process provides a central record of requests rather than relying on separate documents or informal communications.</w:t>
      </w:r>
    </w:p>
    <w:p w14:paraId="7E4ED673" w14:textId="77777777" w:rsidR="009D7D0A" w:rsidRPr="00C278CD" w:rsidRDefault="00E96B57">
      <w:pPr>
        <w:pStyle w:val="IEEESection"/>
        <w:keepNext/>
        <w:spacing w:after="6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D. BLOOD INVENTORY MANAGEMENT</w:t>
      </w:r>
    </w:p>
    <w:p w14:paraId="3185EB72" w14:textId="77777777" w:rsidR="009D7D0A" w:rsidRPr="00C278CD" w:rsidRDefault="00E96B57">
      <w:pPr>
        <w:pStyle w:val="IEEESection"/>
        <w:keepNext/>
        <w:spacing w:after="60" w:line="360" w:lineRule="auto"/>
        <w:jc w:val="both"/>
        <w:rPr>
          <w:rFonts w:asciiTheme="majorBidi" w:hAnsiTheme="majorBidi" w:cstheme="majorBidi"/>
          <w:b w:val="0"/>
          <w:sz w:val="24"/>
          <w:szCs w:val="24"/>
          <w:lang w:val="en-IN"/>
        </w:rPr>
      </w:pPr>
      <w:r w:rsidRPr="00C278CD">
        <w:rPr>
          <w:rFonts w:asciiTheme="majorBidi" w:hAnsiTheme="majorBidi" w:cstheme="majorBidi"/>
          <w:b w:val="0"/>
          <w:sz w:val="24"/>
          <w:szCs w:val="24"/>
          <w:lang w:val="en-IN"/>
        </w:rPr>
        <w:t>The inventory module monitors the units available for each blood group. Recorded donations increase the inventory, while blood issued against approved requests decreases it. Low-stock and critical-shortage conditions can be highlighted for administrative attention. The current implementation should be regarded as an inventory log rather than a clinical blood-bank information system, because laboratory screening, cross-matching, component-expiry management and transfusion verification fall outside its defined scope.</w:t>
      </w:r>
    </w:p>
    <w:p w14:paraId="79A63D04" w14:textId="77777777" w:rsidR="009D7D0A" w:rsidRPr="00C278CD" w:rsidRDefault="00E96B57">
      <w:pPr>
        <w:pStyle w:val="IEEESection"/>
        <w:keepNext/>
        <w:spacing w:after="6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E. DONATION HISTORY AND REPORTING</w:t>
      </w:r>
    </w:p>
    <w:p w14:paraId="797FC307" w14:textId="77777777" w:rsidR="009D7D0A" w:rsidRPr="00C278CD" w:rsidRDefault="00E96B57">
      <w:pPr>
        <w:pStyle w:val="IEEESection"/>
        <w:keepNext/>
        <w:spacing w:after="60" w:line="360" w:lineRule="auto"/>
        <w:jc w:val="both"/>
        <w:rPr>
          <w:rFonts w:asciiTheme="majorBidi" w:hAnsiTheme="majorBidi" w:cstheme="majorBidi"/>
          <w:b w:val="0"/>
          <w:sz w:val="24"/>
          <w:szCs w:val="24"/>
          <w:lang w:val="en-IN"/>
        </w:rPr>
      </w:pPr>
      <w:r w:rsidRPr="00C278CD">
        <w:rPr>
          <w:rFonts w:asciiTheme="majorBidi" w:hAnsiTheme="majorBidi" w:cstheme="majorBidi"/>
          <w:b w:val="0"/>
          <w:sz w:val="24"/>
          <w:szCs w:val="24"/>
          <w:lang w:val="en-IN"/>
        </w:rPr>
        <w:t xml:space="preserve">Each donation is recorded with the donor, date and number of units donated. Donation records are linked to inventory changes, allowing the application to trace stock updates to donor activity. Reporting functions </w:t>
      </w:r>
      <w:r w:rsidRPr="00C278CD">
        <w:rPr>
          <w:rFonts w:asciiTheme="majorBidi" w:hAnsiTheme="majorBidi" w:cstheme="majorBidi"/>
          <w:b w:val="0"/>
          <w:sz w:val="24"/>
          <w:szCs w:val="24"/>
          <w:lang w:val="en-IN"/>
        </w:rPr>
        <w:lastRenderedPageBreak/>
        <w:t>provide summaries of donor records, requests, inventory and donations, which may assist administrators with monthly or annual reviews.</w:t>
      </w:r>
    </w:p>
    <w:p w14:paraId="3569D80F" w14:textId="77777777" w:rsidR="009D7D0A" w:rsidRPr="00C278CD" w:rsidRDefault="00E96B57">
      <w:pPr>
        <w:pStyle w:val="IEEESection"/>
        <w:keepNext/>
        <w:spacing w:after="60" w:line="360" w:lineRule="auto"/>
        <w:jc w:val="both"/>
        <w:rPr>
          <w:rFonts w:asciiTheme="majorBidi" w:hAnsiTheme="majorBidi" w:cstheme="majorBidi"/>
          <w:sz w:val="24"/>
          <w:szCs w:val="24"/>
        </w:rPr>
      </w:pPr>
      <w:r w:rsidRPr="00C278CD">
        <w:rPr>
          <w:rFonts w:asciiTheme="majorBidi" w:hAnsiTheme="majorBidi" w:cstheme="majorBidi"/>
          <w:sz w:val="24"/>
          <w:szCs w:val="24"/>
        </w:rPr>
        <w:t>V. TESTING AND RESULTS</w:t>
      </w:r>
    </w:p>
    <w:p w14:paraId="38927C4F" w14:textId="77777777" w:rsidR="009D7D0A" w:rsidRPr="00C278CD" w:rsidRDefault="00E96B57">
      <w:pPr>
        <w:pStyle w:val="IEEEBody"/>
        <w:spacing w:after="60" w:line="360" w:lineRule="auto"/>
        <w:jc w:val="both"/>
        <w:rPr>
          <w:rFonts w:asciiTheme="majorBidi" w:hAnsiTheme="majorBidi" w:cstheme="majorBidi"/>
          <w:sz w:val="24"/>
          <w:szCs w:val="24"/>
          <w:lang w:val="en-IN"/>
        </w:rPr>
      </w:pPr>
      <w:r w:rsidRPr="00C278CD">
        <w:rPr>
          <w:rFonts w:asciiTheme="majorBidi" w:hAnsiTheme="majorBidi" w:cstheme="majorBidi"/>
          <w:sz w:val="24"/>
          <w:szCs w:val="24"/>
          <w:lang w:val="en-IN"/>
        </w:rPr>
        <w:t xml:space="preserve">Testing is important for web applications because functional defects can affect data integrity and user workflows. Systematic reviews of web-application testing illustrate the range of testing methods and the importance of structured assessment (Doğan et al., 2014; </w:t>
      </w:r>
      <w:proofErr w:type="spellStart"/>
      <w:r w:rsidRPr="00C278CD">
        <w:rPr>
          <w:rFonts w:asciiTheme="majorBidi" w:hAnsiTheme="majorBidi" w:cstheme="majorBidi"/>
          <w:sz w:val="24"/>
          <w:szCs w:val="24"/>
          <w:lang w:val="en-IN"/>
        </w:rPr>
        <w:t>Garousi</w:t>
      </w:r>
      <w:proofErr w:type="spellEnd"/>
      <w:r w:rsidRPr="00C278CD">
        <w:rPr>
          <w:rFonts w:asciiTheme="majorBidi" w:hAnsiTheme="majorBidi" w:cstheme="majorBidi"/>
          <w:sz w:val="24"/>
          <w:szCs w:val="24"/>
          <w:lang w:val="en-IN"/>
        </w:rPr>
        <w:t xml:space="preserve"> et al., 2013). In this project, black-box testing was selected to assess observable behaviour against functional requirements rather than the internal program structure. The reported results are presented in Table 5.</w:t>
      </w:r>
    </w:p>
    <w:p w14:paraId="66B7B9C4" w14:textId="77777777" w:rsidR="009D7D0A" w:rsidRPr="00C278CD" w:rsidRDefault="009D7D0A">
      <w:pPr>
        <w:pStyle w:val="IEEEBody"/>
        <w:spacing w:after="60" w:line="360" w:lineRule="auto"/>
        <w:ind w:firstLine="173"/>
        <w:jc w:val="both"/>
        <w:rPr>
          <w:rFonts w:asciiTheme="majorBidi" w:hAnsiTheme="majorBidi" w:cstheme="majorBidi"/>
          <w:sz w:val="24"/>
          <w:szCs w:val="24"/>
          <w:lang w:val="en-IN"/>
        </w:rPr>
      </w:pPr>
    </w:p>
    <w:p w14:paraId="315E7097" w14:textId="77777777" w:rsidR="009D7D0A" w:rsidRPr="00C278CD" w:rsidRDefault="00E96B57">
      <w:pPr>
        <w:pStyle w:val="IEEEReferences"/>
        <w:keepNext/>
        <w:spacing w:after="80" w:line="360" w:lineRule="auto"/>
        <w:rPr>
          <w:rFonts w:asciiTheme="majorBidi" w:hAnsiTheme="majorBidi" w:cstheme="majorBidi"/>
          <w:sz w:val="24"/>
          <w:szCs w:val="24"/>
        </w:rPr>
      </w:pPr>
      <w:r w:rsidRPr="00C278CD">
        <w:rPr>
          <w:rFonts w:asciiTheme="majorBidi" w:hAnsiTheme="majorBidi" w:cstheme="majorBidi"/>
          <w:b/>
          <w:sz w:val="24"/>
          <w:szCs w:val="24"/>
        </w:rPr>
        <w:t>TABLE 5:</w:t>
      </w:r>
      <w:r w:rsidRPr="00C278CD">
        <w:rPr>
          <w:sz w:val="20"/>
        </w:rPr>
        <w:t xml:space="preserve"> </w:t>
      </w:r>
      <w:r w:rsidRPr="00C278CD">
        <w:rPr>
          <w:rFonts w:asciiTheme="majorBidi" w:hAnsiTheme="majorBidi" w:cstheme="majorBidi"/>
          <w:bCs/>
          <w:sz w:val="24"/>
          <w:szCs w:val="24"/>
        </w:rPr>
        <w:t>Black-Box Testing Result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
        <w:gridCol w:w="3070"/>
        <w:gridCol w:w="5207"/>
        <w:gridCol w:w="1176"/>
      </w:tblGrid>
      <w:tr w:rsidR="009D7D0A" w:rsidRPr="00C278CD" w14:paraId="1EA6CC02" w14:textId="77777777">
        <w:trPr>
          <w:jc w:val="center"/>
        </w:trPr>
        <w:tc>
          <w:tcPr>
            <w:tcW w:w="977" w:type="dxa"/>
            <w:vAlign w:val="center"/>
          </w:tcPr>
          <w:p w14:paraId="0F122946"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b/>
                <w:sz w:val="24"/>
                <w:szCs w:val="24"/>
              </w:rPr>
              <w:t>Test ID</w:t>
            </w:r>
          </w:p>
        </w:tc>
        <w:tc>
          <w:tcPr>
            <w:tcW w:w="3070" w:type="dxa"/>
            <w:vAlign w:val="center"/>
          </w:tcPr>
          <w:p w14:paraId="46C622CB"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b/>
                <w:sz w:val="24"/>
                <w:szCs w:val="24"/>
              </w:rPr>
              <w:t>Function tested</w:t>
            </w:r>
          </w:p>
        </w:tc>
        <w:tc>
          <w:tcPr>
            <w:tcW w:w="5207" w:type="dxa"/>
            <w:vAlign w:val="center"/>
          </w:tcPr>
          <w:p w14:paraId="3A31A0B6"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b/>
                <w:sz w:val="24"/>
                <w:szCs w:val="24"/>
              </w:rPr>
              <w:t>Expected result</w:t>
            </w:r>
          </w:p>
        </w:tc>
        <w:tc>
          <w:tcPr>
            <w:tcW w:w="1176" w:type="dxa"/>
            <w:vAlign w:val="center"/>
          </w:tcPr>
          <w:p w14:paraId="1CEF2D3A"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b/>
                <w:sz w:val="24"/>
                <w:szCs w:val="24"/>
              </w:rPr>
              <w:t>Reported result</w:t>
            </w:r>
          </w:p>
        </w:tc>
      </w:tr>
      <w:tr w:rsidR="009D7D0A" w:rsidRPr="00C278CD" w14:paraId="03B9847E" w14:textId="77777777">
        <w:trPr>
          <w:jc w:val="center"/>
        </w:trPr>
        <w:tc>
          <w:tcPr>
            <w:tcW w:w="977" w:type="dxa"/>
            <w:vAlign w:val="center"/>
          </w:tcPr>
          <w:p w14:paraId="7FED3C91"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T01</w:t>
            </w:r>
          </w:p>
        </w:tc>
        <w:tc>
          <w:tcPr>
            <w:tcW w:w="3070" w:type="dxa"/>
            <w:vAlign w:val="center"/>
          </w:tcPr>
          <w:p w14:paraId="4B3990B1"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Administrator login</w:t>
            </w:r>
          </w:p>
        </w:tc>
        <w:tc>
          <w:tcPr>
            <w:tcW w:w="5207" w:type="dxa"/>
            <w:vAlign w:val="center"/>
          </w:tcPr>
          <w:p w14:paraId="7A70C69D"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Authorized user gains access; invalid access is blocked.</w:t>
            </w:r>
          </w:p>
        </w:tc>
        <w:tc>
          <w:tcPr>
            <w:tcW w:w="1176" w:type="dxa"/>
            <w:vAlign w:val="center"/>
          </w:tcPr>
          <w:p w14:paraId="53807FF4"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Pass</w:t>
            </w:r>
          </w:p>
        </w:tc>
      </w:tr>
      <w:tr w:rsidR="009D7D0A" w:rsidRPr="00C278CD" w14:paraId="76FB50FE" w14:textId="77777777">
        <w:trPr>
          <w:jc w:val="center"/>
        </w:trPr>
        <w:tc>
          <w:tcPr>
            <w:tcW w:w="977" w:type="dxa"/>
            <w:vAlign w:val="center"/>
          </w:tcPr>
          <w:p w14:paraId="7F1C88DF"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T02</w:t>
            </w:r>
          </w:p>
        </w:tc>
        <w:tc>
          <w:tcPr>
            <w:tcW w:w="3070" w:type="dxa"/>
            <w:vAlign w:val="center"/>
          </w:tcPr>
          <w:p w14:paraId="04BBCE93"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Donor registration</w:t>
            </w:r>
          </w:p>
        </w:tc>
        <w:tc>
          <w:tcPr>
            <w:tcW w:w="5207" w:type="dxa"/>
            <w:vAlign w:val="center"/>
          </w:tcPr>
          <w:p w14:paraId="33F07EBF"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New donor record is stored and retrievable.</w:t>
            </w:r>
          </w:p>
        </w:tc>
        <w:tc>
          <w:tcPr>
            <w:tcW w:w="1176" w:type="dxa"/>
            <w:vAlign w:val="center"/>
          </w:tcPr>
          <w:p w14:paraId="2C3B38B5"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Pass</w:t>
            </w:r>
          </w:p>
        </w:tc>
      </w:tr>
      <w:tr w:rsidR="009D7D0A" w:rsidRPr="00C278CD" w14:paraId="64A8A7E0" w14:textId="77777777">
        <w:trPr>
          <w:jc w:val="center"/>
        </w:trPr>
        <w:tc>
          <w:tcPr>
            <w:tcW w:w="977" w:type="dxa"/>
            <w:vAlign w:val="center"/>
          </w:tcPr>
          <w:p w14:paraId="225F06ED"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T03</w:t>
            </w:r>
          </w:p>
        </w:tc>
        <w:tc>
          <w:tcPr>
            <w:tcW w:w="3070" w:type="dxa"/>
            <w:vAlign w:val="center"/>
          </w:tcPr>
          <w:p w14:paraId="3299863E"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Donor update/delete/search</w:t>
            </w:r>
          </w:p>
        </w:tc>
        <w:tc>
          <w:tcPr>
            <w:tcW w:w="5207" w:type="dxa"/>
            <w:vAlign w:val="center"/>
          </w:tcPr>
          <w:p w14:paraId="46BFD1B0"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Records can be modified, removed, viewed, and searched.</w:t>
            </w:r>
          </w:p>
        </w:tc>
        <w:tc>
          <w:tcPr>
            <w:tcW w:w="1176" w:type="dxa"/>
            <w:vAlign w:val="center"/>
          </w:tcPr>
          <w:p w14:paraId="47DC2C9F"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Pass</w:t>
            </w:r>
          </w:p>
        </w:tc>
      </w:tr>
      <w:tr w:rsidR="009D7D0A" w:rsidRPr="00C278CD" w14:paraId="498A0DBA" w14:textId="77777777">
        <w:trPr>
          <w:jc w:val="center"/>
        </w:trPr>
        <w:tc>
          <w:tcPr>
            <w:tcW w:w="977" w:type="dxa"/>
            <w:vAlign w:val="center"/>
          </w:tcPr>
          <w:p w14:paraId="353D2D98"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T04</w:t>
            </w:r>
          </w:p>
        </w:tc>
        <w:tc>
          <w:tcPr>
            <w:tcW w:w="3070" w:type="dxa"/>
            <w:vAlign w:val="center"/>
          </w:tcPr>
          <w:p w14:paraId="070AE54E"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Blood request submission</w:t>
            </w:r>
          </w:p>
        </w:tc>
        <w:tc>
          <w:tcPr>
            <w:tcW w:w="5207" w:type="dxa"/>
            <w:vAlign w:val="center"/>
          </w:tcPr>
          <w:p w14:paraId="480BA6F2"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Request is stored with appropriate status.</w:t>
            </w:r>
          </w:p>
        </w:tc>
        <w:tc>
          <w:tcPr>
            <w:tcW w:w="1176" w:type="dxa"/>
            <w:vAlign w:val="center"/>
          </w:tcPr>
          <w:p w14:paraId="021061F1"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Pass</w:t>
            </w:r>
          </w:p>
        </w:tc>
      </w:tr>
      <w:tr w:rsidR="009D7D0A" w:rsidRPr="00C278CD" w14:paraId="77253841" w14:textId="77777777">
        <w:trPr>
          <w:jc w:val="center"/>
        </w:trPr>
        <w:tc>
          <w:tcPr>
            <w:tcW w:w="977" w:type="dxa"/>
            <w:vAlign w:val="center"/>
          </w:tcPr>
          <w:p w14:paraId="503D74BC"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T05</w:t>
            </w:r>
          </w:p>
        </w:tc>
        <w:tc>
          <w:tcPr>
            <w:tcW w:w="3070" w:type="dxa"/>
            <w:vAlign w:val="center"/>
          </w:tcPr>
          <w:p w14:paraId="60B42ACF"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Request approval/rejection</w:t>
            </w:r>
          </w:p>
        </w:tc>
        <w:tc>
          <w:tcPr>
            <w:tcW w:w="5207" w:type="dxa"/>
            <w:vAlign w:val="center"/>
          </w:tcPr>
          <w:p w14:paraId="7ADB3138"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Administrator can change request status.</w:t>
            </w:r>
          </w:p>
        </w:tc>
        <w:tc>
          <w:tcPr>
            <w:tcW w:w="1176" w:type="dxa"/>
            <w:vAlign w:val="center"/>
          </w:tcPr>
          <w:p w14:paraId="45FC325F"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Pass</w:t>
            </w:r>
          </w:p>
        </w:tc>
      </w:tr>
      <w:tr w:rsidR="009D7D0A" w:rsidRPr="00C278CD" w14:paraId="18BB06D6" w14:textId="77777777">
        <w:trPr>
          <w:jc w:val="center"/>
        </w:trPr>
        <w:tc>
          <w:tcPr>
            <w:tcW w:w="977" w:type="dxa"/>
            <w:vAlign w:val="center"/>
          </w:tcPr>
          <w:p w14:paraId="69EC1C55"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T06</w:t>
            </w:r>
          </w:p>
        </w:tc>
        <w:tc>
          <w:tcPr>
            <w:tcW w:w="3070" w:type="dxa"/>
            <w:vAlign w:val="center"/>
          </w:tcPr>
          <w:p w14:paraId="2207D980"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Inventory after donation</w:t>
            </w:r>
          </w:p>
        </w:tc>
        <w:tc>
          <w:tcPr>
            <w:tcW w:w="5207" w:type="dxa"/>
            <w:vAlign w:val="center"/>
          </w:tcPr>
          <w:p w14:paraId="222FB734"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Available units increase for the relevant blood group.</w:t>
            </w:r>
          </w:p>
        </w:tc>
        <w:tc>
          <w:tcPr>
            <w:tcW w:w="1176" w:type="dxa"/>
            <w:vAlign w:val="center"/>
          </w:tcPr>
          <w:p w14:paraId="1B94061B"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Pass</w:t>
            </w:r>
          </w:p>
        </w:tc>
      </w:tr>
      <w:tr w:rsidR="009D7D0A" w:rsidRPr="00C278CD" w14:paraId="49805CAF" w14:textId="77777777">
        <w:trPr>
          <w:jc w:val="center"/>
        </w:trPr>
        <w:tc>
          <w:tcPr>
            <w:tcW w:w="977" w:type="dxa"/>
            <w:vAlign w:val="center"/>
          </w:tcPr>
          <w:p w14:paraId="5A020F17"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T07</w:t>
            </w:r>
          </w:p>
        </w:tc>
        <w:tc>
          <w:tcPr>
            <w:tcW w:w="3070" w:type="dxa"/>
            <w:vAlign w:val="center"/>
          </w:tcPr>
          <w:p w14:paraId="1C09CCE9"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Inventory after issue</w:t>
            </w:r>
          </w:p>
        </w:tc>
        <w:tc>
          <w:tcPr>
            <w:tcW w:w="5207" w:type="dxa"/>
            <w:vAlign w:val="center"/>
          </w:tcPr>
          <w:p w14:paraId="3F06BB2B"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Available units decrease for the relevant blood group.</w:t>
            </w:r>
          </w:p>
        </w:tc>
        <w:tc>
          <w:tcPr>
            <w:tcW w:w="1176" w:type="dxa"/>
            <w:vAlign w:val="center"/>
          </w:tcPr>
          <w:p w14:paraId="00474721"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Pass</w:t>
            </w:r>
          </w:p>
        </w:tc>
      </w:tr>
      <w:tr w:rsidR="009D7D0A" w:rsidRPr="00C278CD" w14:paraId="33849EE1" w14:textId="77777777">
        <w:trPr>
          <w:jc w:val="center"/>
        </w:trPr>
        <w:tc>
          <w:tcPr>
            <w:tcW w:w="977" w:type="dxa"/>
            <w:vAlign w:val="center"/>
          </w:tcPr>
          <w:p w14:paraId="5C70790B"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T08</w:t>
            </w:r>
          </w:p>
        </w:tc>
        <w:tc>
          <w:tcPr>
            <w:tcW w:w="3070" w:type="dxa"/>
            <w:vAlign w:val="center"/>
          </w:tcPr>
          <w:p w14:paraId="61E0908F"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Shortage alert</w:t>
            </w:r>
          </w:p>
        </w:tc>
        <w:tc>
          <w:tcPr>
            <w:tcW w:w="5207" w:type="dxa"/>
            <w:vAlign w:val="center"/>
          </w:tcPr>
          <w:p w14:paraId="7F16978F"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Critical low-stock condition is identified.</w:t>
            </w:r>
          </w:p>
        </w:tc>
        <w:tc>
          <w:tcPr>
            <w:tcW w:w="1176" w:type="dxa"/>
            <w:vAlign w:val="center"/>
          </w:tcPr>
          <w:p w14:paraId="20C15272"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Pass</w:t>
            </w:r>
          </w:p>
        </w:tc>
      </w:tr>
      <w:tr w:rsidR="009D7D0A" w:rsidRPr="00C278CD" w14:paraId="694BAB68" w14:textId="77777777">
        <w:trPr>
          <w:jc w:val="center"/>
        </w:trPr>
        <w:tc>
          <w:tcPr>
            <w:tcW w:w="977" w:type="dxa"/>
            <w:vAlign w:val="center"/>
          </w:tcPr>
          <w:p w14:paraId="01CFF1D0"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T09</w:t>
            </w:r>
          </w:p>
        </w:tc>
        <w:tc>
          <w:tcPr>
            <w:tcW w:w="3070" w:type="dxa"/>
            <w:vAlign w:val="center"/>
          </w:tcPr>
          <w:p w14:paraId="217C6466"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Donation history</w:t>
            </w:r>
          </w:p>
        </w:tc>
        <w:tc>
          <w:tcPr>
            <w:tcW w:w="5207" w:type="dxa"/>
            <w:vAlign w:val="center"/>
          </w:tcPr>
          <w:p w14:paraId="3C245A80"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Donation date and units are recorded and linked to donor/inventory.</w:t>
            </w:r>
          </w:p>
        </w:tc>
        <w:tc>
          <w:tcPr>
            <w:tcW w:w="1176" w:type="dxa"/>
            <w:vAlign w:val="center"/>
          </w:tcPr>
          <w:p w14:paraId="59B0A8E1"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Pass</w:t>
            </w:r>
          </w:p>
        </w:tc>
      </w:tr>
      <w:tr w:rsidR="009D7D0A" w:rsidRPr="00C278CD" w14:paraId="22CC06C1" w14:textId="77777777">
        <w:trPr>
          <w:jc w:val="center"/>
        </w:trPr>
        <w:tc>
          <w:tcPr>
            <w:tcW w:w="977" w:type="dxa"/>
            <w:vAlign w:val="center"/>
          </w:tcPr>
          <w:p w14:paraId="16FBB5A9"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T10</w:t>
            </w:r>
          </w:p>
        </w:tc>
        <w:tc>
          <w:tcPr>
            <w:tcW w:w="3070" w:type="dxa"/>
            <w:vAlign w:val="center"/>
          </w:tcPr>
          <w:p w14:paraId="5174D80E"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Data retrieval/reporting</w:t>
            </w:r>
          </w:p>
        </w:tc>
        <w:tc>
          <w:tcPr>
            <w:tcW w:w="5207" w:type="dxa"/>
            <w:vAlign w:val="center"/>
          </w:tcPr>
          <w:p w14:paraId="0A916BC1"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Relevant records and summaries are displayed.</w:t>
            </w:r>
          </w:p>
        </w:tc>
        <w:tc>
          <w:tcPr>
            <w:tcW w:w="1176" w:type="dxa"/>
            <w:vAlign w:val="center"/>
          </w:tcPr>
          <w:p w14:paraId="07DF765A" w14:textId="77777777" w:rsidR="009D7D0A" w:rsidRPr="00C278CD" w:rsidRDefault="00E96B57">
            <w:pPr>
              <w:spacing w:after="0" w:line="360" w:lineRule="auto"/>
              <w:jc w:val="both"/>
              <w:rPr>
                <w:rFonts w:asciiTheme="majorBidi" w:hAnsiTheme="majorBidi" w:cstheme="majorBidi"/>
                <w:sz w:val="24"/>
                <w:szCs w:val="24"/>
              </w:rPr>
            </w:pPr>
            <w:r w:rsidRPr="00C278CD">
              <w:rPr>
                <w:rFonts w:asciiTheme="majorBidi" w:hAnsiTheme="majorBidi" w:cstheme="majorBidi"/>
                <w:sz w:val="24"/>
                <w:szCs w:val="24"/>
              </w:rPr>
              <w:t>Pass</w:t>
            </w:r>
          </w:p>
        </w:tc>
      </w:tr>
    </w:tbl>
    <w:p w14:paraId="082BEC77" w14:textId="77777777" w:rsidR="009D7D0A" w:rsidRPr="00C278CD" w:rsidRDefault="00E96B57">
      <w:pPr>
        <w:pStyle w:val="IEEESection"/>
        <w:keepNext/>
        <w:spacing w:after="60" w:line="360" w:lineRule="auto"/>
        <w:jc w:val="both"/>
        <w:rPr>
          <w:rFonts w:asciiTheme="majorBidi" w:hAnsiTheme="majorBidi" w:cstheme="majorBidi"/>
          <w:b w:val="0"/>
          <w:bCs/>
          <w:sz w:val="24"/>
          <w:szCs w:val="24"/>
          <w:lang w:val="en-IN"/>
        </w:rPr>
      </w:pPr>
      <w:r w:rsidRPr="00C278CD">
        <w:rPr>
          <w:rFonts w:asciiTheme="majorBidi" w:hAnsiTheme="majorBidi" w:cstheme="majorBidi"/>
          <w:b w:val="0"/>
          <w:bCs/>
          <w:sz w:val="24"/>
          <w:szCs w:val="24"/>
          <w:lang w:val="en-IN"/>
        </w:rPr>
        <w:t xml:space="preserve">The reported results indicate that all ten principal functional test cases passed during black-box verification. These findings demonstrate that the system met the specified functional requirements under local demonstration conditions. They do not establish clinical effectiveness or full-scale production performance. </w:t>
      </w:r>
      <w:r w:rsidRPr="00C278CD">
        <w:rPr>
          <w:rFonts w:asciiTheme="majorBidi" w:hAnsiTheme="majorBidi" w:cstheme="majorBidi"/>
          <w:b w:val="0"/>
          <w:bCs/>
          <w:sz w:val="24"/>
          <w:szCs w:val="24"/>
          <w:lang w:val="en-IN"/>
        </w:rPr>
        <w:lastRenderedPageBreak/>
        <w:t>Quantitative measures of response time, user capacity, notification delay, matching effectiveness, inventory wastage and user satisfaction were not reported. Moreover, the system was not evaluated in an operational hospital or blood-bank environment.</w:t>
      </w:r>
    </w:p>
    <w:p w14:paraId="181B363F" w14:textId="77777777" w:rsidR="009D7D0A" w:rsidRPr="00C278CD" w:rsidRDefault="00E96B57">
      <w:pPr>
        <w:pStyle w:val="IEEESection"/>
        <w:keepNext/>
        <w:spacing w:after="60" w:line="360" w:lineRule="auto"/>
        <w:jc w:val="both"/>
        <w:rPr>
          <w:rFonts w:asciiTheme="majorBidi" w:hAnsiTheme="majorBidi" w:cstheme="majorBidi"/>
          <w:sz w:val="24"/>
          <w:szCs w:val="24"/>
        </w:rPr>
      </w:pPr>
      <w:r w:rsidRPr="00C278CD">
        <w:rPr>
          <w:rFonts w:asciiTheme="majorBidi" w:hAnsiTheme="majorBidi" w:cstheme="majorBidi"/>
          <w:sz w:val="24"/>
          <w:szCs w:val="24"/>
        </w:rPr>
        <w:t>VI. DISCUSSION</w:t>
      </w:r>
    </w:p>
    <w:p w14:paraId="66FCDE62" w14:textId="77777777" w:rsidR="009D7D0A" w:rsidRPr="00C278CD" w:rsidRDefault="00E96B57">
      <w:pPr>
        <w:pStyle w:val="IEEESection"/>
        <w:keepNext/>
        <w:spacing w:after="60" w:line="360" w:lineRule="auto"/>
        <w:jc w:val="both"/>
        <w:rPr>
          <w:rFonts w:asciiTheme="majorBidi" w:hAnsiTheme="majorBidi" w:cstheme="majorBidi"/>
          <w:b w:val="0"/>
          <w:sz w:val="24"/>
          <w:szCs w:val="24"/>
          <w:lang w:val="en-IN"/>
        </w:rPr>
      </w:pPr>
      <w:r w:rsidRPr="00C278CD">
        <w:rPr>
          <w:rFonts w:asciiTheme="majorBidi" w:hAnsiTheme="majorBidi" w:cstheme="majorBidi"/>
          <w:b w:val="0"/>
          <w:sz w:val="24"/>
          <w:szCs w:val="24"/>
          <w:lang w:val="en-IN"/>
        </w:rPr>
        <w:t>The developed BDMS demonstrates the integration of donor, recipient, request and inventory information within a web-based framework. This allows the use of a shared data repository instead of separate paper-based records. Its design is consistent with literature emphasising improved information coordination in blood services, while remaining less complex than optimisation- or artificial-intelligence-based systems (Pal et al., 2024; Siswanto et al., 2025).</w:t>
      </w:r>
    </w:p>
    <w:p w14:paraId="0DEC4B18" w14:textId="77777777" w:rsidR="009D7D0A" w:rsidRPr="00C278CD" w:rsidRDefault="00E96B57">
      <w:pPr>
        <w:pStyle w:val="IEEESection"/>
        <w:keepNext/>
        <w:spacing w:after="60" w:line="360" w:lineRule="auto"/>
        <w:jc w:val="both"/>
        <w:rPr>
          <w:rFonts w:asciiTheme="majorBidi" w:hAnsiTheme="majorBidi" w:cstheme="majorBidi"/>
          <w:b w:val="0"/>
          <w:sz w:val="24"/>
          <w:szCs w:val="24"/>
          <w:lang w:val="en-IN"/>
        </w:rPr>
      </w:pPr>
      <w:r w:rsidRPr="00C278CD">
        <w:rPr>
          <w:rFonts w:asciiTheme="majorBidi" w:hAnsiTheme="majorBidi" w:cstheme="majorBidi"/>
          <w:b w:val="0"/>
          <w:sz w:val="24"/>
          <w:szCs w:val="24"/>
          <w:lang w:val="en-IN"/>
        </w:rPr>
        <w:t>An important feature of the design is the link between donation history and inventory. An increase in inventory corresponds to a recorded donation, while a decrease reflects an issue transaction. Traceability is relevant because inventory decisions must consider both availability and wastage (</w:t>
      </w:r>
      <w:proofErr w:type="spellStart"/>
      <w:r w:rsidRPr="00C278CD">
        <w:rPr>
          <w:rFonts w:asciiTheme="majorBidi" w:hAnsiTheme="majorBidi" w:cstheme="majorBidi"/>
          <w:b w:val="0"/>
          <w:sz w:val="24"/>
          <w:szCs w:val="24"/>
          <w:lang w:val="en-IN"/>
        </w:rPr>
        <w:t>Abouee-Mehrizi</w:t>
      </w:r>
      <w:proofErr w:type="spellEnd"/>
      <w:r w:rsidRPr="00C278CD">
        <w:rPr>
          <w:rFonts w:asciiTheme="majorBidi" w:hAnsiTheme="majorBidi" w:cstheme="majorBidi"/>
          <w:b w:val="0"/>
          <w:sz w:val="24"/>
          <w:szCs w:val="24"/>
          <w:lang w:val="en-IN"/>
        </w:rPr>
        <w:t xml:space="preserve"> et al., 2022; Rajendran &amp; Ravindran, 2019). The existing model does not yet record expiry at the blood-component level. Accordingly, first-in, first-out or first-expire, first-out procedures would require further development before use in an operational blood bank.</w:t>
      </w:r>
    </w:p>
    <w:p w14:paraId="3D098400" w14:textId="77777777" w:rsidR="009D7D0A" w:rsidRPr="00C278CD" w:rsidRDefault="00E96B57">
      <w:pPr>
        <w:pStyle w:val="IEEESection"/>
        <w:keepNext/>
        <w:spacing w:after="60" w:line="360" w:lineRule="auto"/>
        <w:jc w:val="both"/>
        <w:rPr>
          <w:rFonts w:asciiTheme="majorBidi" w:hAnsiTheme="majorBidi" w:cstheme="majorBidi"/>
          <w:b w:val="0"/>
          <w:sz w:val="24"/>
          <w:szCs w:val="24"/>
          <w:lang w:val="en-IN"/>
        </w:rPr>
      </w:pPr>
      <w:r w:rsidRPr="00C278CD">
        <w:rPr>
          <w:rFonts w:asciiTheme="majorBidi" w:hAnsiTheme="majorBidi" w:cstheme="majorBidi"/>
          <w:b w:val="0"/>
          <w:sz w:val="24"/>
          <w:szCs w:val="24"/>
          <w:lang w:val="en-IN"/>
        </w:rPr>
        <w:t>The donor-management module also establishes a basis for future donor-engagement measures. Research indicates that convenience, prosocial motivation, self-efficacy, communication and donation experiences can influence donation behaviour (</w:t>
      </w:r>
      <w:proofErr w:type="spellStart"/>
      <w:r w:rsidRPr="00C278CD">
        <w:rPr>
          <w:rFonts w:asciiTheme="majorBidi" w:hAnsiTheme="majorBidi" w:cstheme="majorBidi"/>
          <w:b w:val="0"/>
          <w:sz w:val="24"/>
          <w:szCs w:val="24"/>
          <w:lang w:val="en-IN"/>
        </w:rPr>
        <w:t>Bednall</w:t>
      </w:r>
      <w:proofErr w:type="spellEnd"/>
      <w:r w:rsidRPr="00C278CD">
        <w:rPr>
          <w:rFonts w:asciiTheme="majorBidi" w:hAnsiTheme="majorBidi" w:cstheme="majorBidi"/>
          <w:b w:val="0"/>
          <w:sz w:val="24"/>
          <w:szCs w:val="24"/>
          <w:lang w:val="en-IN"/>
        </w:rPr>
        <w:t xml:space="preserve"> &amp; Bove, 2011; </w:t>
      </w:r>
      <w:proofErr w:type="spellStart"/>
      <w:r w:rsidRPr="00C278CD">
        <w:rPr>
          <w:rFonts w:asciiTheme="majorBidi" w:hAnsiTheme="majorBidi" w:cstheme="majorBidi"/>
          <w:b w:val="0"/>
          <w:sz w:val="24"/>
          <w:szCs w:val="24"/>
          <w:lang w:val="en-IN"/>
        </w:rPr>
        <w:t>Bednall</w:t>
      </w:r>
      <w:proofErr w:type="spellEnd"/>
      <w:r w:rsidRPr="00C278CD">
        <w:rPr>
          <w:rFonts w:asciiTheme="majorBidi" w:hAnsiTheme="majorBidi" w:cstheme="majorBidi"/>
          <w:b w:val="0"/>
          <w:sz w:val="24"/>
          <w:szCs w:val="24"/>
          <w:lang w:val="en-IN"/>
        </w:rPr>
        <w:t xml:space="preserve"> et al., 2013; Goette et al., 2010). Future versions of the BDMS may provide consent-based SMS or email reminders, tailored messages and support for community campaigns. Such features should be developed with attention to privacy and the risk of excessive messaging.</w:t>
      </w:r>
    </w:p>
    <w:p w14:paraId="3119DB41" w14:textId="77777777" w:rsidR="009D7D0A" w:rsidRPr="00C278CD" w:rsidRDefault="00E96B57">
      <w:pPr>
        <w:pStyle w:val="IEEESection"/>
        <w:keepNext/>
        <w:spacing w:after="60" w:line="360" w:lineRule="auto"/>
        <w:jc w:val="both"/>
        <w:rPr>
          <w:rFonts w:asciiTheme="majorBidi" w:hAnsiTheme="majorBidi" w:cstheme="majorBidi"/>
          <w:b w:val="0"/>
          <w:sz w:val="24"/>
          <w:szCs w:val="24"/>
          <w:lang w:val="en-IN"/>
        </w:rPr>
      </w:pPr>
      <w:r w:rsidRPr="00C278CD">
        <w:rPr>
          <w:rFonts w:asciiTheme="majorBidi" w:hAnsiTheme="majorBidi" w:cstheme="majorBidi"/>
          <w:b w:val="0"/>
          <w:sz w:val="24"/>
          <w:szCs w:val="24"/>
          <w:lang w:val="en-IN"/>
        </w:rPr>
        <w:t xml:space="preserve">From a research perspective, the principal limitation concerns the evaluation approach. The present study demonstrates functional operation in a test environment, but it does not compare the application with manual procedures or alternative digital systems. Consequently, improvements in efficiency, emergency response or blood-waste reduction remain potential benefits rather than demonstrated outcomes. Further research should </w:t>
      </w:r>
      <w:r w:rsidRPr="00C278CD">
        <w:rPr>
          <w:rFonts w:asciiTheme="majorBidi" w:hAnsiTheme="majorBidi" w:cstheme="majorBidi"/>
          <w:b w:val="0"/>
          <w:sz w:val="24"/>
          <w:szCs w:val="24"/>
          <w:lang w:val="en-IN"/>
        </w:rPr>
        <w:lastRenderedPageBreak/>
        <w:t>measure request-processing times, availability-confirmation times, data-entry errors, inventory accuracy, request fulfilment, stock shortages, expiry-related waste, system response times and user satisfaction.</w:t>
      </w:r>
    </w:p>
    <w:p w14:paraId="47FD0BA1" w14:textId="77777777" w:rsidR="009D7D0A" w:rsidRPr="00C278CD" w:rsidRDefault="00E96B57">
      <w:pPr>
        <w:pStyle w:val="IEEESection"/>
        <w:keepNext/>
        <w:spacing w:after="60" w:line="360" w:lineRule="auto"/>
        <w:jc w:val="both"/>
        <w:rPr>
          <w:rFonts w:asciiTheme="majorBidi" w:hAnsiTheme="majorBidi" w:cstheme="majorBidi"/>
          <w:sz w:val="24"/>
          <w:szCs w:val="24"/>
        </w:rPr>
      </w:pPr>
      <w:r w:rsidRPr="00C278CD">
        <w:rPr>
          <w:rFonts w:asciiTheme="majorBidi" w:hAnsiTheme="majorBidi" w:cstheme="majorBidi"/>
          <w:sz w:val="24"/>
          <w:szCs w:val="24"/>
        </w:rPr>
        <w:t>VII. LIMITATIONS</w:t>
      </w:r>
    </w:p>
    <w:p w14:paraId="51B3F01C" w14:textId="77777777" w:rsidR="009D7D0A" w:rsidRPr="00C278CD" w:rsidRDefault="00E96B57">
      <w:pPr>
        <w:pStyle w:val="IEEESection"/>
        <w:keepNext/>
        <w:numPr>
          <w:ilvl w:val="0"/>
          <w:numId w:val="8"/>
        </w:numPr>
        <w:spacing w:after="60" w:line="360" w:lineRule="auto"/>
        <w:jc w:val="both"/>
        <w:rPr>
          <w:rFonts w:asciiTheme="majorBidi" w:hAnsiTheme="majorBidi" w:cstheme="majorBidi"/>
          <w:b w:val="0"/>
          <w:bCs/>
          <w:sz w:val="24"/>
          <w:szCs w:val="24"/>
          <w:lang w:val="en-IN"/>
        </w:rPr>
      </w:pPr>
      <w:r w:rsidRPr="00C278CD">
        <w:rPr>
          <w:rFonts w:asciiTheme="majorBidi" w:hAnsiTheme="majorBidi" w:cstheme="majorBidi"/>
          <w:b w:val="0"/>
          <w:bCs/>
          <w:sz w:val="24"/>
          <w:szCs w:val="24"/>
          <w:lang w:val="en-IN"/>
        </w:rPr>
        <w:t>Evaluation was limited to black-box testing in a local demonstration environment.</w:t>
      </w:r>
    </w:p>
    <w:p w14:paraId="7F0F4D17" w14:textId="77777777" w:rsidR="009D7D0A" w:rsidRPr="00C278CD" w:rsidRDefault="00E96B57">
      <w:pPr>
        <w:pStyle w:val="IEEESection"/>
        <w:keepNext/>
        <w:numPr>
          <w:ilvl w:val="0"/>
          <w:numId w:val="8"/>
        </w:numPr>
        <w:spacing w:after="60" w:line="360" w:lineRule="auto"/>
        <w:jc w:val="both"/>
        <w:rPr>
          <w:rFonts w:asciiTheme="majorBidi" w:hAnsiTheme="majorBidi" w:cstheme="majorBidi"/>
          <w:b w:val="0"/>
          <w:bCs/>
          <w:sz w:val="24"/>
          <w:szCs w:val="24"/>
          <w:lang w:val="en-IN"/>
        </w:rPr>
      </w:pPr>
      <w:r w:rsidRPr="00C278CD">
        <w:rPr>
          <w:rFonts w:asciiTheme="majorBidi" w:hAnsiTheme="majorBidi" w:cstheme="majorBidi"/>
          <w:b w:val="0"/>
          <w:bCs/>
          <w:sz w:val="24"/>
          <w:szCs w:val="24"/>
          <w:lang w:val="en-IN"/>
        </w:rPr>
        <w:t>No field deployment involving donors, actual recipients, hospitals or blood banks was reported.</w:t>
      </w:r>
    </w:p>
    <w:p w14:paraId="090D7347" w14:textId="77777777" w:rsidR="009D7D0A" w:rsidRPr="00C278CD" w:rsidRDefault="00E96B57">
      <w:pPr>
        <w:pStyle w:val="IEEESection"/>
        <w:keepNext/>
        <w:numPr>
          <w:ilvl w:val="0"/>
          <w:numId w:val="8"/>
        </w:numPr>
        <w:spacing w:after="60" w:line="360" w:lineRule="auto"/>
        <w:jc w:val="both"/>
        <w:rPr>
          <w:rFonts w:asciiTheme="majorBidi" w:hAnsiTheme="majorBidi" w:cstheme="majorBidi"/>
          <w:b w:val="0"/>
          <w:bCs/>
          <w:sz w:val="24"/>
          <w:szCs w:val="24"/>
          <w:lang w:val="en-IN"/>
        </w:rPr>
      </w:pPr>
      <w:r w:rsidRPr="00C278CD">
        <w:rPr>
          <w:rFonts w:asciiTheme="majorBidi" w:hAnsiTheme="majorBidi" w:cstheme="majorBidi"/>
          <w:b w:val="0"/>
          <w:bCs/>
          <w:sz w:val="24"/>
          <w:szCs w:val="24"/>
          <w:lang w:val="en-IN"/>
        </w:rPr>
        <w:t>No quantitative comparison with manual record-keeping methods was conducted.</w:t>
      </w:r>
    </w:p>
    <w:p w14:paraId="640C3173" w14:textId="77777777" w:rsidR="009D7D0A" w:rsidRPr="00C278CD" w:rsidRDefault="00E96B57">
      <w:pPr>
        <w:pStyle w:val="IEEESection"/>
        <w:keepNext/>
        <w:numPr>
          <w:ilvl w:val="0"/>
          <w:numId w:val="8"/>
        </w:numPr>
        <w:spacing w:after="60" w:line="360" w:lineRule="auto"/>
        <w:jc w:val="both"/>
        <w:rPr>
          <w:rFonts w:asciiTheme="majorBidi" w:hAnsiTheme="majorBidi" w:cstheme="majorBidi"/>
          <w:b w:val="0"/>
          <w:bCs/>
          <w:sz w:val="24"/>
          <w:szCs w:val="24"/>
          <w:lang w:val="en-IN"/>
        </w:rPr>
      </w:pPr>
      <w:r w:rsidRPr="00C278CD">
        <w:rPr>
          <w:rFonts w:asciiTheme="majorBidi" w:hAnsiTheme="majorBidi" w:cstheme="majorBidi"/>
          <w:b w:val="0"/>
          <w:bCs/>
          <w:sz w:val="24"/>
          <w:szCs w:val="24"/>
          <w:lang w:val="en-IN"/>
        </w:rPr>
        <w:t>The current system does not support donor matching by geolocation or automated SMS or email notifications.</w:t>
      </w:r>
    </w:p>
    <w:p w14:paraId="42D1EDA2" w14:textId="77777777" w:rsidR="009D7D0A" w:rsidRPr="00C278CD" w:rsidRDefault="00E96B57">
      <w:pPr>
        <w:pStyle w:val="IEEESection"/>
        <w:keepNext/>
        <w:spacing w:after="60" w:line="360" w:lineRule="auto"/>
        <w:jc w:val="both"/>
        <w:rPr>
          <w:rFonts w:asciiTheme="majorBidi" w:hAnsiTheme="majorBidi" w:cstheme="majorBidi"/>
          <w:b w:val="0"/>
          <w:bCs/>
          <w:sz w:val="24"/>
          <w:szCs w:val="24"/>
          <w:lang w:val="en-IN"/>
        </w:rPr>
      </w:pPr>
      <w:r w:rsidRPr="00C278CD">
        <w:rPr>
          <w:rFonts w:asciiTheme="majorBidi" w:hAnsiTheme="majorBidi" w:cstheme="majorBidi"/>
          <w:b w:val="0"/>
          <w:bCs/>
          <w:sz w:val="24"/>
          <w:szCs w:val="24"/>
          <w:lang w:val="en-IN"/>
        </w:rPr>
        <w:t>Clinical blood-bank functions, including laboratory screening, cross-matching, component-expiry management, transfusion verification and regulatory workflows, were outside the reported scope.</w:t>
      </w:r>
    </w:p>
    <w:p w14:paraId="0A962610" w14:textId="77777777" w:rsidR="009D7D0A" w:rsidRPr="00C278CD" w:rsidRDefault="00E96B57">
      <w:pPr>
        <w:pStyle w:val="IEEESection"/>
        <w:keepNext/>
        <w:spacing w:after="60" w:line="360" w:lineRule="auto"/>
        <w:jc w:val="both"/>
        <w:rPr>
          <w:rFonts w:asciiTheme="majorBidi" w:hAnsiTheme="majorBidi" w:cstheme="majorBidi"/>
          <w:b w:val="0"/>
          <w:bCs/>
          <w:sz w:val="24"/>
          <w:szCs w:val="24"/>
          <w:lang w:val="en-IN"/>
        </w:rPr>
      </w:pPr>
      <w:r w:rsidRPr="00C278CD">
        <w:rPr>
          <w:rFonts w:asciiTheme="majorBidi" w:hAnsiTheme="majorBidi" w:cstheme="majorBidi"/>
          <w:b w:val="0"/>
          <w:bCs/>
          <w:sz w:val="24"/>
          <w:szCs w:val="24"/>
          <w:lang w:val="en-IN"/>
        </w:rPr>
        <w:t>Authentication was considered, but no formal security assessment, penetration test, privacy impact assessment or compliance audit was reported.</w:t>
      </w:r>
    </w:p>
    <w:p w14:paraId="3D3EEEDB" w14:textId="77777777" w:rsidR="009D7D0A" w:rsidRPr="00C278CD" w:rsidRDefault="00E96B57">
      <w:pPr>
        <w:pStyle w:val="IEEESection"/>
        <w:keepNext/>
        <w:spacing w:after="60" w:line="360" w:lineRule="auto"/>
        <w:jc w:val="both"/>
        <w:rPr>
          <w:rFonts w:asciiTheme="majorBidi" w:hAnsiTheme="majorBidi" w:cstheme="majorBidi"/>
          <w:sz w:val="24"/>
          <w:szCs w:val="24"/>
        </w:rPr>
      </w:pPr>
      <w:r w:rsidRPr="00C278CD">
        <w:rPr>
          <w:rFonts w:asciiTheme="majorBidi" w:hAnsiTheme="majorBidi" w:cstheme="majorBidi"/>
          <w:sz w:val="24"/>
          <w:szCs w:val="24"/>
        </w:rPr>
        <w:t>VIII. FUTURE SCOPE</w:t>
      </w:r>
    </w:p>
    <w:p w14:paraId="325E267E" w14:textId="77777777" w:rsidR="009D7D0A" w:rsidRPr="00C278CD" w:rsidRDefault="00E96B57">
      <w:pPr>
        <w:pStyle w:val="IEEESection"/>
        <w:keepNext/>
        <w:spacing w:after="60" w:line="360" w:lineRule="auto"/>
        <w:jc w:val="both"/>
        <w:rPr>
          <w:rFonts w:asciiTheme="majorBidi" w:hAnsiTheme="majorBidi" w:cstheme="majorBidi"/>
          <w:b w:val="0"/>
          <w:sz w:val="24"/>
          <w:szCs w:val="24"/>
          <w:lang w:val="en-IN"/>
        </w:rPr>
      </w:pPr>
      <w:r w:rsidRPr="00C278CD">
        <w:rPr>
          <w:rFonts w:asciiTheme="majorBidi" w:hAnsiTheme="majorBidi" w:cstheme="majorBidi"/>
          <w:b w:val="0"/>
          <w:sz w:val="24"/>
          <w:szCs w:val="24"/>
          <w:lang w:val="en-IN"/>
        </w:rPr>
        <w:t>Future development should proceed in stages. Initial extensions may include consent-based SMS or email notifications, improved mobile access for donors and location-based searches. Subsequent versions could connect to hospital and blood-bank systems through application programming interfaces (APIs), subject to appropriate data-sharing safeguards. Historical data may eventually support demand forecasting, shortage identification and donor-engagement analysis. Further inventory-management functions could incorporate blood-component types, shelf lives, demand patterns and transfers between sites.</w:t>
      </w:r>
    </w:p>
    <w:p w14:paraId="60F78EEE" w14:textId="77777777" w:rsidR="009D7D0A" w:rsidRPr="00C278CD" w:rsidRDefault="00E96B57">
      <w:pPr>
        <w:pStyle w:val="IEEESection"/>
        <w:keepNext/>
        <w:spacing w:after="60" w:line="360" w:lineRule="auto"/>
        <w:jc w:val="both"/>
        <w:rPr>
          <w:rFonts w:asciiTheme="majorBidi" w:hAnsiTheme="majorBidi" w:cstheme="majorBidi"/>
          <w:b w:val="0"/>
          <w:sz w:val="24"/>
          <w:szCs w:val="24"/>
          <w:lang w:val="en-IN"/>
        </w:rPr>
      </w:pPr>
      <w:r w:rsidRPr="00C278CD">
        <w:rPr>
          <w:rFonts w:asciiTheme="majorBidi" w:hAnsiTheme="majorBidi" w:cstheme="majorBidi"/>
          <w:b w:val="0"/>
          <w:sz w:val="24"/>
          <w:szCs w:val="24"/>
          <w:lang w:val="en-IN"/>
        </w:rPr>
        <w:t>Predictive analytics may become useful as information on blood-group demand, donations and blood issues accumulates. Machine-learning functions should be considered only when sufficient high-quality data are available and the system has undergone appropriate validation. Future evaluations should report prediction accuracy, matching speed, alert timeliness, request-fulfilment rates, expiry-related waste, shortage frequency and user satisfaction.</w:t>
      </w:r>
    </w:p>
    <w:p w14:paraId="14333487" w14:textId="77777777" w:rsidR="009D7D0A" w:rsidRPr="00C278CD" w:rsidRDefault="00E96B57">
      <w:pPr>
        <w:pStyle w:val="IEEESection"/>
        <w:keepNext/>
        <w:spacing w:after="60" w:line="360" w:lineRule="auto"/>
        <w:jc w:val="both"/>
        <w:rPr>
          <w:rFonts w:asciiTheme="majorBidi" w:hAnsiTheme="majorBidi" w:cstheme="majorBidi"/>
          <w:sz w:val="24"/>
          <w:szCs w:val="24"/>
        </w:rPr>
      </w:pPr>
      <w:r w:rsidRPr="00C278CD">
        <w:rPr>
          <w:rFonts w:asciiTheme="majorBidi" w:hAnsiTheme="majorBidi" w:cstheme="majorBidi"/>
          <w:sz w:val="24"/>
          <w:szCs w:val="24"/>
        </w:rPr>
        <w:t>IX. CONCLUSION</w:t>
      </w:r>
    </w:p>
    <w:p w14:paraId="0B72E062" w14:textId="77777777" w:rsidR="009D7D0A" w:rsidRPr="00C278CD" w:rsidRDefault="00E96B57">
      <w:pPr>
        <w:pStyle w:val="IEEESection"/>
        <w:keepNext/>
        <w:spacing w:after="60" w:line="360" w:lineRule="auto"/>
        <w:jc w:val="both"/>
        <w:rPr>
          <w:rFonts w:asciiTheme="majorBidi" w:hAnsiTheme="majorBidi" w:cstheme="majorBidi"/>
          <w:b w:val="0"/>
          <w:bCs/>
          <w:sz w:val="24"/>
          <w:szCs w:val="24"/>
          <w:lang w:val="en-IN"/>
        </w:rPr>
      </w:pPr>
      <w:r w:rsidRPr="00C278CD">
        <w:rPr>
          <w:rFonts w:asciiTheme="majorBidi" w:hAnsiTheme="majorBidi" w:cstheme="majorBidi"/>
          <w:b w:val="0"/>
          <w:bCs/>
          <w:sz w:val="24"/>
          <w:szCs w:val="24"/>
          <w:lang w:val="en-IN"/>
        </w:rPr>
        <w:t xml:space="preserve">This study presents the development of a web-based Blood Donation Management System (BDMS) integrating donor records, recipient requests, blood inventory, donation history, administrator access and reporting. The application was developed using PHP, MySQL and Bootstrap within a Waterfall development process. Black-box testing showed that its principal functions operated as specified in the local demonstration </w:t>
      </w:r>
      <w:r w:rsidRPr="00C278CD">
        <w:rPr>
          <w:rFonts w:asciiTheme="majorBidi" w:hAnsiTheme="majorBidi" w:cstheme="majorBidi"/>
          <w:b w:val="0"/>
          <w:bCs/>
          <w:sz w:val="24"/>
          <w:szCs w:val="24"/>
          <w:lang w:val="en-IN"/>
        </w:rPr>
        <w:lastRenderedPageBreak/>
        <w:t>environment. The system therefore provides a foundation for replacing fragmented paper records with a shared digital record and for supporting possible future analysis and interoperability. However, demonstrating functional operation is not equivalent to establishing improvements in hospital or blood-bank performance. Before operational adoption, the application requires assessment of security, privacy, usability, capacity and applicable regulatory requirements, followed by field evaluation. Subsequent development may include consent-based notifications, geolocation, demand forecasting, component-expiry monitoring and interoperable data exchange.</w:t>
      </w:r>
    </w:p>
    <w:p w14:paraId="5116D210" w14:textId="77777777" w:rsidR="009D7D0A" w:rsidRPr="00C278CD" w:rsidRDefault="009D7D0A">
      <w:pPr>
        <w:pStyle w:val="IEEESection"/>
        <w:keepNext/>
        <w:spacing w:after="60" w:line="360" w:lineRule="auto"/>
        <w:jc w:val="both"/>
        <w:rPr>
          <w:rFonts w:asciiTheme="majorBidi" w:hAnsiTheme="majorBidi" w:cstheme="majorBidi"/>
          <w:b w:val="0"/>
          <w:bCs/>
          <w:sz w:val="24"/>
          <w:szCs w:val="24"/>
          <w:lang w:val="en-IN"/>
        </w:rPr>
      </w:pPr>
    </w:p>
    <w:p w14:paraId="73858E12" w14:textId="77777777" w:rsidR="009D7D0A" w:rsidRPr="00C278CD" w:rsidRDefault="00E96B57">
      <w:pPr>
        <w:spacing w:after="0" w:line="240" w:lineRule="auto"/>
        <w:rPr>
          <w:rFonts w:ascii="Arial" w:eastAsia="Calibri" w:hAnsi="Arial" w:cs="Arial"/>
          <w:b/>
          <w:szCs w:val="20"/>
        </w:rPr>
      </w:pPr>
      <w:bookmarkStart w:id="0" w:name="_Hlk238550938"/>
      <w:bookmarkStart w:id="1" w:name="_Hlk237856463"/>
      <w:r w:rsidRPr="00C278CD">
        <w:rPr>
          <w:rFonts w:ascii="Arial" w:eastAsia="Calibri" w:hAnsi="Arial" w:cs="Arial"/>
          <w:b/>
          <w:szCs w:val="20"/>
        </w:rPr>
        <w:t>Declaration of AI Use</w:t>
      </w:r>
    </w:p>
    <w:p w14:paraId="65A835B5" w14:textId="77777777" w:rsidR="009D7D0A" w:rsidRPr="00C278CD" w:rsidRDefault="009D7D0A">
      <w:pPr>
        <w:spacing w:after="0" w:line="240" w:lineRule="auto"/>
        <w:rPr>
          <w:rFonts w:ascii="Arial" w:eastAsia="Calibri" w:hAnsi="Arial" w:cs="Arial"/>
          <w:szCs w:val="20"/>
        </w:rPr>
      </w:pPr>
      <w:bookmarkStart w:id="2" w:name="_Hlk239068730"/>
    </w:p>
    <w:p w14:paraId="012153A0" w14:textId="77777777" w:rsidR="009D7D0A" w:rsidRPr="00C278CD" w:rsidRDefault="00E96B57">
      <w:pPr>
        <w:spacing w:after="0" w:line="240" w:lineRule="auto"/>
        <w:rPr>
          <w:rFonts w:ascii="Arial" w:eastAsia="Calibri" w:hAnsi="Arial" w:cs="Arial"/>
          <w:szCs w:val="20"/>
        </w:rPr>
      </w:pPr>
      <w:bookmarkStart w:id="3" w:name="_Hlk237862032"/>
      <w:r w:rsidRPr="00C278CD">
        <w:rPr>
          <w:rFonts w:ascii="Arial" w:eastAsia="Calibri"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C278CD">
        <w:rPr>
          <w:rFonts w:ascii="Arial" w:eastAsia="Calibri" w:hAnsi="Arial" w:cs="Arial"/>
          <w:szCs w:val="20"/>
        </w:rPr>
        <w:t>.</w:t>
      </w:r>
    </w:p>
    <w:bookmarkEnd w:id="1"/>
    <w:bookmarkEnd w:id="2"/>
    <w:bookmarkEnd w:id="3"/>
    <w:p w14:paraId="7691BFB1" w14:textId="77777777" w:rsidR="009D7D0A" w:rsidRPr="00C278CD" w:rsidRDefault="009D7D0A">
      <w:pPr>
        <w:pStyle w:val="IEEESection"/>
        <w:keepNext/>
        <w:spacing w:after="60" w:line="360" w:lineRule="auto"/>
        <w:jc w:val="both"/>
        <w:rPr>
          <w:rFonts w:asciiTheme="majorBidi" w:hAnsiTheme="majorBidi" w:cstheme="majorBidi"/>
          <w:b w:val="0"/>
          <w:bCs/>
          <w:sz w:val="24"/>
          <w:szCs w:val="24"/>
          <w:lang w:val="en-IN"/>
        </w:rPr>
      </w:pPr>
    </w:p>
    <w:p w14:paraId="5073EDB3" w14:textId="77777777" w:rsidR="009D7D0A" w:rsidRPr="00C278CD" w:rsidRDefault="00E96B57">
      <w:pPr>
        <w:pStyle w:val="IEEESection"/>
        <w:keepNext/>
        <w:spacing w:after="60" w:line="360" w:lineRule="auto"/>
        <w:jc w:val="both"/>
        <w:rPr>
          <w:rFonts w:asciiTheme="majorBidi" w:hAnsiTheme="majorBidi" w:cstheme="majorBidi"/>
          <w:sz w:val="24"/>
          <w:szCs w:val="24"/>
        </w:rPr>
      </w:pPr>
      <w:r w:rsidRPr="00C278CD">
        <w:rPr>
          <w:rFonts w:asciiTheme="majorBidi" w:hAnsiTheme="majorBidi" w:cstheme="majorBidi"/>
          <w:sz w:val="24"/>
          <w:szCs w:val="24"/>
        </w:rPr>
        <w:t>REFERENCES</w:t>
      </w:r>
    </w:p>
    <w:p w14:paraId="0A72CFE9" w14:textId="77777777" w:rsidR="003F566F" w:rsidRPr="00C278CD" w:rsidRDefault="00000000">
      <w:pPr>
        <w:spacing w:after="60"/>
        <w:ind w:left="280" w:hanging="280"/>
      </w:pPr>
      <w:r w:rsidRPr="00C278CD">
        <w:rPr>
          <w:sz w:val="18"/>
        </w:rPr>
        <w:t xml:space="preserve">Abdul-Gafaru, T., Laar, D. S., &amp; </w:t>
      </w:r>
      <w:proofErr w:type="spellStart"/>
      <w:r w:rsidRPr="00C278CD">
        <w:rPr>
          <w:sz w:val="18"/>
        </w:rPr>
        <w:t>Kubuga</w:t>
      </w:r>
      <w:proofErr w:type="spellEnd"/>
      <w:r w:rsidRPr="00C278CD">
        <w:rPr>
          <w:sz w:val="18"/>
        </w:rPr>
        <w:t xml:space="preserve">, K. K. (2024). Design and implementation of an online blood donation system. </w:t>
      </w:r>
      <w:r w:rsidRPr="00C278CD">
        <w:rPr>
          <w:i/>
          <w:sz w:val="18"/>
        </w:rPr>
        <w:t>Asian Journal of Research in Computer Science, 17</w:t>
      </w:r>
      <w:r w:rsidRPr="00C278CD">
        <w:rPr>
          <w:sz w:val="18"/>
        </w:rPr>
        <w:t xml:space="preserve">(4), 44–61. </w:t>
      </w:r>
      <w:hyperlink r:id="rId15">
        <w:r w:rsidRPr="00C278CD">
          <w:rPr>
            <w:color w:val="0563C1"/>
            <w:u w:val="single"/>
          </w:rPr>
          <w:t>https://doi.org/10.9734/ajrcos/2024/v17i4429</w:t>
        </w:r>
      </w:hyperlink>
    </w:p>
    <w:p w14:paraId="719ED5FD" w14:textId="77777777" w:rsidR="003F566F" w:rsidRPr="00C278CD" w:rsidRDefault="00000000">
      <w:pPr>
        <w:spacing w:after="60"/>
        <w:ind w:left="280" w:hanging="280"/>
      </w:pPr>
      <w:proofErr w:type="spellStart"/>
      <w:r w:rsidRPr="00C278CD">
        <w:rPr>
          <w:sz w:val="18"/>
        </w:rPr>
        <w:t>Abouee-Mehrizi</w:t>
      </w:r>
      <w:proofErr w:type="spellEnd"/>
      <w:r w:rsidRPr="00C278CD">
        <w:rPr>
          <w:sz w:val="18"/>
        </w:rPr>
        <w:t xml:space="preserve">, H., </w:t>
      </w:r>
      <w:proofErr w:type="spellStart"/>
      <w:r w:rsidRPr="00C278CD">
        <w:rPr>
          <w:sz w:val="18"/>
        </w:rPr>
        <w:t>Mirjalili</w:t>
      </w:r>
      <w:proofErr w:type="spellEnd"/>
      <w:r w:rsidRPr="00C278CD">
        <w:rPr>
          <w:sz w:val="18"/>
        </w:rPr>
        <w:t xml:space="preserve">, M., &amp; </w:t>
      </w:r>
      <w:proofErr w:type="spellStart"/>
      <w:r w:rsidRPr="00C278CD">
        <w:rPr>
          <w:sz w:val="18"/>
        </w:rPr>
        <w:t>Sarhangian</w:t>
      </w:r>
      <w:proofErr w:type="spellEnd"/>
      <w:r w:rsidRPr="00C278CD">
        <w:rPr>
          <w:sz w:val="18"/>
        </w:rPr>
        <w:t xml:space="preserve">, V. (2022). Data-driven platelet inventory management under uncertainty in the remaining shelf life of units. </w:t>
      </w:r>
      <w:r w:rsidRPr="00C278CD">
        <w:rPr>
          <w:i/>
          <w:sz w:val="18"/>
        </w:rPr>
        <w:t>Production and Operations Management, 31</w:t>
      </w:r>
      <w:r w:rsidRPr="00C278CD">
        <w:rPr>
          <w:sz w:val="18"/>
        </w:rPr>
        <w:t xml:space="preserve">(10), 3914–3932. </w:t>
      </w:r>
      <w:hyperlink r:id="rId16">
        <w:r w:rsidRPr="00C278CD">
          <w:rPr>
            <w:color w:val="0563C1"/>
            <w:u w:val="single"/>
          </w:rPr>
          <w:t>https://doi.org/10.1111/poms.13795</w:t>
        </w:r>
      </w:hyperlink>
    </w:p>
    <w:p w14:paraId="75843B86" w14:textId="77777777" w:rsidR="003F566F" w:rsidRPr="00C278CD" w:rsidRDefault="00000000">
      <w:pPr>
        <w:spacing w:after="60"/>
        <w:ind w:left="280" w:hanging="280"/>
      </w:pPr>
      <w:proofErr w:type="spellStart"/>
      <w:r w:rsidRPr="00C278CD">
        <w:rPr>
          <w:sz w:val="18"/>
        </w:rPr>
        <w:t>Asirvatham</w:t>
      </w:r>
      <w:proofErr w:type="spellEnd"/>
      <w:r w:rsidRPr="00C278CD">
        <w:rPr>
          <w:sz w:val="18"/>
        </w:rPr>
        <w:t xml:space="preserve">, E. S., Mammen, J. J., Lakshman, J., Sarman, C. J., Charles, B., Upadhyaya, S., &amp; Rajan, S. (2021). Assessment of performance of blood banks in India: A national level cross sectional study. </w:t>
      </w:r>
      <w:r w:rsidRPr="00C278CD">
        <w:rPr>
          <w:i/>
          <w:sz w:val="18"/>
        </w:rPr>
        <w:t>Indian Journal of Hematology and Blood Transfusion, 37</w:t>
      </w:r>
      <w:r w:rsidRPr="00C278CD">
        <w:rPr>
          <w:sz w:val="18"/>
        </w:rPr>
        <w:t xml:space="preserve">(4), 640–647. </w:t>
      </w:r>
      <w:hyperlink r:id="rId17">
        <w:r w:rsidRPr="00C278CD">
          <w:rPr>
            <w:color w:val="0563C1"/>
            <w:u w:val="single"/>
          </w:rPr>
          <w:t>https://doi.org/10.1007/s12288-021-01399-9</w:t>
        </w:r>
      </w:hyperlink>
    </w:p>
    <w:p w14:paraId="6CEC842E" w14:textId="77777777" w:rsidR="003F566F" w:rsidRPr="00C278CD" w:rsidRDefault="00000000">
      <w:pPr>
        <w:spacing w:after="60"/>
        <w:ind w:left="280" w:hanging="280"/>
      </w:pPr>
      <w:proofErr w:type="spellStart"/>
      <w:r w:rsidRPr="00C278CD">
        <w:rPr>
          <w:sz w:val="18"/>
        </w:rPr>
        <w:t>Bednall</w:t>
      </w:r>
      <w:proofErr w:type="spellEnd"/>
      <w:r w:rsidRPr="00C278CD">
        <w:rPr>
          <w:sz w:val="18"/>
        </w:rPr>
        <w:t xml:space="preserve">, T. C., &amp; Bove, L. L. (2011). Donating blood: A meta-analytic review of self-reported motivators and deterrents. </w:t>
      </w:r>
      <w:r w:rsidRPr="00C278CD">
        <w:rPr>
          <w:i/>
          <w:sz w:val="18"/>
        </w:rPr>
        <w:t>Transfusion Medicine Reviews, 25</w:t>
      </w:r>
      <w:r w:rsidRPr="00C278CD">
        <w:rPr>
          <w:sz w:val="18"/>
        </w:rPr>
        <w:t xml:space="preserve">(4), 317–334. </w:t>
      </w:r>
      <w:hyperlink r:id="rId18">
        <w:r w:rsidRPr="00C278CD">
          <w:rPr>
            <w:color w:val="0563C1"/>
            <w:u w:val="single"/>
          </w:rPr>
          <w:t>https://doi.org/10.1016/j.tmrv.2011.04.005</w:t>
        </w:r>
      </w:hyperlink>
    </w:p>
    <w:p w14:paraId="4897C655" w14:textId="77777777" w:rsidR="003F566F" w:rsidRPr="00C278CD" w:rsidRDefault="00000000">
      <w:pPr>
        <w:spacing w:after="60"/>
        <w:ind w:left="280" w:hanging="280"/>
      </w:pPr>
      <w:proofErr w:type="spellStart"/>
      <w:r w:rsidRPr="00C278CD">
        <w:rPr>
          <w:sz w:val="18"/>
        </w:rPr>
        <w:t>Bednall</w:t>
      </w:r>
      <w:proofErr w:type="spellEnd"/>
      <w:r w:rsidRPr="00C278CD">
        <w:rPr>
          <w:sz w:val="18"/>
        </w:rPr>
        <w:t xml:space="preserve">, T. C., Bove, L. L., Cheetham, A., &amp; Murray, A. L. (2013). A systematic review and meta-analysis of antecedents of blood donation behavior and intentions. </w:t>
      </w:r>
      <w:r w:rsidRPr="00C278CD">
        <w:rPr>
          <w:i/>
          <w:sz w:val="18"/>
        </w:rPr>
        <w:t>Social Science &amp; Medicine, 96</w:t>
      </w:r>
      <w:r w:rsidRPr="00C278CD">
        <w:rPr>
          <w:sz w:val="18"/>
        </w:rPr>
        <w:t xml:space="preserve">, 86–94. </w:t>
      </w:r>
      <w:hyperlink r:id="rId19">
        <w:r w:rsidRPr="00C278CD">
          <w:rPr>
            <w:color w:val="0563C1"/>
            <w:u w:val="single"/>
          </w:rPr>
          <w:t>https://doi.org/10.1016/j.socscimed.2013.07.022</w:t>
        </w:r>
      </w:hyperlink>
    </w:p>
    <w:p w14:paraId="01A07AD5" w14:textId="77777777" w:rsidR="003F566F" w:rsidRPr="00C278CD" w:rsidRDefault="00000000">
      <w:pPr>
        <w:spacing w:after="60"/>
        <w:ind w:left="280" w:hanging="280"/>
      </w:pPr>
      <w:r w:rsidRPr="00C278CD">
        <w:rPr>
          <w:sz w:val="18"/>
        </w:rPr>
        <w:t xml:space="preserve">Dillon, M., Vauhkonen, I., </w:t>
      </w:r>
      <w:proofErr w:type="spellStart"/>
      <w:r w:rsidRPr="00C278CD">
        <w:rPr>
          <w:sz w:val="18"/>
        </w:rPr>
        <w:t>Arvas</w:t>
      </w:r>
      <w:proofErr w:type="spellEnd"/>
      <w:r w:rsidRPr="00C278CD">
        <w:rPr>
          <w:sz w:val="18"/>
        </w:rPr>
        <w:t xml:space="preserve">, M., Ihalainen, J., </w:t>
      </w:r>
      <w:proofErr w:type="spellStart"/>
      <w:r w:rsidRPr="00C278CD">
        <w:rPr>
          <w:sz w:val="18"/>
        </w:rPr>
        <w:t>Vilkkumaa</w:t>
      </w:r>
      <w:proofErr w:type="spellEnd"/>
      <w:r w:rsidRPr="00C278CD">
        <w:rPr>
          <w:sz w:val="18"/>
        </w:rPr>
        <w:t xml:space="preserve">, E., &amp; Oliveira, F. (2023). Supporting platelet inventory management decisions: What is the effect of extending platelets’ shelf </w:t>
      </w:r>
      <w:proofErr w:type="gramStart"/>
      <w:r w:rsidRPr="00C278CD">
        <w:rPr>
          <w:sz w:val="18"/>
        </w:rPr>
        <w:t>life?</w:t>
      </w:r>
      <w:proofErr w:type="gramEnd"/>
      <w:r w:rsidRPr="00C278CD">
        <w:rPr>
          <w:sz w:val="18"/>
        </w:rPr>
        <w:t xml:space="preserve"> </w:t>
      </w:r>
      <w:r w:rsidRPr="00C278CD">
        <w:rPr>
          <w:i/>
          <w:sz w:val="18"/>
        </w:rPr>
        <w:t>European Journal of Operational Research, 310</w:t>
      </w:r>
      <w:r w:rsidRPr="00C278CD">
        <w:rPr>
          <w:sz w:val="18"/>
        </w:rPr>
        <w:t xml:space="preserve">(2), 640–654. </w:t>
      </w:r>
      <w:hyperlink r:id="rId20">
        <w:r w:rsidRPr="00C278CD">
          <w:rPr>
            <w:color w:val="0563C1"/>
            <w:u w:val="single"/>
          </w:rPr>
          <w:t>https://doi.org/10.1016/j.ejor.2023.03.007</w:t>
        </w:r>
      </w:hyperlink>
    </w:p>
    <w:p w14:paraId="0494E997" w14:textId="77777777" w:rsidR="003F566F" w:rsidRPr="00C278CD" w:rsidRDefault="00000000">
      <w:pPr>
        <w:spacing w:after="60"/>
        <w:ind w:left="280" w:hanging="280"/>
      </w:pPr>
      <w:r w:rsidRPr="00C278CD">
        <w:rPr>
          <w:sz w:val="18"/>
        </w:rPr>
        <w:t xml:space="preserve">Doğan, S., Betin-Can, A., &amp; </w:t>
      </w:r>
      <w:proofErr w:type="spellStart"/>
      <w:r w:rsidRPr="00C278CD">
        <w:rPr>
          <w:sz w:val="18"/>
        </w:rPr>
        <w:t>Garousi</w:t>
      </w:r>
      <w:proofErr w:type="spellEnd"/>
      <w:r w:rsidRPr="00C278CD">
        <w:rPr>
          <w:sz w:val="18"/>
        </w:rPr>
        <w:t xml:space="preserve">, V. (2014). Web application testing: A systematic literature review. </w:t>
      </w:r>
      <w:r w:rsidRPr="00C278CD">
        <w:rPr>
          <w:i/>
          <w:sz w:val="18"/>
        </w:rPr>
        <w:t>Journal of Systems and Software, 91</w:t>
      </w:r>
      <w:r w:rsidRPr="00C278CD">
        <w:rPr>
          <w:sz w:val="18"/>
        </w:rPr>
        <w:t xml:space="preserve">, 174–201. </w:t>
      </w:r>
      <w:hyperlink r:id="rId21">
        <w:r w:rsidRPr="00C278CD">
          <w:rPr>
            <w:color w:val="0563C1"/>
            <w:u w:val="single"/>
          </w:rPr>
          <w:t>https://doi.org/10.1016/j.jss.2014.01.010</w:t>
        </w:r>
      </w:hyperlink>
    </w:p>
    <w:p w14:paraId="5FD1FFC6" w14:textId="77777777" w:rsidR="003F566F" w:rsidRPr="00C278CD" w:rsidRDefault="00000000">
      <w:pPr>
        <w:spacing w:after="60"/>
        <w:ind w:left="280" w:hanging="280"/>
      </w:pPr>
      <w:proofErr w:type="spellStart"/>
      <w:r w:rsidRPr="00C278CD">
        <w:rPr>
          <w:sz w:val="18"/>
        </w:rPr>
        <w:t>Garousi</w:t>
      </w:r>
      <w:proofErr w:type="spellEnd"/>
      <w:r w:rsidRPr="00C278CD">
        <w:rPr>
          <w:sz w:val="18"/>
        </w:rPr>
        <w:t xml:space="preserve">, V., Mesbah, A., Betin-Can, A., &amp; </w:t>
      </w:r>
      <w:proofErr w:type="spellStart"/>
      <w:r w:rsidRPr="00C278CD">
        <w:rPr>
          <w:sz w:val="18"/>
        </w:rPr>
        <w:t>Mirshokraie</w:t>
      </w:r>
      <w:proofErr w:type="spellEnd"/>
      <w:r w:rsidRPr="00C278CD">
        <w:rPr>
          <w:sz w:val="18"/>
        </w:rPr>
        <w:t xml:space="preserve">, S. (2013). A systematic mapping study of web application testing. </w:t>
      </w:r>
      <w:r w:rsidRPr="00C278CD">
        <w:rPr>
          <w:i/>
          <w:sz w:val="18"/>
        </w:rPr>
        <w:t>Information and Software Technology, 55</w:t>
      </w:r>
      <w:r w:rsidRPr="00C278CD">
        <w:rPr>
          <w:sz w:val="18"/>
        </w:rPr>
        <w:t xml:space="preserve">(8), 1374–1396. </w:t>
      </w:r>
      <w:hyperlink r:id="rId22">
        <w:r w:rsidRPr="00C278CD">
          <w:rPr>
            <w:color w:val="0563C1"/>
            <w:u w:val="single"/>
          </w:rPr>
          <w:t>https://doi.org/10.1016/j.infsof.2013.02.006</w:t>
        </w:r>
      </w:hyperlink>
    </w:p>
    <w:p w14:paraId="164E43EE" w14:textId="77777777" w:rsidR="003F566F" w:rsidRPr="00C278CD" w:rsidRDefault="00000000">
      <w:pPr>
        <w:spacing w:after="60"/>
        <w:ind w:left="280" w:hanging="280"/>
      </w:pPr>
      <w:r w:rsidRPr="00C278CD">
        <w:rPr>
          <w:sz w:val="18"/>
        </w:rPr>
        <w:t xml:space="preserve">Goette, L., Stutzer, A., &amp; Frey, B. M. (2010). Prosocial motivation and blood donations: A survey of the empirical literature. </w:t>
      </w:r>
      <w:r w:rsidRPr="00C278CD">
        <w:rPr>
          <w:i/>
          <w:sz w:val="18"/>
        </w:rPr>
        <w:t>Transfusion Medicine and Hemotherapy, 37</w:t>
      </w:r>
      <w:r w:rsidRPr="00C278CD">
        <w:rPr>
          <w:sz w:val="18"/>
        </w:rPr>
        <w:t xml:space="preserve">(3), 149–154. </w:t>
      </w:r>
      <w:hyperlink r:id="rId23">
        <w:r w:rsidRPr="00C278CD">
          <w:rPr>
            <w:color w:val="0563C1"/>
            <w:u w:val="single"/>
          </w:rPr>
          <w:t>https://doi.org/10.1159/000314737</w:t>
        </w:r>
      </w:hyperlink>
    </w:p>
    <w:p w14:paraId="5390B263" w14:textId="77777777" w:rsidR="003F566F" w:rsidRPr="00C278CD" w:rsidRDefault="00000000">
      <w:pPr>
        <w:spacing w:after="60"/>
        <w:ind w:left="280" w:hanging="280"/>
      </w:pPr>
      <w:proofErr w:type="spellStart"/>
      <w:r w:rsidRPr="00C278CD">
        <w:rPr>
          <w:sz w:val="18"/>
        </w:rPr>
        <w:t>Haijema</w:t>
      </w:r>
      <w:proofErr w:type="spellEnd"/>
      <w:r w:rsidRPr="00C278CD">
        <w:rPr>
          <w:sz w:val="18"/>
        </w:rPr>
        <w:t xml:space="preserve">, R., van der Wal, J., &amp; van Dijk, N. (2007). Blood platelet production: Optimization by dynamic programming and simulation. </w:t>
      </w:r>
      <w:r w:rsidRPr="00C278CD">
        <w:rPr>
          <w:i/>
          <w:sz w:val="18"/>
        </w:rPr>
        <w:t>Computers &amp; Operations Research, 34</w:t>
      </w:r>
      <w:r w:rsidRPr="00C278CD">
        <w:rPr>
          <w:sz w:val="18"/>
        </w:rPr>
        <w:t xml:space="preserve">(3), 760–779. </w:t>
      </w:r>
      <w:hyperlink r:id="rId24">
        <w:r w:rsidRPr="00C278CD">
          <w:rPr>
            <w:color w:val="0563C1"/>
            <w:u w:val="single"/>
          </w:rPr>
          <w:t>https://doi.org/10.1016/j.cor.2005.03.023</w:t>
        </w:r>
      </w:hyperlink>
    </w:p>
    <w:p w14:paraId="71187141" w14:textId="77777777" w:rsidR="003F566F" w:rsidRPr="00C278CD" w:rsidRDefault="00000000">
      <w:pPr>
        <w:spacing w:after="60"/>
        <w:ind w:left="280" w:hanging="280"/>
      </w:pPr>
      <w:r w:rsidRPr="00C278CD">
        <w:rPr>
          <w:sz w:val="18"/>
        </w:rPr>
        <w:t xml:space="preserve">Jenny, H. E., Saluja, S., Sood, R., Raykar, N., Kataria, R., </w:t>
      </w:r>
      <w:proofErr w:type="spellStart"/>
      <w:r w:rsidRPr="00C278CD">
        <w:rPr>
          <w:sz w:val="18"/>
        </w:rPr>
        <w:t>Tongaonkar</w:t>
      </w:r>
      <w:proofErr w:type="spellEnd"/>
      <w:r w:rsidRPr="00C278CD">
        <w:rPr>
          <w:sz w:val="18"/>
        </w:rPr>
        <w:t xml:space="preserve">, R., &amp; Roy, N. (2017). Access to safe blood in low-income and middle-income countries: Lessons from India. </w:t>
      </w:r>
      <w:r w:rsidRPr="00C278CD">
        <w:rPr>
          <w:i/>
          <w:sz w:val="18"/>
        </w:rPr>
        <w:t>BMJ Global Health, 2</w:t>
      </w:r>
      <w:r w:rsidRPr="00C278CD">
        <w:rPr>
          <w:sz w:val="18"/>
        </w:rPr>
        <w:t xml:space="preserve">(2), e000167. </w:t>
      </w:r>
      <w:hyperlink r:id="rId25">
        <w:r w:rsidRPr="00C278CD">
          <w:rPr>
            <w:color w:val="0563C1"/>
            <w:u w:val="single"/>
          </w:rPr>
          <w:t>https://doi.org/10.1136/bmjgh-2016-000167</w:t>
        </w:r>
      </w:hyperlink>
    </w:p>
    <w:p w14:paraId="51BDBD07" w14:textId="77777777" w:rsidR="003F566F" w:rsidRPr="00C278CD" w:rsidRDefault="00000000">
      <w:pPr>
        <w:spacing w:after="60"/>
        <w:ind w:left="280" w:hanging="280"/>
      </w:pPr>
      <w:r w:rsidRPr="00C278CD">
        <w:rPr>
          <w:sz w:val="18"/>
        </w:rPr>
        <w:lastRenderedPageBreak/>
        <w:t xml:space="preserve">Kirupa Shankar, K. M., &amp; Santhi, V. (2025). Integrating machine learning and encryption for effective data management in blood bank supply chains. </w:t>
      </w:r>
      <w:r w:rsidRPr="00C278CD">
        <w:rPr>
          <w:i/>
          <w:sz w:val="18"/>
        </w:rPr>
        <w:t>Journal of Cloud Computing, 14</w:t>
      </w:r>
      <w:r w:rsidRPr="00C278CD">
        <w:rPr>
          <w:sz w:val="18"/>
        </w:rPr>
        <w:t xml:space="preserve">, Article 56. </w:t>
      </w:r>
      <w:hyperlink r:id="rId26">
        <w:r w:rsidRPr="00C278CD">
          <w:rPr>
            <w:color w:val="0563C1"/>
            <w:u w:val="single"/>
          </w:rPr>
          <w:t>https://doi.org/10.1186/s13677-025-00779-0</w:t>
        </w:r>
      </w:hyperlink>
    </w:p>
    <w:p w14:paraId="77099D77" w14:textId="77777777" w:rsidR="003F566F" w:rsidRPr="00C278CD" w:rsidRDefault="00000000">
      <w:pPr>
        <w:spacing w:after="60"/>
        <w:ind w:left="280" w:hanging="280"/>
      </w:pPr>
      <w:r w:rsidRPr="00C278CD">
        <w:rPr>
          <w:sz w:val="18"/>
        </w:rPr>
        <w:t xml:space="preserve">Kundu, S., Munoz Valencia, A., Virk, S. K., Kumar, N., Gadgil, A., Mammen, J. J., Roy, N., &amp; </w:t>
      </w:r>
      <w:proofErr w:type="spellStart"/>
      <w:r w:rsidRPr="00C278CD">
        <w:rPr>
          <w:sz w:val="18"/>
        </w:rPr>
        <w:t>Raykar</w:t>
      </w:r>
      <w:proofErr w:type="spellEnd"/>
      <w:r w:rsidRPr="00C278CD">
        <w:rPr>
          <w:sz w:val="18"/>
        </w:rPr>
        <w:t xml:space="preserve">, N. (2024). Defining blood deserts and access to blood products for 660 million people: A geospatial analysis of eight states in Northern India. </w:t>
      </w:r>
      <w:r w:rsidRPr="00C278CD">
        <w:rPr>
          <w:i/>
          <w:sz w:val="18"/>
        </w:rPr>
        <w:t>BMJ Global Health, 9</w:t>
      </w:r>
      <w:r w:rsidRPr="00C278CD">
        <w:rPr>
          <w:sz w:val="18"/>
        </w:rPr>
        <w:t xml:space="preserve">(10), e015637. </w:t>
      </w:r>
      <w:hyperlink r:id="rId27">
        <w:r w:rsidRPr="00C278CD">
          <w:rPr>
            <w:color w:val="0563C1"/>
            <w:u w:val="single"/>
          </w:rPr>
          <w:t>https://doi.org/10.1136/bmjgh-2024-015637</w:t>
        </w:r>
      </w:hyperlink>
    </w:p>
    <w:p w14:paraId="46EADBF6" w14:textId="77777777" w:rsidR="003F566F" w:rsidRPr="00C278CD" w:rsidRDefault="00000000">
      <w:pPr>
        <w:spacing w:after="60"/>
        <w:ind w:left="280" w:hanging="280"/>
      </w:pPr>
      <w:r w:rsidRPr="00C278CD">
        <w:rPr>
          <w:sz w:val="18"/>
        </w:rPr>
        <w:t xml:space="preserve">Mammen, J. J., &amp; </w:t>
      </w:r>
      <w:proofErr w:type="spellStart"/>
      <w:r w:rsidRPr="00C278CD">
        <w:rPr>
          <w:sz w:val="18"/>
        </w:rPr>
        <w:t>Asirvatham</w:t>
      </w:r>
      <w:proofErr w:type="spellEnd"/>
      <w:r w:rsidRPr="00C278CD">
        <w:rPr>
          <w:sz w:val="18"/>
        </w:rPr>
        <w:t xml:space="preserve">, E. S. (2020). The demand and supply of blood in India. </w:t>
      </w:r>
      <w:r w:rsidRPr="00C278CD">
        <w:rPr>
          <w:i/>
          <w:sz w:val="18"/>
        </w:rPr>
        <w:t xml:space="preserve">The Lancet </w:t>
      </w:r>
      <w:proofErr w:type="spellStart"/>
      <w:r w:rsidRPr="00C278CD">
        <w:rPr>
          <w:i/>
          <w:sz w:val="18"/>
        </w:rPr>
        <w:t>Haematology</w:t>
      </w:r>
      <w:proofErr w:type="spellEnd"/>
      <w:r w:rsidRPr="00C278CD">
        <w:rPr>
          <w:i/>
          <w:sz w:val="18"/>
        </w:rPr>
        <w:t>, 7</w:t>
      </w:r>
      <w:r w:rsidRPr="00C278CD">
        <w:rPr>
          <w:sz w:val="18"/>
        </w:rPr>
        <w:t xml:space="preserve">(2), e94. </w:t>
      </w:r>
      <w:hyperlink r:id="rId28">
        <w:r w:rsidRPr="00C278CD">
          <w:rPr>
            <w:color w:val="0563C1"/>
            <w:u w:val="single"/>
          </w:rPr>
          <w:t>https://doi.org/10.1016/S2352-3026(19)30255-8</w:t>
        </w:r>
      </w:hyperlink>
    </w:p>
    <w:p w14:paraId="3B053E6A" w14:textId="77777777" w:rsidR="003F566F" w:rsidRPr="00C278CD" w:rsidRDefault="00000000">
      <w:pPr>
        <w:spacing w:after="60"/>
        <w:ind w:left="280" w:hanging="280"/>
      </w:pPr>
      <w:r w:rsidRPr="00C278CD">
        <w:rPr>
          <w:sz w:val="18"/>
        </w:rPr>
        <w:t xml:space="preserve">Mammen, J. J., </w:t>
      </w:r>
      <w:proofErr w:type="spellStart"/>
      <w:r w:rsidRPr="00C278CD">
        <w:rPr>
          <w:sz w:val="18"/>
        </w:rPr>
        <w:t>Asirvatham</w:t>
      </w:r>
      <w:proofErr w:type="spellEnd"/>
      <w:r w:rsidRPr="00C278CD">
        <w:rPr>
          <w:sz w:val="18"/>
        </w:rPr>
        <w:t xml:space="preserve">, E. S., Lakshmanan, J., Sarman, C. J., Pandey, A., Ranjan, V., Charles, B., Mani, T., </w:t>
      </w:r>
      <w:proofErr w:type="spellStart"/>
      <w:r w:rsidRPr="00C278CD">
        <w:rPr>
          <w:sz w:val="18"/>
        </w:rPr>
        <w:t>Khaparde</w:t>
      </w:r>
      <w:proofErr w:type="spellEnd"/>
      <w:r w:rsidRPr="00C278CD">
        <w:rPr>
          <w:sz w:val="18"/>
        </w:rPr>
        <w:t xml:space="preserve">, S. D., Upadhyaya, S., &amp; Rajan, S. (2022). The clinical demand and supply of blood in India: A national level estimation study. </w:t>
      </w:r>
      <w:r w:rsidRPr="00C278CD">
        <w:rPr>
          <w:i/>
          <w:sz w:val="18"/>
        </w:rPr>
        <w:t>PLOS ONE, 17</w:t>
      </w:r>
      <w:r w:rsidRPr="00C278CD">
        <w:rPr>
          <w:sz w:val="18"/>
        </w:rPr>
        <w:t xml:space="preserve">(4), e0265951. </w:t>
      </w:r>
      <w:hyperlink r:id="rId29">
        <w:r w:rsidRPr="00C278CD">
          <w:rPr>
            <w:color w:val="0563C1"/>
            <w:u w:val="single"/>
          </w:rPr>
          <w:t>https://doi.org/10.1371/journal.pone.0265951</w:t>
        </w:r>
      </w:hyperlink>
    </w:p>
    <w:p w14:paraId="53383E60" w14:textId="77777777" w:rsidR="003F566F" w:rsidRPr="00C278CD" w:rsidRDefault="00000000">
      <w:pPr>
        <w:spacing w:after="60"/>
        <w:ind w:left="280" w:hanging="280"/>
      </w:pPr>
      <w:r w:rsidRPr="00C278CD">
        <w:rPr>
          <w:sz w:val="18"/>
        </w:rPr>
        <w:t xml:space="preserve">Motamedi, M., Dawson, J., Li, N., &amp; Down, D. (2025). Blood platelet inventory management: Incorporating data-driven demand forecasts. </w:t>
      </w:r>
      <w:r w:rsidRPr="00C278CD">
        <w:rPr>
          <w:i/>
          <w:sz w:val="18"/>
        </w:rPr>
        <w:t>Health Care Management Science, 28</w:t>
      </w:r>
      <w:r w:rsidRPr="00C278CD">
        <w:rPr>
          <w:sz w:val="18"/>
        </w:rPr>
        <w:t xml:space="preserve">(2), 191–206. </w:t>
      </w:r>
      <w:hyperlink r:id="rId30">
        <w:r w:rsidRPr="00C278CD">
          <w:rPr>
            <w:color w:val="0563C1"/>
            <w:u w:val="single"/>
          </w:rPr>
          <w:t>https://doi.org/10.1007/s10729-025-09706-w</w:t>
        </w:r>
      </w:hyperlink>
    </w:p>
    <w:p w14:paraId="2FBDC8DC" w14:textId="77777777" w:rsidR="003F566F" w:rsidRPr="00C278CD" w:rsidRDefault="00000000">
      <w:pPr>
        <w:spacing w:after="60"/>
        <w:ind w:left="280" w:hanging="280"/>
      </w:pPr>
      <w:r w:rsidRPr="00C278CD">
        <w:rPr>
          <w:sz w:val="18"/>
        </w:rPr>
        <w:t xml:space="preserve">Pal, S. K., Roy, R., Shyam, H. S., Jha, P. S., &amp; Kumar, R. (2024). Digitalization in the blood supply chain: A systematic literature review. </w:t>
      </w:r>
      <w:r w:rsidRPr="00C278CD">
        <w:rPr>
          <w:i/>
          <w:sz w:val="18"/>
        </w:rPr>
        <w:t>Journal of Information and Optimization Sciences, 45</w:t>
      </w:r>
      <w:r w:rsidRPr="00C278CD">
        <w:rPr>
          <w:sz w:val="18"/>
        </w:rPr>
        <w:t xml:space="preserve">(7), 1911–1919. </w:t>
      </w:r>
      <w:hyperlink r:id="rId31">
        <w:r w:rsidRPr="00C278CD">
          <w:rPr>
            <w:color w:val="0563C1"/>
            <w:u w:val="single"/>
          </w:rPr>
          <w:t>https://doi.org/10.47974/JIOS-1742</w:t>
        </w:r>
      </w:hyperlink>
    </w:p>
    <w:p w14:paraId="1ECF6D8D" w14:textId="77777777" w:rsidR="003F566F" w:rsidRPr="00C278CD" w:rsidRDefault="00000000">
      <w:pPr>
        <w:spacing w:after="60"/>
        <w:ind w:left="280" w:hanging="280"/>
      </w:pPr>
      <w:r w:rsidRPr="00C278CD">
        <w:rPr>
          <w:sz w:val="18"/>
        </w:rPr>
        <w:t xml:space="preserve">Rajendran, S., &amp; Ravindran, A. R. (2019). Inventory management of platelets along blood supply chain to minimize wastage and shortage. </w:t>
      </w:r>
      <w:r w:rsidRPr="00C278CD">
        <w:rPr>
          <w:i/>
          <w:sz w:val="18"/>
        </w:rPr>
        <w:t>Computers &amp; Industrial Engineering, 130</w:t>
      </w:r>
      <w:r w:rsidRPr="00C278CD">
        <w:rPr>
          <w:sz w:val="18"/>
        </w:rPr>
        <w:t xml:space="preserve">, 714–730. </w:t>
      </w:r>
      <w:hyperlink r:id="rId32">
        <w:r w:rsidRPr="00C278CD">
          <w:rPr>
            <w:color w:val="0563C1"/>
            <w:u w:val="single"/>
          </w:rPr>
          <w:t>https://doi.org/10.1016/j.cie.2019.03.010</w:t>
        </w:r>
      </w:hyperlink>
    </w:p>
    <w:p w14:paraId="16AA7498" w14:textId="77777777" w:rsidR="003F566F" w:rsidRPr="00C278CD" w:rsidRDefault="00000000">
      <w:pPr>
        <w:spacing w:after="60"/>
        <w:ind w:left="280" w:hanging="280"/>
      </w:pPr>
      <w:r w:rsidRPr="00C278CD">
        <w:rPr>
          <w:sz w:val="18"/>
        </w:rPr>
        <w:t xml:space="preserve">Singh, A. P., Pandey, R., Saxena, R., &amp; Saxena, S. (2025). Revolutionizing blood bank management: Leveraging machine learning for inventory optimization and shortage prediction. </w:t>
      </w:r>
      <w:r w:rsidRPr="00C278CD">
        <w:rPr>
          <w:i/>
          <w:sz w:val="18"/>
        </w:rPr>
        <w:t>Asian Journal of Current Research, 10</w:t>
      </w:r>
      <w:r w:rsidRPr="00C278CD">
        <w:rPr>
          <w:sz w:val="18"/>
        </w:rPr>
        <w:t xml:space="preserve">(2), 61–84. </w:t>
      </w:r>
      <w:hyperlink r:id="rId33">
        <w:r w:rsidRPr="00C278CD">
          <w:rPr>
            <w:color w:val="0563C1"/>
            <w:u w:val="single"/>
          </w:rPr>
          <w:t>https://doi.org/10.56557/ajocr/2025/v10i29246</w:t>
        </w:r>
      </w:hyperlink>
    </w:p>
    <w:p w14:paraId="2447B1CE" w14:textId="77777777" w:rsidR="003F566F" w:rsidRPr="00C278CD" w:rsidRDefault="00000000">
      <w:pPr>
        <w:spacing w:after="60"/>
        <w:ind w:left="280" w:hanging="280"/>
      </w:pPr>
      <w:r w:rsidRPr="00C278CD">
        <w:rPr>
          <w:sz w:val="18"/>
        </w:rPr>
        <w:t xml:space="preserve">Siswanto, N., Wangsa, I. D., </w:t>
      </w:r>
      <w:proofErr w:type="spellStart"/>
      <w:r w:rsidRPr="00C278CD">
        <w:rPr>
          <w:sz w:val="18"/>
        </w:rPr>
        <w:t>Baihaqy</w:t>
      </w:r>
      <w:proofErr w:type="spellEnd"/>
      <w:r w:rsidRPr="00C278CD">
        <w:rPr>
          <w:sz w:val="18"/>
        </w:rPr>
        <w:t xml:space="preserve">, A. R., </w:t>
      </w:r>
      <w:proofErr w:type="spellStart"/>
      <w:r w:rsidRPr="00C278CD">
        <w:rPr>
          <w:sz w:val="18"/>
        </w:rPr>
        <w:t>Suwignjo</w:t>
      </w:r>
      <w:proofErr w:type="spellEnd"/>
      <w:r w:rsidRPr="00C278CD">
        <w:rPr>
          <w:sz w:val="18"/>
        </w:rPr>
        <w:t xml:space="preserve">, P., &amp; Yu, V. F. (2025). An analytical review of blood supply chain management literature through science mapping and strategic diagrams. </w:t>
      </w:r>
      <w:r w:rsidRPr="00C278CD">
        <w:rPr>
          <w:i/>
          <w:sz w:val="18"/>
        </w:rPr>
        <w:t>Healthcare Analytics, 8</w:t>
      </w:r>
      <w:r w:rsidRPr="00C278CD">
        <w:rPr>
          <w:sz w:val="18"/>
        </w:rPr>
        <w:t xml:space="preserve">, Article 100433. </w:t>
      </w:r>
      <w:hyperlink r:id="rId34">
        <w:r w:rsidRPr="00C278CD">
          <w:rPr>
            <w:color w:val="0563C1"/>
            <w:u w:val="single"/>
          </w:rPr>
          <w:t>https://doi.org/10.1016/j.health.2025.100433</w:t>
        </w:r>
      </w:hyperlink>
    </w:p>
    <w:p w14:paraId="6D7CE35B" w14:textId="77777777" w:rsidR="003F566F" w:rsidRPr="00C278CD" w:rsidRDefault="00000000">
      <w:pPr>
        <w:spacing w:after="60"/>
        <w:ind w:left="280" w:hanging="280"/>
      </w:pPr>
      <w:r w:rsidRPr="00C278CD">
        <w:rPr>
          <w:sz w:val="18"/>
        </w:rPr>
        <w:t xml:space="preserve">Tomini, F., Staples, S., Evans, H., Farabi, H., Murphy, M. F., Green, L., Dhiman, P., Fabiano, G., Palmer, A. J. R., von Neree, L., </w:t>
      </w:r>
      <w:proofErr w:type="spellStart"/>
      <w:r w:rsidRPr="00C278CD">
        <w:rPr>
          <w:sz w:val="18"/>
        </w:rPr>
        <w:t>Sherliker</w:t>
      </w:r>
      <w:proofErr w:type="spellEnd"/>
      <w:r w:rsidRPr="00C278CD">
        <w:rPr>
          <w:sz w:val="18"/>
        </w:rPr>
        <w:t xml:space="preserve">, L., &amp; Stanworth, S. J. (2025). Unlocking the potential of electronic blood transfusion systems: Implementation insights from NHS hospitals in England. </w:t>
      </w:r>
      <w:r w:rsidRPr="00C278CD">
        <w:rPr>
          <w:i/>
          <w:sz w:val="18"/>
        </w:rPr>
        <w:t xml:space="preserve">British Journal of </w:t>
      </w:r>
      <w:proofErr w:type="spellStart"/>
      <w:r w:rsidRPr="00C278CD">
        <w:rPr>
          <w:i/>
          <w:sz w:val="18"/>
        </w:rPr>
        <w:t>Haematology</w:t>
      </w:r>
      <w:proofErr w:type="spellEnd"/>
      <w:r w:rsidRPr="00C278CD">
        <w:rPr>
          <w:i/>
          <w:sz w:val="18"/>
        </w:rPr>
        <w:t>, 207</w:t>
      </w:r>
      <w:r w:rsidRPr="00C278CD">
        <w:rPr>
          <w:sz w:val="18"/>
        </w:rPr>
        <w:t xml:space="preserve">(1), 235–243. </w:t>
      </w:r>
      <w:hyperlink r:id="rId35">
        <w:r w:rsidRPr="00C278CD">
          <w:rPr>
            <w:color w:val="0563C1"/>
            <w:u w:val="single"/>
          </w:rPr>
          <w:t>https://doi.org/10.1111/bjh.20198</w:t>
        </w:r>
      </w:hyperlink>
    </w:p>
    <w:p w14:paraId="6B2B0AC0" w14:textId="77777777" w:rsidR="003F566F" w:rsidRPr="00C278CD" w:rsidRDefault="00000000">
      <w:pPr>
        <w:spacing w:after="60"/>
        <w:ind w:left="280" w:hanging="280"/>
      </w:pPr>
      <w:r w:rsidRPr="00C278CD">
        <w:rPr>
          <w:sz w:val="18"/>
        </w:rPr>
        <w:t xml:space="preserve">World Health Organization. (2010). </w:t>
      </w:r>
      <w:r w:rsidRPr="00C278CD">
        <w:rPr>
          <w:i/>
          <w:sz w:val="18"/>
        </w:rPr>
        <w:t xml:space="preserve">Towards 100% voluntary blood donation: A global framework for action. </w:t>
      </w:r>
      <w:hyperlink r:id="rId36">
        <w:r w:rsidRPr="00C278CD">
          <w:rPr>
            <w:color w:val="0563C1"/>
            <w:u w:val="single"/>
          </w:rPr>
          <w:t>https://www.who.int/publications/i/item/9789241599696</w:t>
        </w:r>
      </w:hyperlink>
    </w:p>
    <w:p w14:paraId="6D4848C8" w14:textId="77777777" w:rsidR="003F566F" w:rsidRDefault="00000000">
      <w:pPr>
        <w:spacing w:after="60"/>
        <w:ind w:left="280" w:hanging="280"/>
      </w:pPr>
      <w:r w:rsidRPr="00C278CD">
        <w:rPr>
          <w:sz w:val="18"/>
        </w:rPr>
        <w:t xml:space="preserve">World Health Organization. (2022). </w:t>
      </w:r>
      <w:r w:rsidRPr="00C278CD">
        <w:rPr>
          <w:i/>
          <w:sz w:val="18"/>
        </w:rPr>
        <w:t xml:space="preserve">Global status report on blood safety and availability 2021. </w:t>
      </w:r>
      <w:hyperlink r:id="rId37">
        <w:r w:rsidRPr="00C278CD">
          <w:rPr>
            <w:color w:val="0563C1"/>
            <w:u w:val="single"/>
          </w:rPr>
          <w:t>https://www.who.int/publications/i/item/9789240051683</w:t>
        </w:r>
      </w:hyperlink>
    </w:p>
    <w:sectPr w:rsidR="003F566F">
      <w:type w:val="continuous"/>
      <w:pgSz w:w="12240" w:h="15840"/>
      <w:pgMar w:top="1080" w:right="900" w:bottom="1440" w:left="900" w:header="1417" w:footer="720"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79D64" w14:textId="77777777" w:rsidR="000E6396" w:rsidRDefault="000E6396">
      <w:pPr>
        <w:spacing w:line="240" w:lineRule="auto"/>
      </w:pPr>
      <w:r>
        <w:separator/>
      </w:r>
    </w:p>
  </w:endnote>
  <w:endnote w:type="continuationSeparator" w:id="0">
    <w:p w14:paraId="1EEF90C9" w14:textId="77777777" w:rsidR="000E6396" w:rsidRDefault="000E63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CF77" w14:textId="77777777" w:rsidR="009D7D0A" w:rsidRDefault="009D7D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C21B8" w14:textId="77777777" w:rsidR="009D7D0A" w:rsidRDefault="00E96B57">
    <w:pPr>
      <w:pStyle w:val="Footer"/>
      <w:jc w:val="center"/>
    </w:pP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ACA3F" w14:textId="77777777" w:rsidR="009D7D0A" w:rsidRDefault="009D7D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486B7" w14:textId="77777777" w:rsidR="000E6396" w:rsidRDefault="000E6396">
      <w:pPr>
        <w:spacing w:after="0"/>
      </w:pPr>
      <w:r>
        <w:separator/>
      </w:r>
    </w:p>
  </w:footnote>
  <w:footnote w:type="continuationSeparator" w:id="0">
    <w:p w14:paraId="5D394D7C" w14:textId="77777777" w:rsidR="000E6396" w:rsidRDefault="000E63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778EA" w14:textId="77777777" w:rsidR="009D7D0A" w:rsidRDefault="00000000">
    <w:pPr>
      <w:pStyle w:val="Header"/>
    </w:pPr>
    <w:r>
      <w:pict w14:anchorId="4F5012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95704" o:spid="_x0000_s1026" type="#_x0000_t136" style="position:absolute;margin-left:0;margin-top:0;width:662.3pt;height:73.55pt;rotation:315;z-index:-251656192;mso-position-horizontal:center;mso-position-horizontal-relative:margin;mso-position-vertical:center;mso-position-vertical-relative:margin;mso-width-relative:page;mso-height-relative:page" o:allowincell="f" fillcolor="silver" stroked="f">
          <v:fill opacity=".5"/>
          <v:textpath style="font-family:&quot;Times New Roman&quot;;font-size:1pt" fitpath="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D5368" w14:textId="77777777" w:rsidR="009D7D0A" w:rsidRDefault="00000000">
    <w:pPr>
      <w:pStyle w:val="Header"/>
    </w:pPr>
    <w:r>
      <w:pict w14:anchorId="4EE327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95705" o:spid="_x0000_s1027" type="#_x0000_t136" style="position:absolute;margin-left:0;margin-top:0;width:662.3pt;height:73.55pt;rotation:315;z-index:-251655168;mso-position-horizontal:center;mso-position-horizontal-relative:margin;mso-position-vertical:center;mso-position-vertical-relative:margin;mso-width-relative:page;mso-height-relative:page" o:allowincell="f" fillcolor="silver" stroked="f">
          <v:fill opacity=".5"/>
          <v:textpath style="font-family:&quot;Times New Roman&quot;;font-size:1pt" fitpath="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D2C1C" w14:textId="77777777" w:rsidR="009D7D0A" w:rsidRDefault="00000000">
    <w:pPr>
      <w:pStyle w:val="Header"/>
    </w:pPr>
    <w:r>
      <w:pict w14:anchorId="6E6AEA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995703" o:spid="_x0000_s1025" type="#_x0000_t136" style="position:absolute;margin-left:0;margin-top:0;width:662.3pt;height:73.55pt;rotation:315;z-index:-251657216;mso-position-horizontal:center;mso-position-horizontal-relative:margin;mso-position-vertical:center;mso-position-vertical-relative:margin;mso-width-relative:page;mso-height-relative:page" o:allowincell="f" fillcolor="silver" stroked="f">
          <v:fill opacity=".5"/>
          <v:textpath style="font-family:&quot;Times New Roman&quot;;font-size:1pt" fitpath="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6" w15:restartNumberingAfterBreak="0">
    <w:nsid w:val="56751E46"/>
    <w:multiLevelType w:val="multilevel"/>
    <w:tmpl w:val="56751E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5D4048F"/>
    <w:multiLevelType w:val="multilevel"/>
    <w:tmpl w:val="75D4048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42923131">
    <w:abstractNumId w:val="5"/>
  </w:num>
  <w:num w:numId="2" w16cid:durableId="572161179">
    <w:abstractNumId w:val="3"/>
  </w:num>
  <w:num w:numId="3" w16cid:durableId="503059816">
    <w:abstractNumId w:val="2"/>
  </w:num>
  <w:num w:numId="4" w16cid:durableId="1215241083">
    <w:abstractNumId w:val="4"/>
  </w:num>
  <w:num w:numId="5" w16cid:durableId="529492598">
    <w:abstractNumId w:val="1"/>
  </w:num>
  <w:num w:numId="6" w16cid:durableId="728384690">
    <w:abstractNumId w:val="0"/>
  </w:num>
  <w:num w:numId="7" w16cid:durableId="28773039">
    <w:abstractNumId w:val="7"/>
  </w:num>
  <w:num w:numId="8" w16cid:durableId="1918921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cwtDAzNTQyMzY1NzNS0lEKTi0uzszPAykwrAUAwE6t9iwAAAA="/>
  </w:docVars>
  <w:rsids>
    <w:rsidRoot w:val="00B47730"/>
    <w:rsid w:val="000117ED"/>
    <w:rsid w:val="00034616"/>
    <w:rsid w:val="0006063C"/>
    <w:rsid w:val="00067498"/>
    <w:rsid w:val="00084A94"/>
    <w:rsid w:val="000C42BC"/>
    <w:rsid w:val="000C681B"/>
    <w:rsid w:val="000E6396"/>
    <w:rsid w:val="001026C3"/>
    <w:rsid w:val="0012217E"/>
    <w:rsid w:val="00135052"/>
    <w:rsid w:val="00135DD6"/>
    <w:rsid w:val="0015074B"/>
    <w:rsid w:val="00184434"/>
    <w:rsid w:val="001E17C8"/>
    <w:rsid w:val="0022313D"/>
    <w:rsid w:val="00274738"/>
    <w:rsid w:val="0029639D"/>
    <w:rsid w:val="002B7BC4"/>
    <w:rsid w:val="002E50FA"/>
    <w:rsid w:val="002F408D"/>
    <w:rsid w:val="00326F90"/>
    <w:rsid w:val="00390D60"/>
    <w:rsid w:val="003C3FB5"/>
    <w:rsid w:val="003E5A92"/>
    <w:rsid w:val="003F566F"/>
    <w:rsid w:val="003F619C"/>
    <w:rsid w:val="00433441"/>
    <w:rsid w:val="00435FBF"/>
    <w:rsid w:val="004769AA"/>
    <w:rsid w:val="004D6676"/>
    <w:rsid w:val="004D6DE9"/>
    <w:rsid w:val="004F262A"/>
    <w:rsid w:val="00544F3B"/>
    <w:rsid w:val="0056250F"/>
    <w:rsid w:val="0058602D"/>
    <w:rsid w:val="00607FE5"/>
    <w:rsid w:val="006B6E7F"/>
    <w:rsid w:val="007023C6"/>
    <w:rsid w:val="007030B5"/>
    <w:rsid w:val="00765BB5"/>
    <w:rsid w:val="007C07DD"/>
    <w:rsid w:val="007C754C"/>
    <w:rsid w:val="007E24CB"/>
    <w:rsid w:val="007F64A2"/>
    <w:rsid w:val="00805139"/>
    <w:rsid w:val="00814B51"/>
    <w:rsid w:val="00865CB4"/>
    <w:rsid w:val="008E1881"/>
    <w:rsid w:val="00950347"/>
    <w:rsid w:val="00977C57"/>
    <w:rsid w:val="009C7126"/>
    <w:rsid w:val="009D0247"/>
    <w:rsid w:val="009D34E8"/>
    <w:rsid w:val="009D7D0A"/>
    <w:rsid w:val="009F62CB"/>
    <w:rsid w:val="00A16FE0"/>
    <w:rsid w:val="00A230C1"/>
    <w:rsid w:val="00A25D63"/>
    <w:rsid w:val="00A511BB"/>
    <w:rsid w:val="00A64F46"/>
    <w:rsid w:val="00A66978"/>
    <w:rsid w:val="00A9242F"/>
    <w:rsid w:val="00A95076"/>
    <w:rsid w:val="00AA1D8D"/>
    <w:rsid w:val="00AA5AF3"/>
    <w:rsid w:val="00AB5659"/>
    <w:rsid w:val="00AE5893"/>
    <w:rsid w:val="00AF3E04"/>
    <w:rsid w:val="00B03608"/>
    <w:rsid w:val="00B47730"/>
    <w:rsid w:val="00B53239"/>
    <w:rsid w:val="00B6425A"/>
    <w:rsid w:val="00B839A7"/>
    <w:rsid w:val="00B9691A"/>
    <w:rsid w:val="00BA7505"/>
    <w:rsid w:val="00C278CD"/>
    <w:rsid w:val="00C70859"/>
    <w:rsid w:val="00CB0664"/>
    <w:rsid w:val="00CB3172"/>
    <w:rsid w:val="00D95BB5"/>
    <w:rsid w:val="00DA65FF"/>
    <w:rsid w:val="00DD4D4D"/>
    <w:rsid w:val="00E10BF5"/>
    <w:rsid w:val="00E470B1"/>
    <w:rsid w:val="00E70F01"/>
    <w:rsid w:val="00E9598E"/>
    <w:rsid w:val="00E96B57"/>
    <w:rsid w:val="00EB4F01"/>
    <w:rsid w:val="00EF0232"/>
    <w:rsid w:val="00EF7A99"/>
    <w:rsid w:val="00F343D2"/>
    <w:rsid w:val="00F614D1"/>
    <w:rsid w:val="00F64D8A"/>
    <w:rsid w:val="00F962DF"/>
    <w:rsid w:val="00FA3207"/>
    <w:rsid w:val="00FC1564"/>
    <w:rsid w:val="00FC693F"/>
    <w:rsid w:val="00FD5EB8"/>
    <w:rsid w:val="00FE33AB"/>
    <w:rsid w:val="646C4A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038001"/>
  <w15:docId w15:val="{20BCB545-A143-4C4F-BA6B-40109F9D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qFormat="1"/>
    <w:lsdException w:name="List Number" w:unhideWhenUsed="1"/>
    <w:lsdException w:name="List 2" w:unhideWhenUsed="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lsdException w:name="Medium Shading 1 Accent 1" w:uiPriority="63" w:qFormat="1"/>
    <w:lsdException w:name="Medium Shading 2 Accent 1" w:uiPriority="64" w:qFormat="1"/>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lsdException w:name="Light List Accent 2" w:uiPriority="61" w:qFormat="1"/>
    <w:lsdException w:name="Light Grid Accent 2" w:uiPriority="62"/>
    <w:lsdException w:name="Medium Shading 1 Accent 2" w:uiPriority="63" w:qFormat="1"/>
    <w:lsdException w:name="Medium Shading 2 Accent 2" w:uiPriority="64"/>
    <w:lsdException w:name="Medium List 1 Accent 2" w:uiPriority="65" w:qFormat="1"/>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lsdException w:name="Medium List 1 Accent 3" w:uiPriority="65"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qFormat="1"/>
    <w:lsdException w:name="Colorful Grid Accent 3" w:uiPriority="73" w:qFormat="1"/>
    <w:lsdException w:name="Light Shading Accent 4" w:uiPriority="60"/>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qFormat="1"/>
    <w:lsdException w:name="Colorful Grid Accent 4" w:uiPriority="73" w:qFormat="1"/>
    <w:lsdException w:name="Light Shading Accent 5" w:uiPriority="60" w:qFormat="1"/>
    <w:lsdException w:name="Light List Accent 5" w:uiPriority="61"/>
    <w:lsdException w:name="Light Grid Accent 5" w:uiPriority="62" w:qFormat="1"/>
    <w:lsdException w:name="Medium Shading 1 Accent 5" w:uiPriority="63"/>
    <w:lsdException w:name="Medium Shading 2 Accent 5" w:uiPriority="64"/>
    <w:lsdException w:name="Medium List 1 Accent 5" w:uiPriority="65" w:qFormat="1"/>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imes New Roman" w:eastAsia="Times New Roman" w:hAnsi="Times New Roman"/>
      <w:szCs w:val="22"/>
      <w:lang w:val="en-US"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99"/>
    <w:unhideWhenUsed/>
    <w:pPr>
      <w:spacing w:after="120"/>
    </w:pPr>
  </w:style>
  <w:style w:type="paragraph" w:styleId="BodyText2">
    <w:name w:val="Body Text 2"/>
    <w:basedOn w:val="Normal"/>
    <w:link w:val="BodyText2Char"/>
    <w:uiPriority w:val="99"/>
    <w:unhideWhenUsed/>
    <w:pPr>
      <w:spacing w:after="120" w:line="480" w:lineRule="auto"/>
    </w:pPr>
  </w:style>
  <w:style w:type="paragraph" w:styleId="BodyText3">
    <w:name w:val="Body Text 3"/>
    <w:basedOn w:val="Normal"/>
    <w:link w:val="BodyText3Char"/>
    <w:uiPriority w:val="99"/>
    <w:unhideWhenUsed/>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qFormat/>
    <w:pPr>
      <w:numPr>
        <w:numId w:val="3"/>
      </w:numPr>
      <w:contextualSpacing/>
    </w:pPr>
  </w:style>
  <w:style w:type="paragraph" w:styleId="ListContinue">
    <w:name w:val="List Continue"/>
    <w:basedOn w:val="Normal"/>
    <w:uiPriority w:val="99"/>
    <w:unhideWhenUsed/>
    <w:qFormat/>
    <w:pPr>
      <w:spacing w:after="120"/>
      <w:ind w:left="360"/>
      <w:contextualSpacing/>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ListNumber">
    <w:name w:val="List Number"/>
    <w:basedOn w:val="Normal"/>
    <w:uiPriority w:val="99"/>
    <w:unhideWhenUsed/>
    <w:pPr>
      <w:numPr>
        <w:numId w:val="4"/>
      </w:numPr>
      <w:contextualSpacing/>
    </w:pPr>
  </w:style>
  <w:style w:type="paragraph" w:styleId="ListNumber2">
    <w:name w:val="List Number 2"/>
    <w:basedOn w:val="Normal"/>
    <w:uiPriority w:val="99"/>
    <w:unhideWhenUsed/>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uiPriority w:val="1"/>
    <w:qFormat/>
    <w:rPr>
      <w:sz w:val="22"/>
      <w:szCs w:val="22"/>
      <w:lang w:val="en-US" w:eastAsia="en-US"/>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style>
  <w:style w:type="character" w:customStyle="1" w:styleId="BodyText2Char">
    <w:name w:val="Body Text 2 Char"/>
    <w:basedOn w:val="DefaultParagraphFont"/>
    <w:link w:val="BodyText2"/>
    <w:uiPriority w:val="99"/>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customStyle="1" w:styleId="IEEEBody">
    <w:name w:val="IEEE Body"/>
    <w:qFormat/>
    <w:pPr>
      <w:spacing w:after="200" w:line="276" w:lineRule="auto"/>
    </w:pPr>
    <w:rPr>
      <w:rFonts w:ascii="Times New Roman" w:eastAsia="Times New Roman" w:hAnsi="Times New Roman"/>
      <w:szCs w:val="22"/>
      <w:lang w:val="en-US" w:eastAsia="en-US"/>
    </w:rPr>
  </w:style>
  <w:style w:type="paragraph" w:customStyle="1" w:styleId="IEEESection">
    <w:name w:val="IEEE Section"/>
    <w:qFormat/>
    <w:pPr>
      <w:spacing w:after="200" w:line="276" w:lineRule="auto"/>
    </w:pPr>
    <w:rPr>
      <w:rFonts w:ascii="Times New Roman" w:eastAsia="Times New Roman" w:hAnsi="Times New Roman"/>
      <w:b/>
      <w:szCs w:val="22"/>
      <w:lang w:val="en-US" w:eastAsia="en-US"/>
    </w:rPr>
  </w:style>
  <w:style w:type="paragraph" w:customStyle="1" w:styleId="IEEESubsection">
    <w:name w:val="IEEE Subsection"/>
    <w:qFormat/>
    <w:pPr>
      <w:spacing w:after="200" w:line="276" w:lineRule="auto"/>
    </w:pPr>
    <w:rPr>
      <w:rFonts w:ascii="Times New Roman" w:eastAsia="Times New Roman" w:hAnsi="Times New Roman"/>
      <w:szCs w:val="22"/>
      <w:lang w:val="en-US" w:eastAsia="en-US"/>
    </w:rPr>
  </w:style>
  <w:style w:type="paragraph" w:customStyle="1" w:styleId="IEEEAbstract">
    <w:name w:val="IEEE Abstract"/>
    <w:qFormat/>
    <w:pPr>
      <w:spacing w:after="200" w:line="276" w:lineRule="auto"/>
    </w:pPr>
    <w:rPr>
      <w:rFonts w:ascii="Times New Roman" w:eastAsia="Times New Roman" w:hAnsi="Times New Roman"/>
      <w:sz w:val="18"/>
      <w:szCs w:val="22"/>
      <w:lang w:val="en-US" w:eastAsia="en-US"/>
    </w:rPr>
  </w:style>
  <w:style w:type="paragraph" w:customStyle="1" w:styleId="IEEETitle">
    <w:name w:val="IEEE Title"/>
    <w:qFormat/>
    <w:pPr>
      <w:spacing w:after="200" w:line="276" w:lineRule="auto"/>
    </w:pPr>
    <w:rPr>
      <w:rFonts w:ascii="Times New Roman" w:eastAsia="Times New Roman" w:hAnsi="Times New Roman"/>
      <w:sz w:val="48"/>
      <w:szCs w:val="22"/>
      <w:lang w:val="en-US" w:eastAsia="en-US"/>
    </w:rPr>
  </w:style>
  <w:style w:type="paragraph" w:customStyle="1" w:styleId="IEEEAuthor">
    <w:name w:val="IEEE Author"/>
    <w:qFormat/>
    <w:pPr>
      <w:spacing w:after="200" w:line="276" w:lineRule="auto"/>
    </w:pPr>
    <w:rPr>
      <w:rFonts w:ascii="Times New Roman" w:eastAsia="Times New Roman" w:hAnsi="Times New Roman"/>
      <w:sz w:val="22"/>
      <w:szCs w:val="22"/>
      <w:lang w:val="en-US" w:eastAsia="en-US"/>
    </w:rPr>
  </w:style>
  <w:style w:type="paragraph" w:customStyle="1" w:styleId="IEEEAffiliation">
    <w:name w:val="IEEE Affiliation"/>
    <w:qFormat/>
    <w:pPr>
      <w:spacing w:after="200" w:line="276" w:lineRule="auto"/>
    </w:pPr>
    <w:rPr>
      <w:rFonts w:ascii="Times New Roman" w:eastAsia="Times New Roman" w:hAnsi="Times New Roman"/>
      <w:sz w:val="18"/>
      <w:szCs w:val="22"/>
      <w:lang w:val="en-US" w:eastAsia="en-US"/>
    </w:rPr>
  </w:style>
  <w:style w:type="paragraph" w:customStyle="1" w:styleId="IEEEReferences">
    <w:name w:val="IEEE References"/>
    <w:qFormat/>
    <w:pPr>
      <w:spacing w:after="200" w:line="276" w:lineRule="auto"/>
    </w:pPr>
    <w:rPr>
      <w:rFonts w:ascii="Times New Roman" w:eastAsia="Times New Roman" w:hAnsi="Times New Roman"/>
      <w:sz w:val="16"/>
      <w:szCs w:val="22"/>
      <w:lang w:val="en-US"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b/>
      <w:bCs/>
      <w:sz w:val="20"/>
      <w:szCs w:val="20"/>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doi.org/10.1016/j.tmrv.2011.04.005" TargetMode="External"/><Relationship Id="rId26" Type="http://schemas.openxmlformats.org/officeDocument/2006/relationships/hyperlink" Target="https://doi.org/10.1186/s13677-025-00779-0" TargetMode="External"/><Relationship Id="rId39" Type="http://schemas.openxmlformats.org/officeDocument/2006/relationships/theme" Target="theme/theme1.xml"/><Relationship Id="rId21" Type="http://schemas.openxmlformats.org/officeDocument/2006/relationships/hyperlink" Target="https://doi.org/10.1016/j.jss.2014.01.010" TargetMode="External"/><Relationship Id="rId34" Type="http://schemas.openxmlformats.org/officeDocument/2006/relationships/hyperlink" Target="https://doi.org/10.1016/j.health.2025.100433"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i.org/10.1007/s12288-021-01399-9" TargetMode="External"/><Relationship Id="rId25" Type="http://schemas.openxmlformats.org/officeDocument/2006/relationships/hyperlink" Target="https://doi.org/10.1136/bmjgh-2016-000167" TargetMode="External"/><Relationship Id="rId33" Type="http://schemas.openxmlformats.org/officeDocument/2006/relationships/hyperlink" Target="https://doi.org/10.56557/ajocr/2025/v10i29246"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i.org/10.1111/poms.13795" TargetMode="External"/><Relationship Id="rId20" Type="http://schemas.openxmlformats.org/officeDocument/2006/relationships/hyperlink" Target="https://doi.org/10.1016/j.ejor.2023.03.007" TargetMode="External"/><Relationship Id="rId29" Type="http://schemas.openxmlformats.org/officeDocument/2006/relationships/hyperlink" Target="https://doi.org/10.1371/journal.pone.026595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doi.org/10.1016/j.cor.2005.03.023" TargetMode="External"/><Relationship Id="rId32" Type="http://schemas.openxmlformats.org/officeDocument/2006/relationships/hyperlink" Target="https://doi.org/10.1016/j.cie.2019.03.010" TargetMode="External"/><Relationship Id="rId37" Type="http://schemas.openxmlformats.org/officeDocument/2006/relationships/hyperlink" Target="https://www.who.int/publications/i/item/9789240051683" TargetMode="External"/><Relationship Id="rId5" Type="http://schemas.openxmlformats.org/officeDocument/2006/relationships/settings" Target="settings.xml"/><Relationship Id="rId15" Type="http://schemas.openxmlformats.org/officeDocument/2006/relationships/hyperlink" Target="https://doi.org/10.9734/ajrcos/2024/v17i4429" TargetMode="External"/><Relationship Id="rId23" Type="http://schemas.openxmlformats.org/officeDocument/2006/relationships/hyperlink" Target="https://doi.org/10.1159/000314737" TargetMode="External"/><Relationship Id="rId28" Type="http://schemas.openxmlformats.org/officeDocument/2006/relationships/hyperlink" Target="https://doi.org/10.1016/S2352-3026(19)30255-8" TargetMode="External"/><Relationship Id="rId36" Type="http://schemas.openxmlformats.org/officeDocument/2006/relationships/hyperlink" Target="https://www.who.int/publications/i/item/9789241599696" TargetMode="External"/><Relationship Id="rId10" Type="http://schemas.openxmlformats.org/officeDocument/2006/relationships/header" Target="header2.xml"/><Relationship Id="rId19" Type="http://schemas.openxmlformats.org/officeDocument/2006/relationships/hyperlink" Target="https://doi.org/10.1016/j.socscimed.2013.07.022" TargetMode="External"/><Relationship Id="rId31" Type="http://schemas.openxmlformats.org/officeDocument/2006/relationships/hyperlink" Target="https://doi.org/10.47974/JIOS-1742"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1016/j.infsof.2013.02.006" TargetMode="External"/><Relationship Id="rId27" Type="http://schemas.openxmlformats.org/officeDocument/2006/relationships/hyperlink" Target="https://doi.org/10.1136/bmjgh-2024-015637" TargetMode="External"/><Relationship Id="rId30" Type="http://schemas.openxmlformats.org/officeDocument/2006/relationships/hyperlink" Target="https://doi.org/10.1007/s10729-025-09706-w" TargetMode="External"/><Relationship Id="rId35" Type="http://schemas.openxmlformats.org/officeDocument/2006/relationships/hyperlink" Target="https://doi.org/10.1111/bjh.20198"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0"/>
    <customShpInfo spid="_x0000_s204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5BBE9-5586-4C6D-8676-2DB8A3413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4756</Words>
  <Characters>27110</Characters>
  <Application>Microsoft Office Word</Application>
  <DocSecurity>0</DocSecurity>
  <Lines>225</Lines>
  <Paragraphs>63</Paragraphs>
  <ScaleCrop>false</ScaleCrop>
  <Company/>
  <LinksUpToDate>false</LinksUpToDate>
  <CharactersWithSpaces>31803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Implementation of a Web-Based Blood Donation Management System for Donor, Recipient, and Inventory Coordination</dc:title>
  <dc:subject>IEEE-formatted research paper</dc:subject>
  <dc:creator>Suhani Rajesh Shah</dc:creator>
  <dc:description>generated by python-docx</dc:description>
  <cp:lastModifiedBy>SDI 1020</cp:lastModifiedBy>
  <cp:revision>14</cp:revision>
  <dcterms:created xsi:type="dcterms:W3CDTF">2026-10-29T07:11:00Z</dcterms:created>
  <dcterms:modified xsi:type="dcterms:W3CDTF">2026-10-30T07:25:00Z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eyJoZGlkIjoiZmFiNzc2Y2Q2M2JkZGY0OWRhZTUwMDVjOTY1MTNiMGUifQ==</vt:lpwstr>
  </property>
  <property fmtid="{D5CDD505-2E9C-101B-9397-08002B2CF9AE}" pid="3" name="KSOProductBuildVer">
    <vt:lpwstr>1033-12.1.0.29162</vt:lpwstr>
  </property>
  <property fmtid="{D5CDD505-2E9C-101B-9397-08002B2CF9AE}" pid="4" name="ICV">
    <vt:lpwstr>ACFE7AB2C89F47BA9A74EA5DA2F853DE_12</vt:lpwstr>
  </property>
</Properties>
</file>