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985CC" w14:textId="77777777" w:rsidR="00064FC0" w:rsidRPr="00B90777" w:rsidRDefault="00000000">
      <w:pPr>
        <w:spacing w:before="260" w:after="320"/>
        <w:jc w:val="center"/>
        <w:rPr>
          <w:color w:val="auto"/>
        </w:rPr>
      </w:pPr>
      <w:r w:rsidRPr="00B90777">
        <w:rPr>
          <w:b/>
          <w:color w:val="auto"/>
          <w:sz w:val="29"/>
        </w:rPr>
        <w:t xml:space="preserve">Integrated Geophysical Assessment of Gold Prospectivity in Southwestern Nigeria: Induced </w:t>
      </w:r>
      <w:proofErr w:type="spellStart"/>
      <w:r w:rsidRPr="00B90777">
        <w:rPr>
          <w:b/>
          <w:color w:val="auto"/>
          <w:sz w:val="29"/>
        </w:rPr>
        <w:t>Polarisation</w:t>
      </w:r>
      <w:proofErr w:type="spellEnd"/>
      <w:r w:rsidRPr="00B90777">
        <w:rPr>
          <w:b/>
          <w:color w:val="auto"/>
          <w:sz w:val="29"/>
        </w:rPr>
        <w:t xml:space="preserve">, Electrical Resistivity Tomography, Airborne </w:t>
      </w:r>
      <w:proofErr w:type="spellStart"/>
      <w:r w:rsidRPr="00B90777">
        <w:rPr>
          <w:b/>
          <w:color w:val="auto"/>
          <w:sz w:val="29"/>
        </w:rPr>
        <w:t>Radiometrics</w:t>
      </w:r>
      <w:proofErr w:type="spellEnd"/>
      <w:r w:rsidRPr="00B90777">
        <w:rPr>
          <w:b/>
          <w:color w:val="auto"/>
          <w:sz w:val="29"/>
        </w:rPr>
        <w:t xml:space="preserve"> and </w:t>
      </w:r>
      <w:proofErr w:type="spellStart"/>
      <w:r w:rsidRPr="00B90777">
        <w:rPr>
          <w:b/>
          <w:color w:val="auto"/>
          <w:sz w:val="29"/>
        </w:rPr>
        <w:t>Aeromagnetics</w:t>
      </w:r>
      <w:proofErr w:type="spellEnd"/>
    </w:p>
    <w:p w14:paraId="6D5EA4F8" w14:textId="77777777" w:rsidR="00064FC0" w:rsidRPr="00B90777" w:rsidRDefault="00000000">
      <w:pPr>
        <w:pStyle w:val="Heading1"/>
        <w:spacing w:before="100"/>
        <w:rPr>
          <w:color w:val="auto"/>
        </w:rPr>
      </w:pPr>
      <w:r w:rsidRPr="00B90777">
        <w:rPr>
          <w:color w:val="auto"/>
        </w:rPr>
        <w:t>Abstract</w:t>
      </w:r>
    </w:p>
    <w:p w14:paraId="62EBB155" w14:textId="77777777" w:rsidR="00064FC0" w:rsidRPr="00B90777" w:rsidRDefault="00000000">
      <w:pPr>
        <w:jc w:val="both"/>
        <w:rPr>
          <w:color w:val="auto"/>
        </w:rPr>
      </w:pPr>
      <w:r w:rsidRPr="00B90777">
        <w:rPr>
          <w:color w:val="auto"/>
        </w:rPr>
        <w:t xml:space="preserve">Gold exploration within the Ilesha–Ife schist belt of southwestern Nigeria increasingly combines geophysical datasets, yet the evidence connecting measured physical-property contrasts to economically significant gold </w:t>
      </w:r>
      <w:proofErr w:type="spellStart"/>
      <w:r w:rsidRPr="00B90777">
        <w:rPr>
          <w:color w:val="auto"/>
        </w:rPr>
        <w:t>mineralisation</w:t>
      </w:r>
      <w:proofErr w:type="spellEnd"/>
      <w:r w:rsidRPr="00B90777">
        <w:rPr>
          <w:color w:val="auto"/>
        </w:rPr>
        <w:t xml:space="preserve"> remains uneven. This critical narrative review assesses the geological basis, diagnostic value and principal uncertainties of induced </w:t>
      </w:r>
      <w:proofErr w:type="spellStart"/>
      <w:r w:rsidRPr="00B90777">
        <w:rPr>
          <w:color w:val="auto"/>
        </w:rPr>
        <w:t>polarisation</w:t>
      </w:r>
      <w:proofErr w:type="spellEnd"/>
      <w:r w:rsidRPr="00B90777">
        <w:rPr>
          <w:color w:val="auto"/>
        </w:rPr>
        <w:t xml:space="preserve">, electrical resistivity tomography, airborne gamma-ray spectrometry and aeromagnetic interpretation. Peer-reviewed regional investigations and foundational geophysical literature published between 1986 and 24 August 2026 were appraised for geological relevance, measurement validity, inversion uncertainty and independent mineralogical or geochemical confirmation. The strongest regional evidence establishes structurally controlled quartz–carbonate vein </w:t>
      </w:r>
      <w:proofErr w:type="spellStart"/>
      <w:r w:rsidRPr="00B90777">
        <w:rPr>
          <w:color w:val="auto"/>
        </w:rPr>
        <w:t>mineralisation</w:t>
      </w:r>
      <w:proofErr w:type="spellEnd"/>
      <w:r w:rsidRPr="00B90777">
        <w:rPr>
          <w:color w:val="auto"/>
        </w:rPr>
        <w:t>, altered basement hosts and associated placer occurrences. Aeromagnetic and radiometric studies consistently identify structural fabrics, lithological discontinuities and possible alteration footprints; nevertheless, a magnetic lineament or potassium anomaly is not itself a gold occurrence. Ground resistivity and induced-</w:t>
      </w:r>
      <w:proofErr w:type="spellStart"/>
      <w:r w:rsidRPr="00B90777">
        <w:rPr>
          <w:color w:val="auto"/>
        </w:rPr>
        <w:t>polarisation</w:t>
      </w:r>
      <w:proofErr w:type="spellEnd"/>
      <w:r w:rsidRPr="00B90777">
        <w:rPr>
          <w:color w:val="auto"/>
        </w:rPr>
        <w:t xml:space="preserve"> profiles sharpen shallow targets by imaging electrical contrasts, but chargeability may reflect </w:t>
      </w:r>
      <w:proofErr w:type="spellStart"/>
      <w:r w:rsidRPr="00B90777">
        <w:rPr>
          <w:color w:val="auto"/>
        </w:rPr>
        <w:t>sulphides</w:t>
      </w:r>
      <w:proofErr w:type="spellEnd"/>
      <w:r w:rsidRPr="00B90777">
        <w:rPr>
          <w:color w:val="auto"/>
        </w:rPr>
        <w:t xml:space="preserve"> unrelated to gold, while conductive weathered regolith can mimic alteration or fracture zones. Several published prospectivity maps correlate with known workings, although non-independent validation, heterogeneous survey resolutions and incomplete assays constrain estimates of predictive performance. An integrated interpretation is most defensible when geological mapping and surface geochemistry anchor regional airborne screening, joint electrical inversion constrains target geometry, and independently sampled trenches or boreholes test </w:t>
      </w:r>
      <w:proofErr w:type="spellStart"/>
      <w:r w:rsidRPr="00B90777">
        <w:rPr>
          <w:color w:val="auto"/>
        </w:rPr>
        <w:t>mineralisation</w:t>
      </w:r>
      <w:proofErr w:type="spellEnd"/>
      <w:r w:rsidRPr="00B90777">
        <w:rPr>
          <w:color w:val="auto"/>
        </w:rPr>
        <w:t xml:space="preserve">. The review proposes an evidence hierarchy separating physical anomalies, mineral-system plausibility and assay-confirmed resources, with explicit attention to uncertainty propagation, spatial cross-validation and environmental safeguards. Available methods can improve exploration </w:t>
      </w:r>
      <w:proofErr w:type="spellStart"/>
      <w:r w:rsidRPr="00B90777">
        <w:rPr>
          <w:color w:val="auto"/>
        </w:rPr>
        <w:t>prioritisation</w:t>
      </w:r>
      <w:proofErr w:type="spellEnd"/>
      <w:r w:rsidRPr="00B90777">
        <w:rPr>
          <w:color w:val="auto"/>
        </w:rPr>
        <w:t>, but their combined use has not yet established a generally transferable or independently validated probability of economic gold occurrence across southwestern Nigeria.</w:t>
      </w:r>
    </w:p>
    <w:p w14:paraId="06FEF1CF" w14:textId="77777777" w:rsidR="00064FC0" w:rsidRPr="00B90777" w:rsidRDefault="00000000">
      <w:pPr>
        <w:spacing w:after="280"/>
        <w:rPr>
          <w:color w:val="auto"/>
        </w:rPr>
      </w:pPr>
      <w:r w:rsidRPr="00B90777">
        <w:rPr>
          <w:b/>
          <w:color w:val="auto"/>
        </w:rPr>
        <w:t xml:space="preserve">Keywords: </w:t>
      </w:r>
      <w:r w:rsidRPr="00B90777">
        <w:rPr>
          <w:color w:val="auto"/>
        </w:rPr>
        <w:t xml:space="preserve">Ilesha schist belt; </w:t>
      </w:r>
      <w:proofErr w:type="spellStart"/>
      <w:r w:rsidRPr="00B90777">
        <w:rPr>
          <w:color w:val="auto"/>
        </w:rPr>
        <w:t>Ifewara</w:t>
      </w:r>
      <w:proofErr w:type="spellEnd"/>
      <w:r w:rsidRPr="00B90777">
        <w:rPr>
          <w:color w:val="auto"/>
        </w:rPr>
        <w:t xml:space="preserve"> shear zone; chargeability; mineral prospectivity mapping; hydrothermal alteration; inverse modelling; spatial validation; basement geology</w:t>
      </w:r>
    </w:p>
    <w:p w14:paraId="7D8F4333" w14:textId="77777777" w:rsidR="00064FC0" w:rsidRPr="00B90777" w:rsidRDefault="00000000">
      <w:pPr>
        <w:pStyle w:val="Heading1"/>
        <w:rPr>
          <w:color w:val="auto"/>
        </w:rPr>
      </w:pPr>
      <w:r w:rsidRPr="00B90777">
        <w:rPr>
          <w:color w:val="auto"/>
        </w:rPr>
        <w:t>1. Introduction</w:t>
      </w:r>
    </w:p>
    <w:p w14:paraId="7C11F3C9" w14:textId="77777777" w:rsidR="00064FC0" w:rsidRPr="00B90777" w:rsidRDefault="00000000">
      <w:pPr>
        <w:jc w:val="both"/>
        <w:rPr>
          <w:color w:val="auto"/>
        </w:rPr>
      </w:pPr>
      <w:r w:rsidRPr="00B90777">
        <w:rPr>
          <w:color w:val="auto"/>
        </w:rPr>
        <w:t xml:space="preserve">The gold-bearing schist belts of southwestern Nigeria present an instructive exploration problem: primary </w:t>
      </w:r>
      <w:proofErr w:type="spellStart"/>
      <w:r w:rsidRPr="00B90777">
        <w:rPr>
          <w:color w:val="auto"/>
        </w:rPr>
        <w:t>mineralisation</w:t>
      </w:r>
      <w:proofErr w:type="spellEnd"/>
      <w:r w:rsidRPr="00B90777">
        <w:rPr>
          <w:color w:val="auto"/>
        </w:rPr>
        <w:t xml:space="preserve"> is geologically </w:t>
      </w:r>
      <w:proofErr w:type="spellStart"/>
      <w:r w:rsidRPr="00B90777">
        <w:rPr>
          <w:color w:val="auto"/>
        </w:rPr>
        <w:t>localised</w:t>
      </w:r>
      <w:proofErr w:type="spellEnd"/>
      <w:r w:rsidRPr="00B90777">
        <w:rPr>
          <w:color w:val="auto"/>
        </w:rPr>
        <w:t xml:space="preserve">, whereas the surface and subsurface expressions of candidate host structures are extensive and often ambiguous. Within the Ilesha–Ife belt, gold occurs in quartz-bearing veins, hydrothermally modified basement rocks and alluvial or eluvial accumulations. The distinction matters because a secondary gold concentration need not lie directly above its primary source, and a </w:t>
      </w:r>
      <w:r w:rsidRPr="00B90777">
        <w:rPr>
          <w:color w:val="auto"/>
        </w:rPr>
        <w:lastRenderedPageBreak/>
        <w:t xml:space="preserve">regional structure </w:t>
      </w:r>
      <w:proofErr w:type="spellStart"/>
      <w:r w:rsidRPr="00B90777">
        <w:rPr>
          <w:color w:val="auto"/>
        </w:rPr>
        <w:t>favourable</w:t>
      </w:r>
      <w:proofErr w:type="spellEnd"/>
      <w:r w:rsidRPr="00B90777">
        <w:rPr>
          <w:color w:val="auto"/>
        </w:rPr>
        <w:t xml:space="preserve"> for fluid movement need not have experienced gold deposition. Petrographic and geochemical observations at </w:t>
      </w:r>
      <w:proofErr w:type="spellStart"/>
      <w:r w:rsidRPr="00B90777">
        <w:rPr>
          <w:color w:val="auto"/>
        </w:rPr>
        <w:t>Iperindo</w:t>
      </w:r>
      <w:proofErr w:type="spellEnd"/>
      <w:r w:rsidRPr="00B90777">
        <w:rPr>
          <w:color w:val="auto"/>
        </w:rPr>
        <w:t xml:space="preserve"> and the adjacent amphibolite-dominated terrain provide a stronger basis for an exploration model than do geophysical anomalies considered in isolation (</w:t>
      </w:r>
      <w:proofErr w:type="spellStart"/>
      <w:r w:rsidRPr="00B90777">
        <w:rPr>
          <w:color w:val="auto"/>
        </w:rPr>
        <w:t>Elueze</w:t>
      </w:r>
      <w:proofErr w:type="spellEnd"/>
      <w:r w:rsidRPr="00B90777">
        <w:rPr>
          <w:color w:val="auto"/>
        </w:rPr>
        <w:t xml:space="preserve">, 1986; Garba, 2003; </w:t>
      </w:r>
      <w:proofErr w:type="spellStart"/>
      <w:r w:rsidRPr="00B90777">
        <w:rPr>
          <w:color w:val="auto"/>
        </w:rPr>
        <w:t>Oyinloye</w:t>
      </w:r>
      <w:proofErr w:type="spellEnd"/>
      <w:r w:rsidRPr="00B90777">
        <w:rPr>
          <w:color w:val="auto"/>
        </w:rPr>
        <w:t xml:space="preserve"> &amp; Steed, 1996).</w:t>
      </w:r>
      <w:r>
        <w:rPr>
          <w:highlight w:val="yellow"/>
        </w:rPr>
        <w:t xml:space="preserve"> Within southwestern Nigeria, an integrated aeromagnetic and radiometric investigation of the </w:t>
      </w:r>
      <w:proofErr w:type="spellStart"/>
      <w:r>
        <w:rPr>
          <w:highlight w:val="yellow"/>
        </w:rPr>
        <w:t>Alagbede</w:t>
      </w:r>
      <w:proofErr w:type="spellEnd"/>
      <w:r>
        <w:rPr>
          <w:highlight w:val="yellow"/>
        </w:rPr>
        <w:t xml:space="preserve"> goldfield has also been used to delineate prospective structures, although such indicators require geological assessment before </w:t>
      </w:r>
      <w:proofErr w:type="spellStart"/>
      <w:r>
        <w:rPr>
          <w:highlight w:val="yellow"/>
        </w:rPr>
        <w:t>mineralisation</w:t>
      </w:r>
      <w:proofErr w:type="spellEnd"/>
      <w:r>
        <w:rPr>
          <w:highlight w:val="yellow"/>
        </w:rPr>
        <w:t xml:space="preserve"> is inferred (Bayode et al., 2023).</w:t>
      </w:r>
    </w:p>
    <w:p w14:paraId="57C25463" w14:textId="77777777" w:rsidR="00064FC0" w:rsidRPr="00B90777" w:rsidRDefault="00000000">
      <w:pPr>
        <w:jc w:val="both"/>
        <w:rPr>
          <w:color w:val="auto"/>
        </w:rPr>
      </w:pPr>
      <w:r w:rsidRPr="00B90777">
        <w:rPr>
          <w:color w:val="auto"/>
        </w:rPr>
        <w:t xml:space="preserve">Geophysical mapping became especially attractive where tropical weathering, cultivated land, fragmented exposure and structural complexity constrain direct geological observation. The exploration literature in the region ranges from conventional electrical soundings and magnetic interpretations to modern derivative maps, airborne radioelement ratios, time-domain electromagnetic surveys and spatial prospectivity modelling. Each method measures a different property and interrogates a different effective volume of rock. Magnetic surveys express susceptibility and remanent </w:t>
      </w:r>
      <w:proofErr w:type="spellStart"/>
      <w:r w:rsidRPr="00B90777">
        <w:rPr>
          <w:color w:val="auto"/>
        </w:rPr>
        <w:t>magnetisation</w:t>
      </w:r>
      <w:proofErr w:type="spellEnd"/>
      <w:r w:rsidRPr="00B90777">
        <w:rPr>
          <w:color w:val="auto"/>
        </w:rPr>
        <w:t xml:space="preserve"> contrasts; gamma-ray surveys principally register shallow K, equivalent U and equivalent Th distributions; electrical resistivity images conduction pathways; and induced </w:t>
      </w:r>
      <w:proofErr w:type="spellStart"/>
      <w:r w:rsidRPr="00B90777">
        <w:rPr>
          <w:color w:val="auto"/>
        </w:rPr>
        <w:t>polarisation</w:t>
      </w:r>
      <w:proofErr w:type="spellEnd"/>
      <w:r w:rsidRPr="00B90777">
        <w:rPr>
          <w:color w:val="auto"/>
        </w:rPr>
        <w:t xml:space="preserve"> responds to charge storage associated with certain mineral grains and interfaces. Combining these measurements should reduce geological ambiguity only when their different depths, resolutions and sources of non-uniqueness are respected (</w:t>
      </w:r>
      <w:proofErr w:type="spellStart"/>
      <w:r w:rsidRPr="00B90777">
        <w:rPr>
          <w:color w:val="auto"/>
        </w:rPr>
        <w:t>Akinlalu</w:t>
      </w:r>
      <w:proofErr w:type="spellEnd"/>
      <w:r w:rsidRPr="00B90777">
        <w:rPr>
          <w:color w:val="auto"/>
        </w:rPr>
        <w:t xml:space="preserve"> et al., 2018; </w:t>
      </w:r>
      <w:proofErr w:type="spellStart"/>
      <w:r w:rsidRPr="00B90777">
        <w:rPr>
          <w:color w:val="auto"/>
        </w:rPr>
        <w:t>Olomo</w:t>
      </w:r>
      <w:proofErr w:type="spellEnd"/>
      <w:r w:rsidRPr="00B90777">
        <w:rPr>
          <w:color w:val="auto"/>
        </w:rPr>
        <w:t xml:space="preserve"> et al., 2022; Salawu et al., 2021).</w:t>
      </w:r>
      <w:r>
        <w:rPr>
          <w:highlight w:val="yellow"/>
        </w:rPr>
        <w:t xml:space="preserve"> An Ife–Ilesa case study combined aeromagnetic, radiometric and satellite-derived indicators to map potential hydrothermal alteration, providing another example of spatial integration without direct measurement of gold grade (Afolabi et al., 2024).</w:t>
      </w:r>
    </w:p>
    <w:p w14:paraId="552C493B" w14:textId="77777777" w:rsidR="00064FC0" w:rsidRPr="00B90777" w:rsidRDefault="00000000">
      <w:pPr>
        <w:jc w:val="both"/>
        <w:rPr>
          <w:color w:val="auto"/>
        </w:rPr>
      </w:pPr>
      <w:r w:rsidRPr="00B90777">
        <w:rPr>
          <w:color w:val="auto"/>
        </w:rPr>
        <w:t xml:space="preserve">Recent work has reported </w:t>
      </w:r>
      <w:proofErr w:type="spellStart"/>
      <w:r w:rsidRPr="00B90777">
        <w:rPr>
          <w:color w:val="auto"/>
        </w:rPr>
        <w:t>favourable</w:t>
      </w:r>
      <w:proofErr w:type="spellEnd"/>
      <w:r w:rsidRPr="00B90777">
        <w:rPr>
          <w:color w:val="auto"/>
        </w:rPr>
        <w:t xml:space="preserve"> structural orientations, radiometric alteration proxies and prospective corridors derived from the analytical hierarchy process, stepwise weighting and machine-learning classification. These maps are useful hypotheses but often employ nearby mine workings both to shape geological assumptions and to assess the resulting model. Apparent agreement between a prospectivity class and a known excavation therefore differs from discovery success in previously untested ground. The distinction is particularly consequential where detailed bedrock sampling, resource drilling and laboratory verification are much less abundant than remotely sensed predictors (Abubakar et al., 2024; </w:t>
      </w:r>
      <w:proofErr w:type="spellStart"/>
      <w:r w:rsidRPr="00B90777">
        <w:rPr>
          <w:color w:val="auto"/>
        </w:rPr>
        <w:t>Akinlalu</w:t>
      </w:r>
      <w:proofErr w:type="spellEnd"/>
      <w:r w:rsidRPr="00B90777">
        <w:rPr>
          <w:color w:val="auto"/>
        </w:rPr>
        <w:t xml:space="preserve"> et al., 2021; </w:t>
      </w:r>
      <w:proofErr w:type="spellStart"/>
      <w:r w:rsidRPr="00B90777">
        <w:rPr>
          <w:color w:val="auto"/>
        </w:rPr>
        <w:t>Akinlalu</w:t>
      </w:r>
      <w:proofErr w:type="spellEnd"/>
      <w:r w:rsidRPr="00B90777">
        <w:rPr>
          <w:color w:val="auto"/>
        </w:rPr>
        <w:t xml:space="preserve"> et al., 2024; Faruwa et al., 2025).</w:t>
      </w:r>
      <w:r>
        <w:rPr>
          <w:highlight w:val="yellow"/>
        </w:rPr>
        <w:t xml:space="preserve"> A mineral-system-based mapping investigation outside Nigeria similarly </w:t>
      </w:r>
      <w:proofErr w:type="spellStart"/>
      <w:r>
        <w:rPr>
          <w:highlight w:val="yellow"/>
        </w:rPr>
        <w:t>organised</w:t>
      </w:r>
      <w:proofErr w:type="spellEnd"/>
      <w:r>
        <w:rPr>
          <w:highlight w:val="yellow"/>
        </w:rPr>
        <w:t xml:space="preserve"> geological predictors around ore-forming processes, but its results do not establish transferable accuracy for untested targets in the present belt (Wang et al., 2025).</w:t>
      </w:r>
    </w:p>
    <w:p w14:paraId="1F025286" w14:textId="77777777" w:rsidR="00064FC0" w:rsidRPr="00B90777" w:rsidRDefault="00000000">
      <w:pPr>
        <w:jc w:val="both"/>
        <w:rPr>
          <w:color w:val="auto"/>
        </w:rPr>
      </w:pPr>
      <w:r w:rsidRPr="00B90777">
        <w:rPr>
          <w:color w:val="auto"/>
        </w:rPr>
        <w:t xml:space="preserve">Field-scale investigation introduces a second interpretive problem. Low resistivity can be produced by saturated clay-rich regolith, interconnected conductive </w:t>
      </w:r>
      <w:proofErr w:type="spellStart"/>
      <w:r w:rsidRPr="00B90777">
        <w:rPr>
          <w:color w:val="auto"/>
        </w:rPr>
        <w:t>sulphides</w:t>
      </w:r>
      <w:proofErr w:type="spellEnd"/>
      <w:r w:rsidRPr="00B90777">
        <w:rPr>
          <w:color w:val="auto"/>
        </w:rPr>
        <w:t xml:space="preserve"> or fractured basement containing </w:t>
      </w:r>
      <w:proofErr w:type="spellStart"/>
      <w:r w:rsidRPr="00B90777">
        <w:rPr>
          <w:color w:val="auto"/>
        </w:rPr>
        <w:t>mineralised</w:t>
      </w:r>
      <w:proofErr w:type="spellEnd"/>
      <w:r w:rsidRPr="00B90777">
        <w:rPr>
          <w:color w:val="auto"/>
        </w:rPr>
        <w:t xml:space="preserve"> fluids. High chargeability can arise from disseminated </w:t>
      </w:r>
      <w:proofErr w:type="spellStart"/>
      <w:r w:rsidRPr="00B90777">
        <w:rPr>
          <w:color w:val="auto"/>
        </w:rPr>
        <w:t>sulphide</w:t>
      </w:r>
      <w:proofErr w:type="spellEnd"/>
      <w:r w:rsidRPr="00B90777">
        <w:rPr>
          <w:color w:val="auto"/>
        </w:rPr>
        <w:t xml:space="preserve"> minerals, metallic grains or other interfacial </w:t>
      </w:r>
      <w:proofErr w:type="spellStart"/>
      <w:r w:rsidRPr="00B90777">
        <w:rPr>
          <w:color w:val="auto"/>
        </w:rPr>
        <w:t>polarisation</w:t>
      </w:r>
      <w:proofErr w:type="spellEnd"/>
      <w:r w:rsidRPr="00B90777">
        <w:rPr>
          <w:color w:val="auto"/>
        </w:rPr>
        <w:t xml:space="preserve"> processes, none of which uniquely indicates gold. Conversely, quartz-dominated </w:t>
      </w:r>
      <w:proofErr w:type="spellStart"/>
      <w:r w:rsidRPr="00B90777">
        <w:rPr>
          <w:color w:val="auto"/>
        </w:rPr>
        <w:t>mineralised</w:t>
      </w:r>
      <w:proofErr w:type="spellEnd"/>
      <w:r w:rsidRPr="00B90777">
        <w:rPr>
          <w:color w:val="auto"/>
        </w:rPr>
        <w:t xml:space="preserve"> veins may be relatively resistive, and a </w:t>
      </w:r>
      <w:proofErr w:type="spellStart"/>
      <w:r w:rsidRPr="00B90777">
        <w:rPr>
          <w:color w:val="auto"/>
        </w:rPr>
        <w:t>sulphide</w:t>
      </w:r>
      <w:proofErr w:type="spellEnd"/>
      <w:r w:rsidRPr="00B90777">
        <w:rPr>
          <w:color w:val="auto"/>
        </w:rPr>
        <w:t>-poor gold occurrence may produce weak induced-</w:t>
      </w:r>
      <w:proofErr w:type="spellStart"/>
      <w:r w:rsidRPr="00B90777">
        <w:rPr>
          <w:color w:val="auto"/>
        </w:rPr>
        <w:t>polarisation</w:t>
      </w:r>
      <w:proofErr w:type="spellEnd"/>
      <w:r w:rsidRPr="00B90777">
        <w:rPr>
          <w:color w:val="auto"/>
        </w:rPr>
        <w:t xml:space="preserve"> contrast. Published </w:t>
      </w:r>
      <w:proofErr w:type="spellStart"/>
      <w:r w:rsidRPr="00B90777">
        <w:rPr>
          <w:color w:val="auto"/>
        </w:rPr>
        <w:t>Iperindo</w:t>
      </w:r>
      <w:proofErr w:type="spellEnd"/>
      <w:r w:rsidRPr="00B90777">
        <w:rPr>
          <w:color w:val="auto"/>
        </w:rPr>
        <w:t xml:space="preserve"> and </w:t>
      </w:r>
      <w:proofErr w:type="spellStart"/>
      <w:r w:rsidRPr="00B90777">
        <w:rPr>
          <w:color w:val="auto"/>
        </w:rPr>
        <w:t>Itagunmodi</w:t>
      </w:r>
      <w:proofErr w:type="spellEnd"/>
      <w:r w:rsidRPr="00B90777">
        <w:rPr>
          <w:color w:val="auto"/>
        </w:rPr>
        <w:t xml:space="preserve"> electrical sections demonstrate target </w:t>
      </w:r>
      <w:proofErr w:type="spellStart"/>
      <w:r w:rsidRPr="00B90777">
        <w:rPr>
          <w:color w:val="auto"/>
        </w:rPr>
        <w:t>localisation</w:t>
      </w:r>
      <w:proofErr w:type="spellEnd"/>
      <w:r w:rsidRPr="00B90777">
        <w:rPr>
          <w:color w:val="auto"/>
        </w:rPr>
        <w:t>, not direct detection of gold particles or an independently measured ore grade (</w:t>
      </w:r>
      <w:proofErr w:type="spellStart"/>
      <w:r w:rsidRPr="00B90777">
        <w:rPr>
          <w:color w:val="auto"/>
        </w:rPr>
        <w:t>Adekanle</w:t>
      </w:r>
      <w:proofErr w:type="spellEnd"/>
      <w:r w:rsidRPr="00B90777">
        <w:rPr>
          <w:color w:val="auto"/>
        </w:rPr>
        <w:t xml:space="preserve"> et al., 2025; Osinowo et al., 2020; Revil et al., 2015).</w:t>
      </w:r>
      <w:r>
        <w:rPr>
          <w:highlight w:val="yellow"/>
        </w:rPr>
        <w:t xml:space="preserve"> Recent three-dimensional ERT–IP work in another </w:t>
      </w:r>
      <w:r>
        <w:rPr>
          <w:highlight w:val="yellow"/>
        </w:rPr>
        <w:lastRenderedPageBreak/>
        <w:t>mineral-exploration setting further illustrates the dependence of recovered electrical anomalies on survey design, sensitivity and independent geological constraints (Kim et al., 2026).</w:t>
      </w:r>
    </w:p>
    <w:p w14:paraId="37249C59" w14:textId="77777777" w:rsidR="00064FC0" w:rsidRPr="00B90777" w:rsidRDefault="00000000">
      <w:pPr>
        <w:jc w:val="both"/>
        <w:rPr>
          <w:color w:val="auto"/>
        </w:rPr>
      </w:pPr>
      <w:r w:rsidRPr="00B90777">
        <w:rPr>
          <w:color w:val="auto"/>
        </w:rPr>
        <w:t>The regional question is consequently not whether one geophysical method is universally superior. It is whether a particular combination of measurements can distinguish the elements of a plausible mineral system from their common non-</w:t>
      </w:r>
      <w:proofErr w:type="spellStart"/>
      <w:r w:rsidRPr="00B90777">
        <w:rPr>
          <w:color w:val="auto"/>
        </w:rPr>
        <w:t>mineralised</w:t>
      </w:r>
      <w:proofErr w:type="spellEnd"/>
      <w:r w:rsidRPr="00B90777">
        <w:rPr>
          <w:color w:val="auto"/>
        </w:rPr>
        <w:t xml:space="preserve"> geological analogues. Such assessment requires a geological conception of source and fluid pathways, structural permeability, chemical reaction and deposition, followed by tests of whether recorded properties reflect these processes. Widely used orogenic-gold frameworks clarify why veins and shear zones merit attention, but they do not </w:t>
      </w:r>
      <w:proofErr w:type="spellStart"/>
      <w:r w:rsidRPr="00B90777">
        <w:rPr>
          <w:color w:val="auto"/>
        </w:rPr>
        <w:t>licence</w:t>
      </w:r>
      <w:proofErr w:type="spellEnd"/>
      <w:r w:rsidRPr="00B90777">
        <w:rPr>
          <w:color w:val="auto"/>
        </w:rPr>
        <w:t xml:space="preserve"> transferring the characteristic response of one deposit or weathering setting to every Nigerian basement lithology (Goldfarb &amp; Groves, 2015; Groves et al., 1998).</w:t>
      </w:r>
    </w:p>
    <w:p w14:paraId="128EC89E" w14:textId="77777777" w:rsidR="00064FC0" w:rsidRPr="00B90777" w:rsidRDefault="00000000">
      <w:pPr>
        <w:pStyle w:val="Heading2"/>
        <w:rPr>
          <w:color w:val="auto"/>
        </w:rPr>
      </w:pPr>
      <w:r w:rsidRPr="00B90777">
        <w:rPr>
          <w:color w:val="auto"/>
        </w:rPr>
        <w:t>1.1 Scope, Research Gap and Objectives</w:t>
      </w:r>
    </w:p>
    <w:p w14:paraId="0AB3176A" w14:textId="77777777" w:rsidR="00064FC0" w:rsidRPr="00B90777" w:rsidRDefault="00000000">
      <w:pPr>
        <w:jc w:val="both"/>
        <w:rPr>
          <w:color w:val="auto"/>
        </w:rPr>
      </w:pPr>
      <w:r w:rsidRPr="00B90777">
        <w:rPr>
          <w:color w:val="auto"/>
        </w:rPr>
        <w:t>This review focuses on the Ilesha–Ife–</w:t>
      </w:r>
      <w:proofErr w:type="spellStart"/>
      <w:r w:rsidRPr="00B90777">
        <w:rPr>
          <w:color w:val="auto"/>
        </w:rPr>
        <w:t>Iperindo</w:t>
      </w:r>
      <w:proofErr w:type="spellEnd"/>
      <w:r w:rsidRPr="00B90777">
        <w:rPr>
          <w:color w:val="auto"/>
        </w:rPr>
        <w:t>–</w:t>
      </w:r>
      <w:proofErr w:type="spellStart"/>
      <w:r w:rsidRPr="00B90777">
        <w:rPr>
          <w:color w:val="auto"/>
        </w:rPr>
        <w:t>Itagunmodi</w:t>
      </w:r>
      <w:proofErr w:type="spellEnd"/>
      <w:r w:rsidRPr="00B90777">
        <w:rPr>
          <w:color w:val="auto"/>
        </w:rPr>
        <w:t xml:space="preserve"> exploration corridor and related basement settings in southwestern Nigeria. Four geophysical families form its core: time-domain or spectral induced </w:t>
      </w:r>
      <w:proofErr w:type="spellStart"/>
      <w:r w:rsidRPr="00B90777">
        <w:rPr>
          <w:color w:val="auto"/>
        </w:rPr>
        <w:t>polarisation</w:t>
      </w:r>
      <w:proofErr w:type="spellEnd"/>
      <w:r w:rsidRPr="00B90777">
        <w:rPr>
          <w:color w:val="auto"/>
        </w:rPr>
        <w:t xml:space="preserve">, two- and three-dimensional electrical resistivity tomography, airborne gamma-ray spectrometry and aeromagnetic interpretation. Related geological, geochemical, remote-sensing and airborne electromagnetic evidence is included where it resolves interpretation or provides a validation benchmark. The central gap is the absence of a sufficiently tested chain of inference from regional geophysical features to </w:t>
      </w:r>
      <w:proofErr w:type="spellStart"/>
      <w:r w:rsidRPr="00B90777">
        <w:rPr>
          <w:color w:val="auto"/>
        </w:rPr>
        <w:t>mineralised</w:t>
      </w:r>
      <w:proofErr w:type="spellEnd"/>
      <w:r w:rsidRPr="00B90777">
        <w:rPr>
          <w:color w:val="auto"/>
        </w:rPr>
        <w:t xml:space="preserve"> rock and, ultimately, to economically relevant gold. The objectives are to evaluate the actual discriminatory power of each technique, compare published convergence and disagreement, assess the reliability of integrated prospectivity models and establish a staged framework for independent testing. Claims about reserves, mine feasibility or regulatory compliance fall outside the evidential scope.</w:t>
      </w:r>
    </w:p>
    <w:p w14:paraId="1395F1F6" w14:textId="77777777" w:rsidR="00064FC0" w:rsidRPr="00B90777" w:rsidRDefault="00000000">
      <w:pPr>
        <w:pStyle w:val="Heading1"/>
        <w:rPr>
          <w:color w:val="auto"/>
        </w:rPr>
      </w:pPr>
      <w:r w:rsidRPr="00B90777">
        <w:rPr>
          <w:color w:val="auto"/>
        </w:rPr>
        <w:t>2. Methods for Literature Selection</w:t>
      </w:r>
    </w:p>
    <w:p w14:paraId="7A702389" w14:textId="77777777" w:rsidR="00064FC0" w:rsidRPr="00B90777" w:rsidRDefault="00000000">
      <w:pPr>
        <w:pStyle w:val="Heading2"/>
        <w:rPr>
          <w:color w:val="auto"/>
        </w:rPr>
      </w:pPr>
      <w:r w:rsidRPr="00B90777">
        <w:rPr>
          <w:color w:val="auto"/>
        </w:rPr>
        <w:t>2.1 Review Design and Rationale</w:t>
      </w:r>
    </w:p>
    <w:p w14:paraId="3B102F50" w14:textId="77777777" w:rsidR="00064FC0" w:rsidRPr="00B90777" w:rsidRDefault="00000000">
      <w:pPr>
        <w:jc w:val="both"/>
        <w:rPr>
          <w:color w:val="auto"/>
        </w:rPr>
      </w:pPr>
      <w:r w:rsidRPr="00B90777">
        <w:rPr>
          <w:color w:val="auto"/>
        </w:rPr>
        <w:t>A critical narrative approach was chosen because the available literature combines field geology, geochemistry, airborne potential-field processing, shallow electrical inversion and spatial prediction rather than a set of comparable interventions or common outcome metrics. The main task is interpretation across methodological scales, not aggregation of an effect size. Transparency was pursued through an explicit geographical boundary, a defined search period, attention to disconfirming explanations and a distinction between geological evidence and model-generated prospectivity. The appraisal logic follows the emphasis on importance, scientific reasoning, suitable referencing and balanced presentation embodied in the Scale for the Assessment of Narrative Review Articles (</w:t>
      </w:r>
      <w:proofErr w:type="spellStart"/>
      <w:r w:rsidRPr="00B90777">
        <w:rPr>
          <w:color w:val="auto"/>
        </w:rPr>
        <w:t>Baethge</w:t>
      </w:r>
      <w:proofErr w:type="spellEnd"/>
      <w:r w:rsidRPr="00B90777">
        <w:rPr>
          <w:color w:val="auto"/>
        </w:rPr>
        <w:t xml:space="preserve"> et al., 2019).</w:t>
      </w:r>
    </w:p>
    <w:p w14:paraId="76F3E34E" w14:textId="77777777" w:rsidR="00064FC0" w:rsidRPr="00B90777" w:rsidRDefault="00000000">
      <w:pPr>
        <w:jc w:val="both"/>
        <w:rPr>
          <w:color w:val="auto"/>
        </w:rPr>
      </w:pPr>
      <w:r w:rsidRPr="00B90777">
        <w:rPr>
          <w:color w:val="auto"/>
        </w:rPr>
        <w:t xml:space="preserve">The review treats studies that demonstrate gold in sampled material differently from studies identifying only geophysical proxies or predicting prospectivity classes. Field observations and assays are not free of sampling uncertainty, but they provide more direct evidence of </w:t>
      </w:r>
      <w:proofErr w:type="spellStart"/>
      <w:r w:rsidRPr="00B90777">
        <w:rPr>
          <w:color w:val="auto"/>
        </w:rPr>
        <w:t>mineralisation</w:t>
      </w:r>
      <w:proofErr w:type="spellEnd"/>
      <w:r w:rsidRPr="00B90777">
        <w:rPr>
          <w:color w:val="auto"/>
        </w:rPr>
        <w:t xml:space="preserve"> than spatial coincidence. Likewise, a technically sophisticated inversion is not intrinsically stronger than a simpler map if the former </w:t>
      </w:r>
      <w:r w:rsidRPr="00B90777">
        <w:rPr>
          <w:color w:val="auto"/>
        </w:rPr>
        <w:lastRenderedPageBreak/>
        <w:t>has poorly documented electrodes, inconsistent coordinates or no independent checking. This evidence-weighting principle guided the thematic synthesis rather than a numerical quality score.</w:t>
      </w:r>
    </w:p>
    <w:p w14:paraId="05641FF9" w14:textId="77777777" w:rsidR="00064FC0" w:rsidRPr="00B90777" w:rsidRDefault="00000000">
      <w:pPr>
        <w:pStyle w:val="Heading2"/>
        <w:rPr>
          <w:color w:val="auto"/>
        </w:rPr>
      </w:pPr>
      <w:r w:rsidRPr="00B90777">
        <w:rPr>
          <w:color w:val="auto"/>
        </w:rPr>
        <w:t>2.2 Information Sources</w:t>
      </w:r>
    </w:p>
    <w:p w14:paraId="6D2B5804" w14:textId="77777777" w:rsidR="00064FC0" w:rsidRPr="00B90777" w:rsidRDefault="00000000">
      <w:pPr>
        <w:jc w:val="both"/>
        <w:rPr>
          <w:color w:val="auto"/>
        </w:rPr>
      </w:pPr>
      <w:r w:rsidRPr="00B90777">
        <w:rPr>
          <w:color w:val="auto"/>
        </w:rPr>
        <w:t xml:space="preserve">The evidence search drew on openly accessible bibliographic records and scholarly indexes, including </w:t>
      </w:r>
      <w:proofErr w:type="spellStart"/>
      <w:r w:rsidRPr="00B90777">
        <w:rPr>
          <w:color w:val="auto"/>
        </w:rPr>
        <w:t>OpenAlex</w:t>
      </w:r>
      <w:proofErr w:type="spellEnd"/>
      <w:r w:rsidRPr="00B90777">
        <w:rPr>
          <w:color w:val="auto"/>
        </w:rPr>
        <w:t xml:space="preserve">, </w:t>
      </w:r>
      <w:proofErr w:type="spellStart"/>
      <w:r w:rsidRPr="00B90777">
        <w:rPr>
          <w:color w:val="auto"/>
        </w:rPr>
        <w:t>Crossref</w:t>
      </w:r>
      <w:proofErr w:type="spellEnd"/>
      <w:r w:rsidRPr="00B90777">
        <w:rPr>
          <w:color w:val="auto"/>
        </w:rPr>
        <w:t>, DOAJ, Semantic Scholar and African Journals Online. Full-text and bibliographic records were checked against accessible original journal articles, Nigerian university repositories, scholarly geoscience archives and relevant geological research collections. Reference lists in foundational and recent regional papers were examined to identify earlier geological studies and methodological contributions. DOI landing pages and accessible publication records were used to reconcile article titles, author order, volume information and publication years; websites representing a publisher or journal were used for verification rather than presented as bibliographic databases.</w:t>
      </w:r>
    </w:p>
    <w:p w14:paraId="32DC7303" w14:textId="77777777" w:rsidR="00064FC0" w:rsidRPr="00B90777" w:rsidRDefault="00000000">
      <w:pPr>
        <w:jc w:val="both"/>
        <w:rPr>
          <w:color w:val="auto"/>
        </w:rPr>
      </w:pPr>
      <w:r w:rsidRPr="00B90777">
        <w:rPr>
          <w:color w:val="auto"/>
        </w:rPr>
        <w:t xml:space="preserve">Regional searching was necessary because several contributions on the Ilesha schist belt were disseminated through Nigerian journals, institutional repositories or historical geological outlets that are less visible in broad international searches. These materials were retained only when article identity, publication status and their evidential relevance could be confirmed. The historical </w:t>
      </w:r>
      <w:proofErr w:type="spellStart"/>
      <w:r w:rsidRPr="00B90777">
        <w:rPr>
          <w:color w:val="auto"/>
        </w:rPr>
        <w:t>Iperindo</w:t>
      </w:r>
      <w:proofErr w:type="spellEnd"/>
      <w:r w:rsidRPr="00B90777">
        <w:rPr>
          <w:color w:val="auto"/>
        </w:rPr>
        <w:t xml:space="preserve"> deposit description and the amphibolite-belt study were included through identifiable scholarly records despite lacking a verified DOI. No search coverage was claimed for subscription-only indexes that were not directly accessible.</w:t>
      </w:r>
    </w:p>
    <w:p w14:paraId="4E3500BF" w14:textId="77777777" w:rsidR="00064FC0" w:rsidRPr="00B90777" w:rsidRDefault="00000000">
      <w:pPr>
        <w:pStyle w:val="Heading2"/>
        <w:rPr>
          <w:color w:val="auto"/>
        </w:rPr>
      </w:pPr>
      <w:r w:rsidRPr="00B90777">
        <w:rPr>
          <w:color w:val="auto"/>
        </w:rPr>
        <w:t>2.3 Search Strategy and Search Period</w:t>
      </w:r>
    </w:p>
    <w:p w14:paraId="626A843D" w14:textId="77777777" w:rsidR="00064FC0" w:rsidRPr="00B90777" w:rsidRDefault="00000000">
      <w:pPr>
        <w:jc w:val="both"/>
        <w:rPr>
          <w:color w:val="auto"/>
        </w:rPr>
      </w:pPr>
      <w:r w:rsidRPr="00B90777">
        <w:rPr>
          <w:color w:val="auto"/>
        </w:rPr>
        <w:t>The principal coverage ran from 1986 to 24 August 2026, with earlier foundational geophysical methods included where indispensable. Representative search combinations paired geographical terms (“Ilesha” OR “Ife–Ilesha” OR “</w:t>
      </w:r>
      <w:proofErr w:type="spellStart"/>
      <w:r w:rsidRPr="00B90777">
        <w:rPr>
          <w:color w:val="auto"/>
        </w:rPr>
        <w:t>Iperindo</w:t>
      </w:r>
      <w:proofErr w:type="spellEnd"/>
      <w:r w:rsidRPr="00B90777">
        <w:rPr>
          <w:color w:val="auto"/>
        </w:rPr>
        <w:t>” OR “</w:t>
      </w:r>
      <w:proofErr w:type="spellStart"/>
      <w:r w:rsidRPr="00B90777">
        <w:rPr>
          <w:color w:val="auto"/>
        </w:rPr>
        <w:t>Itagunmodi</w:t>
      </w:r>
      <w:proofErr w:type="spellEnd"/>
      <w:r w:rsidRPr="00B90777">
        <w:rPr>
          <w:color w:val="auto"/>
        </w:rPr>
        <w:t>” OR “</w:t>
      </w:r>
      <w:proofErr w:type="spellStart"/>
      <w:r w:rsidRPr="00B90777">
        <w:rPr>
          <w:color w:val="auto"/>
        </w:rPr>
        <w:t>Ifewara</w:t>
      </w:r>
      <w:proofErr w:type="spellEnd"/>
      <w:r w:rsidRPr="00B90777">
        <w:rPr>
          <w:color w:val="auto"/>
        </w:rPr>
        <w:t>” OR “southwestern Nigeria”) with mineral terms (“gold” OR “auriferous” OR “</w:t>
      </w:r>
      <w:proofErr w:type="spellStart"/>
      <w:r w:rsidRPr="00B90777">
        <w:rPr>
          <w:color w:val="auto"/>
        </w:rPr>
        <w:t>mineralisation</w:t>
      </w:r>
      <w:proofErr w:type="spellEnd"/>
      <w:r w:rsidRPr="00B90777">
        <w:rPr>
          <w:color w:val="auto"/>
        </w:rPr>
        <w:t>” OR “prospectivity”), and then with method terms (“induced polarization” OR “chargeability” OR “electrical resistivity tomography” OR “aeromagnetic” OR “gamma-ray spectrometry” OR “radiometric”). Further searches targeted “inversion uncertainty”, “Euler deconvolution”, “hydrothermal alteration”, “spatial cross-validation”, “geochemical validation” and combinations of airborne and ground methods.</w:t>
      </w:r>
    </w:p>
    <w:p w14:paraId="2B6004BC" w14:textId="77777777" w:rsidR="00064FC0" w:rsidRPr="00B90777" w:rsidRDefault="00000000">
      <w:pPr>
        <w:jc w:val="both"/>
        <w:rPr>
          <w:color w:val="auto"/>
        </w:rPr>
      </w:pPr>
      <w:r w:rsidRPr="00B90777">
        <w:rPr>
          <w:color w:val="auto"/>
        </w:rPr>
        <w:t>Historical and methodological searches were deliberately broader than the geographical terms, to capture the physics of chargeability, resistivity sensitivity, magnetic source recovery and gamma-ray mapping. The review did not restrict inclusion to studies explicitly labelled as gold exploration, because independent work on magnetic interpretation and electrical inversion is needed to assess what the regional studies can legitimately infer. Conversely, methods established in other mineral provinces were not represented as local empirical confirmation of Nigerian gold targets.</w:t>
      </w:r>
    </w:p>
    <w:p w14:paraId="1DA25B58" w14:textId="77777777" w:rsidR="00064FC0" w:rsidRPr="00B90777" w:rsidRDefault="00000000">
      <w:pPr>
        <w:pStyle w:val="Heading2"/>
        <w:rPr>
          <w:color w:val="auto"/>
        </w:rPr>
      </w:pPr>
      <w:r w:rsidRPr="00B90777">
        <w:rPr>
          <w:color w:val="auto"/>
        </w:rPr>
        <w:t>2.4 Eligibility Criteria</w:t>
      </w:r>
    </w:p>
    <w:p w14:paraId="7896F789" w14:textId="77777777" w:rsidR="00064FC0" w:rsidRPr="00B90777" w:rsidRDefault="00000000">
      <w:pPr>
        <w:jc w:val="both"/>
        <w:rPr>
          <w:color w:val="auto"/>
        </w:rPr>
      </w:pPr>
      <w:r w:rsidRPr="00B90777">
        <w:rPr>
          <w:color w:val="auto"/>
        </w:rPr>
        <w:t xml:space="preserve">Priority was given to original, peer-reviewed research on southwestern Nigerian gold geology, structural mapping, electrical or airborne surveys and mineral prospectivity, supported by internationally established methodological papers. Regional studies were considered when the geological setting, location, measured </w:t>
      </w:r>
      <w:r w:rsidRPr="00B90777">
        <w:rPr>
          <w:color w:val="auto"/>
        </w:rPr>
        <w:lastRenderedPageBreak/>
        <w:t xml:space="preserve">property or validation data could be identified from the accessible publication. Methodological literature was included when it addressed an explicit interpretive vulnerability in the local studies, such as inversion equivalence or magnetic structural-index assumptions. Editorial commentaries, anonymous reports, unverified project claims and commercial exploration advertisements were not treated as evidence of </w:t>
      </w:r>
      <w:proofErr w:type="spellStart"/>
      <w:r w:rsidRPr="00B90777">
        <w:rPr>
          <w:color w:val="auto"/>
        </w:rPr>
        <w:t>mineralisation</w:t>
      </w:r>
      <w:proofErr w:type="spellEnd"/>
      <w:r w:rsidRPr="00B90777">
        <w:rPr>
          <w:color w:val="auto"/>
        </w:rPr>
        <w:t xml:space="preserve"> or technique performance.</w:t>
      </w:r>
    </w:p>
    <w:p w14:paraId="52A3484A" w14:textId="77777777" w:rsidR="00064FC0" w:rsidRPr="00B90777" w:rsidRDefault="00000000">
      <w:pPr>
        <w:jc w:val="both"/>
        <w:rPr>
          <w:color w:val="auto"/>
        </w:rPr>
      </w:pPr>
      <w:r w:rsidRPr="00B90777">
        <w:rPr>
          <w:color w:val="auto"/>
        </w:rPr>
        <w:t>English-language publications predominated because of the accessible regional literature and the requirement to assess full methodological detail. A title alone, unverified abstract or isolated secondary citation was not considered sufficient for a factual claim. Studies of adjacent Nigerian or international provinces were admitted only for transferable physical principles and were differentiated from the principal regional evidence. Deposit-genetic classifications were discussed as interpretive frameworks rather than assigned to every mineral occurrence as a proven genetic label.</w:t>
      </w:r>
    </w:p>
    <w:p w14:paraId="5D193318" w14:textId="77777777" w:rsidR="00064FC0" w:rsidRPr="00B90777" w:rsidRDefault="00000000">
      <w:pPr>
        <w:pStyle w:val="Heading2"/>
        <w:rPr>
          <w:color w:val="auto"/>
        </w:rPr>
      </w:pPr>
      <w:r w:rsidRPr="00B90777">
        <w:rPr>
          <w:color w:val="auto"/>
        </w:rPr>
        <w:t>2.5 Screening, Duplicate Handling and Study Selection</w:t>
      </w:r>
    </w:p>
    <w:p w14:paraId="2ACA155C" w14:textId="77777777" w:rsidR="00064FC0" w:rsidRPr="00B90777" w:rsidRDefault="00000000">
      <w:pPr>
        <w:jc w:val="both"/>
        <w:rPr>
          <w:color w:val="auto"/>
        </w:rPr>
      </w:pPr>
      <w:r w:rsidRPr="00B90777">
        <w:rPr>
          <w:color w:val="auto"/>
        </w:rPr>
        <w:t>Records with the same article title, DOI, journal information or identifiable author combination were reconciled as one publication, including cases in which repository records and journal webpages represented the same study. Candidate studies were first checked for geographical and methodological relevance and then inspected for a sufficiently identifiable design, outcome and publication record. Accessible full texts were preferred over abstracts for extracting electrode configuration, survey extent, interpretation assumptions, validation strategy and geological qualifications. Where only an abstract or published metadata was accessible, claims were limited to those verifiably stated there.</w:t>
      </w:r>
    </w:p>
    <w:p w14:paraId="25A224A5" w14:textId="77777777" w:rsidR="00064FC0" w:rsidRPr="00B90777" w:rsidRDefault="00000000">
      <w:pPr>
        <w:jc w:val="both"/>
        <w:rPr>
          <w:color w:val="auto"/>
        </w:rPr>
      </w:pPr>
      <w:r w:rsidRPr="00B90777">
        <w:rPr>
          <w:color w:val="auto"/>
        </w:rPr>
        <w:t>The selection was purposive rather than exhaustive, consistent with a critical narrative review. It did not involve a prospectively registered systematic protocol or a fully enumerated screening ledger, so no screening totals, formal exclusion counts or coverage-completeness claims are reported. Bibliographic entries without confirmable identity, disputed numerical details or a credible claim–source connection were omitted. The final corpus was selected for the complementary roles of direct geological observation, regional geophysical constraint and independent physical-method validation.</w:t>
      </w:r>
    </w:p>
    <w:p w14:paraId="58648696" w14:textId="77777777" w:rsidR="00064FC0" w:rsidRPr="00B90777" w:rsidRDefault="00000000">
      <w:pPr>
        <w:pStyle w:val="Heading2"/>
        <w:rPr>
          <w:color w:val="auto"/>
        </w:rPr>
      </w:pPr>
      <w:r w:rsidRPr="00B90777">
        <w:rPr>
          <w:color w:val="auto"/>
        </w:rPr>
        <w:t>2.6 Critical Appraisal and Thematic Synthesis</w:t>
      </w:r>
    </w:p>
    <w:p w14:paraId="238C0E9F" w14:textId="77777777" w:rsidR="00064FC0" w:rsidRPr="00B90777" w:rsidRDefault="00000000">
      <w:pPr>
        <w:jc w:val="both"/>
        <w:rPr>
          <w:color w:val="auto"/>
        </w:rPr>
      </w:pPr>
      <w:r w:rsidRPr="00B90777">
        <w:rPr>
          <w:color w:val="auto"/>
        </w:rPr>
        <w:t>Each empirical contribution was appraised against five linked questions: whether the survey sampled the appropriate spatial volume; whether instrumental and inversion choices were sufficiently described; whether the geological alternative explanations were considered; whether target validity was checked independently by sampling; and whether the interpretation could be transferred across the belt. These questions differentiated high-resolution imagery from strong geological inference. Published classification percentages and apparent correlations were retained only as reported performance within their respective designs, not converted into accuracy estimates for undrilled targets.</w:t>
      </w:r>
    </w:p>
    <w:p w14:paraId="4F19B357" w14:textId="77777777" w:rsidR="00064FC0" w:rsidRPr="00B90777" w:rsidRDefault="00000000">
      <w:pPr>
        <w:jc w:val="both"/>
        <w:rPr>
          <w:color w:val="auto"/>
        </w:rPr>
      </w:pPr>
      <w:r w:rsidRPr="00B90777">
        <w:rPr>
          <w:color w:val="auto"/>
        </w:rPr>
        <w:t xml:space="preserve">Synthesis proceeded from deposit occurrence and structural setting to geophysical response mechanisms, then to airborne and ground-scale cross-consistency and finally to prospectivity validation. Contradictions were examined in relation to weathering, survey support, inversion </w:t>
      </w:r>
      <w:proofErr w:type="spellStart"/>
      <w:r w:rsidRPr="00B90777">
        <w:rPr>
          <w:color w:val="auto"/>
        </w:rPr>
        <w:t>regularisation</w:t>
      </w:r>
      <w:proofErr w:type="spellEnd"/>
      <w:r w:rsidRPr="00B90777">
        <w:rPr>
          <w:color w:val="auto"/>
        </w:rPr>
        <w:t xml:space="preserve">, lithology and the different meanings of “gold potential”. Source-level numerical values were used sparingly and with their </w:t>
      </w:r>
      <w:r w:rsidRPr="00B90777">
        <w:rPr>
          <w:color w:val="auto"/>
        </w:rPr>
        <w:lastRenderedPageBreak/>
        <w:t>original denominators where available. No pooled diagnostic sensitivity or quantitative certainty score was attempted because confirmed positive and negative drilling outcomes are not consistently reported.</w:t>
      </w:r>
    </w:p>
    <w:p w14:paraId="2801F8AF" w14:textId="77777777" w:rsidR="00064FC0" w:rsidRPr="00B90777" w:rsidRDefault="00000000">
      <w:pPr>
        <w:pStyle w:val="Heading1"/>
        <w:rPr>
          <w:color w:val="auto"/>
        </w:rPr>
      </w:pPr>
      <w:r w:rsidRPr="00B90777">
        <w:rPr>
          <w:color w:val="auto"/>
        </w:rPr>
        <w:t>3. Geological Controls and the Meaning of a Gold Target</w:t>
      </w:r>
    </w:p>
    <w:p w14:paraId="6EAE1083" w14:textId="77777777" w:rsidR="00064FC0" w:rsidRPr="00B90777" w:rsidRDefault="00000000">
      <w:pPr>
        <w:pStyle w:val="Heading2"/>
        <w:rPr>
          <w:color w:val="auto"/>
        </w:rPr>
      </w:pPr>
      <w:r w:rsidRPr="00B90777">
        <w:rPr>
          <w:color w:val="auto"/>
        </w:rPr>
        <w:t>3.1 Basement Architecture, Metamorphism and Structural Inheritance</w:t>
      </w:r>
    </w:p>
    <w:p w14:paraId="26BC619C" w14:textId="77777777" w:rsidR="00064FC0" w:rsidRPr="00B90777" w:rsidRDefault="00000000">
      <w:pPr>
        <w:jc w:val="both"/>
        <w:rPr>
          <w:color w:val="auto"/>
        </w:rPr>
      </w:pPr>
      <w:r w:rsidRPr="00B90777">
        <w:rPr>
          <w:color w:val="auto"/>
        </w:rPr>
        <w:t xml:space="preserve">The Ilesha–Ife belt is situated within the Nigerian Precambrian Basement Complex, where metasedimentary and metavolcanic sequences are juxtaposed with gneissic and granitoid domains. Amphibolite, amphibole schist, quartzite, quartz schist and variants of biotite-rich gneiss create strong primary contrasts in magnetic and electrical properties. Later deformation, intrusive activity and alteration superimpose additional fabrics onto these lithological boundaries. </w:t>
      </w:r>
      <w:proofErr w:type="spellStart"/>
      <w:r w:rsidRPr="00B90777">
        <w:rPr>
          <w:color w:val="auto"/>
        </w:rPr>
        <w:t>Elueze</w:t>
      </w:r>
      <w:proofErr w:type="spellEnd"/>
      <w:r w:rsidRPr="00B90777">
        <w:rPr>
          <w:color w:val="auto"/>
        </w:rPr>
        <w:t xml:space="preserve"> (1986) documented the amphibolite association of quartz veins and alluvial gold, while regional synthesis using airborne and satellite data </w:t>
      </w:r>
      <w:proofErr w:type="spellStart"/>
      <w:r w:rsidRPr="00B90777">
        <w:rPr>
          <w:color w:val="auto"/>
        </w:rPr>
        <w:t>emphasised</w:t>
      </w:r>
      <w:proofErr w:type="spellEnd"/>
      <w:r w:rsidRPr="00B90777">
        <w:rPr>
          <w:color w:val="auto"/>
        </w:rPr>
        <w:t xml:space="preserve"> the prominence of the </w:t>
      </w:r>
      <w:proofErr w:type="spellStart"/>
      <w:r w:rsidRPr="00B90777">
        <w:rPr>
          <w:color w:val="auto"/>
        </w:rPr>
        <w:t>Ifewara</w:t>
      </w:r>
      <w:proofErr w:type="spellEnd"/>
      <w:r w:rsidRPr="00B90777">
        <w:rPr>
          <w:color w:val="auto"/>
        </w:rPr>
        <w:t xml:space="preserve"> shear zone and other intersecting orientations (Salawu et al., 2021). These observations justify structural targeting without establishing that every mapped contact is auriferous.</w:t>
      </w:r>
    </w:p>
    <w:p w14:paraId="23F9666E" w14:textId="77777777" w:rsidR="00064FC0" w:rsidRPr="00B90777" w:rsidRDefault="00000000">
      <w:pPr>
        <w:jc w:val="both"/>
        <w:rPr>
          <w:color w:val="auto"/>
        </w:rPr>
      </w:pPr>
      <w:r w:rsidRPr="00B90777">
        <w:rPr>
          <w:color w:val="auto"/>
        </w:rPr>
        <w:t xml:space="preserve">One persistent simplification is the assignment of regional lineament orientation to a single </w:t>
      </w:r>
      <w:proofErr w:type="spellStart"/>
      <w:r w:rsidRPr="00B90777">
        <w:rPr>
          <w:color w:val="auto"/>
        </w:rPr>
        <w:t>mineralising</w:t>
      </w:r>
      <w:proofErr w:type="spellEnd"/>
      <w:r w:rsidRPr="00B90777">
        <w:rPr>
          <w:color w:val="auto"/>
        </w:rPr>
        <w:t xml:space="preserve"> event. Aeromagnetic and satellite interpretations depict northeast–southwest, north-northeast–south-southwest and east–west structures, with variation between survey blocks and processing products. Such trends can arise from reactivated basement fabrics, intrusive contacts, dykes or folds as well as </w:t>
      </w:r>
      <w:proofErr w:type="spellStart"/>
      <w:r w:rsidRPr="00B90777">
        <w:rPr>
          <w:color w:val="auto"/>
        </w:rPr>
        <w:t>mineralising</w:t>
      </w:r>
      <w:proofErr w:type="spellEnd"/>
      <w:r w:rsidRPr="00B90777">
        <w:rPr>
          <w:color w:val="auto"/>
        </w:rPr>
        <w:t xml:space="preserve"> faults. The geological importance of an intersection is therefore conditional upon its permeability history and relation to alteration and vein emplacement. Cross-cutting relationships and mineral paragenesis are necessary to move beyond descriptive azimuth maps (</w:t>
      </w:r>
      <w:proofErr w:type="spellStart"/>
      <w:r w:rsidRPr="00B90777">
        <w:rPr>
          <w:color w:val="auto"/>
        </w:rPr>
        <w:t>Akinlalu</w:t>
      </w:r>
      <w:proofErr w:type="spellEnd"/>
      <w:r w:rsidRPr="00B90777">
        <w:rPr>
          <w:color w:val="auto"/>
        </w:rPr>
        <w:t xml:space="preserve"> et al., 2018; </w:t>
      </w:r>
      <w:proofErr w:type="spellStart"/>
      <w:r w:rsidRPr="00B90777">
        <w:rPr>
          <w:color w:val="auto"/>
        </w:rPr>
        <w:t>Olomo</w:t>
      </w:r>
      <w:proofErr w:type="spellEnd"/>
      <w:r w:rsidRPr="00B90777">
        <w:rPr>
          <w:color w:val="auto"/>
        </w:rPr>
        <w:t xml:space="preserve"> et al., 2022; Salawu et al., 2021).</w:t>
      </w:r>
    </w:p>
    <w:p w14:paraId="31DB4BC0" w14:textId="77777777" w:rsidR="00064FC0" w:rsidRPr="00B90777" w:rsidRDefault="00000000">
      <w:pPr>
        <w:jc w:val="both"/>
        <w:rPr>
          <w:color w:val="auto"/>
        </w:rPr>
      </w:pPr>
      <w:r w:rsidRPr="00B90777">
        <w:rPr>
          <w:color w:val="auto"/>
        </w:rPr>
        <w:t xml:space="preserve">Regional magnetic interpretation also needs to distinguish depth to a source of susceptibility contrast from depth to a vein or ore shoot. Euler and spectral estimates reflect mathematical assumptions and the effective wavelength of a measured anomaly. A deep magnetic contact may be relevant to architecture while carrying little information about the depth of a small, weakly magnetic quartz vein. Conversely, a shear-hosted deposit may lie near a broad magnetic discontinuity that records only the margin of the host rock. Geologically useful maps link such contrasts to field-mapped structures instead of equating mathematical source locations with </w:t>
      </w:r>
      <w:proofErr w:type="spellStart"/>
      <w:r w:rsidRPr="00B90777">
        <w:rPr>
          <w:color w:val="auto"/>
        </w:rPr>
        <w:t>mineralised</w:t>
      </w:r>
      <w:proofErr w:type="spellEnd"/>
      <w:r w:rsidRPr="00B90777">
        <w:rPr>
          <w:color w:val="auto"/>
        </w:rPr>
        <w:t xml:space="preserve"> intercepts (Reid et al., 1990; Roest et al., 1992).</w:t>
      </w:r>
    </w:p>
    <w:p w14:paraId="44F5CAA8" w14:textId="77777777" w:rsidR="00064FC0" w:rsidRPr="00B90777" w:rsidRDefault="00000000">
      <w:pPr>
        <w:pStyle w:val="Heading2"/>
        <w:rPr>
          <w:color w:val="auto"/>
        </w:rPr>
      </w:pPr>
      <w:r w:rsidRPr="00B90777">
        <w:rPr>
          <w:color w:val="auto"/>
        </w:rPr>
        <w:t xml:space="preserve">3.2 Primary Veins, </w:t>
      </w:r>
      <w:proofErr w:type="spellStart"/>
      <w:r w:rsidRPr="00B90777">
        <w:rPr>
          <w:color w:val="auto"/>
        </w:rPr>
        <w:t>Sulphides</w:t>
      </w:r>
      <w:proofErr w:type="spellEnd"/>
      <w:r w:rsidRPr="00B90777">
        <w:rPr>
          <w:color w:val="auto"/>
        </w:rPr>
        <w:t xml:space="preserve"> and Secondary Redistribution</w:t>
      </w:r>
    </w:p>
    <w:p w14:paraId="246C7AEE" w14:textId="77777777" w:rsidR="00064FC0" w:rsidRPr="00B90777" w:rsidRDefault="00000000">
      <w:pPr>
        <w:jc w:val="both"/>
        <w:rPr>
          <w:color w:val="auto"/>
        </w:rPr>
      </w:pPr>
      <w:r w:rsidRPr="00B90777">
        <w:rPr>
          <w:color w:val="auto"/>
        </w:rPr>
        <w:t xml:space="preserve">At </w:t>
      </w:r>
      <w:proofErr w:type="spellStart"/>
      <w:r w:rsidRPr="00B90777">
        <w:rPr>
          <w:color w:val="auto"/>
        </w:rPr>
        <w:t>Iperindo</w:t>
      </w:r>
      <w:proofErr w:type="spellEnd"/>
      <w:r w:rsidRPr="00B90777">
        <w:rPr>
          <w:color w:val="auto"/>
        </w:rPr>
        <w:t xml:space="preserve">, the primary deposit described by </w:t>
      </w:r>
      <w:proofErr w:type="spellStart"/>
      <w:r w:rsidRPr="00B90777">
        <w:rPr>
          <w:color w:val="auto"/>
        </w:rPr>
        <w:t>Oyinloye</w:t>
      </w:r>
      <w:proofErr w:type="spellEnd"/>
      <w:r w:rsidRPr="00B90777">
        <w:rPr>
          <w:color w:val="auto"/>
        </w:rPr>
        <w:t xml:space="preserve"> and Steed (1996) occurs in hydrothermally altered biotite granite-gneiss and quartz–carbonate veins associated with a fault subparallel to the larger </w:t>
      </w:r>
      <w:proofErr w:type="spellStart"/>
      <w:r w:rsidRPr="00B90777">
        <w:rPr>
          <w:color w:val="auto"/>
        </w:rPr>
        <w:t>Ifewara</w:t>
      </w:r>
      <w:proofErr w:type="spellEnd"/>
      <w:r w:rsidRPr="00B90777">
        <w:rPr>
          <w:color w:val="auto"/>
        </w:rPr>
        <w:t xml:space="preserve"> structure. Gold is reported as discrete grains mainly along quartz–carbonate boundaries and is associated with relatively sparse pyrite, pyrrhotite and minor base-metal </w:t>
      </w:r>
      <w:proofErr w:type="spellStart"/>
      <w:r w:rsidRPr="00B90777">
        <w:rPr>
          <w:color w:val="auto"/>
        </w:rPr>
        <w:t>sulphides</w:t>
      </w:r>
      <w:proofErr w:type="spellEnd"/>
      <w:r w:rsidRPr="00B90777">
        <w:rPr>
          <w:color w:val="auto"/>
        </w:rPr>
        <w:t>. This is a decisive constraint for the interpretation of induced-</w:t>
      </w:r>
      <w:proofErr w:type="spellStart"/>
      <w:r w:rsidRPr="00B90777">
        <w:rPr>
          <w:color w:val="auto"/>
        </w:rPr>
        <w:t>polarisation</w:t>
      </w:r>
      <w:proofErr w:type="spellEnd"/>
      <w:r w:rsidRPr="00B90777">
        <w:rPr>
          <w:color w:val="auto"/>
        </w:rPr>
        <w:t xml:space="preserve"> data. </w:t>
      </w:r>
      <w:proofErr w:type="spellStart"/>
      <w:r w:rsidRPr="00B90777">
        <w:rPr>
          <w:color w:val="auto"/>
        </w:rPr>
        <w:t>Sulphide</w:t>
      </w:r>
      <w:proofErr w:type="spellEnd"/>
      <w:r w:rsidRPr="00B90777">
        <w:rPr>
          <w:color w:val="auto"/>
        </w:rPr>
        <w:t xml:space="preserve"> abundance sufficient to create an electrical chargeability anomaly does not follow automatically from the presence of gold, and the amount of electrically responsive </w:t>
      </w:r>
      <w:proofErr w:type="spellStart"/>
      <w:r w:rsidRPr="00B90777">
        <w:rPr>
          <w:color w:val="auto"/>
        </w:rPr>
        <w:t>sulphide</w:t>
      </w:r>
      <w:proofErr w:type="spellEnd"/>
      <w:r w:rsidRPr="00B90777">
        <w:rPr>
          <w:color w:val="auto"/>
        </w:rPr>
        <w:t xml:space="preserve"> need not track gold grade.</w:t>
      </w:r>
    </w:p>
    <w:p w14:paraId="70B4C583" w14:textId="77777777" w:rsidR="00064FC0" w:rsidRPr="00B90777" w:rsidRDefault="00000000">
      <w:pPr>
        <w:jc w:val="both"/>
        <w:rPr>
          <w:color w:val="auto"/>
        </w:rPr>
      </w:pPr>
      <w:r w:rsidRPr="00B90777">
        <w:rPr>
          <w:color w:val="auto"/>
        </w:rPr>
        <w:lastRenderedPageBreak/>
        <w:t>The geological range extends beyond one vein locality. Work on Osu–</w:t>
      </w:r>
      <w:proofErr w:type="spellStart"/>
      <w:r w:rsidRPr="00B90777">
        <w:rPr>
          <w:color w:val="auto"/>
        </w:rPr>
        <w:t>Amuta</w:t>
      </w:r>
      <w:proofErr w:type="spellEnd"/>
      <w:r w:rsidRPr="00B90777">
        <w:rPr>
          <w:color w:val="auto"/>
        </w:rPr>
        <w:t>–</w:t>
      </w:r>
      <w:proofErr w:type="spellStart"/>
      <w:r w:rsidRPr="00B90777">
        <w:rPr>
          <w:color w:val="auto"/>
        </w:rPr>
        <w:t>Itagunmodi</w:t>
      </w:r>
      <w:proofErr w:type="spellEnd"/>
      <w:r w:rsidRPr="00B90777">
        <w:rPr>
          <w:color w:val="auto"/>
        </w:rPr>
        <w:t xml:space="preserve"> identified </w:t>
      </w:r>
      <w:proofErr w:type="spellStart"/>
      <w:r w:rsidRPr="00B90777">
        <w:rPr>
          <w:color w:val="auto"/>
        </w:rPr>
        <w:t>mineralisation</w:t>
      </w:r>
      <w:proofErr w:type="spellEnd"/>
      <w:r w:rsidRPr="00B90777">
        <w:rPr>
          <w:color w:val="auto"/>
        </w:rPr>
        <w:t>-related geochemical anomalies in multiple schist and amphibolite-associated settings, using petrography, rock chemistry and soils collected from mining-related profiles (Olajide-Kayode et al., 2020). This provides a useful independent foundation for interpreting variations in host rock and weathering profile; it does not define a universal geophysical threshold. The samples were linked to a limited mining district and therefore cannot establish the prevalence of gold-bearing zones elsewhere in the schist belt. The regional geochemistry described by Garba (2003) likewise shows that Nigerian primary gold settings are varied, even where broad metamorphic-hydrothermal interpretations are reasonable.</w:t>
      </w:r>
    </w:p>
    <w:p w14:paraId="620A369D" w14:textId="77777777" w:rsidR="00064FC0" w:rsidRPr="00B90777" w:rsidRDefault="00000000">
      <w:pPr>
        <w:jc w:val="both"/>
        <w:rPr>
          <w:color w:val="auto"/>
        </w:rPr>
      </w:pPr>
      <w:r w:rsidRPr="00B90777">
        <w:rPr>
          <w:color w:val="auto"/>
        </w:rPr>
        <w:t xml:space="preserve">Surface gold in eluvial or alluvial deposits deserves separate treatment. The physical anomaly of a deeply weathered regolith, </w:t>
      </w:r>
      <w:proofErr w:type="spellStart"/>
      <w:r w:rsidRPr="00B90777">
        <w:rPr>
          <w:color w:val="auto"/>
        </w:rPr>
        <w:t>palaeochannel</w:t>
      </w:r>
      <w:proofErr w:type="spellEnd"/>
      <w:r w:rsidRPr="00B90777">
        <w:rPr>
          <w:color w:val="auto"/>
        </w:rPr>
        <w:t xml:space="preserve"> or active drainage sediment could arise from clay, moisture or heavy-mineral concentration with no accessible lode directly beneath. </w:t>
      </w:r>
      <w:proofErr w:type="spellStart"/>
      <w:r w:rsidRPr="00B90777">
        <w:rPr>
          <w:color w:val="auto"/>
        </w:rPr>
        <w:t>Elueze</w:t>
      </w:r>
      <w:proofErr w:type="spellEnd"/>
      <w:r w:rsidRPr="00B90777">
        <w:rPr>
          <w:color w:val="auto"/>
        </w:rPr>
        <w:t xml:space="preserve"> (1986) proposed derivation of alluvial gold from weathered auriferous veins; the inference is geologically credible but the transport path and source attribution remain location-specific. Recent stream-grain microchemical work adds information about particle composition and morphology, yet a sample of transported grains does not directly identify the geometry, continuity or recoverable grade of a primary orebody (Omang et al., 2026).</w:t>
      </w:r>
    </w:p>
    <w:p w14:paraId="3CDE00F9" w14:textId="77777777" w:rsidR="00064FC0" w:rsidRPr="00B90777" w:rsidRDefault="00000000">
      <w:pPr>
        <w:pStyle w:val="Heading2"/>
        <w:rPr>
          <w:color w:val="auto"/>
        </w:rPr>
      </w:pPr>
      <w:r w:rsidRPr="00B90777">
        <w:rPr>
          <w:color w:val="auto"/>
        </w:rPr>
        <w:t>3.3 Testing a Mineral-System Interpretation</w:t>
      </w:r>
    </w:p>
    <w:p w14:paraId="2BD8256D" w14:textId="77777777" w:rsidR="00064FC0" w:rsidRPr="00B90777" w:rsidRDefault="00000000">
      <w:pPr>
        <w:jc w:val="both"/>
        <w:rPr>
          <w:color w:val="auto"/>
        </w:rPr>
      </w:pPr>
      <w:r w:rsidRPr="00B90777">
        <w:rPr>
          <w:color w:val="auto"/>
        </w:rPr>
        <w:t xml:space="preserve">The orogenic-gold literature places structurally guided fluid flow, pressure cycling, reactive hosts and precipitation conditions at the </w:t>
      </w:r>
      <w:proofErr w:type="spellStart"/>
      <w:r w:rsidRPr="00B90777">
        <w:rPr>
          <w:color w:val="auto"/>
        </w:rPr>
        <w:t>centre</w:t>
      </w:r>
      <w:proofErr w:type="spellEnd"/>
      <w:r w:rsidRPr="00B90777">
        <w:rPr>
          <w:color w:val="auto"/>
        </w:rPr>
        <w:t xml:space="preserve"> of a mineral-system account. These processes suggest why fractured gneiss, </w:t>
      </w:r>
      <w:proofErr w:type="spellStart"/>
      <w:r w:rsidRPr="00B90777">
        <w:rPr>
          <w:color w:val="auto"/>
        </w:rPr>
        <w:t>metamafic</w:t>
      </w:r>
      <w:proofErr w:type="spellEnd"/>
      <w:r w:rsidRPr="00B90777">
        <w:rPr>
          <w:color w:val="auto"/>
        </w:rPr>
        <w:t xml:space="preserve"> units, quartz veins and sites of structural complexity should be examined together. Nevertheless, regional geological terminology can conceal unresolved questions about fluid source, age, metamorphic grade and repeated deformation. A broad affinity to orogenic or mesothermal systems is a hypothesis at deposit scale, not an automatic conclusion from the presence of a quartz vein and a regional shear zone (Goldfarb &amp; Groves, 2015; Groves et al., 1998).</w:t>
      </w:r>
    </w:p>
    <w:p w14:paraId="1E209FB1" w14:textId="77777777" w:rsidR="00064FC0" w:rsidRPr="00B90777" w:rsidRDefault="00000000">
      <w:pPr>
        <w:jc w:val="both"/>
        <w:rPr>
          <w:color w:val="auto"/>
        </w:rPr>
      </w:pPr>
      <w:r w:rsidRPr="00B90777">
        <w:rPr>
          <w:color w:val="auto"/>
        </w:rPr>
        <w:t xml:space="preserve">A useful target model must separate necessary geological components from proxies that are merely common. A fault provides a candidate fluid pathway, but demonstrable </w:t>
      </w:r>
      <w:proofErr w:type="spellStart"/>
      <w:r w:rsidRPr="00B90777">
        <w:rPr>
          <w:color w:val="auto"/>
        </w:rPr>
        <w:t>mineralisation</w:t>
      </w:r>
      <w:proofErr w:type="spellEnd"/>
      <w:r w:rsidRPr="00B90777">
        <w:rPr>
          <w:color w:val="auto"/>
        </w:rPr>
        <w:t xml:space="preserve"> additionally requires appropriate host-rock reaction, </w:t>
      </w:r>
      <w:proofErr w:type="spellStart"/>
      <w:r w:rsidRPr="00B90777">
        <w:rPr>
          <w:color w:val="auto"/>
        </w:rPr>
        <w:t>sulphide</w:t>
      </w:r>
      <w:proofErr w:type="spellEnd"/>
      <w:r w:rsidRPr="00B90777">
        <w:rPr>
          <w:color w:val="auto"/>
        </w:rPr>
        <w:t xml:space="preserve"> or alteration paragenesis and gold assays. Potassium enrichment may register hydrothermal metasomatism, yet it may also be part of original granitic or feldspathic mineralogy. A chargeable response may signify </w:t>
      </w:r>
      <w:proofErr w:type="spellStart"/>
      <w:r w:rsidRPr="00B90777">
        <w:rPr>
          <w:color w:val="auto"/>
        </w:rPr>
        <w:t>sulphides</w:t>
      </w:r>
      <w:proofErr w:type="spellEnd"/>
      <w:r w:rsidRPr="00B90777">
        <w:rPr>
          <w:color w:val="auto"/>
        </w:rPr>
        <w:t>, but can equally locate barren mineral aggregates. These distinctions are especially important when regional airborne predictors are later used to interpret a small number of ground profiles: apparent multimethod agreement may simply reflect the common influence of the same lithological boundary.</w:t>
      </w:r>
    </w:p>
    <w:p w14:paraId="649AFBA7" w14:textId="77777777" w:rsidR="00064FC0" w:rsidRPr="00B90777" w:rsidRDefault="00000000">
      <w:pPr>
        <w:jc w:val="both"/>
        <w:rPr>
          <w:color w:val="auto"/>
        </w:rPr>
      </w:pPr>
      <w:r w:rsidRPr="00B90777">
        <w:rPr>
          <w:color w:val="auto"/>
        </w:rPr>
        <w:t xml:space="preserve">The strongest available local evidence concerns particular occurrences rather than belt-wide resource continuity. Documented gold-bearing veins and sampled geochemical anomalies make </w:t>
      </w:r>
      <w:proofErr w:type="spellStart"/>
      <w:r w:rsidRPr="00B90777">
        <w:rPr>
          <w:color w:val="auto"/>
        </w:rPr>
        <w:t>Iperindo</w:t>
      </w:r>
      <w:proofErr w:type="spellEnd"/>
      <w:r w:rsidRPr="00B90777">
        <w:rPr>
          <w:color w:val="auto"/>
        </w:rPr>
        <w:t xml:space="preserve"> and Osu–</w:t>
      </w:r>
      <w:proofErr w:type="spellStart"/>
      <w:r w:rsidRPr="00B90777">
        <w:rPr>
          <w:color w:val="auto"/>
        </w:rPr>
        <w:t>Itagunmodi</w:t>
      </w:r>
      <w:proofErr w:type="spellEnd"/>
      <w:r w:rsidRPr="00B90777">
        <w:rPr>
          <w:color w:val="auto"/>
        </w:rPr>
        <w:t xml:space="preserve"> justified research localities. In contrast, many </w:t>
      </w:r>
      <w:proofErr w:type="spellStart"/>
      <w:r w:rsidRPr="00B90777">
        <w:rPr>
          <w:color w:val="auto"/>
        </w:rPr>
        <w:t>aeromagnetically</w:t>
      </w:r>
      <w:proofErr w:type="spellEnd"/>
      <w:r w:rsidRPr="00B90777">
        <w:rPr>
          <w:color w:val="auto"/>
        </w:rPr>
        <w:t xml:space="preserve"> inferred structures elsewhere have received no comparable subsurface test. For exploration planning, the relevant outcome is therefore not the count of lineaments but the proportion of independently sampled structures yielding </w:t>
      </w:r>
      <w:proofErr w:type="spellStart"/>
      <w:r w:rsidRPr="00B90777">
        <w:rPr>
          <w:color w:val="auto"/>
        </w:rPr>
        <w:t>mineralisation</w:t>
      </w:r>
      <w:proofErr w:type="spellEnd"/>
      <w:r w:rsidRPr="00B90777">
        <w:rPr>
          <w:color w:val="auto"/>
        </w:rPr>
        <w:t xml:space="preserve"> of defined grade and thickness. That outcome is rarely supplied, preventing a meaningful regional false-</w:t>
      </w:r>
      <w:r w:rsidRPr="00B90777">
        <w:rPr>
          <w:color w:val="auto"/>
        </w:rPr>
        <w:lastRenderedPageBreak/>
        <w:t xml:space="preserve">positive rate or extrapolation to mining reserves (Olajide-Kayode et al., 2020; </w:t>
      </w:r>
      <w:proofErr w:type="spellStart"/>
      <w:r w:rsidRPr="00B90777">
        <w:rPr>
          <w:color w:val="auto"/>
        </w:rPr>
        <w:t>Oyinloye</w:t>
      </w:r>
      <w:proofErr w:type="spellEnd"/>
      <w:r w:rsidRPr="00B90777">
        <w:rPr>
          <w:color w:val="auto"/>
        </w:rPr>
        <w:t xml:space="preserve"> &amp; Steed, 1996; Salawu et al., 2021).</w:t>
      </w:r>
    </w:p>
    <w:p w14:paraId="28B511E8" w14:textId="77777777" w:rsidR="00064FC0" w:rsidRPr="00B90777" w:rsidRDefault="00000000">
      <w:pPr>
        <w:jc w:val="both"/>
        <w:rPr>
          <w:color w:val="auto"/>
        </w:rPr>
      </w:pPr>
      <w:r w:rsidRPr="00B90777">
        <w:rPr>
          <w:color w:val="auto"/>
        </w:rPr>
        <w:t xml:space="preserve">Table 1 places the most consequential geological observations beside their physical proxies and competing explanations. Its central implication is that the stronger the direct mineralogical evidence, the less a single geophysical signal must bear the burden of proving </w:t>
      </w:r>
      <w:proofErr w:type="spellStart"/>
      <w:r w:rsidRPr="00B90777">
        <w:rPr>
          <w:color w:val="auto"/>
        </w:rPr>
        <w:t>mineralisation</w:t>
      </w:r>
      <w:proofErr w:type="spellEnd"/>
      <w:r w:rsidRPr="00B90777">
        <w:rPr>
          <w:color w:val="auto"/>
        </w:rPr>
        <w:t>; where only a remote structural or alteration proxy exists, geological uncertainty remains substantial.</w:t>
      </w:r>
    </w:p>
    <w:p w14:paraId="457CBBC3" w14:textId="77777777" w:rsidR="00064FC0" w:rsidRPr="00B90777" w:rsidRDefault="00000000">
      <w:pPr>
        <w:keepNext/>
        <w:spacing w:before="160" w:after="40"/>
        <w:rPr>
          <w:color w:val="auto"/>
        </w:rPr>
      </w:pPr>
      <w:r w:rsidRPr="00B90777">
        <w:rPr>
          <w:b/>
          <w:color w:val="auto"/>
          <w:sz w:val="20"/>
        </w:rPr>
        <w:t>Table 1</w:t>
      </w:r>
    </w:p>
    <w:p w14:paraId="5D3BF072" w14:textId="77777777" w:rsidR="00064FC0" w:rsidRPr="00B90777" w:rsidRDefault="00000000">
      <w:pPr>
        <w:keepNext/>
        <w:spacing w:after="100"/>
        <w:rPr>
          <w:color w:val="auto"/>
        </w:rPr>
      </w:pPr>
      <w:r w:rsidRPr="00B90777">
        <w:rPr>
          <w:i/>
          <w:color w:val="auto"/>
          <w:sz w:val="20"/>
        </w:rPr>
        <w:t>Regional geological evidence, target mechanisms and the limits of geophysical proxies</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7ACDEEB6"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5F841FA0" w14:textId="77777777" w:rsidR="00064FC0" w:rsidRPr="00B90777" w:rsidRDefault="00000000">
            <w:pPr>
              <w:pStyle w:val="TableBodyAuthor"/>
            </w:pPr>
            <w:r w:rsidRPr="00B90777">
              <w:rPr>
                <w:b/>
              </w:rPr>
              <w:t>Geological feature</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6ABE31A3" w14:textId="77777777" w:rsidR="00064FC0" w:rsidRPr="00B90777" w:rsidRDefault="00000000">
            <w:pPr>
              <w:pStyle w:val="TableBodyAuthor"/>
            </w:pPr>
            <w:r w:rsidRPr="00B90777">
              <w:rPr>
                <w:b/>
              </w:rPr>
              <w:t>Direct evidence</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1D83255D" w14:textId="77777777" w:rsidR="00064FC0" w:rsidRPr="00B90777" w:rsidRDefault="00000000">
            <w:pPr>
              <w:pStyle w:val="TableBodyAuthor"/>
            </w:pPr>
            <w:r w:rsidRPr="00B90777">
              <w:rPr>
                <w:b/>
              </w:rPr>
              <w:t>Geophysical implication</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4B3D30E2" w14:textId="77777777" w:rsidR="00064FC0" w:rsidRPr="00B90777" w:rsidRDefault="00000000">
            <w:pPr>
              <w:pStyle w:val="TableBodyAuthor"/>
            </w:pPr>
            <w:r w:rsidRPr="00B90777">
              <w:rPr>
                <w:b/>
              </w:rPr>
              <w:t>Principal alternative or limitation</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05892E9D" w14:textId="77777777" w:rsidR="00064FC0" w:rsidRPr="00B90777" w:rsidRDefault="00000000">
            <w:pPr>
              <w:pStyle w:val="TableBodyAuthor"/>
            </w:pPr>
            <w:r w:rsidRPr="00B90777">
              <w:rPr>
                <w:b/>
              </w:rPr>
              <w:t>Supporting references</w:t>
            </w:r>
          </w:p>
        </w:tc>
      </w:tr>
      <w:tr w:rsidR="00B90777" w:rsidRPr="00B90777" w14:paraId="354573DA" w14:textId="77777777">
        <w:trPr>
          <w:jc w:val="center"/>
        </w:trPr>
        <w:tc>
          <w:tcPr>
            <w:tcW w:w="1555" w:type="dxa"/>
            <w:tcMar>
              <w:top w:w="90" w:type="dxa"/>
              <w:left w:w="80" w:type="dxa"/>
              <w:bottom w:w="90" w:type="dxa"/>
              <w:right w:w="80" w:type="dxa"/>
            </w:tcMar>
            <w:vAlign w:val="center"/>
          </w:tcPr>
          <w:p w14:paraId="494BA65E" w14:textId="77777777" w:rsidR="00064FC0" w:rsidRPr="00B90777" w:rsidRDefault="00000000">
            <w:pPr>
              <w:pStyle w:val="TableBodyAuthor"/>
            </w:pPr>
            <w:proofErr w:type="spellStart"/>
            <w:r w:rsidRPr="00B90777">
              <w:t>Iperindo</w:t>
            </w:r>
            <w:proofErr w:type="spellEnd"/>
            <w:r w:rsidRPr="00B90777">
              <w:t xml:space="preserve"> quartz–carbonate veins</w:t>
            </w:r>
          </w:p>
        </w:tc>
        <w:tc>
          <w:tcPr>
            <w:tcW w:w="1915" w:type="dxa"/>
            <w:tcMar>
              <w:top w:w="90" w:type="dxa"/>
              <w:left w:w="80" w:type="dxa"/>
              <w:bottom w:w="90" w:type="dxa"/>
              <w:right w:w="80" w:type="dxa"/>
            </w:tcMar>
            <w:vAlign w:val="center"/>
          </w:tcPr>
          <w:p w14:paraId="763A2D80" w14:textId="77777777" w:rsidR="00064FC0" w:rsidRPr="00B90777" w:rsidRDefault="00000000">
            <w:pPr>
              <w:pStyle w:val="TableBodyAuthor"/>
            </w:pPr>
            <w:r w:rsidRPr="00B90777">
              <w:t xml:space="preserve">Mapped altered granite-gneiss, discrete gold grains and sparse </w:t>
            </w:r>
            <w:proofErr w:type="spellStart"/>
            <w:r w:rsidRPr="00B90777">
              <w:t>sulphides</w:t>
            </w:r>
            <w:proofErr w:type="spellEnd"/>
          </w:p>
        </w:tc>
        <w:tc>
          <w:tcPr>
            <w:tcW w:w="2002" w:type="dxa"/>
            <w:tcMar>
              <w:top w:w="90" w:type="dxa"/>
              <w:left w:w="80" w:type="dxa"/>
              <w:bottom w:w="90" w:type="dxa"/>
              <w:right w:w="80" w:type="dxa"/>
            </w:tcMar>
            <w:vAlign w:val="center"/>
          </w:tcPr>
          <w:p w14:paraId="30F08109" w14:textId="77777777" w:rsidR="00064FC0" w:rsidRPr="00B90777" w:rsidRDefault="00000000">
            <w:pPr>
              <w:pStyle w:val="TableBodyAuthor"/>
            </w:pPr>
            <w:r w:rsidRPr="00B90777">
              <w:t>A fault/contact can guide magnetic mapping; quartz core may contrast with altered margins</w:t>
            </w:r>
          </w:p>
        </w:tc>
        <w:tc>
          <w:tcPr>
            <w:tcW w:w="2016" w:type="dxa"/>
            <w:tcMar>
              <w:top w:w="90" w:type="dxa"/>
              <w:left w:w="80" w:type="dxa"/>
              <w:bottom w:w="90" w:type="dxa"/>
              <w:right w:w="80" w:type="dxa"/>
            </w:tcMar>
            <w:vAlign w:val="center"/>
          </w:tcPr>
          <w:p w14:paraId="159301BA" w14:textId="77777777" w:rsidR="00064FC0" w:rsidRPr="00B90777" w:rsidRDefault="00000000">
            <w:pPr>
              <w:pStyle w:val="TableBodyAuthor"/>
            </w:pPr>
            <w:r w:rsidRPr="00B90777">
              <w:t xml:space="preserve">IP amplitude need not scale with gold grade or </w:t>
            </w:r>
            <w:proofErr w:type="spellStart"/>
            <w:r w:rsidRPr="00B90777">
              <w:t>sulphide</w:t>
            </w:r>
            <w:proofErr w:type="spellEnd"/>
            <w:r w:rsidRPr="00B90777">
              <w:t xml:space="preserve"> abundance</w:t>
            </w:r>
          </w:p>
        </w:tc>
        <w:tc>
          <w:tcPr>
            <w:tcW w:w="1987" w:type="dxa"/>
            <w:tcMar>
              <w:top w:w="90" w:type="dxa"/>
              <w:left w:w="80" w:type="dxa"/>
              <w:bottom w:w="90" w:type="dxa"/>
              <w:right w:w="80" w:type="dxa"/>
            </w:tcMar>
            <w:vAlign w:val="center"/>
          </w:tcPr>
          <w:p w14:paraId="43B5ECAD" w14:textId="77777777" w:rsidR="00064FC0" w:rsidRPr="00B90777" w:rsidRDefault="00000000">
            <w:pPr>
              <w:pStyle w:val="TableBodyAuthor"/>
            </w:pPr>
            <w:r w:rsidRPr="00B90777">
              <w:t>(</w:t>
            </w:r>
            <w:proofErr w:type="spellStart"/>
            <w:r w:rsidRPr="00B90777">
              <w:t>Oyinloye</w:t>
            </w:r>
            <w:proofErr w:type="spellEnd"/>
            <w:r w:rsidRPr="00B90777">
              <w:t xml:space="preserve"> &amp; Steed, 1996)</w:t>
            </w:r>
          </w:p>
        </w:tc>
      </w:tr>
      <w:tr w:rsidR="00B90777" w:rsidRPr="00B90777" w14:paraId="4D2F2CDA" w14:textId="77777777">
        <w:trPr>
          <w:jc w:val="center"/>
        </w:trPr>
        <w:tc>
          <w:tcPr>
            <w:tcW w:w="1555" w:type="dxa"/>
            <w:tcMar>
              <w:top w:w="90" w:type="dxa"/>
              <w:left w:w="80" w:type="dxa"/>
              <w:bottom w:w="90" w:type="dxa"/>
              <w:right w:w="80" w:type="dxa"/>
            </w:tcMar>
            <w:vAlign w:val="center"/>
          </w:tcPr>
          <w:p w14:paraId="447A4537" w14:textId="77777777" w:rsidR="00064FC0" w:rsidRPr="00B90777" w:rsidRDefault="00000000">
            <w:pPr>
              <w:pStyle w:val="TableBodyAuthor"/>
            </w:pPr>
            <w:r w:rsidRPr="00B90777">
              <w:t>Amphibolite-associated veins and placer gold</w:t>
            </w:r>
          </w:p>
        </w:tc>
        <w:tc>
          <w:tcPr>
            <w:tcW w:w="1915" w:type="dxa"/>
            <w:tcMar>
              <w:top w:w="90" w:type="dxa"/>
              <w:left w:w="80" w:type="dxa"/>
              <w:bottom w:w="90" w:type="dxa"/>
              <w:right w:w="80" w:type="dxa"/>
            </w:tcMar>
            <w:vAlign w:val="center"/>
          </w:tcPr>
          <w:p w14:paraId="21BE32B6" w14:textId="77777777" w:rsidR="00064FC0" w:rsidRPr="00B90777" w:rsidRDefault="00000000">
            <w:pPr>
              <w:pStyle w:val="TableBodyAuthor"/>
            </w:pPr>
            <w:r w:rsidRPr="00B90777">
              <w:t>Auriferous quartz veins and related alluvial accumulations described in mafic terrain</w:t>
            </w:r>
          </w:p>
        </w:tc>
        <w:tc>
          <w:tcPr>
            <w:tcW w:w="2002" w:type="dxa"/>
            <w:tcMar>
              <w:top w:w="90" w:type="dxa"/>
              <w:left w:w="80" w:type="dxa"/>
              <w:bottom w:w="90" w:type="dxa"/>
              <w:right w:w="80" w:type="dxa"/>
            </w:tcMar>
            <w:vAlign w:val="center"/>
          </w:tcPr>
          <w:p w14:paraId="18AC40E5" w14:textId="77777777" w:rsidR="00064FC0" w:rsidRPr="00B90777" w:rsidRDefault="00000000">
            <w:pPr>
              <w:pStyle w:val="TableBodyAuthor"/>
            </w:pPr>
            <w:r w:rsidRPr="00B90777">
              <w:t>Magnetic host contrasts and ERT channel geometry may aid reconnaissance</w:t>
            </w:r>
          </w:p>
        </w:tc>
        <w:tc>
          <w:tcPr>
            <w:tcW w:w="2016" w:type="dxa"/>
            <w:tcMar>
              <w:top w:w="90" w:type="dxa"/>
              <w:left w:w="80" w:type="dxa"/>
              <w:bottom w:w="90" w:type="dxa"/>
              <w:right w:w="80" w:type="dxa"/>
            </w:tcMar>
            <w:vAlign w:val="center"/>
          </w:tcPr>
          <w:p w14:paraId="23423D54" w14:textId="77777777" w:rsidR="00064FC0" w:rsidRPr="00B90777" w:rsidRDefault="00000000">
            <w:pPr>
              <w:pStyle w:val="TableBodyAuthor"/>
            </w:pPr>
            <w:r w:rsidRPr="00B90777">
              <w:t>Transported gold is not automatically situated over a lode</w:t>
            </w:r>
          </w:p>
        </w:tc>
        <w:tc>
          <w:tcPr>
            <w:tcW w:w="1987" w:type="dxa"/>
            <w:tcMar>
              <w:top w:w="90" w:type="dxa"/>
              <w:left w:w="80" w:type="dxa"/>
              <w:bottom w:w="90" w:type="dxa"/>
              <w:right w:w="80" w:type="dxa"/>
            </w:tcMar>
            <w:vAlign w:val="center"/>
          </w:tcPr>
          <w:p w14:paraId="3F377278" w14:textId="77777777" w:rsidR="00064FC0" w:rsidRPr="00B90777" w:rsidRDefault="00000000">
            <w:pPr>
              <w:pStyle w:val="TableBodyAuthor"/>
            </w:pPr>
            <w:r w:rsidRPr="00B90777">
              <w:t>(</w:t>
            </w:r>
            <w:proofErr w:type="spellStart"/>
            <w:r w:rsidRPr="00B90777">
              <w:t>Elueze</w:t>
            </w:r>
            <w:proofErr w:type="spellEnd"/>
            <w:r w:rsidRPr="00B90777">
              <w:t>, 1986)</w:t>
            </w:r>
          </w:p>
        </w:tc>
      </w:tr>
      <w:tr w:rsidR="00B90777" w:rsidRPr="00B90777" w14:paraId="458B43C8" w14:textId="77777777">
        <w:trPr>
          <w:jc w:val="center"/>
        </w:trPr>
        <w:tc>
          <w:tcPr>
            <w:tcW w:w="1555" w:type="dxa"/>
            <w:tcMar>
              <w:top w:w="90" w:type="dxa"/>
              <w:left w:w="80" w:type="dxa"/>
              <w:bottom w:w="90" w:type="dxa"/>
              <w:right w:w="80" w:type="dxa"/>
            </w:tcMar>
            <w:vAlign w:val="center"/>
          </w:tcPr>
          <w:p w14:paraId="25D87712" w14:textId="77777777" w:rsidR="00064FC0" w:rsidRPr="00B90777" w:rsidRDefault="00000000">
            <w:pPr>
              <w:pStyle w:val="TableBodyAuthor"/>
            </w:pPr>
            <w:r w:rsidRPr="00B90777">
              <w:t>Osu–</w:t>
            </w:r>
            <w:proofErr w:type="spellStart"/>
            <w:r w:rsidRPr="00B90777">
              <w:t>Amuta</w:t>
            </w:r>
            <w:proofErr w:type="spellEnd"/>
            <w:r w:rsidRPr="00B90777">
              <w:t>–</w:t>
            </w:r>
            <w:proofErr w:type="spellStart"/>
            <w:r w:rsidRPr="00B90777">
              <w:t>Itagunmodi</w:t>
            </w:r>
            <w:proofErr w:type="spellEnd"/>
            <w:r w:rsidRPr="00B90777">
              <w:t xml:space="preserve"> altered rocks</w:t>
            </w:r>
          </w:p>
        </w:tc>
        <w:tc>
          <w:tcPr>
            <w:tcW w:w="1915" w:type="dxa"/>
            <w:tcMar>
              <w:top w:w="90" w:type="dxa"/>
              <w:left w:w="80" w:type="dxa"/>
              <w:bottom w:w="90" w:type="dxa"/>
              <w:right w:w="80" w:type="dxa"/>
            </w:tcMar>
            <w:vAlign w:val="center"/>
          </w:tcPr>
          <w:p w14:paraId="7C5CB923" w14:textId="77777777" w:rsidR="00064FC0" w:rsidRPr="00B90777" w:rsidRDefault="00000000">
            <w:pPr>
              <w:pStyle w:val="TableBodyAuthor"/>
            </w:pPr>
            <w:r w:rsidRPr="00B90777">
              <w:t>Rock and soil geochemistry within mined districts</w:t>
            </w:r>
          </w:p>
        </w:tc>
        <w:tc>
          <w:tcPr>
            <w:tcW w:w="2002" w:type="dxa"/>
            <w:tcMar>
              <w:top w:w="90" w:type="dxa"/>
              <w:left w:w="80" w:type="dxa"/>
              <w:bottom w:w="90" w:type="dxa"/>
              <w:right w:w="80" w:type="dxa"/>
            </w:tcMar>
            <w:vAlign w:val="center"/>
          </w:tcPr>
          <w:p w14:paraId="0C377E7C" w14:textId="77777777" w:rsidR="00064FC0" w:rsidRPr="00B90777" w:rsidRDefault="00000000">
            <w:pPr>
              <w:pStyle w:val="TableBodyAuthor"/>
            </w:pPr>
            <w:r w:rsidRPr="00B90777">
              <w:t>Local lithology and alteration can help constrain IP/ERT anomalies</w:t>
            </w:r>
          </w:p>
        </w:tc>
        <w:tc>
          <w:tcPr>
            <w:tcW w:w="2016" w:type="dxa"/>
            <w:tcMar>
              <w:top w:w="90" w:type="dxa"/>
              <w:left w:w="80" w:type="dxa"/>
              <w:bottom w:w="90" w:type="dxa"/>
              <w:right w:w="80" w:type="dxa"/>
            </w:tcMar>
            <w:vAlign w:val="center"/>
          </w:tcPr>
          <w:p w14:paraId="47FC1DCF" w14:textId="77777777" w:rsidR="00064FC0" w:rsidRPr="00B90777" w:rsidRDefault="00000000">
            <w:pPr>
              <w:pStyle w:val="TableBodyAuthor"/>
            </w:pPr>
            <w:r w:rsidRPr="00B90777">
              <w:t>Mine-associated sampling cannot establish belt-wide thresholds</w:t>
            </w:r>
          </w:p>
        </w:tc>
        <w:tc>
          <w:tcPr>
            <w:tcW w:w="1987" w:type="dxa"/>
            <w:tcMar>
              <w:top w:w="90" w:type="dxa"/>
              <w:left w:w="80" w:type="dxa"/>
              <w:bottom w:w="90" w:type="dxa"/>
              <w:right w:w="80" w:type="dxa"/>
            </w:tcMar>
            <w:vAlign w:val="center"/>
          </w:tcPr>
          <w:p w14:paraId="2E1061F8" w14:textId="77777777" w:rsidR="00064FC0" w:rsidRPr="00B90777" w:rsidRDefault="00000000">
            <w:pPr>
              <w:pStyle w:val="TableBodyAuthor"/>
            </w:pPr>
            <w:r w:rsidRPr="00B90777">
              <w:t>(Olajide-Kayode et al., 2020)</w:t>
            </w:r>
          </w:p>
        </w:tc>
      </w:tr>
      <w:tr w:rsidR="00B90777" w:rsidRPr="00B90777" w14:paraId="106E1575" w14:textId="77777777">
        <w:trPr>
          <w:jc w:val="center"/>
        </w:trPr>
        <w:tc>
          <w:tcPr>
            <w:tcW w:w="1555" w:type="dxa"/>
            <w:tcMar>
              <w:top w:w="90" w:type="dxa"/>
              <w:left w:w="80" w:type="dxa"/>
              <w:bottom w:w="90" w:type="dxa"/>
              <w:right w:w="80" w:type="dxa"/>
            </w:tcMar>
            <w:vAlign w:val="center"/>
          </w:tcPr>
          <w:p w14:paraId="0AB41D96" w14:textId="77777777" w:rsidR="00064FC0" w:rsidRPr="00B90777" w:rsidRDefault="00000000">
            <w:pPr>
              <w:pStyle w:val="TableBodyAuthor"/>
            </w:pPr>
            <w:proofErr w:type="spellStart"/>
            <w:r w:rsidRPr="00B90777">
              <w:t>Ifewara</w:t>
            </w:r>
            <w:proofErr w:type="spellEnd"/>
            <w:r w:rsidRPr="00B90777">
              <w:t xml:space="preserve"> and subsidiary shears</w:t>
            </w:r>
          </w:p>
        </w:tc>
        <w:tc>
          <w:tcPr>
            <w:tcW w:w="1915" w:type="dxa"/>
            <w:tcMar>
              <w:top w:w="90" w:type="dxa"/>
              <w:left w:w="80" w:type="dxa"/>
              <w:bottom w:w="90" w:type="dxa"/>
              <w:right w:w="80" w:type="dxa"/>
            </w:tcMar>
            <w:vAlign w:val="center"/>
          </w:tcPr>
          <w:p w14:paraId="3ADFB35F" w14:textId="77777777" w:rsidR="00064FC0" w:rsidRPr="00B90777" w:rsidRDefault="00000000">
            <w:pPr>
              <w:pStyle w:val="TableBodyAuthor"/>
            </w:pPr>
            <w:r w:rsidRPr="00B90777">
              <w:t>Regional structural trends from magnetic and satellite mapping</w:t>
            </w:r>
          </w:p>
        </w:tc>
        <w:tc>
          <w:tcPr>
            <w:tcW w:w="2002" w:type="dxa"/>
            <w:tcMar>
              <w:top w:w="90" w:type="dxa"/>
              <w:left w:w="80" w:type="dxa"/>
              <w:bottom w:w="90" w:type="dxa"/>
              <w:right w:w="80" w:type="dxa"/>
            </w:tcMar>
            <w:vAlign w:val="center"/>
          </w:tcPr>
          <w:p w14:paraId="32F11FF9" w14:textId="77777777" w:rsidR="00064FC0" w:rsidRPr="00B90777" w:rsidRDefault="00000000">
            <w:pPr>
              <w:pStyle w:val="TableBodyAuthor"/>
            </w:pPr>
            <w:r w:rsidRPr="00B90777">
              <w:t>Potential pathways and intersections for targeted mapping</w:t>
            </w:r>
          </w:p>
        </w:tc>
        <w:tc>
          <w:tcPr>
            <w:tcW w:w="2016" w:type="dxa"/>
            <w:tcMar>
              <w:top w:w="90" w:type="dxa"/>
              <w:left w:w="80" w:type="dxa"/>
              <w:bottom w:w="90" w:type="dxa"/>
              <w:right w:w="80" w:type="dxa"/>
            </w:tcMar>
            <w:vAlign w:val="center"/>
          </w:tcPr>
          <w:p w14:paraId="676472D7" w14:textId="77777777" w:rsidR="00064FC0" w:rsidRPr="00B90777" w:rsidRDefault="00000000">
            <w:pPr>
              <w:pStyle w:val="TableBodyAuthor"/>
            </w:pPr>
            <w:r w:rsidRPr="00B90777">
              <w:t xml:space="preserve">A lineament can be an </w:t>
            </w:r>
            <w:proofErr w:type="spellStart"/>
            <w:r w:rsidRPr="00B90777">
              <w:t>unmineralised</w:t>
            </w:r>
            <w:proofErr w:type="spellEnd"/>
            <w:r w:rsidRPr="00B90777">
              <w:t xml:space="preserve"> contact, dyke or older fabric</w:t>
            </w:r>
          </w:p>
        </w:tc>
        <w:tc>
          <w:tcPr>
            <w:tcW w:w="1987" w:type="dxa"/>
            <w:tcMar>
              <w:top w:w="90" w:type="dxa"/>
              <w:left w:w="80" w:type="dxa"/>
              <w:bottom w:w="90" w:type="dxa"/>
              <w:right w:w="80" w:type="dxa"/>
            </w:tcMar>
            <w:vAlign w:val="center"/>
          </w:tcPr>
          <w:p w14:paraId="139684B7" w14:textId="77777777" w:rsidR="00064FC0" w:rsidRPr="00B90777" w:rsidRDefault="00000000">
            <w:pPr>
              <w:pStyle w:val="TableBodyAuthor"/>
            </w:pPr>
            <w:r w:rsidRPr="00B90777">
              <w:t>(</w:t>
            </w:r>
            <w:proofErr w:type="spellStart"/>
            <w:r w:rsidRPr="00B90777">
              <w:t>Akinlalu</w:t>
            </w:r>
            <w:proofErr w:type="spellEnd"/>
            <w:r w:rsidRPr="00B90777">
              <w:t xml:space="preserve"> et al., 2018; Salawu et al., 2021)</w:t>
            </w:r>
          </w:p>
        </w:tc>
      </w:tr>
      <w:tr w:rsidR="00B90777" w:rsidRPr="00B90777" w14:paraId="6EB20E42" w14:textId="77777777">
        <w:trPr>
          <w:jc w:val="center"/>
        </w:trPr>
        <w:tc>
          <w:tcPr>
            <w:tcW w:w="1555" w:type="dxa"/>
            <w:tcBorders>
              <w:bottom w:val="single" w:sz="7" w:space="0" w:color="273B4E"/>
            </w:tcBorders>
            <w:tcMar>
              <w:top w:w="90" w:type="dxa"/>
              <w:left w:w="80" w:type="dxa"/>
              <w:bottom w:w="90" w:type="dxa"/>
              <w:right w:w="80" w:type="dxa"/>
            </w:tcMar>
            <w:vAlign w:val="center"/>
          </w:tcPr>
          <w:p w14:paraId="6A39ED16" w14:textId="77777777" w:rsidR="00064FC0" w:rsidRPr="00B90777" w:rsidRDefault="00000000">
            <w:pPr>
              <w:pStyle w:val="TableBodyAuthor"/>
            </w:pPr>
            <w:r w:rsidRPr="00B90777">
              <w:t>Gold-bearing stream sediments</w:t>
            </w:r>
          </w:p>
        </w:tc>
        <w:tc>
          <w:tcPr>
            <w:tcW w:w="1915" w:type="dxa"/>
            <w:tcBorders>
              <w:bottom w:val="single" w:sz="7" w:space="0" w:color="273B4E"/>
            </w:tcBorders>
            <w:tcMar>
              <w:top w:w="90" w:type="dxa"/>
              <w:left w:w="80" w:type="dxa"/>
              <w:bottom w:w="90" w:type="dxa"/>
              <w:right w:w="80" w:type="dxa"/>
            </w:tcMar>
            <w:vAlign w:val="center"/>
          </w:tcPr>
          <w:p w14:paraId="4B495F0D" w14:textId="77777777" w:rsidR="00064FC0" w:rsidRPr="00B90777" w:rsidRDefault="00000000">
            <w:pPr>
              <w:pStyle w:val="TableBodyAuthor"/>
            </w:pPr>
            <w:r w:rsidRPr="00B90777">
              <w:t>Reported particle chemistry and morphology in selected sediment samples</w:t>
            </w:r>
          </w:p>
        </w:tc>
        <w:tc>
          <w:tcPr>
            <w:tcW w:w="2002" w:type="dxa"/>
            <w:tcBorders>
              <w:bottom w:val="single" w:sz="7" w:space="0" w:color="273B4E"/>
            </w:tcBorders>
            <w:tcMar>
              <w:top w:w="90" w:type="dxa"/>
              <w:left w:w="80" w:type="dxa"/>
              <w:bottom w:w="90" w:type="dxa"/>
              <w:right w:w="80" w:type="dxa"/>
            </w:tcMar>
            <w:vAlign w:val="center"/>
          </w:tcPr>
          <w:p w14:paraId="58D04B70" w14:textId="77777777" w:rsidR="00064FC0" w:rsidRPr="00B90777" w:rsidRDefault="00000000">
            <w:pPr>
              <w:pStyle w:val="TableBodyAuthor"/>
            </w:pPr>
            <w:r w:rsidRPr="00B90777">
              <w:t>A possible guide to upstream source hypotheses</w:t>
            </w:r>
          </w:p>
        </w:tc>
        <w:tc>
          <w:tcPr>
            <w:tcW w:w="2016" w:type="dxa"/>
            <w:tcBorders>
              <w:bottom w:val="single" w:sz="7" w:space="0" w:color="273B4E"/>
            </w:tcBorders>
            <w:tcMar>
              <w:top w:w="90" w:type="dxa"/>
              <w:left w:w="80" w:type="dxa"/>
              <w:bottom w:w="90" w:type="dxa"/>
              <w:right w:w="80" w:type="dxa"/>
            </w:tcMar>
            <w:vAlign w:val="center"/>
          </w:tcPr>
          <w:p w14:paraId="49EB0019" w14:textId="77777777" w:rsidR="00064FC0" w:rsidRPr="00B90777" w:rsidRDefault="00000000">
            <w:pPr>
              <w:pStyle w:val="TableBodyAuthor"/>
            </w:pPr>
            <w:r w:rsidRPr="00B90777">
              <w:t>Weathering, transport and source mixing obscure primary-vein geometry</w:t>
            </w:r>
          </w:p>
        </w:tc>
        <w:tc>
          <w:tcPr>
            <w:tcW w:w="1987" w:type="dxa"/>
            <w:tcBorders>
              <w:bottom w:val="single" w:sz="7" w:space="0" w:color="273B4E"/>
            </w:tcBorders>
            <w:tcMar>
              <w:top w:w="90" w:type="dxa"/>
              <w:left w:w="80" w:type="dxa"/>
              <w:bottom w:w="90" w:type="dxa"/>
              <w:right w:w="80" w:type="dxa"/>
            </w:tcMar>
            <w:vAlign w:val="center"/>
          </w:tcPr>
          <w:p w14:paraId="576F94F3" w14:textId="77777777" w:rsidR="00064FC0" w:rsidRPr="00B90777" w:rsidRDefault="00000000">
            <w:pPr>
              <w:pStyle w:val="TableBodyAuthor"/>
            </w:pPr>
            <w:r w:rsidRPr="00B90777">
              <w:t>(Omang et al., 2026)</w:t>
            </w:r>
          </w:p>
        </w:tc>
      </w:tr>
    </w:tbl>
    <w:p w14:paraId="3FD9EDF7" w14:textId="77777777" w:rsidR="00064FC0" w:rsidRPr="00B90777" w:rsidRDefault="00000000">
      <w:pPr>
        <w:pStyle w:val="TableNoteAuthor"/>
      </w:pPr>
      <w:r w:rsidRPr="00B90777">
        <w:rPr>
          <w:i/>
        </w:rPr>
        <w:t xml:space="preserve">Note. </w:t>
      </w:r>
      <w:r w:rsidRPr="00B90777">
        <w:t xml:space="preserve">IP = induced </w:t>
      </w:r>
      <w:proofErr w:type="spellStart"/>
      <w:r w:rsidRPr="00B90777">
        <w:t>polarisation</w:t>
      </w:r>
      <w:proofErr w:type="spellEnd"/>
      <w:r w:rsidRPr="00B90777">
        <w:t>; ERT = electrical resistivity tomography. This is a thematic comparison, not an exhaustive deposit inventory.</w:t>
      </w:r>
    </w:p>
    <w:p w14:paraId="268AFD77" w14:textId="77777777" w:rsidR="00064FC0" w:rsidRPr="00B90777" w:rsidRDefault="00000000">
      <w:pPr>
        <w:pStyle w:val="Heading1"/>
        <w:rPr>
          <w:color w:val="auto"/>
        </w:rPr>
      </w:pPr>
      <w:r w:rsidRPr="00B90777">
        <w:rPr>
          <w:color w:val="auto"/>
        </w:rPr>
        <w:t xml:space="preserve">4. Induced </w:t>
      </w:r>
      <w:proofErr w:type="spellStart"/>
      <w:r w:rsidRPr="00B90777">
        <w:rPr>
          <w:color w:val="auto"/>
        </w:rPr>
        <w:t>Polarisation</w:t>
      </w:r>
      <w:proofErr w:type="spellEnd"/>
      <w:r w:rsidRPr="00B90777">
        <w:rPr>
          <w:color w:val="auto"/>
        </w:rPr>
        <w:t xml:space="preserve">: </w:t>
      </w:r>
      <w:proofErr w:type="spellStart"/>
      <w:r w:rsidRPr="00B90777">
        <w:rPr>
          <w:color w:val="auto"/>
        </w:rPr>
        <w:t>Sulphide</w:t>
      </w:r>
      <w:proofErr w:type="spellEnd"/>
      <w:r w:rsidRPr="00B90777">
        <w:rPr>
          <w:color w:val="auto"/>
        </w:rPr>
        <w:t xml:space="preserve"> Sensitivity Without Gold Specificity</w:t>
      </w:r>
    </w:p>
    <w:p w14:paraId="3D2A84D0" w14:textId="77777777" w:rsidR="00064FC0" w:rsidRPr="00B90777" w:rsidRDefault="00000000">
      <w:pPr>
        <w:pStyle w:val="Heading2"/>
        <w:rPr>
          <w:color w:val="auto"/>
        </w:rPr>
      </w:pPr>
      <w:r w:rsidRPr="00B90777">
        <w:rPr>
          <w:color w:val="auto"/>
        </w:rPr>
        <w:t>4.1 Mechanisms and the Choice of Chargeability Measurement</w:t>
      </w:r>
    </w:p>
    <w:p w14:paraId="2335FD73" w14:textId="77777777" w:rsidR="00064FC0" w:rsidRPr="00B90777" w:rsidRDefault="00000000">
      <w:pPr>
        <w:jc w:val="both"/>
        <w:rPr>
          <w:color w:val="auto"/>
        </w:rPr>
      </w:pPr>
      <w:r w:rsidRPr="00B90777">
        <w:rPr>
          <w:color w:val="auto"/>
        </w:rPr>
        <w:t xml:space="preserve">Induced </w:t>
      </w:r>
      <w:proofErr w:type="spellStart"/>
      <w:r w:rsidRPr="00B90777">
        <w:rPr>
          <w:color w:val="auto"/>
        </w:rPr>
        <w:t>polarisation</w:t>
      </w:r>
      <w:proofErr w:type="spellEnd"/>
      <w:r w:rsidRPr="00B90777">
        <w:rPr>
          <w:color w:val="auto"/>
        </w:rPr>
        <w:t xml:space="preserve"> (IP) measures a delayed electrical response after an applied field is changed or interrupted. In mineral exploration, charge accumulation around electronically conductive grains, including certain </w:t>
      </w:r>
      <w:proofErr w:type="spellStart"/>
      <w:r w:rsidRPr="00B90777">
        <w:rPr>
          <w:color w:val="auto"/>
        </w:rPr>
        <w:t>sulphides</w:t>
      </w:r>
      <w:proofErr w:type="spellEnd"/>
      <w:r w:rsidRPr="00B90777">
        <w:rPr>
          <w:color w:val="auto"/>
        </w:rPr>
        <w:t xml:space="preserve">, makes IP attractive when gold occurs in association with disseminated pyrite or related minerals. The historical mathematical formulation establishes the principle that IP is a </w:t>
      </w:r>
      <w:proofErr w:type="spellStart"/>
      <w:r w:rsidRPr="00B90777">
        <w:rPr>
          <w:color w:val="auto"/>
        </w:rPr>
        <w:t>polarisation</w:t>
      </w:r>
      <w:proofErr w:type="spellEnd"/>
      <w:r w:rsidRPr="00B90777">
        <w:rPr>
          <w:color w:val="auto"/>
        </w:rPr>
        <w:t xml:space="preserve"> phenomenon rather than a measurement of the concentration of a particular metal (Seigel, 1959). Frequency-domain surveys describe the variation of complex conductivity with frequency, whereas time-domain surveys </w:t>
      </w:r>
      <w:proofErr w:type="spellStart"/>
      <w:r w:rsidRPr="00B90777">
        <w:rPr>
          <w:color w:val="auto"/>
        </w:rPr>
        <w:t>characterise</w:t>
      </w:r>
      <w:proofErr w:type="spellEnd"/>
      <w:r w:rsidRPr="00B90777">
        <w:rPr>
          <w:color w:val="auto"/>
        </w:rPr>
        <w:t xml:space="preserve"> the decay after current shut-off. Both respond to mineral surface area, pore-electrolyte properties, saturation and the distribution and electrical continuity of the </w:t>
      </w:r>
      <w:proofErr w:type="spellStart"/>
      <w:r w:rsidRPr="00B90777">
        <w:rPr>
          <w:color w:val="auto"/>
        </w:rPr>
        <w:t>polarising</w:t>
      </w:r>
      <w:proofErr w:type="spellEnd"/>
      <w:r w:rsidRPr="00B90777">
        <w:rPr>
          <w:color w:val="auto"/>
        </w:rPr>
        <w:t xml:space="preserve"> grains.</w:t>
      </w:r>
    </w:p>
    <w:p w14:paraId="6948EF1B" w14:textId="77777777" w:rsidR="00064FC0" w:rsidRPr="00B90777" w:rsidRDefault="00000000">
      <w:pPr>
        <w:jc w:val="both"/>
        <w:rPr>
          <w:color w:val="auto"/>
        </w:rPr>
      </w:pPr>
      <w:r w:rsidRPr="00B90777">
        <w:rPr>
          <w:color w:val="auto"/>
        </w:rPr>
        <w:lastRenderedPageBreak/>
        <w:t xml:space="preserve">Physical models for metallic particles clarify the limitation of a one-to-one chargeability–gold interpretation. Revil et al. (2015) explain how embedded semiconducting grains can generate spectral response depending on their conductivity and interaction with the surrounding pore network. Earlier multifrequency work demonstrates that spectral </w:t>
      </w:r>
      <w:proofErr w:type="spellStart"/>
      <w:r w:rsidRPr="00B90777">
        <w:rPr>
          <w:color w:val="auto"/>
        </w:rPr>
        <w:t>behaviour</w:t>
      </w:r>
      <w:proofErr w:type="spellEnd"/>
      <w:r w:rsidRPr="00B90777">
        <w:rPr>
          <w:color w:val="auto"/>
        </w:rPr>
        <w:t xml:space="preserve"> can assist mineral discrimination but also highlights the need to account for electromagnetic coupling and survey-specific effects (Pelton et al., 1978). Neither framework makes free gold uniquely identifiable by an IP peak. A chargeability anomaly is evidence of a </w:t>
      </w:r>
      <w:proofErr w:type="spellStart"/>
      <w:r w:rsidRPr="00B90777">
        <w:rPr>
          <w:color w:val="auto"/>
        </w:rPr>
        <w:t>polarising</w:t>
      </w:r>
      <w:proofErr w:type="spellEnd"/>
      <w:r w:rsidRPr="00B90777">
        <w:rPr>
          <w:color w:val="auto"/>
        </w:rPr>
        <w:t xml:space="preserve"> medium under the employed configuration; geological context and laboratory measurements are still needed to determine the carrier mineral and its relationship to gold.</w:t>
      </w:r>
    </w:p>
    <w:p w14:paraId="2E09BFD8" w14:textId="77777777" w:rsidR="00064FC0" w:rsidRPr="00B90777" w:rsidRDefault="00000000">
      <w:pPr>
        <w:jc w:val="both"/>
        <w:rPr>
          <w:color w:val="auto"/>
        </w:rPr>
      </w:pPr>
      <w:r w:rsidRPr="00B90777">
        <w:rPr>
          <w:color w:val="auto"/>
        </w:rPr>
        <w:t xml:space="preserve">The recorded chargeability unit and measurement window matter. Millisecond values used in time-domain reporting depend on the instrument gate and integration procedure; values gathered with different windows, duty cycles or </w:t>
      </w:r>
      <w:proofErr w:type="spellStart"/>
      <w:r w:rsidRPr="00B90777">
        <w:rPr>
          <w:color w:val="auto"/>
        </w:rPr>
        <w:t>normalisation</w:t>
      </w:r>
      <w:proofErr w:type="spellEnd"/>
      <w:r w:rsidRPr="00B90777">
        <w:rPr>
          <w:color w:val="auto"/>
        </w:rPr>
        <w:t xml:space="preserve"> conventions should not be merged into an unqualified regional threshold. Spectral parameters such as relaxation time and dispersion exponent can provide more interpretable descriptors, yet fitting a Cole–Cole family is itself an inverse problem with correlated parameter uncertainties. Bayesian treatment of time- and frequency-domain observations illustrates why multiple combinations of physical parameters may explain a measured response (Ghorbani et al., 2007).</w:t>
      </w:r>
    </w:p>
    <w:p w14:paraId="47117D90" w14:textId="77777777" w:rsidR="00064FC0" w:rsidRPr="00B90777" w:rsidRDefault="00000000">
      <w:pPr>
        <w:pStyle w:val="Heading2"/>
        <w:rPr>
          <w:color w:val="auto"/>
        </w:rPr>
      </w:pPr>
      <w:r w:rsidRPr="00B90777">
        <w:rPr>
          <w:color w:val="auto"/>
        </w:rPr>
        <w:t xml:space="preserve">4.2 Evidence </w:t>
      </w:r>
      <w:proofErr w:type="gramStart"/>
      <w:r w:rsidRPr="00B90777">
        <w:rPr>
          <w:color w:val="auto"/>
        </w:rPr>
        <w:t>From</w:t>
      </w:r>
      <w:proofErr w:type="gramEnd"/>
      <w:r w:rsidRPr="00B90777">
        <w:rPr>
          <w:color w:val="auto"/>
        </w:rPr>
        <w:t xml:space="preserve"> </w:t>
      </w:r>
      <w:proofErr w:type="spellStart"/>
      <w:r w:rsidRPr="00B90777">
        <w:rPr>
          <w:color w:val="auto"/>
        </w:rPr>
        <w:t>Itagunmodi</w:t>
      </w:r>
      <w:proofErr w:type="spellEnd"/>
      <w:r w:rsidRPr="00B90777">
        <w:rPr>
          <w:color w:val="auto"/>
        </w:rPr>
        <w:t xml:space="preserve"> and Geological Alternative Explanations</w:t>
      </w:r>
    </w:p>
    <w:p w14:paraId="050ACAB8" w14:textId="77777777" w:rsidR="00064FC0" w:rsidRPr="00B90777" w:rsidRDefault="00000000">
      <w:pPr>
        <w:jc w:val="both"/>
        <w:rPr>
          <w:color w:val="auto"/>
        </w:rPr>
      </w:pPr>
      <w:r w:rsidRPr="00B90777">
        <w:rPr>
          <w:color w:val="auto"/>
        </w:rPr>
        <w:t xml:space="preserve">A directly relevant local investigation acquired dipole–dipole electrical-resistivity and time-domain IP profiles at </w:t>
      </w:r>
      <w:proofErr w:type="spellStart"/>
      <w:r w:rsidRPr="00B90777">
        <w:rPr>
          <w:color w:val="auto"/>
        </w:rPr>
        <w:t>Itagunmodi</w:t>
      </w:r>
      <w:proofErr w:type="spellEnd"/>
      <w:r w:rsidRPr="00B90777">
        <w:rPr>
          <w:color w:val="auto"/>
        </w:rPr>
        <w:t>, reporting six traverses with 5 m electrode separation and modelled zones of combined low resistivity and elevated chargeability (</w:t>
      </w:r>
      <w:proofErr w:type="spellStart"/>
      <w:r w:rsidRPr="00B90777">
        <w:rPr>
          <w:color w:val="auto"/>
        </w:rPr>
        <w:t>Adekanle</w:t>
      </w:r>
      <w:proofErr w:type="spellEnd"/>
      <w:r w:rsidRPr="00B90777">
        <w:rPr>
          <w:color w:val="auto"/>
        </w:rPr>
        <w:t xml:space="preserve"> et al., 2025). The article reports chargeability values of approximately 288–444 </w:t>
      </w:r>
      <w:proofErr w:type="spellStart"/>
      <w:r w:rsidRPr="00B90777">
        <w:rPr>
          <w:color w:val="auto"/>
        </w:rPr>
        <w:t>ms</w:t>
      </w:r>
      <w:proofErr w:type="spellEnd"/>
      <w:r w:rsidRPr="00B90777">
        <w:rPr>
          <w:color w:val="auto"/>
        </w:rPr>
        <w:t xml:space="preserve"> for selected candidate zones. These values indicate a marked response in that survey, but without </w:t>
      </w:r>
      <w:proofErr w:type="spellStart"/>
      <w:r w:rsidRPr="00B90777">
        <w:rPr>
          <w:color w:val="auto"/>
        </w:rPr>
        <w:t>standardised</w:t>
      </w:r>
      <w:proofErr w:type="spellEnd"/>
      <w:r w:rsidRPr="00B90777">
        <w:rPr>
          <w:color w:val="auto"/>
        </w:rPr>
        <w:t xml:space="preserve"> mineral assays at the modelled targets the inference should be stated as potential </w:t>
      </w:r>
      <w:proofErr w:type="spellStart"/>
      <w:r w:rsidRPr="00B90777">
        <w:rPr>
          <w:color w:val="auto"/>
        </w:rPr>
        <w:t>sulphide</w:t>
      </w:r>
      <w:proofErr w:type="spellEnd"/>
      <w:r w:rsidRPr="00B90777">
        <w:rPr>
          <w:color w:val="auto"/>
        </w:rPr>
        <w:t xml:space="preserve">-associated alteration or </w:t>
      </w:r>
      <w:proofErr w:type="spellStart"/>
      <w:r w:rsidRPr="00B90777">
        <w:rPr>
          <w:color w:val="auto"/>
        </w:rPr>
        <w:t>mineralisation</w:t>
      </w:r>
      <w:proofErr w:type="spellEnd"/>
      <w:r w:rsidRPr="00B90777">
        <w:rPr>
          <w:color w:val="auto"/>
        </w:rPr>
        <w:t>. The classification of the zones as likely gold-bearing is a working interpretation, not a direct observation of gold in the inverted pixels.</w:t>
      </w:r>
    </w:p>
    <w:p w14:paraId="0A0F9A50" w14:textId="77777777" w:rsidR="00064FC0" w:rsidRPr="00B90777" w:rsidRDefault="00000000">
      <w:pPr>
        <w:jc w:val="both"/>
        <w:rPr>
          <w:color w:val="auto"/>
        </w:rPr>
      </w:pPr>
      <w:r w:rsidRPr="00B90777">
        <w:rPr>
          <w:color w:val="auto"/>
        </w:rPr>
        <w:t xml:space="preserve">This distinction becomes sharper when the local </w:t>
      </w:r>
      <w:proofErr w:type="spellStart"/>
      <w:r w:rsidRPr="00B90777">
        <w:rPr>
          <w:color w:val="auto"/>
        </w:rPr>
        <w:t>Iperindo</w:t>
      </w:r>
      <w:proofErr w:type="spellEnd"/>
      <w:r w:rsidRPr="00B90777">
        <w:rPr>
          <w:color w:val="auto"/>
        </w:rPr>
        <w:t xml:space="preserve"> deposit model is considered. Sparse </w:t>
      </w:r>
      <w:proofErr w:type="spellStart"/>
      <w:r w:rsidRPr="00B90777">
        <w:rPr>
          <w:color w:val="auto"/>
        </w:rPr>
        <w:t>sulphides</w:t>
      </w:r>
      <w:proofErr w:type="spellEnd"/>
      <w:r w:rsidRPr="00B90777">
        <w:rPr>
          <w:color w:val="auto"/>
        </w:rPr>
        <w:t xml:space="preserve"> occurring with quartz–carbonate-hosted gold do not necessarily yield a large chargeability response across the electrode survey's resolving volume. A barren pyrite concentration in an adjacent shear or </w:t>
      </w:r>
      <w:proofErr w:type="spellStart"/>
      <w:r w:rsidRPr="00B90777">
        <w:rPr>
          <w:color w:val="auto"/>
        </w:rPr>
        <w:t>sulphidised</w:t>
      </w:r>
      <w:proofErr w:type="spellEnd"/>
      <w:r w:rsidRPr="00B90777">
        <w:rPr>
          <w:color w:val="auto"/>
        </w:rPr>
        <w:t xml:space="preserve"> amphibolite could yield stronger IP contrast than a narrow auriferous quartz vein. Hence the target class should be defined as an electrically </w:t>
      </w:r>
      <w:proofErr w:type="spellStart"/>
      <w:r w:rsidRPr="00B90777">
        <w:rPr>
          <w:color w:val="auto"/>
        </w:rPr>
        <w:t>polarising</w:t>
      </w:r>
      <w:proofErr w:type="spellEnd"/>
      <w:r w:rsidRPr="00B90777">
        <w:rPr>
          <w:color w:val="auto"/>
        </w:rPr>
        <w:t xml:space="preserve"> geological zone that may warrant geochemical testing, not as a “gold body”. Linking chargeability to petrology through </w:t>
      </w:r>
      <w:proofErr w:type="spellStart"/>
      <w:r w:rsidRPr="00B90777">
        <w:rPr>
          <w:color w:val="auto"/>
        </w:rPr>
        <w:t>sulphide</w:t>
      </w:r>
      <w:proofErr w:type="spellEnd"/>
      <w:r w:rsidRPr="00B90777">
        <w:rPr>
          <w:color w:val="auto"/>
        </w:rPr>
        <w:t xml:space="preserve"> abundance, grain size and connectivity would directly test the relevant physical mechanism (</w:t>
      </w:r>
      <w:proofErr w:type="spellStart"/>
      <w:r w:rsidRPr="00B90777">
        <w:rPr>
          <w:color w:val="auto"/>
        </w:rPr>
        <w:t>Oyinloye</w:t>
      </w:r>
      <w:proofErr w:type="spellEnd"/>
      <w:r w:rsidRPr="00B90777">
        <w:rPr>
          <w:color w:val="auto"/>
        </w:rPr>
        <w:t xml:space="preserve"> &amp; Steed, 1996; Revil et al., 2015).</w:t>
      </w:r>
    </w:p>
    <w:p w14:paraId="139F9BA6" w14:textId="77777777" w:rsidR="00064FC0" w:rsidRPr="00B90777" w:rsidRDefault="00000000">
      <w:pPr>
        <w:jc w:val="both"/>
        <w:rPr>
          <w:color w:val="auto"/>
        </w:rPr>
      </w:pPr>
      <w:r w:rsidRPr="00B90777">
        <w:rPr>
          <w:color w:val="auto"/>
        </w:rPr>
        <w:t xml:space="preserve">Weathered tropical terrains offer additional confounders. Clay minerals, variable pore-water salinity, saturation, electrode contact and electrochemical surface </w:t>
      </w:r>
      <w:proofErr w:type="spellStart"/>
      <w:r w:rsidRPr="00B90777">
        <w:rPr>
          <w:color w:val="auto"/>
        </w:rPr>
        <w:t>polarisation</w:t>
      </w:r>
      <w:proofErr w:type="spellEnd"/>
      <w:r w:rsidRPr="00B90777">
        <w:rPr>
          <w:color w:val="auto"/>
        </w:rPr>
        <w:t xml:space="preserve"> can complicate both the magnitude and spectral form of an IP anomaly. Metal objects near settlements, conducting fences and poorly grounded electrodes can produce non-geological noise. Even where a pyritic source is likely, the metallic-mineral response does not discriminate gold-rich </w:t>
      </w:r>
      <w:proofErr w:type="spellStart"/>
      <w:r w:rsidRPr="00B90777">
        <w:rPr>
          <w:color w:val="auto"/>
        </w:rPr>
        <w:t>sulphide</w:t>
      </w:r>
      <w:proofErr w:type="spellEnd"/>
      <w:r w:rsidRPr="00B90777">
        <w:rPr>
          <w:color w:val="auto"/>
        </w:rPr>
        <w:t xml:space="preserve"> from barren </w:t>
      </w:r>
      <w:proofErr w:type="spellStart"/>
      <w:r w:rsidRPr="00B90777">
        <w:rPr>
          <w:color w:val="auto"/>
        </w:rPr>
        <w:t>sulphide</w:t>
      </w:r>
      <w:proofErr w:type="spellEnd"/>
      <w:r w:rsidRPr="00B90777">
        <w:rPr>
          <w:color w:val="auto"/>
        </w:rPr>
        <w:t xml:space="preserve"> unless supported by samples. The most defensible interpretation compares chargeability with resistivity, known regolith thickness, </w:t>
      </w:r>
      <w:r w:rsidRPr="00B90777">
        <w:rPr>
          <w:color w:val="auto"/>
        </w:rPr>
        <w:lastRenderedPageBreak/>
        <w:t xml:space="preserve">topography, lithological mapping and independent sampling rather than privileging a single high-value </w:t>
      </w:r>
      <w:proofErr w:type="spellStart"/>
      <w:r w:rsidRPr="00B90777">
        <w:rPr>
          <w:color w:val="auto"/>
        </w:rPr>
        <w:t>colour</w:t>
      </w:r>
      <w:proofErr w:type="spellEnd"/>
      <w:r w:rsidRPr="00B90777">
        <w:rPr>
          <w:color w:val="auto"/>
        </w:rPr>
        <w:t xml:space="preserve"> band.</w:t>
      </w:r>
    </w:p>
    <w:p w14:paraId="6D22E5B3" w14:textId="77777777" w:rsidR="00064FC0" w:rsidRPr="00B90777" w:rsidRDefault="00000000">
      <w:pPr>
        <w:pStyle w:val="Heading2"/>
        <w:rPr>
          <w:color w:val="auto"/>
        </w:rPr>
      </w:pPr>
      <w:r w:rsidRPr="00B90777">
        <w:rPr>
          <w:color w:val="auto"/>
        </w:rPr>
        <w:t>4.3 Acquisition, Inversion and Reliability</w:t>
      </w:r>
    </w:p>
    <w:p w14:paraId="6ED2FF48" w14:textId="77777777" w:rsidR="00064FC0" w:rsidRPr="00B90777" w:rsidRDefault="00000000">
      <w:pPr>
        <w:jc w:val="both"/>
        <w:rPr>
          <w:color w:val="auto"/>
        </w:rPr>
      </w:pPr>
      <w:r w:rsidRPr="00B90777">
        <w:rPr>
          <w:color w:val="auto"/>
        </w:rPr>
        <w:t xml:space="preserve">A credible IP survey report needs information that allows a reviewer to assess measurement quality: array geometry, effective current, electrode contact, instrument repeatability, decay gates, outlier treatment, topographic correction and the consistency of chargeability sign and magnitude. For dipole–dipole arrays, sensitivity changes strongly with electrode separation and the depth of the targeted feature. A visually continuous deep anomaly may reflect </w:t>
      </w:r>
      <w:proofErr w:type="spellStart"/>
      <w:r w:rsidRPr="00B90777">
        <w:rPr>
          <w:color w:val="auto"/>
        </w:rPr>
        <w:t>regularisation</w:t>
      </w:r>
      <w:proofErr w:type="spellEnd"/>
      <w:r w:rsidRPr="00B90777">
        <w:rPr>
          <w:color w:val="auto"/>
        </w:rPr>
        <w:t xml:space="preserve"> and poor sensitivity rather than observed continuity. The depth of investigation should be tested independently for the chargeability and resistivity datasets, following the logic of sensitivity appraisal developed for direct-current and IP measurements (Oldenburg &amp; Li, 1999).</w:t>
      </w:r>
    </w:p>
    <w:p w14:paraId="2F9865B8" w14:textId="77777777" w:rsidR="00064FC0" w:rsidRPr="00B90777" w:rsidRDefault="00000000">
      <w:pPr>
        <w:jc w:val="both"/>
        <w:rPr>
          <w:color w:val="auto"/>
        </w:rPr>
      </w:pPr>
      <w:r w:rsidRPr="00B90777">
        <w:rPr>
          <w:color w:val="auto"/>
        </w:rPr>
        <w:t xml:space="preserve">Joint interpretation does not necessarily require a mathematically joint inversion, but consistency between independently recovered property models should be evaluated. A high-chargeability body adjacent to an abrupt resistivity contact could represent a conductive </w:t>
      </w:r>
      <w:proofErr w:type="spellStart"/>
      <w:r w:rsidRPr="00B90777">
        <w:rPr>
          <w:color w:val="auto"/>
        </w:rPr>
        <w:t>sulphide</w:t>
      </w:r>
      <w:proofErr w:type="spellEnd"/>
      <w:r w:rsidRPr="00B90777">
        <w:rPr>
          <w:color w:val="auto"/>
        </w:rPr>
        <w:t xml:space="preserve"> zone or a blurred boundary between two rock units. Where inversion </w:t>
      </w:r>
      <w:proofErr w:type="spellStart"/>
      <w:r w:rsidRPr="00B90777">
        <w:rPr>
          <w:color w:val="auto"/>
        </w:rPr>
        <w:t>regularisation</w:t>
      </w:r>
      <w:proofErr w:type="spellEnd"/>
      <w:r w:rsidRPr="00B90777">
        <w:rPr>
          <w:color w:val="auto"/>
        </w:rPr>
        <w:t xml:space="preserve"> smooths narrow structures, the spatial offset between the chargeability maximum and the mapped shear can be substantial. Testing alternative starting models, noise floors and robust versus smooth penalties would establish whether the apparent anomaly persists. At minimum, </w:t>
      </w:r>
      <w:proofErr w:type="spellStart"/>
      <w:r w:rsidRPr="00B90777">
        <w:rPr>
          <w:color w:val="auto"/>
        </w:rPr>
        <w:t>pseudosection</w:t>
      </w:r>
      <w:proofErr w:type="spellEnd"/>
      <w:r w:rsidRPr="00B90777">
        <w:rPr>
          <w:color w:val="auto"/>
        </w:rPr>
        <w:t xml:space="preserve"> observations and model residuals should accompany each interpreted target so that inversion-produced features are not mistaken for raw measurements (Loke &amp; Barker, 1996; Oldenburg &amp; Li, 1999).</w:t>
      </w:r>
    </w:p>
    <w:p w14:paraId="0483015D" w14:textId="77777777" w:rsidR="00064FC0" w:rsidRPr="00B90777" w:rsidRDefault="00000000">
      <w:pPr>
        <w:jc w:val="both"/>
        <w:rPr>
          <w:color w:val="auto"/>
        </w:rPr>
      </w:pPr>
      <w:r w:rsidRPr="00B90777">
        <w:rPr>
          <w:color w:val="auto"/>
        </w:rPr>
        <w:t>Survey design should follow the expected geometry rather than a convenient grid alone. Profiles perpendicular to vein strike are useful for finding steeply dipping conductors and alteration zones, but at least one crossing direction is needed to test oblique structures and out-of-plane responses. Where field access permits, a three-dimensional array is preferable for target groups with complex strike continuity. Chargeability core or handheld measurements on carefully logged samples could help assign a physical response to pyrite-bearing, clay-rich, fresh and altered host rocks; laboratory results are complementary, not a substitute for field geometry and electrolyte conditions.</w:t>
      </w:r>
    </w:p>
    <w:p w14:paraId="30D80522" w14:textId="77777777" w:rsidR="00064FC0" w:rsidRPr="00B90777" w:rsidRDefault="00000000">
      <w:pPr>
        <w:jc w:val="both"/>
        <w:rPr>
          <w:color w:val="auto"/>
        </w:rPr>
      </w:pPr>
      <w:r w:rsidRPr="00B90777">
        <w:rPr>
          <w:color w:val="auto"/>
        </w:rPr>
        <w:t xml:space="preserve">The present literature demonstrates that IP can contribute a potentially useful near-surface property contrast at </w:t>
      </w:r>
      <w:proofErr w:type="spellStart"/>
      <w:r w:rsidRPr="00B90777">
        <w:rPr>
          <w:color w:val="auto"/>
        </w:rPr>
        <w:t>Itagunmodi</w:t>
      </w:r>
      <w:proofErr w:type="spellEnd"/>
      <w:r w:rsidRPr="00B90777">
        <w:rPr>
          <w:color w:val="auto"/>
        </w:rPr>
        <w:t>. It does not establish a diagnostic threshold for ore-bearing gold, a field-tested sensitivity for deposits, or the reproducibility of individual targets across survey seasons and laboratories. Higher interpretive confidence would require deliberately sampling high- and low-chargeability domains within the same lithology, including apparently barren controls, and reporting a blinded comparison with gold assay and mineralogical observations. Such work would also reveal whether electrical chargeability offers incremental predictive value after geological and magnetic predictors are known.</w:t>
      </w:r>
    </w:p>
    <w:p w14:paraId="6A49B39A" w14:textId="77777777" w:rsidR="00064FC0" w:rsidRPr="00B90777" w:rsidRDefault="00000000">
      <w:pPr>
        <w:jc w:val="both"/>
        <w:rPr>
          <w:color w:val="auto"/>
        </w:rPr>
      </w:pPr>
      <w:r w:rsidRPr="00B90777">
        <w:rPr>
          <w:color w:val="auto"/>
        </w:rPr>
        <w:t xml:space="preserve">Table 2 compares plausible IP signatures and the tests necessary to distinguish them. It shows why the useful role of IP is to discriminate candidate </w:t>
      </w:r>
      <w:proofErr w:type="spellStart"/>
      <w:r w:rsidRPr="00B90777">
        <w:rPr>
          <w:color w:val="auto"/>
        </w:rPr>
        <w:t>polarising</w:t>
      </w:r>
      <w:proofErr w:type="spellEnd"/>
      <w:r w:rsidRPr="00B90777">
        <w:rPr>
          <w:color w:val="auto"/>
        </w:rPr>
        <w:t xml:space="preserve"> volumes for investigation, while the assignment of a gold-bearing interpretation should occur only after independent geological sampling.</w:t>
      </w:r>
    </w:p>
    <w:p w14:paraId="287C1B60" w14:textId="77777777" w:rsidR="00064FC0" w:rsidRPr="00B90777" w:rsidRDefault="00000000">
      <w:pPr>
        <w:keepNext/>
        <w:spacing w:before="160" w:after="40"/>
        <w:rPr>
          <w:color w:val="auto"/>
        </w:rPr>
      </w:pPr>
      <w:r w:rsidRPr="00B90777">
        <w:rPr>
          <w:b/>
          <w:color w:val="auto"/>
          <w:sz w:val="20"/>
        </w:rPr>
        <w:lastRenderedPageBreak/>
        <w:t>Table 2</w:t>
      </w:r>
    </w:p>
    <w:p w14:paraId="3C32F217" w14:textId="77777777" w:rsidR="00064FC0" w:rsidRPr="00B90777" w:rsidRDefault="00000000">
      <w:pPr>
        <w:keepNext/>
        <w:spacing w:after="100"/>
        <w:rPr>
          <w:color w:val="auto"/>
        </w:rPr>
      </w:pPr>
      <w:r w:rsidRPr="00B90777">
        <w:rPr>
          <w:i/>
          <w:color w:val="auto"/>
          <w:sz w:val="20"/>
        </w:rPr>
        <w:t>Induced-</w:t>
      </w:r>
      <w:proofErr w:type="spellStart"/>
      <w:r w:rsidRPr="00B90777">
        <w:rPr>
          <w:i/>
          <w:color w:val="auto"/>
          <w:sz w:val="20"/>
        </w:rPr>
        <w:t>polarisation</w:t>
      </w:r>
      <w:proofErr w:type="spellEnd"/>
      <w:r w:rsidRPr="00B90777">
        <w:rPr>
          <w:i/>
          <w:color w:val="auto"/>
          <w:sz w:val="20"/>
        </w:rPr>
        <w:t xml:space="preserve"> signatures and required discrimination tests in gold exploration</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02AE284C"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097E2963" w14:textId="77777777" w:rsidR="00064FC0" w:rsidRPr="00B90777" w:rsidRDefault="00000000">
            <w:pPr>
              <w:pStyle w:val="TableBodyAuthor"/>
            </w:pPr>
            <w:r w:rsidRPr="00B90777">
              <w:rPr>
                <w:b/>
              </w:rPr>
              <w:t>IP response</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480663F3" w14:textId="77777777" w:rsidR="00064FC0" w:rsidRPr="00B90777" w:rsidRDefault="00000000">
            <w:pPr>
              <w:pStyle w:val="TableBodyAuthor"/>
            </w:pPr>
            <w:r w:rsidRPr="00B90777">
              <w:rPr>
                <w:b/>
              </w:rPr>
              <w:t>Candidate geological mechanism</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383548D4" w14:textId="77777777" w:rsidR="00064FC0" w:rsidRPr="00B90777" w:rsidRDefault="00000000">
            <w:pPr>
              <w:pStyle w:val="TableBodyAuthor"/>
            </w:pPr>
            <w:r w:rsidRPr="00B90777">
              <w:rPr>
                <w:b/>
              </w:rPr>
              <w:t>Non-auriferous explanation</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6F37C7E7" w14:textId="77777777" w:rsidR="00064FC0" w:rsidRPr="00B90777" w:rsidRDefault="00000000">
            <w:pPr>
              <w:pStyle w:val="TableBodyAuthor"/>
            </w:pPr>
            <w:r w:rsidRPr="00B90777">
              <w:rPr>
                <w:b/>
              </w:rPr>
              <w:t>Minimum corroborating test</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49FCCF6B" w14:textId="77777777" w:rsidR="00064FC0" w:rsidRPr="00B90777" w:rsidRDefault="00000000">
            <w:pPr>
              <w:pStyle w:val="TableBodyAuthor"/>
            </w:pPr>
            <w:r w:rsidRPr="00B90777">
              <w:rPr>
                <w:b/>
              </w:rPr>
              <w:t>Supporting references</w:t>
            </w:r>
          </w:p>
        </w:tc>
      </w:tr>
      <w:tr w:rsidR="00B90777" w:rsidRPr="00B90777" w14:paraId="60A35BA6" w14:textId="77777777">
        <w:trPr>
          <w:jc w:val="center"/>
        </w:trPr>
        <w:tc>
          <w:tcPr>
            <w:tcW w:w="1555" w:type="dxa"/>
            <w:tcMar>
              <w:top w:w="90" w:type="dxa"/>
              <w:left w:w="80" w:type="dxa"/>
              <w:bottom w:w="90" w:type="dxa"/>
              <w:right w:w="80" w:type="dxa"/>
            </w:tcMar>
            <w:vAlign w:val="center"/>
          </w:tcPr>
          <w:p w14:paraId="6E4C98B7" w14:textId="77777777" w:rsidR="00064FC0" w:rsidRPr="00B90777" w:rsidRDefault="00000000">
            <w:pPr>
              <w:pStyle w:val="TableBodyAuthor"/>
            </w:pPr>
            <w:r w:rsidRPr="00B90777">
              <w:t>Elevated time-domain chargeability</w:t>
            </w:r>
          </w:p>
        </w:tc>
        <w:tc>
          <w:tcPr>
            <w:tcW w:w="1915" w:type="dxa"/>
            <w:tcMar>
              <w:top w:w="90" w:type="dxa"/>
              <w:left w:w="80" w:type="dxa"/>
              <w:bottom w:w="90" w:type="dxa"/>
              <w:right w:w="80" w:type="dxa"/>
            </w:tcMar>
            <w:vAlign w:val="center"/>
          </w:tcPr>
          <w:p w14:paraId="0B8B8BAA" w14:textId="77777777" w:rsidR="00064FC0" w:rsidRPr="00B90777" w:rsidRDefault="00000000">
            <w:pPr>
              <w:pStyle w:val="TableBodyAuthor"/>
            </w:pPr>
            <w:r w:rsidRPr="00B90777">
              <w:t xml:space="preserve">Disseminated electronically conductive </w:t>
            </w:r>
            <w:proofErr w:type="spellStart"/>
            <w:r w:rsidRPr="00B90777">
              <w:t>sulphides</w:t>
            </w:r>
            <w:proofErr w:type="spellEnd"/>
            <w:r w:rsidRPr="00B90777">
              <w:t xml:space="preserve"> near veins</w:t>
            </w:r>
          </w:p>
        </w:tc>
        <w:tc>
          <w:tcPr>
            <w:tcW w:w="2002" w:type="dxa"/>
            <w:tcMar>
              <w:top w:w="90" w:type="dxa"/>
              <w:left w:w="80" w:type="dxa"/>
              <w:bottom w:w="90" w:type="dxa"/>
              <w:right w:w="80" w:type="dxa"/>
            </w:tcMar>
            <w:vAlign w:val="center"/>
          </w:tcPr>
          <w:p w14:paraId="0379A173" w14:textId="77777777" w:rsidR="00064FC0" w:rsidRPr="00B90777" w:rsidRDefault="00000000">
            <w:pPr>
              <w:pStyle w:val="TableBodyAuthor"/>
            </w:pPr>
            <w:r w:rsidRPr="00B90777">
              <w:t xml:space="preserve">Barren pyrite, magnetite or </w:t>
            </w:r>
            <w:proofErr w:type="spellStart"/>
            <w:r w:rsidRPr="00B90777">
              <w:t>polarising</w:t>
            </w:r>
            <w:proofErr w:type="spellEnd"/>
            <w:r w:rsidRPr="00B90777">
              <w:t xml:space="preserve"> clay-rich matrix</w:t>
            </w:r>
          </w:p>
        </w:tc>
        <w:tc>
          <w:tcPr>
            <w:tcW w:w="2016" w:type="dxa"/>
            <w:tcMar>
              <w:top w:w="90" w:type="dxa"/>
              <w:left w:w="80" w:type="dxa"/>
              <w:bottom w:w="90" w:type="dxa"/>
              <w:right w:w="80" w:type="dxa"/>
            </w:tcMar>
            <w:vAlign w:val="center"/>
          </w:tcPr>
          <w:p w14:paraId="6C335E17" w14:textId="77777777" w:rsidR="00064FC0" w:rsidRPr="00B90777" w:rsidRDefault="00000000">
            <w:pPr>
              <w:pStyle w:val="TableBodyAuthor"/>
            </w:pPr>
            <w:r w:rsidRPr="00B90777">
              <w:t>Assay and petrography across chargeable and background domains</w:t>
            </w:r>
          </w:p>
        </w:tc>
        <w:tc>
          <w:tcPr>
            <w:tcW w:w="1987" w:type="dxa"/>
            <w:tcMar>
              <w:top w:w="90" w:type="dxa"/>
              <w:left w:w="80" w:type="dxa"/>
              <w:bottom w:w="90" w:type="dxa"/>
              <w:right w:w="80" w:type="dxa"/>
            </w:tcMar>
            <w:vAlign w:val="center"/>
          </w:tcPr>
          <w:p w14:paraId="09AD83BB" w14:textId="77777777" w:rsidR="00064FC0" w:rsidRPr="00B90777" w:rsidRDefault="00000000">
            <w:pPr>
              <w:pStyle w:val="TableBodyAuthor"/>
            </w:pPr>
            <w:r w:rsidRPr="00B90777">
              <w:t>(</w:t>
            </w:r>
            <w:proofErr w:type="spellStart"/>
            <w:r w:rsidRPr="00B90777">
              <w:t>Adekanle</w:t>
            </w:r>
            <w:proofErr w:type="spellEnd"/>
            <w:r w:rsidRPr="00B90777">
              <w:t xml:space="preserve"> et al., 2025; Revil et al., 2015)</w:t>
            </w:r>
          </w:p>
        </w:tc>
      </w:tr>
      <w:tr w:rsidR="00B90777" w:rsidRPr="00B90777" w14:paraId="4F6663A2" w14:textId="77777777">
        <w:trPr>
          <w:jc w:val="center"/>
        </w:trPr>
        <w:tc>
          <w:tcPr>
            <w:tcW w:w="1555" w:type="dxa"/>
            <w:tcMar>
              <w:top w:w="90" w:type="dxa"/>
              <w:left w:w="80" w:type="dxa"/>
              <w:bottom w:w="90" w:type="dxa"/>
              <w:right w:w="80" w:type="dxa"/>
            </w:tcMar>
            <w:vAlign w:val="center"/>
          </w:tcPr>
          <w:p w14:paraId="75FFCA6A" w14:textId="77777777" w:rsidR="00064FC0" w:rsidRPr="00B90777" w:rsidRDefault="00000000">
            <w:pPr>
              <w:pStyle w:val="TableBodyAuthor"/>
            </w:pPr>
            <w:r w:rsidRPr="00B90777">
              <w:t>Elevated IP plus low ERT resistivity</w:t>
            </w:r>
          </w:p>
        </w:tc>
        <w:tc>
          <w:tcPr>
            <w:tcW w:w="1915" w:type="dxa"/>
            <w:tcMar>
              <w:top w:w="90" w:type="dxa"/>
              <w:left w:w="80" w:type="dxa"/>
              <w:bottom w:w="90" w:type="dxa"/>
              <w:right w:w="80" w:type="dxa"/>
            </w:tcMar>
            <w:vAlign w:val="center"/>
          </w:tcPr>
          <w:p w14:paraId="71053FE9" w14:textId="77777777" w:rsidR="00064FC0" w:rsidRPr="00B90777" w:rsidRDefault="00000000">
            <w:pPr>
              <w:pStyle w:val="TableBodyAuthor"/>
            </w:pPr>
            <w:r w:rsidRPr="00B90777">
              <w:t xml:space="preserve">Connected </w:t>
            </w:r>
            <w:proofErr w:type="spellStart"/>
            <w:r w:rsidRPr="00B90777">
              <w:t>sulphide</w:t>
            </w:r>
            <w:proofErr w:type="spellEnd"/>
            <w:r w:rsidRPr="00B90777">
              <w:t>-bearing altered shear</w:t>
            </w:r>
          </w:p>
        </w:tc>
        <w:tc>
          <w:tcPr>
            <w:tcW w:w="2002" w:type="dxa"/>
            <w:tcMar>
              <w:top w:w="90" w:type="dxa"/>
              <w:left w:w="80" w:type="dxa"/>
              <w:bottom w:w="90" w:type="dxa"/>
              <w:right w:w="80" w:type="dxa"/>
            </w:tcMar>
            <w:vAlign w:val="center"/>
          </w:tcPr>
          <w:p w14:paraId="7171D423" w14:textId="77777777" w:rsidR="00064FC0" w:rsidRPr="00B90777" w:rsidRDefault="00000000">
            <w:pPr>
              <w:pStyle w:val="TableBodyAuthor"/>
            </w:pPr>
            <w:r w:rsidRPr="00B90777">
              <w:t xml:space="preserve">Wet clay-rich fault gouge with surface </w:t>
            </w:r>
            <w:proofErr w:type="spellStart"/>
            <w:r w:rsidRPr="00B90777">
              <w:t>polarisation</w:t>
            </w:r>
            <w:proofErr w:type="spellEnd"/>
          </w:p>
        </w:tc>
        <w:tc>
          <w:tcPr>
            <w:tcW w:w="2016" w:type="dxa"/>
            <w:tcMar>
              <w:top w:w="90" w:type="dxa"/>
              <w:left w:w="80" w:type="dxa"/>
              <w:bottom w:w="90" w:type="dxa"/>
              <w:right w:w="80" w:type="dxa"/>
            </w:tcMar>
            <w:vAlign w:val="center"/>
          </w:tcPr>
          <w:p w14:paraId="36E444B7" w14:textId="77777777" w:rsidR="00064FC0" w:rsidRPr="00B90777" w:rsidRDefault="00000000">
            <w:pPr>
              <w:pStyle w:val="TableBodyAuthor"/>
            </w:pPr>
            <w:r w:rsidRPr="00B90777">
              <w:t xml:space="preserve">Regolith logs, </w:t>
            </w:r>
            <w:proofErr w:type="spellStart"/>
            <w:r w:rsidRPr="00B90777">
              <w:t>sulphide</w:t>
            </w:r>
            <w:proofErr w:type="spellEnd"/>
            <w:r w:rsidRPr="00B90777">
              <w:t xml:space="preserve"> abundance and Au assays</w:t>
            </w:r>
          </w:p>
        </w:tc>
        <w:tc>
          <w:tcPr>
            <w:tcW w:w="1987" w:type="dxa"/>
            <w:tcMar>
              <w:top w:w="90" w:type="dxa"/>
              <w:left w:w="80" w:type="dxa"/>
              <w:bottom w:w="90" w:type="dxa"/>
              <w:right w:w="80" w:type="dxa"/>
            </w:tcMar>
            <w:vAlign w:val="center"/>
          </w:tcPr>
          <w:p w14:paraId="6E2D0003" w14:textId="77777777" w:rsidR="00064FC0" w:rsidRPr="00B90777" w:rsidRDefault="00000000">
            <w:pPr>
              <w:pStyle w:val="TableBodyAuthor"/>
            </w:pPr>
            <w:r w:rsidRPr="00B90777">
              <w:t>(</w:t>
            </w:r>
            <w:proofErr w:type="spellStart"/>
            <w:r w:rsidRPr="00B90777">
              <w:t>Adekanle</w:t>
            </w:r>
            <w:proofErr w:type="spellEnd"/>
            <w:r w:rsidRPr="00B90777">
              <w:t xml:space="preserve"> et al., 2025; Revil et al., 2015)</w:t>
            </w:r>
          </w:p>
        </w:tc>
      </w:tr>
      <w:tr w:rsidR="00B90777" w:rsidRPr="00B90777" w14:paraId="6953E019" w14:textId="77777777">
        <w:trPr>
          <w:jc w:val="center"/>
        </w:trPr>
        <w:tc>
          <w:tcPr>
            <w:tcW w:w="1555" w:type="dxa"/>
            <w:tcMar>
              <w:top w:w="90" w:type="dxa"/>
              <w:left w:w="80" w:type="dxa"/>
              <w:bottom w:w="90" w:type="dxa"/>
              <w:right w:w="80" w:type="dxa"/>
            </w:tcMar>
            <w:vAlign w:val="center"/>
          </w:tcPr>
          <w:p w14:paraId="26091119" w14:textId="77777777" w:rsidR="00064FC0" w:rsidRPr="00B90777" w:rsidRDefault="00000000">
            <w:pPr>
              <w:pStyle w:val="TableBodyAuthor"/>
            </w:pPr>
            <w:r w:rsidRPr="00B90777">
              <w:t>Weak IP in quartz-rich zone</w:t>
            </w:r>
          </w:p>
        </w:tc>
        <w:tc>
          <w:tcPr>
            <w:tcW w:w="1915" w:type="dxa"/>
            <w:tcMar>
              <w:top w:w="90" w:type="dxa"/>
              <w:left w:w="80" w:type="dxa"/>
              <w:bottom w:w="90" w:type="dxa"/>
              <w:right w:w="80" w:type="dxa"/>
            </w:tcMar>
            <w:vAlign w:val="center"/>
          </w:tcPr>
          <w:p w14:paraId="44E1BE5A" w14:textId="77777777" w:rsidR="00064FC0" w:rsidRPr="00B90777" w:rsidRDefault="00000000">
            <w:pPr>
              <w:pStyle w:val="TableBodyAuthor"/>
            </w:pPr>
            <w:proofErr w:type="spellStart"/>
            <w:r w:rsidRPr="00B90777">
              <w:t>Sulphide</w:t>
            </w:r>
            <w:proofErr w:type="spellEnd"/>
            <w:r w:rsidRPr="00B90777">
              <w:t>-poor auriferous vein</w:t>
            </w:r>
          </w:p>
        </w:tc>
        <w:tc>
          <w:tcPr>
            <w:tcW w:w="2002" w:type="dxa"/>
            <w:tcMar>
              <w:top w:w="90" w:type="dxa"/>
              <w:left w:w="80" w:type="dxa"/>
              <w:bottom w:w="90" w:type="dxa"/>
              <w:right w:w="80" w:type="dxa"/>
            </w:tcMar>
            <w:vAlign w:val="center"/>
          </w:tcPr>
          <w:p w14:paraId="23506D78" w14:textId="77777777" w:rsidR="00064FC0" w:rsidRPr="00B90777" w:rsidRDefault="00000000">
            <w:pPr>
              <w:pStyle w:val="TableBodyAuthor"/>
            </w:pPr>
            <w:r w:rsidRPr="00B90777">
              <w:t>Barren quartz vein, silicified dyke or resistive fresh rock</w:t>
            </w:r>
          </w:p>
        </w:tc>
        <w:tc>
          <w:tcPr>
            <w:tcW w:w="2016" w:type="dxa"/>
            <w:tcMar>
              <w:top w:w="90" w:type="dxa"/>
              <w:left w:w="80" w:type="dxa"/>
              <w:bottom w:w="90" w:type="dxa"/>
              <w:right w:w="80" w:type="dxa"/>
            </w:tcMar>
            <w:vAlign w:val="center"/>
          </w:tcPr>
          <w:p w14:paraId="5F846836" w14:textId="77777777" w:rsidR="00064FC0" w:rsidRPr="00B90777" w:rsidRDefault="00000000">
            <w:pPr>
              <w:pStyle w:val="TableBodyAuthor"/>
            </w:pPr>
            <w:r w:rsidRPr="00B90777">
              <w:t>Mapped vein continuity and representative Au samples</w:t>
            </w:r>
          </w:p>
        </w:tc>
        <w:tc>
          <w:tcPr>
            <w:tcW w:w="1987" w:type="dxa"/>
            <w:tcMar>
              <w:top w:w="90" w:type="dxa"/>
              <w:left w:w="80" w:type="dxa"/>
              <w:bottom w:w="90" w:type="dxa"/>
              <w:right w:w="80" w:type="dxa"/>
            </w:tcMar>
            <w:vAlign w:val="center"/>
          </w:tcPr>
          <w:p w14:paraId="759ED4BA" w14:textId="77777777" w:rsidR="00064FC0" w:rsidRPr="00B90777" w:rsidRDefault="00000000">
            <w:pPr>
              <w:pStyle w:val="TableBodyAuthor"/>
            </w:pPr>
            <w:r w:rsidRPr="00B90777">
              <w:t>(</w:t>
            </w:r>
            <w:proofErr w:type="spellStart"/>
            <w:r w:rsidRPr="00B90777">
              <w:t>Oyinloye</w:t>
            </w:r>
            <w:proofErr w:type="spellEnd"/>
            <w:r w:rsidRPr="00B90777">
              <w:t xml:space="preserve"> &amp; Steed, 1996)</w:t>
            </w:r>
          </w:p>
        </w:tc>
      </w:tr>
      <w:tr w:rsidR="00B90777" w:rsidRPr="00B90777" w14:paraId="3DC6E4D4" w14:textId="77777777">
        <w:trPr>
          <w:jc w:val="center"/>
        </w:trPr>
        <w:tc>
          <w:tcPr>
            <w:tcW w:w="1555" w:type="dxa"/>
            <w:tcMar>
              <w:top w:w="90" w:type="dxa"/>
              <w:left w:w="80" w:type="dxa"/>
              <w:bottom w:w="90" w:type="dxa"/>
              <w:right w:w="80" w:type="dxa"/>
            </w:tcMar>
            <w:vAlign w:val="center"/>
          </w:tcPr>
          <w:p w14:paraId="51C91B16" w14:textId="77777777" w:rsidR="00064FC0" w:rsidRPr="00B90777" w:rsidRDefault="00000000">
            <w:pPr>
              <w:pStyle w:val="TableBodyAuthor"/>
            </w:pPr>
            <w:r w:rsidRPr="00B90777">
              <w:t>Variable spectral relaxation</w:t>
            </w:r>
          </w:p>
        </w:tc>
        <w:tc>
          <w:tcPr>
            <w:tcW w:w="1915" w:type="dxa"/>
            <w:tcMar>
              <w:top w:w="90" w:type="dxa"/>
              <w:left w:w="80" w:type="dxa"/>
              <w:bottom w:w="90" w:type="dxa"/>
              <w:right w:w="80" w:type="dxa"/>
            </w:tcMar>
            <w:vAlign w:val="center"/>
          </w:tcPr>
          <w:p w14:paraId="2B210C6F" w14:textId="77777777" w:rsidR="00064FC0" w:rsidRPr="00B90777" w:rsidRDefault="00000000">
            <w:pPr>
              <w:pStyle w:val="TableBodyAuthor"/>
            </w:pPr>
            <w:r w:rsidRPr="00B90777">
              <w:t>Change in metallic grain size or electrical interface</w:t>
            </w:r>
          </w:p>
        </w:tc>
        <w:tc>
          <w:tcPr>
            <w:tcW w:w="2002" w:type="dxa"/>
            <w:tcMar>
              <w:top w:w="90" w:type="dxa"/>
              <w:left w:w="80" w:type="dxa"/>
              <w:bottom w:w="90" w:type="dxa"/>
              <w:right w:w="80" w:type="dxa"/>
            </w:tcMar>
            <w:vAlign w:val="center"/>
          </w:tcPr>
          <w:p w14:paraId="2DE6D851" w14:textId="77777777" w:rsidR="00064FC0" w:rsidRPr="00B90777" w:rsidRDefault="00000000">
            <w:pPr>
              <w:pStyle w:val="TableBodyAuthor"/>
            </w:pPr>
            <w:r w:rsidRPr="00B90777">
              <w:t>Mixed ionic/conductive minerals, coupling or fitted-parameter trade-offs</w:t>
            </w:r>
          </w:p>
        </w:tc>
        <w:tc>
          <w:tcPr>
            <w:tcW w:w="2016" w:type="dxa"/>
            <w:tcMar>
              <w:top w:w="90" w:type="dxa"/>
              <w:left w:w="80" w:type="dxa"/>
              <w:bottom w:w="90" w:type="dxa"/>
              <w:right w:w="80" w:type="dxa"/>
            </w:tcMar>
            <w:vAlign w:val="center"/>
          </w:tcPr>
          <w:p w14:paraId="0C0554AD" w14:textId="77777777" w:rsidR="00064FC0" w:rsidRPr="00B90777" w:rsidRDefault="00000000">
            <w:pPr>
              <w:pStyle w:val="TableBodyAuthor"/>
            </w:pPr>
            <w:r w:rsidRPr="00B90777">
              <w:t>Independent frequency coverage, repeatability and sample spectra</w:t>
            </w:r>
          </w:p>
        </w:tc>
        <w:tc>
          <w:tcPr>
            <w:tcW w:w="1987" w:type="dxa"/>
            <w:tcMar>
              <w:top w:w="90" w:type="dxa"/>
              <w:left w:w="80" w:type="dxa"/>
              <w:bottom w:w="90" w:type="dxa"/>
              <w:right w:w="80" w:type="dxa"/>
            </w:tcMar>
            <w:vAlign w:val="center"/>
          </w:tcPr>
          <w:p w14:paraId="438E1BA2" w14:textId="77777777" w:rsidR="00064FC0" w:rsidRPr="00B90777" w:rsidRDefault="00000000">
            <w:pPr>
              <w:pStyle w:val="TableBodyAuthor"/>
            </w:pPr>
            <w:r w:rsidRPr="00B90777">
              <w:t>(Ghorbani et al., 2007; Pelton et al., 1978)</w:t>
            </w:r>
          </w:p>
        </w:tc>
      </w:tr>
      <w:tr w:rsidR="00B90777" w:rsidRPr="00B90777" w14:paraId="333A29E0" w14:textId="77777777">
        <w:trPr>
          <w:jc w:val="center"/>
        </w:trPr>
        <w:tc>
          <w:tcPr>
            <w:tcW w:w="1555" w:type="dxa"/>
            <w:tcBorders>
              <w:bottom w:val="single" w:sz="7" w:space="0" w:color="273B4E"/>
            </w:tcBorders>
            <w:tcMar>
              <w:top w:w="90" w:type="dxa"/>
              <w:left w:w="80" w:type="dxa"/>
              <w:bottom w:w="90" w:type="dxa"/>
              <w:right w:w="80" w:type="dxa"/>
            </w:tcMar>
            <w:vAlign w:val="center"/>
          </w:tcPr>
          <w:p w14:paraId="12455DBA" w14:textId="77777777" w:rsidR="00064FC0" w:rsidRPr="00B90777" w:rsidRDefault="00000000">
            <w:pPr>
              <w:pStyle w:val="TableBodyAuthor"/>
            </w:pPr>
            <w:r w:rsidRPr="00B90777">
              <w:t>Apparent deep chargeability body</w:t>
            </w:r>
          </w:p>
        </w:tc>
        <w:tc>
          <w:tcPr>
            <w:tcW w:w="1915" w:type="dxa"/>
            <w:tcBorders>
              <w:bottom w:val="single" w:sz="7" w:space="0" w:color="273B4E"/>
            </w:tcBorders>
            <w:tcMar>
              <w:top w:w="90" w:type="dxa"/>
              <w:left w:w="80" w:type="dxa"/>
              <w:bottom w:w="90" w:type="dxa"/>
              <w:right w:w="80" w:type="dxa"/>
            </w:tcMar>
            <w:vAlign w:val="center"/>
          </w:tcPr>
          <w:p w14:paraId="0A2971B4" w14:textId="77777777" w:rsidR="00064FC0" w:rsidRPr="00B90777" w:rsidRDefault="00000000">
            <w:pPr>
              <w:pStyle w:val="TableBodyAuthor"/>
            </w:pPr>
            <w:proofErr w:type="spellStart"/>
            <w:r w:rsidRPr="00B90777">
              <w:t>Polarising</w:t>
            </w:r>
            <w:proofErr w:type="spellEnd"/>
            <w:r w:rsidRPr="00B90777">
              <w:t xml:space="preserve"> </w:t>
            </w:r>
            <w:proofErr w:type="spellStart"/>
            <w:r w:rsidRPr="00B90777">
              <w:t>mineralisation</w:t>
            </w:r>
            <w:proofErr w:type="spellEnd"/>
            <w:r w:rsidRPr="00B90777">
              <w:t xml:space="preserve"> below regolith</w:t>
            </w:r>
          </w:p>
        </w:tc>
        <w:tc>
          <w:tcPr>
            <w:tcW w:w="2002" w:type="dxa"/>
            <w:tcBorders>
              <w:bottom w:val="single" w:sz="7" w:space="0" w:color="273B4E"/>
            </w:tcBorders>
            <w:tcMar>
              <w:top w:w="90" w:type="dxa"/>
              <w:left w:w="80" w:type="dxa"/>
              <w:bottom w:w="90" w:type="dxa"/>
              <w:right w:w="80" w:type="dxa"/>
            </w:tcMar>
            <w:vAlign w:val="center"/>
          </w:tcPr>
          <w:p w14:paraId="72FBC4A7" w14:textId="77777777" w:rsidR="00064FC0" w:rsidRPr="00B90777" w:rsidRDefault="00000000">
            <w:pPr>
              <w:pStyle w:val="TableBodyAuthor"/>
            </w:pPr>
            <w:r w:rsidRPr="00B90777">
              <w:t xml:space="preserve">Insufficient sensitivity or </w:t>
            </w:r>
            <w:proofErr w:type="spellStart"/>
            <w:r w:rsidRPr="00B90777">
              <w:t>regularisation</w:t>
            </w:r>
            <w:proofErr w:type="spellEnd"/>
            <w:r w:rsidRPr="00B90777">
              <w:t xml:space="preserve"> artefact</w:t>
            </w:r>
          </w:p>
        </w:tc>
        <w:tc>
          <w:tcPr>
            <w:tcW w:w="2016" w:type="dxa"/>
            <w:tcBorders>
              <w:bottom w:val="single" w:sz="7" w:space="0" w:color="273B4E"/>
            </w:tcBorders>
            <w:tcMar>
              <w:top w:w="90" w:type="dxa"/>
              <w:left w:w="80" w:type="dxa"/>
              <w:bottom w:w="90" w:type="dxa"/>
              <w:right w:w="80" w:type="dxa"/>
            </w:tcMar>
            <w:vAlign w:val="center"/>
          </w:tcPr>
          <w:p w14:paraId="3FB438B3" w14:textId="77777777" w:rsidR="00064FC0" w:rsidRPr="00B90777" w:rsidRDefault="00000000">
            <w:pPr>
              <w:pStyle w:val="TableBodyAuthor"/>
            </w:pPr>
            <w:r w:rsidRPr="00B90777">
              <w:t>Depth-of-investigation analysis and crossing profiles</w:t>
            </w:r>
          </w:p>
        </w:tc>
        <w:tc>
          <w:tcPr>
            <w:tcW w:w="1987" w:type="dxa"/>
            <w:tcBorders>
              <w:bottom w:val="single" w:sz="7" w:space="0" w:color="273B4E"/>
            </w:tcBorders>
            <w:tcMar>
              <w:top w:w="90" w:type="dxa"/>
              <w:left w:w="80" w:type="dxa"/>
              <w:bottom w:w="90" w:type="dxa"/>
              <w:right w:w="80" w:type="dxa"/>
            </w:tcMar>
            <w:vAlign w:val="center"/>
          </w:tcPr>
          <w:p w14:paraId="7FEFF295" w14:textId="77777777" w:rsidR="00064FC0" w:rsidRPr="00B90777" w:rsidRDefault="00000000">
            <w:pPr>
              <w:pStyle w:val="TableBodyAuthor"/>
            </w:pPr>
            <w:r w:rsidRPr="00B90777">
              <w:t>(Loke &amp; Barker, 1996; Oldenburg &amp; Li, 1999)</w:t>
            </w:r>
          </w:p>
        </w:tc>
      </w:tr>
    </w:tbl>
    <w:p w14:paraId="59655801" w14:textId="77777777" w:rsidR="00064FC0" w:rsidRPr="00B90777" w:rsidRDefault="00000000">
      <w:pPr>
        <w:pStyle w:val="TableNoteAuthor"/>
      </w:pPr>
      <w:r w:rsidRPr="00B90777">
        <w:rPr>
          <w:i/>
        </w:rPr>
        <w:t xml:space="preserve">Note. </w:t>
      </w:r>
      <w:r w:rsidRPr="00B90777">
        <w:t xml:space="preserve">IP is responsive to electrical </w:t>
      </w:r>
      <w:proofErr w:type="spellStart"/>
      <w:r w:rsidRPr="00B90777">
        <w:t>polarisation</w:t>
      </w:r>
      <w:proofErr w:type="spellEnd"/>
      <w:r w:rsidRPr="00B90777">
        <w:t>, not a direct measurement of elemental gold. Time-domain numerical values depend on survey gates and instrumentation.</w:t>
      </w:r>
    </w:p>
    <w:p w14:paraId="1FEE1234" w14:textId="77777777" w:rsidR="00064FC0" w:rsidRPr="00B90777" w:rsidRDefault="00000000">
      <w:pPr>
        <w:pStyle w:val="Heading1"/>
        <w:rPr>
          <w:color w:val="auto"/>
        </w:rPr>
      </w:pPr>
      <w:r w:rsidRPr="00B90777">
        <w:rPr>
          <w:color w:val="auto"/>
        </w:rPr>
        <w:t>5. Electrical Resistivity Tomography: Locating Zones of Contrast</w:t>
      </w:r>
    </w:p>
    <w:p w14:paraId="0B3D27B1" w14:textId="77777777" w:rsidR="00064FC0" w:rsidRPr="00B90777" w:rsidRDefault="00000000">
      <w:pPr>
        <w:pStyle w:val="Heading2"/>
        <w:rPr>
          <w:color w:val="auto"/>
        </w:rPr>
      </w:pPr>
      <w:r w:rsidRPr="00B90777">
        <w:rPr>
          <w:color w:val="auto"/>
        </w:rPr>
        <w:t>5.1 Physical Basis and the Multiple Meanings of Low Resistivity</w:t>
      </w:r>
    </w:p>
    <w:p w14:paraId="442859C3" w14:textId="77777777" w:rsidR="00064FC0" w:rsidRPr="00B90777" w:rsidRDefault="00000000">
      <w:pPr>
        <w:jc w:val="both"/>
        <w:rPr>
          <w:color w:val="auto"/>
        </w:rPr>
      </w:pPr>
      <w:r w:rsidRPr="00B90777">
        <w:rPr>
          <w:color w:val="auto"/>
        </w:rPr>
        <w:t>Electrical resistivity tomography (ERT) reconstructs a subsurface resistivity distribution from surface measurements of voltage under controlled current injection. In fractured Precambrian terrain, resistivity varies with intact mineral assemblage, porosity, fluid saturation, ionic content, clay fraction and the geometry of fractures and weathering. Some quartz veins form relatively resistive bodies, whereas clay-rich fault gouge and water-filled fractures may be conductive. Disseminated metallic minerals can also affect conductivity, particularly when interconnected. Consequently, a low-resistivity zone is an electrical property observation and not a direct assay for gold, nor even an unambiguous identification of a fault or a particular alteration mineral (Griffiths et al., 1990; Loke &amp; Barker, 1996).</w:t>
      </w:r>
    </w:p>
    <w:p w14:paraId="5B086AF9" w14:textId="77777777" w:rsidR="00064FC0" w:rsidRPr="00B90777" w:rsidRDefault="00000000">
      <w:pPr>
        <w:jc w:val="both"/>
        <w:rPr>
          <w:color w:val="auto"/>
        </w:rPr>
      </w:pPr>
      <w:r w:rsidRPr="00B90777">
        <w:rPr>
          <w:color w:val="auto"/>
        </w:rPr>
        <w:t xml:space="preserve">Regional lithological diversity makes this ambiguity more acute. Fresh amphibolite may possess a different baseline resistivity from weathered granite-gneiss, and lateritic profiles can contain conductive, clay-rich horizons overlying resistive saprolite or fractured basement. Resistivity </w:t>
      </w:r>
      <w:proofErr w:type="spellStart"/>
      <w:r w:rsidRPr="00B90777">
        <w:rPr>
          <w:color w:val="auto"/>
        </w:rPr>
        <w:t>colour</w:t>
      </w:r>
      <w:proofErr w:type="spellEnd"/>
      <w:r w:rsidRPr="00B90777">
        <w:rPr>
          <w:color w:val="auto"/>
        </w:rPr>
        <w:t xml:space="preserve"> scales that are compelling in one locality cannot be transferred to another without calibration. Seasonal moisture changes are especially important for near-surface monitoring: a profile acquired in a wet period may differ substantially from the same traverse in a dry period even when </w:t>
      </w:r>
      <w:proofErr w:type="spellStart"/>
      <w:r w:rsidRPr="00B90777">
        <w:rPr>
          <w:color w:val="auto"/>
        </w:rPr>
        <w:t>mineralised</w:t>
      </w:r>
      <w:proofErr w:type="spellEnd"/>
      <w:r w:rsidRPr="00B90777">
        <w:rPr>
          <w:color w:val="auto"/>
        </w:rPr>
        <w:t xml:space="preserve"> bedrock is unchanged. The relevant control is the contrast against surrounding units of comparable moisture and weathering, not an absolute value interpreted as ore grade.</w:t>
      </w:r>
    </w:p>
    <w:p w14:paraId="6CFCCA31" w14:textId="77777777" w:rsidR="00064FC0" w:rsidRPr="00B90777" w:rsidRDefault="00000000">
      <w:pPr>
        <w:jc w:val="both"/>
        <w:rPr>
          <w:color w:val="auto"/>
        </w:rPr>
      </w:pPr>
      <w:r w:rsidRPr="00B90777">
        <w:rPr>
          <w:color w:val="auto"/>
        </w:rPr>
        <w:t xml:space="preserve">ERT becomes geologically informative when the electrical boundary coincides with independently mapped lithology, vein strike or fault geometry and when its depth and continuity are stable across plausible </w:t>
      </w:r>
      <w:r w:rsidRPr="00B90777">
        <w:rPr>
          <w:color w:val="auto"/>
        </w:rPr>
        <w:lastRenderedPageBreak/>
        <w:t>inversion choices. The classic two-dimensional imaging framework allows lateral resistivity contrasts to be recovered efficiently, but mathematical smoothing and topography can distort small steeply dipping targets (Griffiths et al., 1990; Loke &amp; Barker, 1996). A narrow conductive shear may be represented as a broad diffuse low-resistivity zone, and a strong shallow layer can dominate current flow while reducing sensitivity to a deeper vein. The electrode array therefore determines which part of the geological model can be tested, not merely how a profile is displayed.</w:t>
      </w:r>
    </w:p>
    <w:p w14:paraId="38E59DAE" w14:textId="77777777" w:rsidR="00064FC0" w:rsidRPr="00B90777" w:rsidRDefault="00000000">
      <w:pPr>
        <w:pStyle w:val="Heading2"/>
        <w:rPr>
          <w:color w:val="auto"/>
        </w:rPr>
      </w:pPr>
      <w:r w:rsidRPr="00B90777">
        <w:rPr>
          <w:color w:val="auto"/>
        </w:rPr>
        <w:t xml:space="preserve">5.2 </w:t>
      </w:r>
      <w:proofErr w:type="spellStart"/>
      <w:r w:rsidRPr="00B90777">
        <w:rPr>
          <w:color w:val="auto"/>
        </w:rPr>
        <w:t>Iperindo</w:t>
      </w:r>
      <w:proofErr w:type="spellEnd"/>
      <w:r w:rsidRPr="00B90777">
        <w:rPr>
          <w:color w:val="auto"/>
        </w:rPr>
        <w:t xml:space="preserve"> and </w:t>
      </w:r>
      <w:proofErr w:type="spellStart"/>
      <w:r w:rsidRPr="00B90777">
        <w:rPr>
          <w:color w:val="auto"/>
        </w:rPr>
        <w:t>Itagunmodi</w:t>
      </w:r>
      <w:proofErr w:type="spellEnd"/>
      <w:r w:rsidRPr="00B90777">
        <w:rPr>
          <w:color w:val="auto"/>
        </w:rPr>
        <w:t>: What the Local Sections Establish</w:t>
      </w:r>
    </w:p>
    <w:p w14:paraId="5BDEFAFE" w14:textId="77777777" w:rsidR="00064FC0" w:rsidRPr="00B90777" w:rsidRDefault="00000000">
      <w:pPr>
        <w:jc w:val="both"/>
        <w:rPr>
          <w:color w:val="auto"/>
        </w:rPr>
      </w:pPr>
      <w:r w:rsidRPr="00B90777">
        <w:rPr>
          <w:color w:val="auto"/>
        </w:rPr>
        <w:t xml:space="preserve">At </w:t>
      </w:r>
      <w:proofErr w:type="spellStart"/>
      <w:r w:rsidRPr="00B90777">
        <w:rPr>
          <w:color w:val="auto"/>
        </w:rPr>
        <w:t>Iperindo</w:t>
      </w:r>
      <w:proofErr w:type="spellEnd"/>
      <w:r w:rsidRPr="00B90777">
        <w:rPr>
          <w:color w:val="auto"/>
        </w:rPr>
        <w:t xml:space="preserve">, Osinowo et al. (2020) employed five east–west ERT profiles, each reported as 336 m in length and spaced approximately 10 m apart. They delineated isolated, comparatively low-resistivity domains, including reported values spanning approximately 3–200 Ω m in selected zones, which were interpreted as possible </w:t>
      </w:r>
      <w:proofErr w:type="spellStart"/>
      <w:r w:rsidRPr="00B90777">
        <w:rPr>
          <w:color w:val="auto"/>
        </w:rPr>
        <w:t>mineralisation</w:t>
      </w:r>
      <w:proofErr w:type="spellEnd"/>
      <w:r w:rsidRPr="00B90777">
        <w:rPr>
          <w:color w:val="auto"/>
        </w:rPr>
        <w:t>-related features. The survey gives local evidence for electrical heterogeneity and possible structural compartments. It does not demonstrate that the recovered low-resistivity volumes contain economic gold, because the inverse solution cannot distinguish conductive weathering, groundwater and mineral-bearing material without ground truth. The spatial arrangement of profile anomalies also cannot be taken as a direct three-dimensional orebody boundary.</w:t>
      </w:r>
    </w:p>
    <w:p w14:paraId="144FD9DD" w14:textId="77777777" w:rsidR="00064FC0" w:rsidRPr="00B90777" w:rsidRDefault="00000000">
      <w:pPr>
        <w:jc w:val="both"/>
        <w:rPr>
          <w:color w:val="auto"/>
        </w:rPr>
      </w:pPr>
      <w:r w:rsidRPr="00B90777">
        <w:rPr>
          <w:color w:val="auto"/>
        </w:rPr>
        <w:t xml:space="preserve">The significance of the </w:t>
      </w:r>
      <w:proofErr w:type="spellStart"/>
      <w:r w:rsidRPr="00B90777">
        <w:rPr>
          <w:color w:val="auto"/>
        </w:rPr>
        <w:t>Iperindo</w:t>
      </w:r>
      <w:proofErr w:type="spellEnd"/>
      <w:r w:rsidRPr="00B90777">
        <w:rPr>
          <w:color w:val="auto"/>
        </w:rPr>
        <w:t xml:space="preserve"> survey is strongest when its candidate conductive domains are considered alongside the independently documented quartz–carbonate veins, altered gneiss and local fault system. Those geological observations make some electrical features plausible targets, yet they also raise the possibility that a narrow quartz-rich gold zone may be comparatively resistive and partly missed by a conductivity-led targeting strategy (</w:t>
      </w:r>
      <w:proofErr w:type="spellStart"/>
      <w:r w:rsidRPr="00B90777">
        <w:rPr>
          <w:color w:val="auto"/>
        </w:rPr>
        <w:t>Oyinloye</w:t>
      </w:r>
      <w:proofErr w:type="spellEnd"/>
      <w:r w:rsidRPr="00B90777">
        <w:rPr>
          <w:color w:val="auto"/>
        </w:rPr>
        <w:t xml:space="preserve"> &amp; Steed, 1996; Osinowo et al., 2020). </w:t>
      </w:r>
      <w:proofErr w:type="gramStart"/>
      <w:r w:rsidRPr="00B90777">
        <w:rPr>
          <w:color w:val="auto"/>
        </w:rPr>
        <w:t>Thus</w:t>
      </w:r>
      <w:proofErr w:type="gramEnd"/>
      <w:r w:rsidRPr="00B90777">
        <w:rPr>
          <w:color w:val="auto"/>
        </w:rPr>
        <w:t xml:space="preserve"> the geologically appropriate interpretation should identify several candidate electrical facies and evaluate their relationship to known mapped structures, rather than mark every blue low-resistivity patch as a gold deposit.</w:t>
      </w:r>
    </w:p>
    <w:p w14:paraId="5665A2DD" w14:textId="77777777" w:rsidR="00064FC0" w:rsidRPr="00B90777" w:rsidRDefault="00000000">
      <w:pPr>
        <w:jc w:val="both"/>
        <w:rPr>
          <w:color w:val="auto"/>
        </w:rPr>
      </w:pPr>
      <w:r w:rsidRPr="00B90777">
        <w:rPr>
          <w:color w:val="auto"/>
        </w:rPr>
        <w:t xml:space="preserve">The </w:t>
      </w:r>
      <w:proofErr w:type="spellStart"/>
      <w:r w:rsidRPr="00B90777">
        <w:rPr>
          <w:color w:val="auto"/>
        </w:rPr>
        <w:t>Itagunmodi</w:t>
      </w:r>
      <w:proofErr w:type="spellEnd"/>
      <w:r w:rsidRPr="00B90777">
        <w:rPr>
          <w:color w:val="auto"/>
        </w:rPr>
        <w:t xml:space="preserve"> work of </w:t>
      </w:r>
      <w:proofErr w:type="spellStart"/>
      <w:r w:rsidRPr="00B90777">
        <w:rPr>
          <w:color w:val="auto"/>
        </w:rPr>
        <w:t>Adekanle</w:t>
      </w:r>
      <w:proofErr w:type="spellEnd"/>
      <w:r w:rsidRPr="00B90777">
        <w:rPr>
          <w:color w:val="auto"/>
        </w:rPr>
        <w:t xml:space="preserve"> et al. (2025) is instructive because chargeability and resistivity were collected on corresponding traverses. Zones combining comparatively low resistivity and high chargeability were labelled prospective. This coincidence can be more informative than a resistivity minimum alone because it suggests a </w:t>
      </w:r>
      <w:proofErr w:type="spellStart"/>
      <w:r w:rsidRPr="00B90777">
        <w:rPr>
          <w:color w:val="auto"/>
        </w:rPr>
        <w:t>polarising</w:t>
      </w:r>
      <w:proofErr w:type="spellEnd"/>
      <w:r w:rsidRPr="00B90777">
        <w:rPr>
          <w:color w:val="auto"/>
        </w:rPr>
        <w:t xml:space="preserve"> component in some conductive intervals. Nevertheless, the measurements are physically related, and their joint occurrence is not equivalent to two independent discoveries of gold. The common array, inversion geometry and regolith setting can produce correlated anomalies, while the ore-specific inference still depends on petrography and Au assays.</w:t>
      </w:r>
    </w:p>
    <w:p w14:paraId="1425DF3D" w14:textId="77777777" w:rsidR="00064FC0" w:rsidRPr="00B90777" w:rsidRDefault="00000000">
      <w:pPr>
        <w:jc w:val="both"/>
        <w:rPr>
          <w:color w:val="auto"/>
        </w:rPr>
      </w:pPr>
      <w:r w:rsidRPr="00B90777">
        <w:rPr>
          <w:color w:val="auto"/>
        </w:rPr>
        <w:t xml:space="preserve">The apparent contrast between the </w:t>
      </w:r>
      <w:proofErr w:type="spellStart"/>
      <w:r w:rsidRPr="00B90777">
        <w:rPr>
          <w:color w:val="auto"/>
        </w:rPr>
        <w:t>Iperindo</w:t>
      </w:r>
      <w:proofErr w:type="spellEnd"/>
      <w:r w:rsidRPr="00B90777">
        <w:rPr>
          <w:color w:val="auto"/>
        </w:rPr>
        <w:t xml:space="preserve"> interpretation, which </w:t>
      </w:r>
      <w:proofErr w:type="spellStart"/>
      <w:r w:rsidRPr="00B90777">
        <w:rPr>
          <w:color w:val="auto"/>
        </w:rPr>
        <w:t>emphasises</w:t>
      </w:r>
      <w:proofErr w:type="spellEnd"/>
      <w:r w:rsidRPr="00B90777">
        <w:rPr>
          <w:color w:val="auto"/>
        </w:rPr>
        <w:t xml:space="preserve"> low resistivity, and the geological description of quartz-rich veins is best regarded as a testable discrepancy rather than a failure of either source. The ERT profile may be responding to altered wall rock, clay in fault gouge, groundwater-filled fractures or </w:t>
      </w:r>
      <w:proofErr w:type="spellStart"/>
      <w:r w:rsidRPr="00B90777">
        <w:rPr>
          <w:color w:val="auto"/>
        </w:rPr>
        <w:t>sulphidised</w:t>
      </w:r>
      <w:proofErr w:type="spellEnd"/>
      <w:r w:rsidRPr="00B90777">
        <w:rPr>
          <w:color w:val="auto"/>
        </w:rPr>
        <w:t xml:space="preserve"> zones bordering the quartz vein. It may also be imaging a weathered regolith feature unrelated to the target lode. Only paired trench mapping, alteration mineralogy and representative samples through both the conductive body and the surrounding higher-resistivity host can discriminate these hypotheses.</w:t>
      </w:r>
    </w:p>
    <w:p w14:paraId="0BF1F0AB" w14:textId="77777777" w:rsidR="00064FC0" w:rsidRPr="00B90777" w:rsidRDefault="00000000">
      <w:pPr>
        <w:pStyle w:val="Heading2"/>
        <w:rPr>
          <w:color w:val="auto"/>
        </w:rPr>
      </w:pPr>
      <w:r w:rsidRPr="00B90777">
        <w:rPr>
          <w:color w:val="auto"/>
        </w:rPr>
        <w:lastRenderedPageBreak/>
        <w:t>5.3 Two-Dimensional Inversion, Depth and Resolution</w:t>
      </w:r>
    </w:p>
    <w:p w14:paraId="5BAA8ADD" w14:textId="77777777" w:rsidR="00064FC0" w:rsidRPr="00B90777" w:rsidRDefault="00000000">
      <w:pPr>
        <w:jc w:val="both"/>
        <w:rPr>
          <w:color w:val="auto"/>
        </w:rPr>
      </w:pPr>
      <w:r w:rsidRPr="00B90777">
        <w:rPr>
          <w:color w:val="auto"/>
        </w:rPr>
        <w:t>A central limitation of profile-based ERT is its assumption that resistivity remains approximately constant perpendicular to the line of electrodes. In a belt containing oblique shear zones, folded units and discrete veins, this two-dimensional approximation may be violated. A conductor situated beside the line can influence the observations and be projected beneath the profile, while a steep structure crossing the line at an oblique angle may appear wider and deeper than it is. A group of several parallel sections does not fully resolve this issue unless the line spacing, target dimensions and lateral continuity justify interpolation.</w:t>
      </w:r>
    </w:p>
    <w:p w14:paraId="389E29B6" w14:textId="77777777" w:rsidR="00064FC0" w:rsidRPr="00B90777" w:rsidRDefault="00000000">
      <w:pPr>
        <w:jc w:val="both"/>
        <w:rPr>
          <w:color w:val="auto"/>
        </w:rPr>
      </w:pPr>
      <w:r w:rsidRPr="00B90777">
        <w:rPr>
          <w:color w:val="auto"/>
        </w:rPr>
        <w:t xml:space="preserve">Smoothness-constrained inversion produces one defensible model among many distributions compatible with noisy apparent resistivity. The Occam-style preference for smooth models illustrates the broader inverse-problem principle that </w:t>
      </w:r>
      <w:proofErr w:type="spellStart"/>
      <w:r w:rsidRPr="00B90777">
        <w:rPr>
          <w:color w:val="auto"/>
        </w:rPr>
        <w:t>regularisation</w:t>
      </w:r>
      <w:proofErr w:type="spellEnd"/>
      <w:r w:rsidRPr="00B90777">
        <w:rPr>
          <w:color w:val="auto"/>
        </w:rPr>
        <w:t xml:space="preserve"> is a modelling choice and not evidence that geology is smoothly varying (Constable et al., 1987). In mineral exploration, a robust alternative inversion or blocky penalty may produce a markedly different shape for the same observations. Reported residual misfit is necessary but not sufficient because low misfit can coexist with poorly constrained depths. Loke and Barker (1996) provide a methodological baseline for evaluating inversion procedures, but the field report must document its own error model and sensitivity.</w:t>
      </w:r>
    </w:p>
    <w:p w14:paraId="26B2F466" w14:textId="77777777" w:rsidR="00064FC0" w:rsidRPr="00B90777" w:rsidRDefault="00000000">
      <w:pPr>
        <w:jc w:val="both"/>
        <w:rPr>
          <w:color w:val="auto"/>
        </w:rPr>
      </w:pPr>
      <w:r w:rsidRPr="00B90777">
        <w:rPr>
          <w:color w:val="auto"/>
        </w:rPr>
        <w:t>Depth-of-investigation analyses are particularly necessary for claims about deposits beneath thick weathering. Oldenburg and Li (1999) show that a recovered image can be influenced strongly by the reference model where data sensitivity becomes weak. Rather than draw a uniform maximum-depth line from the software plot, researchers should show model sensitivity or depth-of-investigation indices and avoid interpreting low-coverage regions. Electrode contact variation, short baselines and electrical anisotropy in foliated schists can further alter effective sensitivity. These effects become critical when apparent conductive bodies are near the ends or bases of profiles, where inversion edge artefacts are comparatively common.</w:t>
      </w:r>
    </w:p>
    <w:p w14:paraId="3A56B942" w14:textId="77777777" w:rsidR="00064FC0" w:rsidRPr="00B90777" w:rsidRDefault="00000000">
      <w:pPr>
        <w:jc w:val="both"/>
        <w:rPr>
          <w:color w:val="auto"/>
        </w:rPr>
      </w:pPr>
      <w:r w:rsidRPr="00B90777">
        <w:rPr>
          <w:color w:val="auto"/>
        </w:rPr>
        <w:t>A defensible electrical target is consequently described by lateral coordinate, tested depth range, uncertainty envelope and proposed host structure. The inferred width should be compared with electrode spacing and model resolution; the latter cannot be read directly from the nominal mesh cell size. An anomaly may be stable in position but uncertain in amplitude, or vice versa. Reporting that distinction is more useful for planning a trench or borehole than presenting the full numerical range of an inversion palette without location-specific error bars.</w:t>
      </w:r>
    </w:p>
    <w:p w14:paraId="2C0DE867" w14:textId="77777777" w:rsidR="00064FC0" w:rsidRPr="00B90777" w:rsidRDefault="00000000">
      <w:pPr>
        <w:pStyle w:val="Heading2"/>
        <w:rPr>
          <w:color w:val="auto"/>
        </w:rPr>
      </w:pPr>
      <w:r w:rsidRPr="00B90777">
        <w:rPr>
          <w:color w:val="auto"/>
        </w:rPr>
        <w:t>5.4 Corroboration, Negative Controls and Survey Design</w:t>
      </w:r>
    </w:p>
    <w:p w14:paraId="2C997F93" w14:textId="77777777" w:rsidR="00064FC0" w:rsidRPr="00B90777" w:rsidRDefault="00000000">
      <w:pPr>
        <w:jc w:val="both"/>
        <w:rPr>
          <w:color w:val="auto"/>
        </w:rPr>
      </w:pPr>
      <w:r w:rsidRPr="00B90777">
        <w:rPr>
          <w:color w:val="auto"/>
        </w:rPr>
        <w:t xml:space="preserve">Electrical surveys ought to be designed around competing models. If the principal target is a steep gold-bearing quartz vein, resistive vein cores and conductive altered margins both merit attention. If the main target is a </w:t>
      </w:r>
      <w:proofErr w:type="spellStart"/>
      <w:r w:rsidRPr="00B90777">
        <w:rPr>
          <w:color w:val="auto"/>
        </w:rPr>
        <w:t>sulphidised</w:t>
      </w:r>
      <w:proofErr w:type="spellEnd"/>
      <w:r w:rsidRPr="00B90777">
        <w:rPr>
          <w:color w:val="auto"/>
        </w:rPr>
        <w:t xml:space="preserve"> shear zone, the combination of a low-resistivity pathway with chargeability becomes more plausible, but the expected mineralogy must be stated first. If placers or buried channels are under investigation, an ERT interpretation of sediment thickness and bedrock relief requires a different sampling design from lode-gold prospecting. Failing to distinguish these exploration purposes can lead to the same anomaly being invoked as evidence for unrelated deposit types.</w:t>
      </w:r>
    </w:p>
    <w:p w14:paraId="17C0012C" w14:textId="77777777" w:rsidR="00064FC0" w:rsidRPr="00B90777" w:rsidRDefault="00000000">
      <w:pPr>
        <w:jc w:val="both"/>
        <w:rPr>
          <w:color w:val="auto"/>
        </w:rPr>
      </w:pPr>
      <w:r w:rsidRPr="00B90777">
        <w:rPr>
          <w:color w:val="auto"/>
        </w:rPr>
        <w:lastRenderedPageBreak/>
        <w:t xml:space="preserve">Ground control should include areas of altered but visibly barren rock and known gold-bearing occurrences, where access allows. These controls can reveal whether resistivity distinguishes gold-bearing zones from ordinary weathering and </w:t>
      </w:r>
      <w:proofErr w:type="spellStart"/>
      <w:r w:rsidRPr="00B90777">
        <w:rPr>
          <w:color w:val="auto"/>
        </w:rPr>
        <w:t>mineralised</w:t>
      </w:r>
      <w:proofErr w:type="spellEnd"/>
      <w:r w:rsidRPr="00B90777">
        <w:rPr>
          <w:color w:val="auto"/>
        </w:rPr>
        <w:t xml:space="preserve"> but non-auriferous structures. Logs of saprolite thickness, water-table observations, field conductivity, lithology and mineral abundance would allow a researcher to explain why different profiles disagree. Where profile interpenetration or structural curvature is suspected, intersecting lines or an actual three-dimensional ERT grid can test whether the principal inferred bodies persist under a more realistic survey geometry.</w:t>
      </w:r>
    </w:p>
    <w:p w14:paraId="3BF9B580" w14:textId="77777777" w:rsidR="00064FC0" w:rsidRPr="00B90777" w:rsidRDefault="00000000">
      <w:pPr>
        <w:jc w:val="both"/>
        <w:rPr>
          <w:color w:val="auto"/>
        </w:rPr>
      </w:pPr>
      <w:r w:rsidRPr="00B90777">
        <w:rPr>
          <w:color w:val="auto"/>
        </w:rPr>
        <w:t xml:space="preserve">The practical contribution of ERT is therefore local structural and alteration appraisal, especially when direct exposure is scarce. Its strongest results are expected where the target is large enough relative to electrode spacing and contrasts with a reasonably homogeneous background. The evidence from southwestern Nigeria does not currently permit </w:t>
      </w:r>
      <w:proofErr w:type="spellStart"/>
      <w:r w:rsidRPr="00B90777">
        <w:rPr>
          <w:color w:val="auto"/>
        </w:rPr>
        <w:t>generalising</w:t>
      </w:r>
      <w:proofErr w:type="spellEnd"/>
      <w:r w:rsidRPr="00B90777">
        <w:rPr>
          <w:color w:val="auto"/>
        </w:rPr>
        <w:t xml:space="preserve"> a single numerical resistivity interval as gold-specific across the belt, and thresholds published for one moisture and lithological regime should not be transplanted uncritically to another (</w:t>
      </w:r>
      <w:proofErr w:type="spellStart"/>
      <w:r w:rsidRPr="00B90777">
        <w:rPr>
          <w:color w:val="auto"/>
        </w:rPr>
        <w:t>Adekanle</w:t>
      </w:r>
      <w:proofErr w:type="spellEnd"/>
      <w:r w:rsidRPr="00B90777">
        <w:rPr>
          <w:color w:val="auto"/>
        </w:rPr>
        <w:t xml:space="preserve"> et al., 2025; Osinowo et al., 2020).</w:t>
      </w:r>
    </w:p>
    <w:p w14:paraId="75B4B209" w14:textId="77777777" w:rsidR="00064FC0" w:rsidRPr="00B90777" w:rsidRDefault="00000000">
      <w:pPr>
        <w:jc w:val="both"/>
        <w:rPr>
          <w:color w:val="auto"/>
        </w:rPr>
      </w:pPr>
      <w:r w:rsidRPr="00B90777">
        <w:rPr>
          <w:color w:val="auto"/>
        </w:rPr>
        <w:t>Table 3 distinguishes what a resistivity section can reasonably support from common competing sources of the same electrical signature. The most useful outputs are reproducible boundaries and volumes for geological testing, not unqualified mineral labels assigned to inversion pixels.</w:t>
      </w:r>
    </w:p>
    <w:p w14:paraId="301EE880" w14:textId="77777777" w:rsidR="00064FC0" w:rsidRPr="00B90777" w:rsidRDefault="00000000">
      <w:pPr>
        <w:keepNext/>
        <w:spacing w:before="160" w:after="40"/>
        <w:rPr>
          <w:color w:val="auto"/>
        </w:rPr>
      </w:pPr>
      <w:r w:rsidRPr="00B90777">
        <w:rPr>
          <w:b/>
          <w:color w:val="auto"/>
          <w:sz w:val="20"/>
        </w:rPr>
        <w:t>Table 3</w:t>
      </w:r>
    </w:p>
    <w:p w14:paraId="2CCA3943" w14:textId="77777777" w:rsidR="00064FC0" w:rsidRPr="00B90777" w:rsidRDefault="00000000">
      <w:pPr>
        <w:keepNext/>
        <w:spacing w:after="100"/>
        <w:rPr>
          <w:color w:val="auto"/>
        </w:rPr>
      </w:pPr>
      <w:r w:rsidRPr="00B90777">
        <w:rPr>
          <w:i/>
          <w:color w:val="auto"/>
          <w:sz w:val="20"/>
        </w:rPr>
        <w:t>Interpretive value and non-uniqueness of electrical resistivity tomography</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69176151"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6503931C" w14:textId="77777777" w:rsidR="00064FC0" w:rsidRPr="00B90777" w:rsidRDefault="00000000">
            <w:pPr>
              <w:pStyle w:val="TableBodyAuthor"/>
            </w:pPr>
            <w:r w:rsidRPr="00B90777">
              <w:rPr>
                <w:b/>
              </w:rPr>
              <w:t>ERT pattern</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552F75DB" w14:textId="77777777" w:rsidR="00064FC0" w:rsidRPr="00B90777" w:rsidRDefault="00000000">
            <w:pPr>
              <w:pStyle w:val="TableBodyAuthor"/>
            </w:pPr>
            <w:r w:rsidRPr="00B90777">
              <w:rPr>
                <w:b/>
              </w:rPr>
              <w:t>Possible target inference</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18C946DA" w14:textId="77777777" w:rsidR="00064FC0" w:rsidRPr="00B90777" w:rsidRDefault="00000000">
            <w:pPr>
              <w:pStyle w:val="TableBodyAuthor"/>
            </w:pPr>
            <w:r w:rsidRPr="00B90777">
              <w:rPr>
                <w:b/>
              </w:rPr>
              <w:t>Equally plausible explanation</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7CAFC912" w14:textId="77777777" w:rsidR="00064FC0" w:rsidRPr="00B90777" w:rsidRDefault="00000000">
            <w:pPr>
              <w:pStyle w:val="TableBodyAuthor"/>
            </w:pPr>
            <w:r w:rsidRPr="00B90777">
              <w:rPr>
                <w:b/>
              </w:rPr>
              <w:t>Resolution or field test</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7EC1BA5C" w14:textId="77777777" w:rsidR="00064FC0" w:rsidRPr="00B90777" w:rsidRDefault="00000000">
            <w:pPr>
              <w:pStyle w:val="TableBodyAuthor"/>
            </w:pPr>
            <w:r w:rsidRPr="00B90777">
              <w:rPr>
                <w:b/>
              </w:rPr>
              <w:t>Supporting references</w:t>
            </w:r>
          </w:p>
        </w:tc>
      </w:tr>
      <w:tr w:rsidR="00B90777" w:rsidRPr="00B90777" w14:paraId="563C4984" w14:textId="77777777">
        <w:trPr>
          <w:jc w:val="center"/>
        </w:trPr>
        <w:tc>
          <w:tcPr>
            <w:tcW w:w="1555" w:type="dxa"/>
            <w:tcMar>
              <w:top w:w="90" w:type="dxa"/>
              <w:left w:w="80" w:type="dxa"/>
              <w:bottom w:w="90" w:type="dxa"/>
              <w:right w:w="80" w:type="dxa"/>
            </w:tcMar>
            <w:vAlign w:val="center"/>
          </w:tcPr>
          <w:p w14:paraId="40FD510B" w14:textId="77777777" w:rsidR="00064FC0" w:rsidRPr="00B90777" w:rsidRDefault="00000000">
            <w:pPr>
              <w:pStyle w:val="TableBodyAuthor"/>
            </w:pPr>
            <w:r w:rsidRPr="00B90777">
              <w:t>Local low-resistivity corridor</w:t>
            </w:r>
          </w:p>
        </w:tc>
        <w:tc>
          <w:tcPr>
            <w:tcW w:w="1915" w:type="dxa"/>
            <w:tcMar>
              <w:top w:w="90" w:type="dxa"/>
              <w:left w:w="80" w:type="dxa"/>
              <w:bottom w:w="90" w:type="dxa"/>
              <w:right w:w="80" w:type="dxa"/>
            </w:tcMar>
            <w:vAlign w:val="center"/>
          </w:tcPr>
          <w:p w14:paraId="511AED0F" w14:textId="77777777" w:rsidR="00064FC0" w:rsidRPr="00B90777" w:rsidRDefault="00000000">
            <w:pPr>
              <w:pStyle w:val="TableBodyAuthor"/>
            </w:pPr>
            <w:r w:rsidRPr="00B90777">
              <w:t xml:space="preserve">Fluid-filled fracture or </w:t>
            </w:r>
            <w:proofErr w:type="spellStart"/>
            <w:r w:rsidRPr="00B90777">
              <w:t>sulphidised</w:t>
            </w:r>
            <w:proofErr w:type="spellEnd"/>
            <w:r w:rsidRPr="00B90777">
              <w:t xml:space="preserve"> shear</w:t>
            </w:r>
          </w:p>
        </w:tc>
        <w:tc>
          <w:tcPr>
            <w:tcW w:w="2002" w:type="dxa"/>
            <w:tcMar>
              <w:top w:w="90" w:type="dxa"/>
              <w:left w:w="80" w:type="dxa"/>
              <w:bottom w:w="90" w:type="dxa"/>
              <w:right w:w="80" w:type="dxa"/>
            </w:tcMar>
            <w:vAlign w:val="center"/>
          </w:tcPr>
          <w:p w14:paraId="11053F07" w14:textId="77777777" w:rsidR="00064FC0" w:rsidRPr="00B90777" w:rsidRDefault="00000000">
            <w:pPr>
              <w:pStyle w:val="TableBodyAuthor"/>
            </w:pPr>
            <w:r w:rsidRPr="00B90777">
              <w:t>Weathered saprolite and clay-rich fault gouge</w:t>
            </w:r>
          </w:p>
        </w:tc>
        <w:tc>
          <w:tcPr>
            <w:tcW w:w="2016" w:type="dxa"/>
            <w:tcMar>
              <w:top w:w="90" w:type="dxa"/>
              <w:left w:w="80" w:type="dxa"/>
              <w:bottom w:w="90" w:type="dxa"/>
              <w:right w:w="80" w:type="dxa"/>
            </w:tcMar>
            <w:vAlign w:val="center"/>
          </w:tcPr>
          <w:p w14:paraId="114FBC93" w14:textId="77777777" w:rsidR="00064FC0" w:rsidRPr="00B90777" w:rsidRDefault="00000000">
            <w:pPr>
              <w:pStyle w:val="TableBodyAuthor"/>
            </w:pPr>
            <w:r w:rsidRPr="00B90777">
              <w:t xml:space="preserve">Water-table, regolith and </w:t>
            </w:r>
            <w:proofErr w:type="spellStart"/>
            <w:r w:rsidRPr="00B90777">
              <w:t>sulphide</w:t>
            </w:r>
            <w:proofErr w:type="spellEnd"/>
            <w:r w:rsidRPr="00B90777">
              <w:t>-mineral mapping</w:t>
            </w:r>
          </w:p>
        </w:tc>
        <w:tc>
          <w:tcPr>
            <w:tcW w:w="1987" w:type="dxa"/>
            <w:tcMar>
              <w:top w:w="90" w:type="dxa"/>
              <w:left w:w="80" w:type="dxa"/>
              <w:bottom w:w="90" w:type="dxa"/>
              <w:right w:w="80" w:type="dxa"/>
            </w:tcMar>
            <w:vAlign w:val="center"/>
          </w:tcPr>
          <w:p w14:paraId="3B01FC64" w14:textId="77777777" w:rsidR="00064FC0" w:rsidRPr="00B90777" w:rsidRDefault="00000000">
            <w:pPr>
              <w:pStyle w:val="TableBodyAuthor"/>
            </w:pPr>
            <w:r w:rsidRPr="00B90777">
              <w:t>(Osinowo et al., 2020)</w:t>
            </w:r>
          </w:p>
        </w:tc>
      </w:tr>
      <w:tr w:rsidR="00B90777" w:rsidRPr="00B90777" w14:paraId="2C6E0585" w14:textId="77777777">
        <w:trPr>
          <w:jc w:val="center"/>
        </w:trPr>
        <w:tc>
          <w:tcPr>
            <w:tcW w:w="1555" w:type="dxa"/>
            <w:tcMar>
              <w:top w:w="90" w:type="dxa"/>
              <w:left w:w="80" w:type="dxa"/>
              <w:bottom w:w="90" w:type="dxa"/>
              <w:right w:w="80" w:type="dxa"/>
            </w:tcMar>
            <w:vAlign w:val="center"/>
          </w:tcPr>
          <w:p w14:paraId="61DD27D7" w14:textId="77777777" w:rsidR="00064FC0" w:rsidRPr="00B90777" w:rsidRDefault="00000000">
            <w:pPr>
              <w:pStyle w:val="TableBodyAuthor"/>
            </w:pPr>
            <w:r w:rsidRPr="00B90777">
              <w:t>Resistive narrow band</w:t>
            </w:r>
          </w:p>
        </w:tc>
        <w:tc>
          <w:tcPr>
            <w:tcW w:w="1915" w:type="dxa"/>
            <w:tcMar>
              <w:top w:w="90" w:type="dxa"/>
              <w:left w:w="80" w:type="dxa"/>
              <w:bottom w:w="90" w:type="dxa"/>
              <w:right w:w="80" w:type="dxa"/>
            </w:tcMar>
            <w:vAlign w:val="center"/>
          </w:tcPr>
          <w:p w14:paraId="7C4E499B" w14:textId="77777777" w:rsidR="00064FC0" w:rsidRPr="00B90777" w:rsidRDefault="00000000">
            <w:pPr>
              <w:pStyle w:val="TableBodyAuthor"/>
            </w:pPr>
            <w:r w:rsidRPr="00B90777">
              <w:t>Quartz veining or silicification</w:t>
            </w:r>
          </w:p>
        </w:tc>
        <w:tc>
          <w:tcPr>
            <w:tcW w:w="2002" w:type="dxa"/>
            <w:tcMar>
              <w:top w:w="90" w:type="dxa"/>
              <w:left w:w="80" w:type="dxa"/>
              <w:bottom w:w="90" w:type="dxa"/>
              <w:right w:w="80" w:type="dxa"/>
            </w:tcMar>
            <w:vAlign w:val="center"/>
          </w:tcPr>
          <w:p w14:paraId="626AABBA" w14:textId="77777777" w:rsidR="00064FC0" w:rsidRPr="00B90777" w:rsidRDefault="00000000">
            <w:pPr>
              <w:pStyle w:val="TableBodyAuthor"/>
            </w:pPr>
            <w:r w:rsidRPr="00B90777">
              <w:t>Fresh unaltered bedrock, dry regolith or resistant dyke</w:t>
            </w:r>
          </w:p>
        </w:tc>
        <w:tc>
          <w:tcPr>
            <w:tcW w:w="2016" w:type="dxa"/>
            <w:tcMar>
              <w:top w:w="90" w:type="dxa"/>
              <w:left w:w="80" w:type="dxa"/>
              <w:bottom w:w="90" w:type="dxa"/>
              <w:right w:w="80" w:type="dxa"/>
            </w:tcMar>
            <w:vAlign w:val="center"/>
          </w:tcPr>
          <w:p w14:paraId="314AF87B" w14:textId="77777777" w:rsidR="00064FC0" w:rsidRPr="00B90777" w:rsidRDefault="00000000">
            <w:pPr>
              <w:pStyle w:val="TableBodyAuthor"/>
            </w:pPr>
            <w:r w:rsidRPr="00B90777">
              <w:t>Trench mapping and Au assays across both contacts</w:t>
            </w:r>
          </w:p>
        </w:tc>
        <w:tc>
          <w:tcPr>
            <w:tcW w:w="1987" w:type="dxa"/>
            <w:tcMar>
              <w:top w:w="90" w:type="dxa"/>
              <w:left w:w="80" w:type="dxa"/>
              <w:bottom w:w="90" w:type="dxa"/>
              <w:right w:w="80" w:type="dxa"/>
            </w:tcMar>
            <w:vAlign w:val="center"/>
          </w:tcPr>
          <w:p w14:paraId="242B4E78" w14:textId="77777777" w:rsidR="00064FC0" w:rsidRPr="00B90777" w:rsidRDefault="00000000">
            <w:pPr>
              <w:pStyle w:val="TableBodyAuthor"/>
            </w:pPr>
            <w:r w:rsidRPr="00B90777">
              <w:t>(</w:t>
            </w:r>
            <w:proofErr w:type="spellStart"/>
            <w:r w:rsidRPr="00B90777">
              <w:t>Oyinloye</w:t>
            </w:r>
            <w:proofErr w:type="spellEnd"/>
            <w:r w:rsidRPr="00B90777">
              <w:t xml:space="preserve"> &amp; Steed, 1996)</w:t>
            </w:r>
          </w:p>
        </w:tc>
      </w:tr>
      <w:tr w:rsidR="00B90777" w:rsidRPr="00B90777" w14:paraId="4386A7EE" w14:textId="77777777">
        <w:trPr>
          <w:jc w:val="center"/>
        </w:trPr>
        <w:tc>
          <w:tcPr>
            <w:tcW w:w="1555" w:type="dxa"/>
            <w:tcMar>
              <w:top w:w="90" w:type="dxa"/>
              <w:left w:w="80" w:type="dxa"/>
              <w:bottom w:w="90" w:type="dxa"/>
              <w:right w:w="80" w:type="dxa"/>
            </w:tcMar>
            <w:vAlign w:val="center"/>
          </w:tcPr>
          <w:p w14:paraId="13D69470" w14:textId="77777777" w:rsidR="00064FC0" w:rsidRPr="00B90777" w:rsidRDefault="00000000">
            <w:pPr>
              <w:pStyle w:val="TableBodyAuthor"/>
            </w:pPr>
            <w:r w:rsidRPr="00B90777">
              <w:t>Coincident low resistivity and high IP</w:t>
            </w:r>
          </w:p>
        </w:tc>
        <w:tc>
          <w:tcPr>
            <w:tcW w:w="1915" w:type="dxa"/>
            <w:tcMar>
              <w:top w:w="90" w:type="dxa"/>
              <w:left w:w="80" w:type="dxa"/>
              <w:bottom w:w="90" w:type="dxa"/>
              <w:right w:w="80" w:type="dxa"/>
            </w:tcMar>
            <w:vAlign w:val="center"/>
          </w:tcPr>
          <w:p w14:paraId="2A094D5A" w14:textId="77777777" w:rsidR="00064FC0" w:rsidRPr="00B90777" w:rsidRDefault="00000000">
            <w:pPr>
              <w:pStyle w:val="TableBodyAuthor"/>
            </w:pPr>
            <w:proofErr w:type="spellStart"/>
            <w:r w:rsidRPr="00B90777">
              <w:t>Polarising</w:t>
            </w:r>
            <w:proofErr w:type="spellEnd"/>
            <w:r w:rsidRPr="00B90777">
              <w:t xml:space="preserve"> minerals within conductive alteration</w:t>
            </w:r>
          </w:p>
        </w:tc>
        <w:tc>
          <w:tcPr>
            <w:tcW w:w="2002" w:type="dxa"/>
            <w:tcMar>
              <w:top w:w="90" w:type="dxa"/>
              <w:left w:w="80" w:type="dxa"/>
              <w:bottom w:w="90" w:type="dxa"/>
              <w:right w:w="80" w:type="dxa"/>
            </w:tcMar>
            <w:vAlign w:val="center"/>
          </w:tcPr>
          <w:p w14:paraId="41E9462B" w14:textId="77777777" w:rsidR="00064FC0" w:rsidRPr="00B90777" w:rsidRDefault="00000000">
            <w:pPr>
              <w:pStyle w:val="TableBodyAuthor"/>
            </w:pPr>
            <w:r w:rsidRPr="00B90777">
              <w:t xml:space="preserve">Clay and </w:t>
            </w:r>
            <w:proofErr w:type="spellStart"/>
            <w:r w:rsidRPr="00B90777">
              <w:t>sulphide</w:t>
            </w:r>
            <w:proofErr w:type="spellEnd"/>
            <w:r w:rsidRPr="00B90777">
              <w:t xml:space="preserve"> unrelated to gold</w:t>
            </w:r>
          </w:p>
        </w:tc>
        <w:tc>
          <w:tcPr>
            <w:tcW w:w="2016" w:type="dxa"/>
            <w:tcMar>
              <w:top w:w="90" w:type="dxa"/>
              <w:left w:w="80" w:type="dxa"/>
              <w:bottom w:w="90" w:type="dxa"/>
              <w:right w:w="80" w:type="dxa"/>
            </w:tcMar>
            <w:vAlign w:val="center"/>
          </w:tcPr>
          <w:p w14:paraId="2D35BC9C" w14:textId="77777777" w:rsidR="00064FC0" w:rsidRPr="00B90777" w:rsidRDefault="00000000">
            <w:pPr>
              <w:pStyle w:val="TableBodyAuthor"/>
            </w:pPr>
            <w:r w:rsidRPr="00B90777">
              <w:t>Paired IP, petrology and laboratory geochemistry</w:t>
            </w:r>
          </w:p>
        </w:tc>
        <w:tc>
          <w:tcPr>
            <w:tcW w:w="1987" w:type="dxa"/>
            <w:tcMar>
              <w:top w:w="90" w:type="dxa"/>
              <w:left w:w="80" w:type="dxa"/>
              <w:bottom w:w="90" w:type="dxa"/>
              <w:right w:w="80" w:type="dxa"/>
            </w:tcMar>
            <w:vAlign w:val="center"/>
          </w:tcPr>
          <w:p w14:paraId="0191701D" w14:textId="77777777" w:rsidR="00064FC0" w:rsidRPr="00B90777" w:rsidRDefault="00000000">
            <w:pPr>
              <w:pStyle w:val="TableBodyAuthor"/>
            </w:pPr>
            <w:r w:rsidRPr="00B90777">
              <w:t>(</w:t>
            </w:r>
            <w:proofErr w:type="spellStart"/>
            <w:r w:rsidRPr="00B90777">
              <w:t>Adekanle</w:t>
            </w:r>
            <w:proofErr w:type="spellEnd"/>
            <w:r w:rsidRPr="00B90777">
              <w:t xml:space="preserve"> et al., 2025)</w:t>
            </w:r>
          </w:p>
        </w:tc>
      </w:tr>
      <w:tr w:rsidR="00B90777" w:rsidRPr="00B90777" w14:paraId="6AB46299" w14:textId="77777777">
        <w:trPr>
          <w:jc w:val="center"/>
        </w:trPr>
        <w:tc>
          <w:tcPr>
            <w:tcW w:w="1555" w:type="dxa"/>
            <w:tcMar>
              <w:top w:w="90" w:type="dxa"/>
              <w:left w:w="80" w:type="dxa"/>
              <w:bottom w:w="90" w:type="dxa"/>
              <w:right w:w="80" w:type="dxa"/>
            </w:tcMar>
            <w:vAlign w:val="center"/>
          </w:tcPr>
          <w:p w14:paraId="1FE5336D" w14:textId="77777777" w:rsidR="00064FC0" w:rsidRPr="00B90777" w:rsidRDefault="00000000">
            <w:pPr>
              <w:pStyle w:val="TableBodyAuthor"/>
            </w:pPr>
            <w:r w:rsidRPr="00B90777">
              <w:t>Diffuse dipping contact</w:t>
            </w:r>
          </w:p>
        </w:tc>
        <w:tc>
          <w:tcPr>
            <w:tcW w:w="1915" w:type="dxa"/>
            <w:tcMar>
              <w:top w:w="90" w:type="dxa"/>
              <w:left w:w="80" w:type="dxa"/>
              <w:bottom w:w="90" w:type="dxa"/>
              <w:right w:w="80" w:type="dxa"/>
            </w:tcMar>
            <w:vAlign w:val="center"/>
          </w:tcPr>
          <w:p w14:paraId="36F292FF" w14:textId="77777777" w:rsidR="00064FC0" w:rsidRPr="00B90777" w:rsidRDefault="00000000">
            <w:pPr>
              <w:pStyle w:val="TableBodyAuthor"/>
            </w:pPr>
            <w:r w:rsidRPr="00B90777">
              <w:t>Faulted or altered lithological boundary</w:t>
            </w:r>
          </w:p>
        </w:tc>
        <w:tc>
          <w:tcPr>
            <w:tcW w:w="2002" w:type="dxa"/>
            <w:tcMar>
              <w:top w:w="90" w:type="dxa"/>
              <w:left w:w="80" w:type="dxa"/>
              <w:bottom w:w="90" w:type="dxa"/>
              <w:right w:w="80" w:type="dxa"/>
            </w:tcMar>
            <w:vAlign w:val="center"/>
          </w:tcPr>
          <w:p w14:paraId="12FE1589" w14:textId="77777777" w:rsidR="00064FC0" w:rsidRPr="00B90777" w:rsidRDefault="00000000">
            <w:pPr>
              <w:pStyle w:val="TableBodyAuthor"/>
            </w:pPr>
            <w:r w:rsidRPr="00B90777">
              <w:t>Smoothing imposed by 2D inversion</w:t>
            </w:r>
          </w:p>
        </w:tc>
        <w:tc>
          <w:tcPr>
            <w:tcW w:w="2016" w:type="dxa"/>
            <w:tcMar>
              <w:top w:w="90" w:type="dxa"/>
              <w:left w:w="80" w:type="dxa"/>
              <w:bottom w:w="90" w:type="dxa"/>
              <w:right w:w="80" w:type="dxa"/>
            </w:tcMar>
            <w:vAlign w:val="center"/>
          </w:tcPr>
          <w:p w14:paraId="388CD487" w14:textId="77777777" w:rsidR="00064FC0" w:rsidRPr="00B90777" w:rsidRDefault="00000000">
            <w:pPr>
              <w:pStyle w:val="TableBodyAuthor"/>
            </w:pPr>
            <w:r w:rsidRPr="00B90777">
              <w:t xml:space="preserve">Alternative </w:t>
            </w:r>
            <w:proofErr w:type="spellStart"/>
            <w:r w:rsidRPr="00B90777">
              <w:t>regularisation</w:t>
            </w:r>
            <w:proofErr w:type="spellEnd"/>
            <w:r w:rsidRPr="00B90777">
              <w:t>, residual plots and crossed lines</w:t>
            </w:r>
          </w:p>
        </w:tc>
        <w:tc>
          <w:tcPr>
            <w:tcW w:w="1987" w:type="dxa"/>
            <w:tcMar>
              <w:top w:w="90" w:type="dxa"/>
              <w:left w:w="80" w:type="dxa"/>
              <w:bottom w:w="90" w:type="dxa"/>
              <w:right w:w="80" w:type="dxa"/>
            </w:tcMar>
            <w:vAlign w:val="center"/>
          </w:tcPr>
          <w:p w14:paraId="0DC21BE2" w14:textId="77777777" w:rsidR="00064FC0" w:rsidRPr="00B90777" w:rsidRDefault="00000000">
            <w:pPr>
              <w:pStyle w:val="TableBodyAuthor"/>
            </w:pPr>
            <w:r w:rsidRPr="00B90777">
              <w:t>(Constable et al., 1987; Loke &amp; Barker, 1996)</w:t>
            </w:r>
          </w:p>
        </w:tc>
      </w:tr>
      <w:tr w:rsidR="00B90777" w:rsidRPr="00B90777" w14:paraId="3DFCFADF" w14:textId="77777777">
        <w:trPr>
          <w:jc w:val="center"/>
        </w:trPr>
        <w:tc>
          <w:tcPr>
            <w:tcW w:w="1555" w:type="dxa"/>
            <w:tcMar>
              <w:top w:w="90" w:type="dxa"/>
              <w:left w:w="80" w:type="dxa"/>
              <w:bottom w:w="90" w:type="dxa"/>
              <w:right w:w="80" w:type="dxa"/>
            </w:tcMar>
            <w:vAlign w:val="center"/>
          </w:tcPr>
          <w:p w14:paraId="25377BF3" w14:textId="77777777" w:rsidR="00064FC0" w:rsidRPr="00B90777" w:rsidRDefault="00000000">
            <w:pPr>
              <w:pStyle w:val="TableBodyAuthor"/>
            </w:pPr>
            <w:r w:rsidRPr="00B90777">
              <w:t>Anomaly near section base</w:t>
            </w:r>
          </w:p>
        </w:tc>
        <w:tc>
          <w:tcPr>
            <w:tcW w:w="1915" w:type="dxa"/>
            <w:tcMar>
              <w:top w:w="90" w:type="dxa"/>
              <w:left w:w="80" w:type="dxa"/>
              <w:bottom w:w="90" w:type="dxa"/>
              <w:right w:w="80" w:type="dxa"/>
            </w:tcMar>
            <w:vAlign w:val="center"/>
          </w:tcPr>
          <w:p w14:paraId="5C9AD020" w14:textId="77777777" w:rsidR="00064FC0" w:rsidRPr="00B90777" w:rsidRDefault="00000000">
            <w:pPr>
              <w:pStyle w:val="TableBodyAuthor"/>
            </w:pPr>
            <w:r w:rsidRPr="00B90777">
              <w:t>Deeper continuation of candidate shear</w:t>
            </w:r>
          </w:p>
        </w:tc>
        <w:tc>
          <w:tcPr>
            <w:tcW w:w="2002" w:type="dxa"/>
            <w:tcMar>
              <w:top w:w="90" w:type="dxa"/>
              <w:left w:w="80" w:type="dxa"/>
              <w:bottom w:w="90" w:type="dxa"/>
              <w:right w:w="80" w:type="dxa"/>
            </w:tcMar>
            <w:vAlign w:val="center"/>
          </w:tcPr>
          <w:p w14:paraId="3A2F33F7" w14:textId="77777777" w:rsidR="00064FC0" w:rsidRPr="00B90777" w:rsidRDefault="00000000">
            <w:pPr>
              <w:pStyle w:val="TableBodyAuthor"/>
            </w:pPr>
            <w:r w:rsidRPr="00B90777">
              <w:t>Weak sensitivity and dependence on reference model</w:t>
            </w:r>
          </w:p>
        </w:tc>
        <w:tc>
          <w:tcPr>
            <w:tcW w:w="2016" w:type="dxa"/>
            <w:tcMar>
              <w:top w:w="90" w:type="dxa"/>
              <w:left w:w="80" w:type="dxa"/>
              <w:bottom w:w="90" w:type="dxa"/>
              <w:right w:w="80" w:type="dxa"/>
            </w:tcMar>
            <w:vAlign w:val="center"/>
          </w:tcPr>
          <w:p w14:paraId="3FE96A7D" w14:textId="77777777" w:rsidR="00064FC0" w:rsidRPr="00B90777" w:rsidRDefault="00000000">
            <w:pPr>
              <w:pStyle w:val="TableBodyAuthor"/>
            </w:pPr>
            <w:r w:rsidRPr="00B90777">
              <w:t>Depth-of-investigation map and longer spread</w:t>
            </w:r>
          </w:p>
        </w:tc>
        <w:tc>
          <w:tcPr>
            <w:tcW w:w="1987" w:type="dxa"/>
            <w:tcMar>
              <w:top w:w="90" w:type="dxa"/>
              <w:left w:w="80" w:type="dxa"/>
              <w:bottom w:w="90" w:type="dxa"/>
              <w:right w:w="80" w:type="dxa"/>
            </w:tcMar>
            <w:vAlign w:val="center"/>
          </w:tcPr>
          <w:p w14:paraId="78A71C7E" w14:textId="77777777" w:rsidR="00064FC0" w:rsidRPr="00B90777" w:rsidRDefault="00000000">
            <w:pPr>
              <w:pStyle w:val="TableBodyAuthor"/>
            </w:pPr>
            <w:r w:rsidRPr="00B90777">
              <w:t>(Oldenburg &amp; Li, 1999)</w:t>
            </w:r>
          </w:p>
        </w:tc>
      </w:tr>
      <w:tr w:rsidR="00B90777" w:rsidRPr="00B90777" w14:paraId="361B1E46" w14:textId="77777777">
        <w:trPr>
          <w:jc w:val="center"/>
        </w:trPr>
        <w:tc>
          <w:tcPr>
            <w:tcW w:w="1555" w:type="dxa"/>
            <w:tcBorders>
              <w:bottom w:val="single" w:sz="7" w:space="0" w:color="273B4E"/>
            </w:tcBorders>
            <w:tcMar>
              <w:top w:w="90" w:type="dxa"/>
              <w:left w:w="80" w:type="dxa"/>
              <w:bottom w:w="90" w:type="dxa"/>
              <w:right w:w="80" w:type="dxa"/>
            </w:tcMar>
            <w:vAlign w:val="center"/>
          </w:tcPr>
          <w:p w14:paraId="2D310279" w14:textId="77777777" w:rsidR="00064FC0" w:rsidRPr="00B90777" w:rsidRDefault="00000000">
            <w:pPr>
              <w:pStyle w:val="TableBodyAuthor"/>
            </w:pPr>
            <w:r w:rsidRPr="00B90777">
              <w:t>Adjacent parallel-line anomalies</w:t>
            </w:r>
          </w:p>
        </w:tc>
        <w:tc>
          <w:tcPr>
            <w:tcW w:w="1915" w:type="dxa"/>
            <w:tcBorders>
              <w:bottom w:val="single" w:sz="7" w:space="0" w:color="273B4E"/>
            </w:tcBorders>
            <w:tcMar>
              <w:top w:w="90" w:type="dxa"/>
              <w:left w:w="80" w:type="dxa"/>
              <w:bottom w:w="90" w:type="dxa"/>
              <w:right w:w="80" w:type="dxa"/>
            </w:tcMar>
            <w:vAlign w:val="center"/>
          </w:tcPr>
          <w:p w14:paraId="4C389E0B" w14:textId="77777777" w:rsidR="00064FC0" w:rsidRPr="00B90777" w:rsidRDefault="00000000">
            <w:pPr>
              <w:pStyle w:val="TableBodyAuthor"/>
            </w:pPr>
            <w:r w:rsidRPr="00B90777">
              <w:t>Laterally persistent target</w:t>
            </w:r>
          </w:p>
        </w:tc>
        <w:tc>
          <w:tcPr>
            <w:tcW w:w="2002" w:type="dxa"/>
            <w:tcBorders>
              <w:bottom w:val="single" w:sz="7" w:space="0" w:color="273B4E"/>
            </w:tcBorders>
            <w:tcMar>
              <w:top w:w="90" w:type="dxa"/>
              <w:left w:w="80" w:type="dxa"/>
              <w:bottom w:w="90" w:type="dxa"/>
              <w:right w:w="80" w:type="dxa"/>
            </w:tcMar>
            <w:vAlign w:val="center"/>
          </w:tcPr>
          <w:p w14:paraId="3313EDC7" w14:textId="77777777" w:rsidR="00064FC0" w:rsidRPr="00B90777" w:rsidRDefault="00000000">
            <w:pPr>
              <w:pStyle w:val="TableBodyAuthor"/>
            </w:pPr>
            <w:r w:rsidRPr="00B90777">
              <w:t>Off-line conductor projected into 2D profiles</w:t>
            </w:r>
          </w:p>
        </w:tc>
        <w:tc>
          <w:tcPr>
            <w:tcW w:w="2016" w:type="dxa"/>
            <w:tcBorders>
              <w:bottom w:val="single" w:sz="7" w:space="0" w:color="273B4E"/>
            </w:tcBorders>
            <w:tcMar>
              <w:top w:w="90" w:type="dxa"/>
              <w:left w:w="80" w:type="dxa"/>
              <w:bottom w:w="90" w:type="dxa"/>
              <w:right w:w="80" w:type="dxa"/>
            </w:tcMar>
            <w:vAlign w:val="center"/>
          </w:tcPr>
          <w:p w14:paraId="1E95C6B5" w14:textId="77777777" w:rsidR="00064FC0" w:rsidRPr="00B90777" w:rsidRDefault="00000000">
            <w:pPr>
              <w:pStyle w:val="TableBodyAuthor"/>
            </w:pPr>
            <w:r w:rsidRPr="00B90777">
              <w:t>Three-dimensional acquisition or cross-strike tie lines</w:t>
            </w:r>
          </w:p>
        </w:tc>
        <w:tc>
          <w:tcPr>
            <w:tcW w:w="1987" w:type="dxa"/>
            <w:tcBorders>
              <w:bottom w:val="single" w:sz="7" w:space="0" w:color="273B4E"/>
            </w:tcBorders>
            <w:tcMar>
              <w:top w:w="90" w:type="dxa"/>
              <w:left w:w="80" w:type="dxa"/>
              <w:bottom w:w="90" w:type="dxa"/>
              <w:right w:w="80" w:type="dxa"/>
            </w:tcMar>
            <w:vAlign w:val="center"/>
          </w:tcPr>
          <w:p w14:paraId="72F4D84E" w14:textId="77777777" w:rsidR="00064FC0" w:rsidRPr="00B90777" w:rsidRDefault="00000000">
            <w:pPr>
              <w:pStyle w:val="TableBodyAuthor"/>
            </w:pPr>
            <w:r w:rsidRPr="00B90777">
              <w:t>(Griffiths et al., 1990; Osinowo et al., 2020)</w:t>
            </w:r>
          </w:p>
        </w:tc>
      </w:tr>
    </w:tbl>
    <w:p w14:paraId="496539AC" w14:textId="77777777" w:rsidR="00064FC0" w:rsidRPr="00B90777" w:rsidRDefault="00000000">
      <w:pPr>
        <w:pStyle w:val="TableNoteAuthor"/>
      </w:pPr>
      <w:r w:rsidRPr="00B90777">
        <w:rPr>
          <w:i/>
        </w:rPr>
        <w:t xml:space="preserve">Note. </w:t>
      </w:r>
      <w:r w:rsidRPr="00B90777">
        <w:t>Apparent resistivity is measured; model resistivity is inferred through inversion. A model-cell dimension is not equivalent to geophysical resolution.</w:t>
      </w:r>
    </w:p>
    <w:p w14:paraId="4B6257F2" w14:textId="77777777" w:rsidR="00064FC0" w:rsidRPr="00B90777" w:rsidRDefault="00000000">
      <w:pPr>
        <w:pStyle w:val="Heading1"/>
        <w:rPr>
          <w:color w:val="auto"/>
        </w:rPr>
      </w:pPr>
      <w:r w:rsidRPr="00B90777">
        <w:rPr>
          <w:color w:val="auto"/>
        </w:rPr>
        <w:lastRenderedPageBreak/>
        <w:t>6. Airborne Aeromagnetic and Radiometric Evidence</w:t>
      </w:r>
    </w:p>
    <w:p w14:paraId="16D4BE4D" w14:textId="77777777" w:rsidR="00064FC0" w:rsidRPr="00B90777" w:rsidRDefault="00000000">
      <w:pPr>
        <w:pStyle w:val="Heading2"/>
        <w:rPr>
          <w:color w:val="auto"/>
        </w:rPr>
      </w:pPr>
      <w:r w:rsidRPr="00B90777">
        <w:rPr>
          <w:color w:val="auto"/>
        </w:rPr>
        <w:t>6.1 Magnetic Structure at Regional Scale</w:t>
      </w:r>
    </w:p>
    <w:p w14:paraId="7A954C36" w14:textId="77777777" w:rsidR="00064FC0" w:rsidRPr="00B90777" w:rsidRDefault="00000000">
      <w:pPr>
        <w:jc w:val="both"/>
        <w:rPr>
          <w:color w:val="auto"/>
        </w:rPr>
      </w:pPr>
      <w:r w:rsidRPr="00B90777">
        <w:rPr>
          <w:color w:val="auto"/>
        </w:rPr>
        <w:t xml:space="preserve">Aeromagnetic surveys provide continuous regional coverage of spatial variations in the Earth's magnetic field caused chiefly by susceptibility contrast and remanent </w:t>
      </w:r>
      <w:proofErr w:type="spellStart"/>
      <w:r w:rsidRPr="00B90777">
        <w:rPr>
          <w:color w:val="auto"/>
        </w:rPr>
        <w:t>magnetisation</w:t>
      </w:r>
      <w:proofErr w:type="spellEnd"/>
      <w:r w:rsidRPr="00B90777">
        <w:rPr>
          <w:color w:val="auto"/>
        </w:rPr>
        <w:t xml:space="preserve"> in the underlying rocks. Within the Ilesha belt, amphibolite, </w:t>
      </w:r>
      <w:proofErr w:type="spellStart"/>
      <w:r w:rsidRPr="00B90777">
        <w:rPr>
          <w:color w:val="auto"/>
        </w:rPr>
        <w:t>metamafic</w:t>
      </w:r>
      <w:proofErr w:type="spellEnd"/>
      <w:r w:rsidRPr="00B90777">
        <w:rPr>
          <w:color w:val="auto"/>
        </w:rPr>
        <w:t xml:space="preserve"> units, granitoids and altered or </w:t>
      </w:r>
      <w:proofErr w:type="spellStart"/>
      <w:r w:rsidRPr="00B90777">
        <w:rPr>
          <w:color w:val="auto"/>
        </w:rPr>
        <w:t>demagnetised</w:t>
      </w:r>
      <w:proofErr w:type="spellEnd"/>
      <w:r w:rsidRPr="00B90777">
        <w:rPr>
          <w:color w:val="auto"/>
        </w:rPr>
        <w:t xml:space="preserve"> domains generate diverse responses. These contrasts support the mapping of rock boundaries, structural interruptions and intrusive patterns across areas that are difficult to examine continuously on the ground. The regional studies are mutually consistent in identifying significant north-northeast–south-southwest and northeast–southwest fabrics, but they differ in subsidiary orientations and interpreted depths according to survey coverage and processing (</w:t>
      </w:r>
      <w:proofErr w:type="spellStart"/>
      <w:r w:rsidRPr="00B90777">
        <w:rPr>
          <w:color w:val="auto"/>
        </w:rPr>
        <w:t>Akinlalu</w:t>
      </w:r>
      <w:proofErr w:type="spellEnd"/>
      <w:r w:rsidRPr="00B90777">
        <w:rPr>
          <w:color w:val="auto"/>
        </w:rPr>
        <w:t xml:space="preserve"> et al., 2018; Salawu et al., 2021).</w:t>
      </w:r>
    </w:p>
    <w:p w14:paraId="4C99B551" w14:textId="77777777" w:rsidR="00064FC0" w:rsidRPr="00B90777" w:rsidRDefault="00000000">
      <w:pPr>
        <w:jc w:val="both"/>
        <w:rPr>
          <w:color w:val="auto"/>
        </w:rPr>
      </w:pPr>
      <w:r w:rsidRPr="00B90777">
        <w:rPr>
          <w:color w:val="auto"/>
        </w:rPr>
        <w:t xml:space="preserve">At low magnetic latitude, the displacement of total-field anomaly maxima relative to their causative sources introduces additional difficulty. Reduction to the equator, reduction to the pole and other phase transformations rely on magnetic inclination, declination and assumptions about the </w:t>
      </w:r>
      <w:proofErr w:type="spellStart"/>
      <w:r w:rsidRPr="00B90777">
        <w:rPr>
          <w:color w:val="auto"/>
        </w:rPr>
        <w:t>magnetisation</w:t>
      </w:r>
      <w:proofErr w:type="spellEnd"/>
      <w:r w:rsidRPr="00B90777">
        <w:rPr>
          <w:color w:val="auto"/>
        </w:rPr>
        <w:t xml:space="preserve"> direction. Where remanence is appreciable, the choice of transformation can affect source position and lineament continuity. The Ilesha study by </w:t>
      </w:r>
      <w:proofErr w:type="spellStart"/>
      <w:r w:rsidRPr="00B90777">
        <w:rPr>
          <w:color w:val="auto"/>
        </w:rPr>
        <w:t>Akinlalu</w:t>
      </w:r>
      <w:proofErr w:type="spellEnd"/>
      <w:r w:rsidRPr="00B90777">
        <w:rPr>
          <w:color w:val="auto"/>
        </w:rPr>
        <w:t xml:space="preserve"> et al. (2018) used reduction to the equator within a low-latitude context, highlighting why a conventional reduction-to-pole image should not be adopted as automatically correct. Any interpreted linear feature should be checked for stability under alternative processing and against known field structures.</w:t>
      </w:r>
    </w:p>
    <w:p w14:paraId="3FCDCE73" w14:textId="77777777" w:rsidR="00064FC0" w:rsidRPr="00B90777" w:rsidRDefault="00000000">
      <w:pPr>
        <w:jc w:val="both"/>
        <w:rPr>
          <w:color w:val="auto"/>
        </w:rPr>
      </w:pPr>
      <w:r w:rsidRPr="00B90777">
        <w:rPr>
          <w:color w:val="auto"/>
        </w:rPr>
        <w:t xml:space="preserve">Derivative and analytic-signal filters </w:t>
      </w:r>
      <w:proofErr w:type="spellStart"/>
      <w:r w:rsidRPr="00B90777">
        <w:rPr>
          <w:color w:val="auto"/>
        </w:rPr>
        <w:t>emphasise</w:t>
      </w:r>
      <w:proofErr w:type="spellEnd"/>
      <w:r w:rsidRPr="00B90777">
        <w:rPr>
          <w:color w:val="auto"/>
        </w:rPr>
        <w:t xml:space="preserve"> changes in field gradient. The horizontal gradient, first vertical derivative and tilt derivative can make lithological contacts easier to trace, although enhancement increases sensitivity to short-wavelength noise and grid artefacts. The three-dimensional analytic signal is often described as minimally sensitive to </w:t>
      </w:r>
      <w:proofErr w:type="spellStart"/>
      <w:r w:rsidRPr="00B90777">
        <w:rPr>
          <w:color w:val="auto"/>
        </w:rPr>
        <w:t>magnetisation</w:t>
      </w:r>
      <w:proofErr w:type="spellEnd"/>
      <w:r w:rsidRPr="00B90777">
        <w:rPr>
          <w:color w:val="auto"/>
        </w:rPr>
        <w:t xml:space="preserve"> direction; that simplification is more reliable for </w:t>
      </w:r>
      <w:proofErr w:type="spellStart"/>
      <w:r w:rsidRPr="00B90777">
        <w:rPr>
          <w:color w:val="auto"/>
        </w:rPr>
        <w:t>idealised</w:t>
      </w:r>
      <w:proofErr w:type="spellEnd"/>
      <w:r w:rsidRPr="00B90777">
        <w:rPr>
          <w:color w:val="auto"/>
        </w:rPr>
        <w:t xml:space="preserve"> two-dimensional geometries than for complex three-dimensional bodies. The foundational treatments and later qualifications show that no edge-enhancement filter recovers a unique fault or deposit model from total-field observations alone (Li, 2006; Li &amp; Pilkington, 2016; Miller &amp; Singh, 1994; Roest et al., 1992; Verduzco et al., 2004).</w:t>
      </w:r>
    </w:p>
    <w:p w14:paraId="5575EC71" w14:textId="77777777" w:rsidR="00064FC0" w:rsidRPr="00B90777" w:rsidRDefault="00000000">
      <w:pPr>
        <w:jc w:val="both"/>
        <w:rPr>
          <w:color w:val="auto"/>
        </w:rPr>
      </w:pPr>
      <w:r w:rsidRPr="00B90777">
        <w:rPr>
          <w:color w:val="auto"/>
        </w:rPr>
        <w:t xml:space="preserve">The </w:t>
      </w:r>
      <w:proofErr w:type="spellStart"/>
      <w:r w:rsidRPr="00B90777">
        <w:rPr>
          <w:color w:val="auto"/>
        </w:rPr>
        <w:t>Iwaraja</w:t>
      </w:r>
      <w:proofErr w:type="spellEnd"/>
      <w:r w:rsidRPr="00B90777">
        <w:rPr>
          <w:color w:val="auto"/>
        </w:rPr>
        <w:t xml:space="preserve"> investigation provides a complementary example of the difference between identifying basement structure and establishing </w:t>
      </w:r>
      <w:proofErr w:type="spellStart"/>
      <w:r w:rsidRPr="00B90777">
        <w:rPr>
          <w:color w:val="auto"/>
        </w:rPr>
        <w:t>mineralisation</w:t>
      </w:r>
      <w:proofErr w:type="spellEnd"/>
      <w:r w:rsidRPr="00B90777">
        <w:rPr>
          <w:color w:val="auto"/>
        </w:rPr>
        <w:t>. Integrated aeromagnetic, ground magnetic and vertical electrical sounding work resolved fractures and weathered and fresh basement units without producing a gold-assay validation of the interpreted subsurface bodies (</w:t>
      </w:r>
      <w:proofErr w:type="spellStart"/>
      <w:r w:rsidRPr="00B90777">
        <w:rPr>
          <w:color w:val="auto"/>
        </w:rPr>
        <w:t>Adelusi</w:t>
      </w:r>
      <w:proofErr w:type="spellEnd"/>
      <w:r w:rsidRPr="00B90777">
        <w:rPr>
          <w:color w:val="auto"/>
        </w:rPr>
        <w:t xml:space="preserve"> et al., 2013). The case is valuable precisely because it shows that regional structural reconnaissance can be geologically successful while remaining agnostic about gold grade. This distinction should persist when magnetic and electrical products are incorporated into later mineral-potential maps.</w:t>
      </w:r>
    </w:p>
    <w:p w14:paraId="27FC7CA6" w14:textId="77777777" w:rsidR="00064FC0" w:rsidRPr="00B90777" w:rsidRDefault="00000000">
      <w:pPr>
        <w:pStyle w:val="Heading2"/>
        <w:rPr>
          <w:color w:val="auto"/>
        </w:rPr>
      </w:pPr>
      <w:r w:rsidRPr="00B90777">
        <w:rPr>
          <w:color w:val="auto"/>
        </w:rPr>
        <w:t>6.2 Depth Estimation and Structural Interpretation</w:t>
      </w:r>
    </w:p>
    <w:p w14:paraId="1C46BEBA" w14:textId="77777777" w:rsidR="00064FC0" w:rsidRPr="00B90777" w:rsidRDefault="00000000">
      <w:pPr>
        <w:jc w:val="both"/>
        <w:rPr>
          <w:color w:val="auto"/>
        </w:rPr>
      </w:pPr>
      <w:r w:rsidRPr="00B90777">
        <w:rPr>
          <w:color w:val="auto"/>
        </w:rPr>
        <w:t xml:space="preserve">Euler deconvolution can estimate the location of </w:t>
      </w:r>
      <w:proofErr w:type="spellStart"/>
      <w:r w:rsidRPr="00B90777">
        <w:rPr>
          <w:color w:val="auto"/>
        </w:rPr>
        <w:t>idealised</w:t>
      </w:r>
      <w:proofErr w:type="spellEnd"/>
      <w:r w:rsidRPr="00B90777">
        <w:rPr>
          <w:color w:val="auto"/>
        </w:rPr>
        <w:t xml:space="preserve"> magnetic sources from relationships between measured field gradients and assumed structural indices. Its results are conditional on window size, data </w:t>
      </w:r>
      <w:r w:rsidRPr="00B90777">
        <w:rPr>
          <w:color w:val="auto"/>
        </w:rPr>
        <w:lastRenderedPageBreak/>
        <w:t xml:space="preserve">quality, regional-field separation and selection of an appropriate structural index. A dense cluster of solutions may identify a plausible contact or intrusive margin, yet solution depth is not a direct drill intercept into gold-bearing rock. Reid et al. (1990) established this interpretation framework, which needs a </w:t>
      </w:r>
      <w:proofErr w:type="spellStart"/>
      <w:r w:rsidRPr="00B90777">
        <w:rPr>
          <w:color w:val="auto"/>
        </w:rPr>
        <w:t>lithologically</w:t>
      </w:r>
      <w:proofErr w:type="spellEnd"/>
      <w:r w:rsidRPr="00B90777">
        <w:rPr>
          <w:color w:val="auto"/>
        </w:rPr>
        <w:t xml:space="preserve"> defensible source model rather than a purely algorithmic choice. Comparing several indices and rejecting unstable solutions is necessary before any depth estimate informs site selection.</w:t>
      </w:r>
    </w:p>
    <w:p w14:paraId="610FB7EA" w14:textId="77777777" w:rsidR="00064FC0" w:rsidRPr="00B90777" w:rsidRDefault="00000000">
      <w:pPr>
        <w:jc w:val="both"/>
        <w:rPr>
          <w:color w:val="auto"/>
        </w:rPr>
      </w:pPr>
      <w:r w:rsidRPr="00B90777">
        <w:rPr>
          <w:color w:val="auto"/>
        </w:rPr>
        <w:t xml:space="preserve">Spectral depth estimation likewise reports effective source ensembles rather than the precise top or bottom of an individual narrow ore shoot. In the Ilesha regional literature, depth estimates vary with the surveyed area and computational method. Salawu et al. (2021), for example, reported source-depth estimates of approximately 90–200 m along part of the </w:t>
      </w:r>
      <w:proofErr w:type="spellStart"/>
      <w:r w:rsidRPr="00B90777">
        <w:rPr>
          <w:color w:val="auto"/>
        </w:rPr>
        <w:t>Ifewara</w:t>
      </w:r>
      <w:proofErr w:type="spellEnd"/>
      <w:r w:rsidRPr="00B90777">
        <w:rPr>
          <w:color w:val="auto"/>
        </w:rPr>
        <w:t xml:space="preserve"> shear corridor, whereas another regional study interpreted source structures over larger depth intervals (</w:t>
      </w:r>
      <w:proofErr w:type="spellStart"/>
      <w:r w:rsidRPr="00B90777">
        <w:rPr>
          <w:color w:val="auto"/>
        </w:rPr>
        <w:t>Olomo</w:t>
      </w:r>
      <w:proofErr w:type="spellEnd"/>
      <w:r w:rsidRPr="00B90777">
        <w:rPr>
          <w:color w:val="auto"/>
        </w:rPr>
        <w:t xml:space="preserve"> et al., 2022). These differences are not inherently contradictory: they may reflect distinct rock volumes, structural indices and wavelength bands. Presenting a single regional “gold depth” inferred from the combined figures would conflate magnetic sources with </w:t>
      </w:r>
      <w:proofErr w:type="spellStart"/>
      <w:r w:rsidRPr="00B90777">
        <w:rPr>
          <w:color w:val="auto"/>
        </w:rPr>
        <w:t>mineralised</w:t>
      </w:r>
      <w:proofErr w:type="spellEnd"/>
      <w:r w:rsidRPr="00B90777">
        <w:rPr>
          <w:color w:val="auto"/>
        </w:rPr>
        <w:t xml:space="preserve"> bodies.</w:t>
      </w:r>
    </w:p>
    <w:p w14:paraId="330F7DC0" w14:textId="77777777" w:rsidR="00064FC0" w:rsidRPr="00B90777" w:rsidRDefault="00000000">
      <w:pPr>
        <w:jc w:val="both"/>
        <w:rPr>
          <w:color w:val="auto"/>
        </w:rPr>
      </w:pPr>
      <w:r w:rsidRPr="00B90777">
        <w:rPr>
          <w:color w:val="auto"/>
        </w:rPr>
        <w:t xml:space="preserve">Three-dimensional susceptibility inversion can improve geological consistency by seeking a volumetric </w:t>
      </w:r>
      <w:proofErr w:type="spellStart"/>
      <w:r w:rsidRPr="00B90777">
        <w:rPr>
          <w:color w:val="auto"/>
        </w:rPr>
        <w:t>magnetisation</w:t>
      </w:r>
      <w:proofErr w:type="spellEnd"/>
      <w:r w:rsidRPr="00B90777">
        <w:rPr>
          <w:color w:val="auto"/>
        </w:rPr>
        <w:t xml:space="preserve"> model rather than isolated derivative lineaments. It remains non-unique: distinct subsurface distributions can reproduce the same observations, and property constraints, </w:t>
      </w:r>
      <w:proofErr w:type="spellStart"/>
      <w:r w:rsidRPr="00B90777">
        <w:rPr>
          <w:color w:val="auto"/>
        </w:rPr>
        <w:t>regularisation</w:t>
      </w:r>
      <w:proofErr w:type="spellEnd"/>
      <w:r w:rsidRPr="00B90777">
        <w:rPr>
          <w:color w:val="auto"/>
        </w:rPr>
        <w:t xml:space="preserve"> and depth weighting have a major effect on recovered geometry (Li &amp; Oldenburg, 1996). Where susceptibility contrasts arise mainly between host formations, detailed inversion can refine the map of </w:t>
      </w:r>
      <w:proofErr w:type="spellStart"/>
      <w:r w:rsidRPr="00B90777">
        <w:rPr>
          <w:color w:val="auto"/>
        </w:rPr>
        <w:t>favourable</w:t>
      </w:r>
      <w:proofErr w:type="spellEnd"/>
      <w:r w:rsidRPr="00B90777">
        <w:rPr>
          <w:color w:val="auto"/>
        </w:rPr>
        <w:t xml:space="preserve"> structures but cannot prove that deformation was accompanied by gold deposition. Drill-core magnetic measurements and mapped susceptibility profiles are needed to tie modelled bodies to stratigraphy and alteration.</w:t>
      </w:r>
    </w:p>
    <w:p w14:paraId="7457FE3F" w14:textId="77777777" w:rsidR="00064FC0" w:rsidRPr="00B90777" w:rsidRDefault="00000000">
      <w:pPr>
        <w:jc w:val="both"/>
        <w:rPr>
          <w:color w:val="auto"/>
        </w:rPr>
      </w:pPr>
      <w:r w:rsidRPr="00B90777">
        <w:rPr>
          <w:color w:val="auto"/>
        </w:rPr>
        <w:t>The most defensible use of aeromagnetic depth and lineament information is hierarchical. At reconnaissance scale it discriminates structural corridors and host-rock domains. At district scale it identifies contacts and intersections to be tested by mapping or geochemistry. At prospect scale it constrains the orientation and probable persistence of faults or mafic bodies that may explain ground geophysical anomalies. Each transfer requires georeferencing, structural uncertainty and recognition that survey footprint and flight-line spacing limit the smallest reliable feature. Interpretations that bypass these intermediate checks risk confusing magnetic complexity with mineral prospectivity.</w:t>
      </w:r>
    </w:p>
    <w:p w14:paraId="6EC1AC5F" w14:textId="77777777" w:rsidR="00064FC0" w:rsidRPr="00B90777" w:rsidRDefault="00000000">
      <w:pPr>
        <w:pStyle w:val="Heading2"/>
        <w:rPr>
          <w:color w:val="auto"/>
        </w:rPr>
      </w:pPr>
      <w:r w:rsidRPr="00B90777">
        <w:rPr>
          <w:color w:val="auto"/>
        </w:rPr>
        <w:t>6.3 Airborne Gamma-Ray Spectrometry and Hydrothermal Alteration Proxies</w:t>
      </w:r>
    </w:p>
    <w:p w14:paraId="16FEB186" w14:textId="77777777" w:rsidR="00064FC0" w:rsidRPr="00B90777" w:rsidRDefault="00000000">
      <w:pPr>
        <w:jc w:val="both"/>
        <w:rPr>
          <w:color w:val="auto"/>
        </w:rPr>
      </w:pPr>
      <w:r w:rsidRPr="00B90777">
        <w:rPr>
          <w:color w:val="auto"/>
        </w:rPr>
        <w:t xml:space="preserve">Airborne gamma-ray spectrometry estimates near-surface distributions of potassium, equivalent uranium and equivalent thorium from their natural gamma emissions. It is fundamentally a shallow sampling method, with much of the useful signal originating from the upper </w:t>
      </w:r>
      <w:proofErr w:type="spellStart"/>
      <w:r w:rsidRPr="00B90777">
        <w:rPr>
          <w:color w:val="auto"/>
        </w:rPr>
        <w:t>decimetres</w:t>
      </w:r>
      <w:proofErr w:type="spellEnd"/>
      <w:r w:rsidRPr="00B90777">
        <w:rPr>
          <w:color w:val="auto"/>
        </w:rPr>
        <w:t xml:space="preserve"> of exposed soil or rock depending on moisture and density. The method should therefore not be described as sensing hydrothermal alteration to the same depth as </w:t>
      </w:r>
      <w:proofErr w:type="spellStart"/>
      <w:r w:rsidRPr="00B90777">
        <w:rPr>
          <w:color w:val="auto"/>
        </w:rPr>
        <w:t>aeromagnetics</w:t>
      </w:r>
      <w:proofErr w:type="spellEnd"/>
      <w:r w:rsidRPr="00B90777">
        <w:rPr>
          <w:color w:val="auto"/>
        </w:rPr>
        <w:t>. Its principal geological value is mapping lateral variations in radioelement signatures attributable to lithology, regolith development or possible alteration where surface material preserves the relevant chemistry (Minty, 1997).</w:t>
      </w:r>
    </w:p>
    <w:p w14:paraId="43ED22A5" w14:textId="77777777" w:rsidR="00064FC0" w:rsidRPr="00B90777" w:rsidRDefault="00000000">
      <w:pPr>
        <w:jc w:val="both"/>
        <w:rPr>
          <w:color w:val="auto"/>
        </w:rPr>
      </w:pPr>
      <w:r w:rsidRPr="00B90777">
        <w:rPr>
          <w:color w:val="auto"/>
        </w:rPr>
        <w:lastRenderedPageBreak/>
        <w:t>Potassium enrichment and related K/</w:t>
      </w:r>
      <w:proofErr w:type="spellStart"/>
      <w:r w:rsidRPr="00B90777">
        <w:rPr>
          <w:color w:val="auto"/>
        </w:rPr>
        <w:t>eTh</w:t>
      </w:r>
      <w:proofErr w:type="spellEnd"/>
      <w:r w:rsidRPr="00B90777">
        <w:rPr>
          <w:color w:val="auto"/>
        </w:rPr>
        <w:t xml:space="preserve"> or potassium-deviation indices have been interpreted as proxies for hydrothermal alteration in the Ilesha area. </w:t>
      </w:r>
      <w:proofErr w:type="spellStart"/>
      <w:r w:rsidRPr="00B90777">
        <w:rPr>
          <w:color w:val="auto"/>
        </w:rPr>
        <w:t>Olomo</w:t>
      </w:r>
      <w:proofErr w:type="spellEnd"/>
      <w:r w:rsidRPr="00B90777">
        <w:rPr>
          <w:color w:val="auto"/>
        </w:rPr>
        <w:t xml:space="preserve"> et al. (2022) used potassium deviation together with magnetic lineaments to generate a prospectivity interpretation; Salawu et al. (2021) found correspondence between surface radioelement patterns and aspects of the </w:t>
      </w:r>
      <w:proofErr w:type="spellStart"/>
      <w:r w:rsidRPr="00B90777">
        <w:rPr>
          <w:color w:val="auto"/>
        </w:rPr>
        <w:t>Ifewara</w:t>
      </w:r>
      <w:proofErr w:type="spellEnd"/>
      <w:r w:rsidRPr="00B90777">
        <w:rPr>
          <w:color w:val="auto"/>
        </w:rPr>
        <w:t xml:space="preserve"> structural corridor. These are meaningful spatial observations, particularly where independent petrology already identifies potassium-related alteration. Nevertheless, alteration-induced K gain must be separated from primary K-feldspar or mica abundance, feldspathic granite, variable grain size and weathering-driven radioelement redistribution before it can be considered an ore-system indicator.</w:t>
      </w:r>
    </w:p>
    <w:p w14:paraId="7B56D9EC" w14:textId="77777777" w:rsidR="00064FC0" w:rsidRPr="00B90777" w:rsidRDefault="00000000">
      <w:pPr>
        <w:jc w:val="both"/>
        <w:rPr>
          <w:color w:val="auto"/>
        </w:rPr>
      </w:pPr>
      <w:r w:rsidRPr="00B90777">
        <w:rPr>
          <w:color w:val="auto"/>
        </w:rPr>
        <w:t xml:space="preserve">Equivalent uranium and thorium channels also need careful interpretation. The concentrations are derived under assumptions about radioactive decay-chain equilibrium and calibration, and are modified by soil moisture, vegetation, topography, exposure and changes in detector height. The distribution of heavy residual minerals may influence thorium without being connected to </w:t>
      </w:r>
      <w:proofErr w:type="spellStart"/>
      <w:r w:rsidRPr="00B90777">
        <w:rPr>
          <w:color w:val="auto"/>
        </w:rPr>
        <w:t>mineralising</w:t>
      </w:r>
      <w:proofErr w:type="spellEnd"/>
      <w:r w:rsidRPr="00B90777">
        <w:rPr>
          <w:color w:val="auto"/>
        </w:rPr>
        <w:t xml:space="preserve"> fluid pathways. Because radiometric ratios share denominators or numerators, apparently independent predictor layers can be mathematically correlated. A high K/</w:t>
      </w:r>
      <w:proofErr w:type="spellStart"/>
      <w:r w:rsidRPr="00B90777">
        <w:rPr>
          <w:color w:val="auto"/>
        </w:rPr>
        <w:t>eTh</w:t>
      </w:r>
      <w:proofErr w:type="spellEnd"/>
      <w:r w:rsidRPr="00B90777">
        <w:rPr>
          <w:color w:val="auto"/>
        </w:rPr>
        <w:t xml:space="preserve"> map and a high potassium-deviation map may thus reinforce one another numerically without adding a genuinely independent geological line of evidence.</w:t>
      </w:r>
    </w:p>
    <w:p w14:paraId="4DF32599" w14:textId="77777777" w:rsidR="00064FC0" w:rsidRPr="00B90777" w:rsidRDefault="00000000">
      <w:pPr>
        <w:jc w:val="both"/>
        <w:rPr>
          <w:color w:val="auto"/>
        </w:rPr>
      </w:pPr>
      <w:r w:rsidRPr="00B90777">
        <w:rPr>
          <w:color w:val="auto"/>
        </w:rPr>
        <w:t xml:space="preserve">A particularly important source of interpretive error is the mismatch between the shallow radiometric sampling volume and the deep structure inferred from magnetic data. A radiometric anomaly directly above a mapped magnetic lineament is not proof that alteration continues from the surface to the estimated depth of the magnetic source. The surface layer may consist of transported sediment, laterite or weathered saprolite developed across several units. To support continuity, geochemical profiles and fresh-bedrock sampling must establish that the same alteration mineral assemblage persists through the weathering column. Without such verification, an overlap is a reasonable target-ranking cue rather than a cross-depth confirmation of </w:t>
      </w:r>
      <w:proofErr w:type="spellStart"/>
      <w:r w:rsidRPr="00B90777">
        <w:rPr>
          <w:color w:val="auto"/>
        </w:rPr>
        <w:t>mineralisation</w:t>
      </w:r>
      <w:proofErr w:type="spellEnd"/>
      <w:r w:rsidRPr="00B90777">
        <w:rPr>
          <w:color w:val="auto"/>
        </w:rPr>
        <w:t>.</w:t>
      </w:r>
    </w:p>
    <w:p w14:paraId="03F649F5" w14:textId="77777777" w:rsidR="00064FC0" w:rsidRPr="00B90777" w:rsidRDefault="00000000">
      <w:pPr>
        <w:pStyle w:val="Heading2"/>
        <w:rPr>
          <w:color w:val="auto"/>
        </w:rPr>
      </w:pPr>
      <w:r w:rsidRPr="00B90777">
        <w:rPr>
          <w:color w:val="auto"/>
        </w:rPr>
        <w:t>6.4 Survey Resolution, Processing and Regional Claims</w:t>
      </w:r>
    </w:p>
    <w:p w14:paraId="1A7FFAA6" w14:textId="77777777" w:rsidR="00064FC0" w:rsidRPr="00B90777" w:rsidRDefault="00000000">
      <w:pPr>
        <w:jc w:val="both"/>
        <w:rPr>
          <w:color w:val="auto"/>
        </w:rPr>
      </w:pPr>
      <w:r w:rsidRPr="00B90777">
        <w:rPr>
          <w:color w:val="auto"/>
        </w:rPr>
        <w:t>The quality of an integrated airborne map depends on the original acquisition geometry, not merely the nominal pixel size of the output grid. Regional studies of the belt have used airborne datasets with different survey designs, including legacy magnetic and radiometric collections. Salawu et al. (2021) describe survey information with approximately 500 m flight-line spacing and an 80 m nominal flying height, whereas other analyses report different effective survey specifications. The difference matters because an image interpolated onto fine cells cannot resolve a narrow vein that the flight-line spacing and altitude did not sample adequately. This also restricts the geological meaning of derivative-enhanced short-wavelength features.</w:t>
      </w:r>
    </w:p>
    <w:p w14:paraId="3ABF6016" w14:textId="77777777" w:rsidR="00064FC0" w:rsidRPr="00B90777" w:rsidRDefault="00000000">
      <w:pPr>
        <w:jc w:val="both"/>
        <w:rPr>
          <w:color w:val="auto"/>
        </w:rPr>
      </w:pPr>
      <w:r w:rsidRPr="00B90777">
        <w:rPr>
          <w:color w:val="auto"/>
        </w:rPr>
        <w:t xml:space="preserve">Processing chains can alter structural patterns substantially. Heading correction, diurnal adjustment, International Geomagnetic Reference Field removal, levelling and </w:t>
      </w:r>
      <w:proofErr w:type="spellStart"/>
      <w:r w:rsidRPr="00B90777">
        <w:rPr>
          <w:color w:val="auto"/>
        </w:rPr>
        <w:t>microlevelling</w:t>
      </w:r>
      <w:proofErr w:type="spellEnd"/>
      <w:r w:rsidRPr="00B90777">
        <w:rPr>
          <w:color w:val="auto"/>
        </w:rPr>
        <w:t xml:space="preserve"> influence magnetic grids before any derivative is applied. For </w:t>
      </w:r>
      <w:proofErr w:type="spellStart"/>
      <w:r w:rsidRPr="00B90777">
        <w:rPr>
          <w:color w:val="auto"/>
        </w:rPr>
        <w:t>radiometrics</w:t>
      </w:r>
      <w:proofErr w:type="spellEnd"/>
      <w:r w:rsidRPr="00B90777">
        <w:rPr>
          <w:color w:val="auto"/>
        </w:rPr>
        <w:t xml:space="preserve">, stripping, height correction, spectral window calibration and environmental compensation affect apparent K, </w:t>
      </w:r>
      <w:proofErr w:type="spellStart"/>
      <w:r w:rsidRPr="00B90777">
        <w:rPr>
          <w:color w:val="auto"/>
        </w:rPr>
        <w:t>eU</w:t>
      </w:r>
      <w:proofErr w:type="spellEnd"/>
      <w:r w:rsidRPr="00B90777">
        <w:rPr>
          <w:color w:val="auto"/>
        </w:rPr>
        <w:t xml:space="preserve"> and </w:t>
      </w:r>
      <w:proofErr w:type="spellStart"/>
      <w:r w:rsidRPr="00B90777">
        <w:rPr>
          <w:color w:val="auto"/>
        </w:rPr>
        <w:t>eTh</w:t>
      </w:r>
      <w:proofErr w:type="spellEnd"/>
      <w:r w:rsidRPr="00B90777">
        <w:rPr>
          <w:color w:val="auto"/>
        </w:rPr>
        <w:t xml:space="preserve"> patterns. When original processing metadata and uncertainty are unavailable, a critical review should not interpret small inter-study </w:t>
      </w:r>
      <w:r w:rsidRPr="00B90777">
        <w:rPr>
          <w:color w:val="auto"/>
        </w:rPr>
        <w:lastRenderedPageBreak/>
        <w:t>differences as geological changes. Consistency of regional trends is more credible than fine-scale comparability of anomaly amplitudes across differently processed surveys.</w:t>
      </w:r>
    </w:p>
    <w:p w14:paraId="5AD60528" w14:textId="77777777" w:rsidR="00064FC0" w:rsidRPr="00B90777" w:rsidRDefault="00000000">
      <w:pPr>
        <w:jc w:val="both"/>
        <w:rPr>
          <w:color w:val="auto"/>
        </w:rPr>
      </w:pPr>
      <w:r w:rsidRPr="00B90777">
        <w:rPr>
          <w:color w:val="auto"/>
        </w:rPr>
        <w:t>Local studies have reported prospectivity overlays in which known mining pits align with mapped magnetic structures and radiometric alteration zones (</w:t>
      </w:r>
      <w:proofErr w:type="spellStart"/>
      <w:r w:rsidRPr="00B90777">
        <w:rPr>
          <w:color w:val="auto"/>
        </w:rPr>
        <w:t>Akinlalu</w:t>
      </w:r>
      <w:proofErr w:type="spellEnd"/>
      <w:r w:rsidRPr="00B90777">
        <w:rPr>
          <w:color w:val="auto"/>
        </w:rPr>
        <w:t xml:space="preserve"> et al., 2018; </w:t>
      </w:r>
      <w:proofErr w:type="spellStart"/>
      <w:r w:rsidRPr="00B90777">
        <w:rPr>
          <w:color w:val="auto"/>
        </w:rPr>
        <w:t>Olomo</w:t>
      </w:r>
      <w:proofErr w:type="spellEnd"/>
      <w:r w:rsidRPr="00B90777">
        <w:rPr>
          <w:color w:val="auto"/>
        </w:rPr>
        <w:t xml:space="preserve"> et al., 2022). Such overlap supports the plausibility of using these layers for reconnaissance. It may also be expected because historical workings are concentrated at visible quartz veins and structural exposures, while access paths and erosion patterns can influence both mine distribution and surface geophysical signatures. A strong test would compare the same predictors with nearby non-</w:t>
      </w:r>
      <w:proofErr w:type="spellStart"/>
      <w:r w:rsidRPr="00B90777">
        <w:rPr>
          <w:color w:val="auto"/>
        </w:rPr>
        <w:t>mineralised</w:t>
      </w:r>
      <w:proofErr w:type="spellEnd"/>
      <w:r w:rsidRPr="00B90777">
        <w:rPr>
          <w:color w:val="auto"/>
        </w:rPr>
        <w:t xml:space="preserve"> structural sites and independently sampled target locations, with appropriate controls for lithology and proximity to existing workings.</w:t>
      </w:r>
    </w:p>
    <w:p w14:paraId="5F90AF37" w14:textId="77777777" w:rsidR="00064FC0" w:rsidRPr="00B90777" w:rsidRDefault="00000000">
      <w:pPr>
        <w:jc w:val="both"/>
        <w:rPr>
          <w:color w:val="auto"/>
        </w:rPr>
      </w:pPr>
      <w:r w:rsidRPr="00B90777">
        <w:rPr>
          <w:color w:val="auto"/>
        </w:rPr>
        <w:t xml:space="preserve">Airborne electromagnetic data offer a useful comparator even though they are not one of the four principal methods assessed here. A regional time-domain electromagnetic interpretation identified conductive patterns and structural domains within the Ilesha belt (Osinowo et al., 2022). Because this method measures subsurface electromagnetic response rather than shallow gamma emission, it can help ask whether a surface radiometric anomaly overlies an electrically distinctive structure. Yet conductive anomalies are likewise non-specific, and the method should not be counted as a confirmatory gold test unless tied to sampled </w:t>
      </w:r>
      <w:proofErr w:type="spellStart"/>
      <w:r w:rsidRPr="00B90777">
        <w:rPr>
          <w:color w:val="auto"/>
        </w:rPr>
        <w:t>mineralisation</w:t>
      </w:r>
      <w:proofErr w:type="spellEnd"/>
      <w:r w:rsidRPr="00B90777">
        <w:rPr>
          <w:color w:val="auto"/>
        </w:rPr>
        <w:t>. This cross-method caution applies equally to satellite-derived alteration indicators and topographic lineaments.</w:t>
      </w:r>
    </w:p>
    <w:p w14:paraId="4C9EA918" w14:textId="77777777" w:rsidR="00064FC0" w:rsidRPr="00B90777" w:rsidRDefault="00000000">
      <w:pPr>
        <w:jc w:val="both"/>
        <w:rPr>
          <w:color w:val="auto"/>
        </w:rPr>
      </w:pPr>
      <w:r w:rsidRPr="00B90777">
        <w:rPr>
          <w:color w:val="auto"/>
        </w:rPr>
        <w:t xml:space="preserve">The appropriate technical synthesis is that airborne surveys provide the most coherent regional structural and compositional context, but neither magnetic edge detection nor radioelement enrichment is a sufficient condition for gold. Their contribution becomes strongest when tested against the deposits and lithologies already documented by geological research, and when used to design field surveys rather than to bypass them. The confidence assigned to a lineament intersecting a potassium anomaly should rise only if independent ground evidence identifies alteration and </w:t>
      </w:r>
      <w:proofErr w:type="spellStart"/>
      <w:r w:rsidRPr="00B90777">
        <w:rPr>
          <w:color w:val="auto"/>
        </w:rPr>
        <w:t>mineralised</w:t>
      </w:r>
      <w:proofErr w:type="spellEnd"/>
      <w:r w:rsidRPr="00B90777">
        <w:rPr>
          <w:color w:val="auto"/>
        </w:rPr>
        <w:t xml:space="preserve"> rock, not simply because two </w:t>
      </w:r>
      <w:proofErr w:type="spellStart"/>
      <w:r w:rsidRPr="00B90777">
        <w:rPr>
          <w:color w:val="auto"/>
        </w:rPr>
        <w:t>coloured</w:t>
      </w:r>
      <w:proofErr w:type="spellEnd"/>
      <w:r w:rsidRPr="00B90777">
        <w:rPr>
          <w:color w:val="auto"/>
        </w:rPr>
        <w:t xml:space="preserve"> map layers overlap.</w:t>
      </w:r>
    </w:p>
    <w:p w14:paraId="7DC9EEEF" w14:textId="77777777" w:rsidR="00064FC0" w:rsidRPr="00B90777" w:rsidRDefault="00000000">
      <w:pPr>
        <w:jc w:val="both"/>
        <w:rPr>
          <w:color w:val="auto"/>
        </w:rPr>
      </w:pPr>
      <w:r w:rsidRPr="00B90777">
        <w:rPr>
          <w:color w:val="auto"/>
        </w:rPr>
        <w:t>Table 4 contrasts the physical sensitivities of the airborne methods with the geological features often inferred from them. The principal distinction is between long-wavelength structural architecture and shallow surface composition: their spatial coincidence is informative, but their depths of investigation and principal confounders are not interchangeable.</w:t>
      </w:r>
    </w:p>
    <w:p w14:paraId="46E03245" w14:textId="77777777" w:rsidR="00064FC0" w:rsidRPr="00B90777" w:rsidRDefault="00000000">
      <w:pPr>
        <w:keepNext/>
        <w:spacing w:before="160" w:after="40"/>
        <w:rPr>
          <w:color w:val="auto"/>
        </w:rPr>
      </w:pPr>
      <w:r w:rsidRPr="00B90777">
        <w:rPr>
          <w:b/>
          <w:color w:val="auto"/>
          <w:sz w:val="20"/>
        </w:rPr>
        <w:t>Table 4</w:t>
      </w:r>
    </w:p>
    <w:p w14:paraId="21F56D31" w14:textId="77777777" w:rsidR="00064FC0" w:rsidRPr="00B90777" w:rsidRDefault="00000000">
      <w:pPr>
        <w:keepNext/>
        <w:spacing w:after="100"/>
        <w:rPr>
          <w:color w:val="auto"/>
        </w:rPr>
      </w:pPr>
      <w:r w:rsidRPr="00B90777">
        <w:rPr>
          <w:i/>
          <w:color w:val="auto"/>
          <w:sz w:val="20"/>
        </w:rPr>
        <w:t>Airborne geophysical indicators: physical observations and geological caveats</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40F48EBD"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5F6AA865" w14:textId="77777777" w:rsidR="00064FC0" w:rsidRPr="00B90777" w:rsidRDefault="00000000">
            <w:pPr>
              <w:pStyle w:val="TableBodyAuthor"/>
            </w:pPr>
            <w:r w:rsidRPr="00B90777">
              <w:rPr>
                <w:b/>
              </w:rPr>
              <w:t>Airborne indicator</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19CB225B" w14:textId="77777777" w:rsidR="00064FC0" w:rsidRPr="00B90777" w:rsidRDefault="00000000">
            <w:pPr>
              <w:pStyle w:val="TableBodyAuthor"/>
            </w:pPr>
            <w:r w:rsidRPr="00B90777">
              <w:rPr>
                <w:b/>
              </w:rPr>
              <w:t>Main measured sensitivity</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20F1B39C" w14:textId="77777777" w:rsidR="00064FC0" w:rsidRPr="00B90777" w:rsidRDefault="00000000">
            <w:pPr>
              <w:pStyle w:val="TableBodyAuthor"/>
            </w:pPr>
            <w:r w:rsidRPr="00B90777">
              <w:rPr>
                <w:b/>
              </w:rPr>
              <w:t>Useful geological interpretation</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73842423" w14:textId="77777777" w:rsidR="00064FC0" w:rsidRPr="00B90777" w:rsidRDefault="00000000">
            <w:pPr>
              <w:pStyle w:val="TableBodyAuthor"/>
            </w:pPr>
            <w:r w:rsidRPr="00B90777">
              <w:rPr>
                <w:b/>
              </w:rPr>
              <w:t>Critical limitation</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2F6B42F5" w14:textId="77777777" w:rsidR="00064FC0" w:rsidRPr="00B90777" w:rsidRDefault="00000000">
            <w:pPr>
              <w:pStyle w:val="TableBodyAuthor"/>
            </w:pPr>
            <w:r w:rsidRPr="00B90777">
              <w:rPr>
                <w:b/>
              </w:rPr>
              <w:t>Supporting references</w:t>
            </w:r>
          </w:p>
        </w:tc>
      </w:tr>
      <w:tr w:rsidR="00B90777" w:rsidRPr="00B90777" w14:paraId="162D0DAD" w14:textId="77777777">
        <w:trPr>
          <w:jc w:val="center"/>
        </w:trPr>
        <w:tc>
          <w:tcPr>
            <w:tcW w:w="1555" w:type="dxa"/>
            <w:tcMar>
              <w:top w:w="90" w:type="dxa"/>
              <w:left w:w="80" w:type="dxa"/>
              <w:bottom w:w="90" w:type="dxa"/>
              <w:right w:w="80" w:type="dxa"/>
            </w:tcMar>
            <w:vAlign w:val="center"/>
          </w:tcPr>
          <w:p w14:paraId="0114CB6B" w14:textId="77777777" w:rsidR="00064FC0" w:rsidRPr="00B90777" w:rsidRDefault="00000000">
            <w:pPr>
              <w:pStyle w:val="TableBodyAuthor"/>
            </w:pPr>
            <w:r w:rsidRPr="00B90777">
              <w:t>Magnetic lineaments and edges</w:t>
            </w:r>
          </w:p>
        </w:tc>
        <w:tc>
          <w:tcPr>
            <w:tcW w:w="1915" w:type="dxa"/>
            <w:tcMar>
              <w:top w:w="90" w:type="dxa"/>
              <w:left w:w="80" w:type="dxa"/>
              <w:bottom w:w="90" w:type="dxa"/>
              <w:right w:w="80" w:type="dxa"/>
            </w:tcMar>
            <w:vAlign w:val="center"/>
          </w:tcPr>
          <w:p w14:paraId="15CC8AC9" w14:textId="77777777" w:rsidR="00064FC0" w:rsidRPr="00B90777" w:rsidRDefault="00000000">
            <w:pPr>
              <w:pStyle w:val="TableBodyAuthor"/>
            </w:pPr>
            <w:r w:rsidRPr="00B90777">
              <w:t xml:space="preserve">Contrasts in </w:t>
            </w:r>
            <w:proofErr w:type="spellStart"/>
            <w:r w:rsidRPr="00B90777">
              <w:t>magnetisation</w:t>
            </w:r>
            <w:proofErr w:type="spellEnd"/>
            <w:r w:rsidRPr="00B90777">
              <w:t xml:space="preserve"> and field gradients</w:t>
            </w:r>
          </w:p>
        </w:tc>
        <w:tc>
          <w:tcPr>
            <w:tcW w:w="2002" w:type="dxa"/>
            <w:tcMar>
              <w:top w:w="90" w:type="dxa"/>
              <w:left w:w="80" w:type="dxa"/>
              <w:bottom w:w="90" w:type="dxa"/>
              <w:right w:w="80" w:type="dxa"/>
            </w:tcMar>
            <w:vAlign w:val="center"/>
          </w:tcPr>
          <w:p w14:paraId="62F4FC5D" w14:textId="77777777" w:rsidR="00064FC0" w:rsidRPr="00B90777" w:rsidRDefault="00000000">
            <w:pPr>
              <w:pStyle w:val="TableBodyAuthor"/>
            </w:pPr>
            <w:r w:rsidRPr="00B90777">
              <w:t>Contacts, dykes, shears and lithological trends</w:t>
            </w:r>
          </w:p>
        </w:tc>
        <w:tc>
          <w:tcPr>
            <w:tcW w:w="2016" w:type="dxa"/>
            <w:tcMar>
              <w:top w:w="90" w:type="dxa"/>
              <w:left w:w="80" w:type="dxa"/>
              <w:bottom w:w="90" w:type="dxa"/>
              <w:right w:w="80" w:type="dxa"/>
            </w:tcMar>
            <w:vAlign w:val="center"/>
          </w:tcPr>
          <w:p w14:paraId="6B825BBA" w14:textId="77777777" w:rsidR="00064FC0" w:rsidRPr="00B90777" w:rsidRDefault="00000000">
            <w:pPr>
              <w:pStyle w:val="TableBodyAuthor"/>
            </w:pPr>
            <w:r w:rsidRPr="00B90777">
              <w:t>Derivative artefacts, remanence and ambiguous fault identity</w:t>
            </w:r>
          </w:p>
        </w:tc>
        <w:tc>
          <w:tcPr>
            <w:tcW w:w="1987" w:type="dxa"/>
            <w:tcMar>
              <w:top w:w="90" w:type="dxa"/>
              <w:left w:w="80" w:type="dxa"/>
              <w:bottom w:w="90" w:type="dxa"/>
              <w:right w:w="80" w:type="dxa"/>
            </w:tcMar>
            <w:vAlign w:val="center"/>
          </w:tcPr>
          <w:p w14:paraId="0305F24C" w14:textId="77777777" w:rsidR="00064FC0" w:rsidRPr="00B90777" w:rsidRDefault="00000000">
            <w:pPr>
              <w:pStyle w:val="TableBodyAuthor"/>
            </w:pPr>
            <w:r w:rsidRPr="00B90777">
              <w:t>(</w:t>
            </w:r>
            <w:proofErr w:type="spellStart"/>
            <w:r w:rsidRPr="00B90777">
              <w:t>Akinlalu</w:t>
            </w:r>
            <w:proofErr w:type="spellEnd"/>
            <w:r w:rsidRPr="00B90777">
              <w:t xml:space="preserve"> et al., 2018; Verduzco et al., 2004)</w:t>
            </w:r>
          </w:p>
        </w:tc>
      </w:tr>
      <w:tr w:rsidR="00B90777" w:rsidRPr="00B90777" w14:paraId="380863A0" w14:textId="77777777">
        <w:trPr>
          <w:jc w:val="center"/>
        </w:trPr>
        <w:tc>
          <w:tcPr>
            <w:tcW w:w="1555" w:type="dxa"/>
            <w:tcMar>
              <w:top w:w="90" w:type="dxa"/>
              <w:left w:w="80" w:type="dxa"/>
              <w:bottom w:w="90" w:type="dxa"/>
              <w:right w:w="80" w:type="dxa"/>
            </w:tcMar>
            <w:vAlign w:val="center"/>
          </w:tcPr>
          <w:p w14:paraId="597264F0" w14:textId="77777777" w:rsidR="00064FC0" w:rsidRPr="00B90777" w:rsidRDefault="00000000">
            <w:pPr>
              <w:pStyle w:val="TableBodyAuthor"/>
            </w:pPr>
            <w:r w:rsidRPr="00B90777">
              <w:t>Analytic-signal maxima</w:t>
            </w:r>
          </w:p>
        </w:tc>
        <w:tc>
          <w:tcPr>
            <w:tcW w:w="1915" w:type="dxa"/>
            <w:tcMar>
              <w:top w:w="90" w:type="dxa"/>
              <w:left w:w="80" w:type="dxa"/>
              <w:bottom w:w="90" w:type="dxa"/>
              <w:right w:w="80" w:type="dxa"/>
            </w:tcMar>
            <w:vAlign w:val="center"/>
          </w:tcPr>
          <w:p w14:paraId="149739C9" w14:textId="77777777" w:rsidR="00064FC0" w:rsidRPr="00B90777" w:rsidRDefault="00000000">
            <w:pPr>
              <w:pStyle w:val="TableBodyAuthor"/>
            </w:pPr>
            <w:r w:rsidRPr="00B90777">
              <w:t>Gradients around magnetic source distributions</w:t>
            </w:r>
          </w:p>
        </w:tc>
        <w:tc>
          <w:tcPr>
            <w:tcW w:w="2002" w:type="dxa"/>
            <w:tcMar>
              <w:top w:w="90" w:type="dxa"/>
              <w:left w:w="80" w:type="dxa"/>
              <w:bottom w:w="90" w:type="dxa"/>
              <w:right w:w="80" w:type="dxa"/>
            </w:tcMar>
            <w:vAlign w:val="center"/>
          </w:tcPr>
          <w:p w14:paraId="08908B65" w14:textId="77777777" w:rsidR="00064FC0" w:rsidRPr="00B90777" w:rsidRDefault="00000000">
            <w:pPr>
              <w:pStyle w:val="TableBodyAuthor"/>
            </w:pPr>
            <w:r w:rsidRPr="00B90777">
              <w:t>Possible contact location in some geometries</w:t>
            </w:r>
          </w:p>
        </w:tc>
        <w:tc>
          <w:tcPr>
            <w:tcW w:w="2016" w:type="dxa"/>
            <w:tcMar>
              <w:top w:w="90" w:type="dxa"/>
              <w:left w:w="80" w:type="dxa"/>
              <w:bottom w:w="90" w:type="dxa"/>
              <w:right w:w="80" w:type="dxa"/>
            </w:tcMar>
            <w:vAlign w:val="center"/>
          </w:tcPr>
          <w:p w14:paraId="2C405E16" w14:textId="77777777" w:rsidR="00064FC0" w:rsidRPr="00B90777" w:rsidRDefault="00000000">
            <w:pPr>
              <w:pStyle w:val="TableBodyAuthor"/>
            </w:pPr>
            <w:r w:rsidRPr="00B90777">
              <w:t xml:space="preserve">Three-dimensional sources and </w:t>
            </w:r>
            <w:proofErr w:type="spellStart"/>
            <w:r w:rsidRPr="00B90777">
              <w:t>magnetisation</w:t>
            </w:r>
            <w:proofErr w:type="spellEnd"/>
            <w:r w:rsidRPr="00B90777">
              <w:t xml:space="preserve"> direction complicate interpretation</w:t>
            </w:r>
          </w:p>
        </w:tc>
        <w:tc>
          <w:tcPr>
            <w:tcW w:w="1987" w:type="dxa"/>
            <w:tcMar>
              <w:top w:w="90" w:type="dxa"/>
              <w:left w:w="80" w:type="dxa"/>
              <w:bottom w:w="90" w:type="dxa"/>
              <w:right w:w="80" w:type="dxa"/>
            </w:tcMar>
            <w:vAlign w:val="center"/>
          </w:tcPr>
          <w:p w14:paraId="3C6634E7" w14:textId="77777777" w:rsidR="00064FC0" w:rsidRPr="00B90777" w:rsidRDefault="00000000">
            <w:pPr>
              <w:pStyle w:val="TableBodyAuthor"/>
            </w:pPr>
            <w:r w:rsidRPr="00B90777">
              <w:t>(Li, 2006; Li &amp; Pilkington, 2016; Roest et al., 1992)</w:t>
            </w:r>
          </w:p>
        </w:tc>
      </w:tr>
      <w:tr w:rsidR="00B90777" w:rsidRPr="00B90777" w14:paraId="1CC4D84D" w14:textId="77777777">
        <w:trPr>
          <w:jc w:val="center"/>
        </w:trPr>
        <w:tc>
          <w:tcPr>
            <w:tcW w:w="1555" w:type="dxa"/>
            <w:tcMar>
              <w:top w:w="90" w:type="dxa"/>
              <w:left w:w="80" w:type="dxa"/>
              <w:bottom w:w="90" w:type="dxa"/>
              <w:right w:w="80" w:type="dxa"/>
            </w:tcMar>
            <w:vAlign w:val="center"/>
          </w:tcPr>
          <w:p w14:paraId="34E2C592" w14:textId="77777777" w:rsidR="00064FC0" w:rsidRPr="00B90777" w:rsidRDefault="00000000">
            <w:pPr>
              <w:pStyle w:val="TableBodyAuthor"/>
            </w:pPr>
            <w:r w:rsidRPr="00B90777">
              <w:lastRenderedPageBreak/>
              <w:t>Euler depth clusters</w:t>
            </w:r>
          </w:p>
        </w:tc>
        <w:tc>
          <w:tcPr>
            <w:tcW w:w="1915" w:type="dxa"/>
            <w:tcMar>
              <w:top w:w="90" w:type="dxa"/>
              <w:left w:w="80" w:type="dxa"/>
              <w:bottom w:w="90" w:type="dxa"/>
              <w:right w:w="80" w:type="dxa"/>
            </w:tcMar>
            <w:vAlign w:val="center"/>
          </w:tcPr>
          <w:p w14:paraId="7AC240B6" w14:textId="77777777" w:rsidR="00064FC0" w:rsidRPr="00B90777" w:rsidRDefault="00000000">
            <w:pPr>
              <w:pStyle w:val="TableBodyAuthor"/>
            </w:pPr>
            <w:r w:rsidRPr="00B90777">
              <w:t>Field gradients with assumed structural index</w:t>
            </w:r>
          </w:p>
        </w:tc>
        <w:tc>
          <w:tcPr>
            <w:tcW w:w="2002" w:type="dxa"/>
            <w:tcMar>
              <w:top w:w="90" w:type="dxa"/>
              <w:left w:w="80" w:type="dxa"/>
              <w:bottom w:w="90" w:type="dxa"/>
              <w:right w:w="80" w:type="dxa"/>
            </w:tcMar>
            <w:vAlign w:val="center"/>
          </w:tcPr>
          <w:p w14:paraId="09397BAF" w14:textId="77777777" w:rsidR="00064FC0" w:rsidRPr="00B90777" w:rsidRDefault="00000000">
            <w:pPr>
              <w:pStyle w:val="TableBodyAuthor"/>
            </w:pPr>
            <w:r w:rsidRPr="00B90777">
              <w:t xml:space="preserve">Approximate location of </w:t>
            </w:r>
            <w:proofErr w:type="spellStart"/>
            <w:r w:rsidRPr="00B90777">
              <w:t>idealised</w:t>
            </w:r>
            <w:proofErr w:type="spellEnd"/>
            <w:r w:rsidRPr="00B90777">
              <w:t xml:space="preserve"> magnetic sources</w:t>
            </w:r>
          </w:p>
        </w:tc>
        <w:tc>
          <w:tcPr>
            <w:tcW w:w="2016" w:type="dxa"/>
            <w:tcMar>
              <w:top w:w="90" w:type="dxa"/>
              <w:left w:w="80" w:type="dxa"/>
              <w:bottom w:w="90" w:type="dxa"/>
              <w:right w:w="80" w:type="dxa"/>
            </w:tcMar>
            <w:vAlign w:val="center"/>
          </w:tcPr>
          <w:p w14:paraId="7D4A9BE6" w14:textId="77777777" w:rsidR="00064FC0" w:rsidRPr="00B90777" w:rsidRDefault="00000000">
            <w:pPr>
              <w:pStyle w:val="TableBodyAuthor"/>
            </w:pPr>
            <w:r w:rsidRPr="00B90777">
              <w:t>Model choice and window size; not directly depth to gold</w:t>
            </w:r>
          </w:p>
        </w:tc>
        <w:tc>
          <w:tcPr>
            <w:tcW w:w="1987" w:type="dxa"/>
            <w:tcMar>
              <w:top w:w="90" w:type="dxa"/>
              <w:left w:w="80" w:type="dxa"/>
              <w:bottom w:w="90" w:type="dxa"/>
              <w:right w:w="80" w:type="dxa"/>
            </w:tcMar>
            <w:vAlign w:val="center"/>
          </w:tcPr>
          <w:p w14:paraId="324BB0A8" w14:textId="77777777" w:rsidR="00064FC0" w:rsidRPr="00B90777" w:rsidRDefault="00000000">
            <w:pPr>
              <w:pStyle w:val="TableBodyAuthor"/>
            </w:pPr>
            <w:r w:rsidRPr="00B90777">
              <w:t>(Reid et al., 1990; Salawu et al., 2021)</w:t>
            </w:r>
          </w:p>
        </w:tc>
      </w:tr>
      <w:tr w:rsidR="00B90777" w:rsidRPr="00B90777" w14:paraId="506FF4F3" w14:textId="77777777">
        <w:trPr>
          <w:jc w:val="center"/>
        </w:trPr>
        <w:tc>
          <w:tcPr>
            <w:tcW w:w="1555" w:type="dxa"/>
            <w:tcMar>
              <w:top w:w="90" w:type="dxa"/>
              <w:left w:w="80" w:type="dxa"/>
              <w:bottom w:w="90" w:type="dxa"/>
              <w:right w:w="80" w:type="dxa"/>
            </w:tcMar>
            <w:vAlign w:val="center"/>
          </w:tcPr>
          <w:p w14:paraId="46AACF73" w14:textId="77777777" w:rsidR="00064FC0" w:rsidRPr="00B90777" w:rsidRDefault="00000000">
            <w:pPr>
              <w:pStyle w:val="TableBodyAuthor"/>
            </w:pPr>
            <w:r w:rsidRPr="00B90777">
              <w:t>Potassium deviation or K/</w:t>
            </w:r>
            <w:proofErr w:type="spellStart"/>
            <w:r w:rsidRPr="00B90777">
              <w:t>eTh</w:t>
            </w:r>
            <w:proofErr w:type="spellEnd"/>
          </w:p>
        </w:tc>
        <w:tc>
          <w:tcPr>
            <w:tcW w:w="1915" w:type="dxa"/>
            <w:tcMar>
              <w:top w:w="90" w:type="dxa"/>
              <w:left w:w="80" w:type="dxa"/>
              <w:bottom w:w="90" w:type="dxa"/>
              <w:right w:w="80" w:type="dxa"/>
            </w:tcMar>
            <w:vAlign w:val="center"/>
          </w:tcPr>
          <w:p w14:paraId="21E54193" w14:textId="77777777" w:rsidR="00064FC0" w:rsidRPr="00B90777" w:rsidRDefault="00000000">
            <w:pPr>
              <w:pStyle w:val="TableBodyAuthor"/>
            </w:pPr>
            <w:r w:rsidRPr="00B90777">
              <w:t>Near-surface gamma-ray radioelement distributions</w:t>
            </w:r>
          </w:p>
        </w:tc>
        <w:tc>
          <w:tcPr>
            <w:tcW w:w="2002" w:type="dxa"/>
            <w:tcMar>
              <w:top w:w="90" w:type="dxa"/>
              <w:left w:w="80" w:type="dxa"/>
              <w:bottom w:w="90" w:type="dxa"/>
              <w:right w:w="80" w:type="dxa"/>
            </w:tcMar>
            <w:vAlign w:val="center"/>
          </w:tcPr>
          <w:p w14:paraId="73117339" w14:textId="77777777" w:rsidR="00064FC0" w:rsidRPr="00B90777" w:rsidRDefault="00000000">
            <w:pPr>
              <w:pStyle w:val="TableBodyAuthor"/>
            </w:pPr>
            <w:r w:rsidRPr="00B90777">
              <w:t>Possible potassic alteration footprint</w:t>
            </w:r>
          </w:p>
        </w:tc>
        <w:tc>
          <w:tcPr>
            <w:tcW w:w="2016" w:type="dxa"/>
            <w:tcMar>
              <w:top w:w="90" w:type="dxa"/>
              <w:left w:w="80" w:type="dxa"/>
              <w:bottom w:w="90" w:type="dxa"/>
              <w:right w:w="80" w:type="dxa"/>
            </w:tcMar>
            <w:vAlign w:val="center"/>
          </w:tcPr>
          <w:p w14:paraId="7F7E5534" w14:textId="77777777" w:rsidR="00064FC0" w:rsidRPr="00B90777" w:rsidRDefault="00000000">
            <w:pPr>
              <w:pStyle w:val="TableBodyAuthor"/>
            </w:pPr>
            <w:r w:rsidRPr="00B90777">
              <w:t>Granite composition, weathering, surface transport and moisture</w:t>
            </w:r>
          </w:p>
        </w:tc>
        <w:tc>
          <w:tcPr>
            <w:tcW w:w="1987" w:type="dxa"/>
            <w:tcMar>
              <w:top w:w="90" w:type="dxa"/>
              <w:left w:w="80" w:type="dxa"/>
              <w:bottom w:w="90" w:type="dxa"/>
              <w:right w:w="80" w:type="dxa"/>
            </w:tcMar>
            <w:vAlign w:val="center"/>
          </w:tcPr>
          <w:p w14:paraId="2C97A3B4" w14:textId="77777777" w:rsidR="00064FC0" w:rsidRPr="00B90777" w:rsidRDefault="00000000">
            <w:pPr>
              <w:pStyle w:val="TableBodyAuthor"/>
            </w:pPr>
            <w:r w:rsidRPr="00B90777">
              <w:t xml:space="preserve">(Minty, 1997; </w:t>
            </w:r>
            <w:proofErr w:type="spellStart"/>
            <w:r w:rsidRPr="00B90777">
              <w:t>Olomo</w:t>
            </w:r>
            <w:proofErr w:type="spellEnd"/>
            <w:r w:rsidRPr="00B90777">
              <w:t xml:space="preserve"> et al., 2022)</w:t>
            </w:r>
          </w:p>
        </w:tc>
      </w:tr>
      <w:tr w:rsidR="00B90777" w:rsidRPr="00B90777" w14:paraId="5C021C6B" w14:textId="77777777">
        <w:trPr>
          <w:jc w:val="center"/>
        </w:trPr>
        <w:tc>
          <w:tcPr>
            <w:tcW w:w="1555" w:type="dxa"/>
            <w:tcMar>
              <w:top w:w="90" w:type="dxa"/>
              <w:left w:w="80" w:type="dxa"/>
              <w:bottom w:w="90" w:type="dxa"/>
              <w:right w:w="80" w:type="dxa"/>
            </w:tcMar>
            <w:vAlign w:val="center"/>
          </w:tcPr>
          <w:p w14:paraId="7214EFD5" w14:textId="77777777" w:rsidR="00064FC0" w:rsidRPr="00B90777" w:rsidRDefault="00000000">
            <w:pPr>
              <w:pStyle w:val="TableBodyAuthor"/>
            </w:pPr>
            <w:r w:rsidRPr="00B90777">
              <w:t>Radiometric–magnetic overlap</w:t>
            </w:r>
          </w:p>
        </w:tc>
        <w:tc>
          <w:tcPr>
            <w:tcW w:w="1915" w:type="dxa"/>
            <w:tcMar>
              <w:top w:w="90" w:type="dxa"/>
              <w:left w:w="80" w:type="dxa"/>
              <w:bottom w:w="90" w:type="dxa"/>
              <w:right w:w="80" w:type="dxa"/>
            </w:tcMar>
            <w:vAlign w:val="center"/>
          </w:tcPr>
          <w:p w14:paraId="2841AB40" w14:textId="77777777" w:rsidR="00064FC0" w:rsidRPr="00B90777" w:rsidRDefault="00000000">
            <w:pPr>
              <w:pStyle w:val="TableBodyAuthor"/>
            </w:pPr>
            <w:r w:rsidRPr="00B90777">
              <w:t>Surface radioelement contrast over structural trend</w:t>
            </w:r>
          </w:p>
        </w:tc>
        <w:tc>
          <w:tcPr>
            <w:tcW w:w="2002" w:type="dxa"/>
            <w:tcMar>
              <w:top w:w="90" w:type="dxa"/>
              <w:left w:w="80" w:type="dxa"/>
              <w:bottom w:w="90" w:type="dxa"/>
              <w:right w:w="80" w:type="dxa"/>
            </w:tcMar>
            <w:vAlign w:val="center"/>
          </w:tcPr>
          <w:p w14:paraId="7A538D3D" w14:textId="77777777" w:rsidR="00064FC0" w:rsidRPr="00B90777" w:rsidRDefault="00000000">
            <w:pPr>
              <w:pStyle w:val="TableBodyAuthor"/>
            </w:pPr>
            <w:r w:rsidRPr="00B90777">
              <w:t>Priority corridor for mapped alteration testing</w:t>
            </w:r>
          </w:p>
        </w:tc>
        <w:tc>
          <w:tcPr>
            <w:tcW w:w="2016" w:type="dxa"/>
            <w:tcMar>
              <w:top w:w="90" w:type="dxa"/>
              <w:left w:w="80" w:type="dxa"/>
              <w:bottom w:w="90" w:type="dxa"/>
              <w:right w:w="80" w:type="dxa"/>
            </w:tcMar>
            <w:vAlign w:val="center"/>
          </w:tcPr>
          <w:p w14:paraId="725E58F0" w14:textId="77777777" w:rsidR="00064FC0" w:rsidRPr="00B90777" w:rsidRDefault="00000000">
            <w:pPr>
              <w:pStyle w:val="TableBodyAuthor"/>
            </w:pPr>
            <w:r w:rsidRPr="00B90777">
              <w:t>Different sampling depths; shared lithological controls</w:t>
            </w:r>
          </w:p>
        </w:tc>
        <w:tc>
          <w:tcPr>
            <w:tcW w:w="1987" w:type="dxa"/>
            <w:tcMar>
              <w:top w:w="90" w:type="dxa"/>
              <w:left w:w="80" w:type="dxa"/>
              <w:bottom w:w="90" w:type="dxa"/>
              <w:right w:w="80" w:type="dxa"/>
            </w:tcMar>
            <w:vAlign w:val="center"/>
          </w:tcPr>
          <w:p w14:paraId="2886F217" w14:textId="77777777" w:rsidR="00064FC0" w:rsidRPr="00B90777" w:rsidRDefault="00000000">
            <w:pPr>
              <w:pStyle w:val="TableBodyAuthor"/>
            </w:pPr>
            <w:r w:rsidRPr="00B90777">
              <w:t>(</w:t>
            </w:r>
            <w:proofErr w:type="spellStart"/>
            <w:r w:rsidRPr="00B90777">
              <w:t>Akinlalu</w:t>
            </w:r>
            <w:proofErr w:type="spellEnd"/>
            <w:r w:rsidRPr="00B90777">
              <w:t xml:space="preserve"> et al., 2024; Salawu et al., 2021)</w:t>
            </w:r>
          </w:p>
        </w:tc>
      </w:tr>
      <w:tr w:rsidR="00B90777" w:rsidRPr="00B90777" w14:paraId="102D9DDE" w14:textId="77777777">
        <w:trPr>
          <w:jc w:val="center"/>
        </w:trPr>
        <w:tc>
          <w:tcPr>
            <w:tcW w:w="1555" w:type="dxa"/>
            <w:tcBorders>
              <w:bottom w:val="single" w:sz="7" w:space="0" w:color="273B4E"/>
            </w:tcBorders>
            <w:tcMar>
              <w:top w:w="90" w:type="dxa"/>
              <w:left w:w="80" w:type="dxa"/>
              <w:bottom w:w="90" w:type="dxa"/>
              <w:right w:w="80" w:type="dxa"/>
            </w:tcMar>
            <w:vAlign w:val="center"/>
          </w:tcPr>
          <w:p w14:paraId="58091A53" w14:textId="77777777" w:rsidR="00064FC0" w:rsidRPr="00B90777" w:rsidRDefault="00000000">
            <w:pPr>
              <w:pStyle w:val="TableBodyAuthor"/>
            </w:pPr>
            <w:r w:rsidRPr="00B90777">
              <w:t>Magnetic susceptibility inversion</w:t>
            </w:r>
          </w:p>
        </w:tc>
        <w:tc>
          <w:tcPr>
            <w:tcW w:w="1915" w:type="dxa"/>
            <w:tcBorders>
              <w:bottom w:val="single" w:sz="7" w:space="0" w:color="273B4E"/>
            </w:tcBorders>
            <w:tcMar>
              <w:top w:w="90" w:type="dxa"/>
              <w:left w:w="80" w:type="dxa"/>
              <w:bottom w:w="90" w:type="dxa"/>
              <w:right w:w="80" w:type="dxa"/>
            </w:tcMar>
            <w:vAlign w:val="center"/>
          </w:tcPr>
          <w:p w14:paraId="7043B9BE" w14:textId="77777777" w:rsidR="00064FC0" w:rsidRPr="00B90777" w:rsidRDefault="00000000">
            <w:pPr>
              <w:pStyle w:val="TableBodyAuthor"/>
            </w:pPr>
            <w:r w:rsidRPr="00B90777">
              <w:t>Volumetric contrasts constrained by potential fields</w:t>
            </w:r>
          </w:p>
        </w:tc>
        <w:tc>
          <w:tcPr>
            <w:tcW w:w="2002" w:type="dxa"/>
            <w:tcBorders>
              <w:bottom w:val="single" w:sz="7" w:space="0" w:color="273B4E"/>
            </w:tcBorders>
            <w:tcMar>
              <w:top w:w="90" w:type="dxa"/>
              <w:left w:w="80" w:type="dxa"/>
              <w:bottom w:w="90" w:type="dxa"/>
              <w:right w:w="80" w:type="dxa"/>
            </w:tcMar>
            <w:vAlign w:val="center"/>
          </w:tcPr>
          <w:p w14:paraId="713994D3" w14:textId="77777777" w:rsidR="00064FC0" w:rsidRPr="00B90777" w:rsidRDefault="00000000">
            <w:pPr>
              <w:pStyle w:val="TableBodyAuthor"/>
            </w:pPr>
            <w:r w:rsidRPr="00B90777">
              <w:t>Three-dimensional host rock and structural framework</w:t>
            </w:r>
          </w:p>
        </w:tc>
        <w:tc>
          <w:tcPr>
            <w:tcW w:w="2016" w:type="dxa"/>
            <w:tcBorders>
              <w:bottom w:val="single" w:sz="7" w:space="0" w:color="273B4E"/>
            </w:tcBorders>
            <w:tcMar>
              <w:top w:w="90" w:type="dxa"/>
              <w:left w:w="80" w:type="dxa"/>
              <w:bottom w:w="90" w:type="dxa"/>
              <w:right w:w="80" w:type="dxa"/>
            </w:tcMar>
            <w:vAlign w:val="center"/>
          </w:tcPr>
          <w:p w14:paraId="490F4495" w14:textId="77777777" w:rsidR="00064FC0" w:rsidRPr="00B90777" w:rsidRDefault="00000000">
            <w:pPr>
              <w:pStyle w:val="TableBodyAuthor"/>
            </w:pPr>
            <w:r w:rsidRPr="00B90777">
              <w:t xml:space="preserve">Non-unique recovered </w:t>
            </w:r>
            <w:proofErr w:type="spellStart"/>
            <w:r w:rsidRPr="00B90777">
              <w:t>magnetisation</w:t>
            </w:r>
            <w:proofErr w:type="spellEnd"/>
            <w:r w:rsidRPr="00B90777">
              <w:t>; requires petrophysical controls</w:t>
            </w:r>
          </w:p>
        </w:tc>
        <w:tc>
          <w:tcPr>
            <w:tcW w:w="1987" w:type="dxa"/>
            <w:tcBorders>
              <w:bottom w:val="single" w:sz="7" w:space="0" w:color="273B4E"/>
            </w:tcBorders>
            <w:tcMar>
              <w:top w:w="90" w:type="dxa"/>
              <w:left w:w="80" w:type="dxa"/>
              <w:bottom w:w="90" w:type="dxa"/>
              <w:right w:w="80" w:type="dxa"/>
            </w:tcMar>
            <w:vAlign w:val="center"/>
          </w:tcPr>
          <w:p w14:paraId="69C6F18D" w14:textId="77777777" w:rsidR="00064FC0" w:rsidRPr="00B90777" w:rsidRDefault="00000000">
            <w:pPr>
              <w:pStyle w:val="TableBodyAuthor"/>
            </w:pPr>
            <w:r w:rsidRPr="00B90777">
              <w:t>(Li &amp; Oldenburg, 1996)</w:t>
            </w:r>
          </w:p>
        </w:tc>
      </w:tr>
    </w:tbl>
    <w:p w14:paraId="410E19DA" w14:textId="77777777" w:rsidR="00064FC0" w:rsidRPr="00B90777" w:rsidRDefault="00000000">
      <w:pPr>
        <w:pStyle w:val="TableNoteAuthor"/>
      </w:pPr>
      <w:r w:rsidRPr="00B90777">
        <w:rPr>
          <w:i/>
        </w:rPr>
        <w:t xml:space="preserve">Note. </w:t>
      </w:r>
      <w:r w:rsidRPr="00B90777">
        <w:t xml:space="preserve">K = potassium; </w:t>
      </w:r>
      <w:proofErr w:type="spellStart"/>
      <w:r w:rsidRPr="00B90777">
        <w:t>eTh</w:t>
      </w:r>
      <w:proofErr w:type="spellEnd"/>
      <w:r w:rsidRPr="00B90777">
        <w:t xml:space="preserve"> = equivalent thorium. Radioelement results are principally shallow, unlike magnetic responses that can include deeper sources.</w:t>
      </w:r>
    </w:p>
    <w:p w14:paraId="55028F9E" w14:textId="77777777" w:rsidR="00064FC0" w:rsidRPr="00B90777" w:rsidRDefault="00000000">
      <w:pPr>
        <w:pStyle w:val="Heading1"/>
        <w:rPr>
          <w:color w:val="auto"/>
        </w:rPr>
      </w:pPr>
      <w:r w:rsidRPr="00B90777">
        <w:rPr>
          <w:color w:val="auto"/>
        </w:rPr>
        <w:t>7. Integrating the Four Methods and Judging Prospectivity Claims</w:t>
      </w:r>
    </w:p>
    <w:p w14:paraId="5E4C8EEB" w14:textId="77777777" w:rsidR="00064FC0" w:rsidRPr="00B90777" w:rsidRDefault="00000000">
      <w:pPr>
        <w:pStyle w:val="Heading2"/>
        <w:rPr>
          <w:color w:val="auto"/>
        </w:rPr>
      </w:pPr>
      <w:r w:rsidRPr="00B90777">
        <w:rPr>
          <w:color w:val="auto"/>
        </w:rPr>
        <w:t>7.1 Complementarity Across Scales and the Risk of False Convergence</w:t>
      </w:r>
    </w:p>
    <w:p w14:paraId="3A13A424" w14:textId="77777777" w:rsidR="00064FC0" w:rsidRPr="00B90777" w:rsidRDefault="00000000">
      <w:pPr>
        <w:jc w:val="both"/>
        <w:rPr>
          <w:color w:val="auto"/>
        </w:rPr>
      </w:pPr>
      <w:r w:rsidRPr="00B90777">
        <w:rPr>
          <w:color w:val="auto"/>
        </w:rPr>
        <w:t>An exploration workflow is integrated in a scientific sense only when the component datasets provide testable constraints on one geological interpretation. Co-plotting airborne magnetic lineaments, radiometric potassium ratios, resistivity inversions and chargeability sections is a useful starting point, but a visual intersection is not automatically a higher-probability gold target. Each dataset has different lateral support, penetration, noise and sensitivity. Magnetic and radiometric observations from the same aircraft may share survey or processing limitations; ERT and IP acquired with a common electrode array may share geometric artefacts. Statistical or interpretive independence should therefore be evaluated, not assumed merely because the methods have different names.</w:t>
      </w:r>
    </w:p>
    <w:p w14:paraId="1E8CB998" w14:textId="77777777" w:rsidR="00064FC0" w:rsidRPr="00B90777" w:rsidRDefault="00000000">
      <w:pPr>
        <w:jc w:val="both"/>
        <w:rPr>
          <w:color w:val="auto"/>
        </w:rPr>
      </w:pPr>
      <w:r w:rsidRPr="00B90777">
        <w:rPr>
          <w:color w:val="auto"/>
        </w:rPr>
        <w:t xml:space="preserve">A defensible chain begins with deposit geology. For </w:t>
      </w:r>
      <w:proofErr w:type="spellStart"/>
      <w:r w:rsidRPr="00B90777">
        <w:rPr>
          <w:color w:val="auto"/>
        </w:rPr>
        <w:t>Iperindo</w:t>
      </w:r>
      <w:proofErr w:type="spellEnd"/>
      <w:r w:rsidRPr="00B90777">
        <w:rPr>
          <w:color w:val="auto"/>
        </w:rPr>
        <w:t xml:space="preserve">-style veins, the relevant hypotheses include a steep second-order fault, quartz–carbonate infill, altered gneiss and locally associated </w:t>
      </w:r>
      <w:proofErr w:type="spellStart"/>
      <w:r w:rsidRPr="00B90777">
        <w:rPr>
          <w:color w:val="auto"/>
        </w:rPr>
        <w:t>sulphide</w:t>
      </w:r>
      <w:proofErr w:type="spellEnd"/>
      <w:r w:rsidRPr="00B90777">
        <w:rPr>
          <w:color w:val="auto"/>
        </w:rPr>
        <w:t xml:space="preserve"> grains. Magnetic mapping may identify a host contact or damaged zone, while </w:t>
      </w:r>
      <w:proofErr w:type="spellStart"/>
      <w:r w:rsidRPr="00B90777">
        <w:rPr>
          <w:color w:val="auto"/>
        </w:rPr>
        <w:t>radiometrics</w:t>
      </w:r>
      <w:proofErr w:type="spellEnd"/>
      <w:r w:rsidRPr="00B90777">
        <w:rPr>
          <w:color w:val="auto"/>
        </w:rPr>
        <w:t xml:space="preserve"> may delineate an exposed surface alteration signature. ERT can investigate changes in conductivity across the interpreted structure, and IP can test whether selected intervals contain a sufficiently </w:t>
      </w:r>
      <w:proofErr w:type="spellStart"/>
      <w:r w:rsidRPr="00B90777">
        <w:rPr>
          <w:color w:val="auto"/>
        </w:rPr>
        <w:t>polarising</w:t>
      </w:r>
      <w:proofErr w:type="spellEnd"/>
      <w:r w:rsidRPr="00B90777">
        <w:rPr>
          <w:color w:val="auto"/>
        </w:rPr>
        <w:t xml:space="preserve"> phase. These are complementary physical observations; their combination becomes persuasive only when rock samples establish the predicted vein, alteration assemblage and gold content (</w:t>
      </w:r>
      <w:proofErr w:type="spellStart"/>
      <w:r w:rsidRPr="00B90777">
        <w:rPr>
          <w:color w:val="auto"/>
        </w:rPr>
        <w:t>Oyinloye</w:t>
      </w:r>
      <w:proofErr w:type="spellEnd"/>
      <w:r w:rsidRPr="00B90777">
        <w:rPr>
          <w:color w:val="auto"/>
        </w:rPr>
        <w:t xml:space="preserve"> &amp; Steed, 1996; Revil et al., 2015; Salawu et al., 2021).</w:t>
      </w:r>
    </w:p>
    <w:p w14:paraId="17B8BEC2" w14:textId="77777777" w:rsidR="00064FC0" w:rsidRPr="00B90777" w:rsidRDefault="00000000">
      <w:pPr>
        <w:jc w:val="both"/>
        <w:rPr>
          <w:color w:val="auto"/>
        </w:rPr>
      </w:pPr>
      <w:r w:rsidRPr="00B90777">
        <w:rPr>
          <w:color w:val="auto"/>
        </w:rPr>
        <w:t>Concordance must be interpreted relative to geology rather than rewarded indiscriminately. A magnetic discontinuity and an elevated potassium ratio may both be consequences of a granite–schist contact; a conductive ERT zone and an IP response may both arise from clay-rich weathering along that same contact. In that situation, four apparent geophysical indicators reduce to one non-</w:t>
      </w:r>
      <w:proofErr w:type="spellStart"/>
      <w:r w:rsidRPr="00B90777">
        <w:rPr>
          <w:color w:val="auto"/>
        </w:rPr>
        <w:t>mineralised</w:t>
      </w:r>
      <w:proofErr w:type="spellEnd"/>
      <w:r w:rsidRPr="00B90777">
        <w:rPr>
          <w:color w:val="auto"/>
        </w:rPr>
        <w:t xml:space="preserve"> geological explanation. Conversely, disagreement may be productive: a quartz-rich auriferous vein with only sparse pyrite could be relatively resistive and weakly chargeable while coinciding with a demonstrable shear and </w:t>
      </w:r>
      <w:r w:rsidRPr="00B90777">
        <w:rPr>
          <w:color w:val="auto"/>
        </w:rPr>
        <w:lastRenderedPageBreak/>
        <w:t>alteration zone. Rigid rules that require all four “positive” anomalies could therefore exclude a legitimate but electrically subtle target.</w:t>
      </w:r>
    </w:p>
    <w:p w14:paraId="257AD758" w14:textId="77777777" w:rsidR="00064FC0" w:rsidRPr="00B90777" w:rsidRDefault="00000000">
      <w:pPr>
        <w:pStyle w:val="Heading2"/>
        <w:rPr>
          <w:color w:val="auto"/>
        </w:rPr>
      </w:pPr>
      <w:r w:rsidRPr="00B90777">
        <w:rPr>
          <w:color w:val="auto"/>
        </w:rPr>
        <w:t>7.2 Expert-Weighted Prospectivity Maps: What the Percentages Mean</w:t>
      </w:r>
    </w:p>
    <w:p w14:paraId="74A40DA7" w14:textId="77777777" w:rsidR="00064FC0" w:rsidRPr="00B90777" w:rsidRDefault="00000000">
      <w:pPr>
        <w:jc w:val="both"/>
        <w:rPr>
          <w:color w:val="auto"/>
        </w:rPr>
      </w:pPr>
      <w:r w:rsidRPr="00B90777">
        <w:rPr>
          <w:color w:val="auto"/>
        </w:rPr>
        <w:t xml:space="preserve">Recent Ilesha studies illustrate the strengths and limitations of multi-criteria integration. </w:t>
      </w:r>
      <w:proofErr w:type="spellStart"/>
      <w:r w:rsidRPr="00B90777">
        <w:rPr>
          <w:color w:val="auto"/>
        </w:rPr>
        <w:t>Akinlalu</w:t>
      </w:r>
      <w:proofErr w:type="spellEnd"/>
      <w:r w:rsidRPr="00B90777">
        <w:rPr>
          <w:color w:val="auto"/>
        </w:rPr>
        <w:t xml:space="preserve"> et al. (2021) used geological and geophysical variables within an analytical hierarchy process to rank </w:t>
      </w:r>
      <w:proofErr w:type="spellStart"/>
      <w:r w:rsidRPr="00B90777">
        <w:rPr>
          <w:color w:val="auto"/>
        </w:rPr>
        <w:t>mineralisation</w:t>
      </w:r>
      <w:proofErr w:type="spellEnd"/>
      <w:r w:rsidRPr="00B90777">
        <w:rPr>
          <w:color w:val="auto"/>
        </w:rPr>
        <w:t xml:space="preserve"> potential. Their assessment reported encouraging correspondence with known mining locations and independent geological information. A subsequent stepwise weight assessment ratio analysis employed aeromagnetic, </w:t>
      </w:r>
      <w:proofErr w:type="spellStart"/>
      <w:r w:rsidRPr="00B90777">
        <w:rPr>
          <w:color w:val="auto"/>
        </w:rPr>
        <w:t>aeroradiometric</w:t>
      </w:r>
      <w:proofErr w:type="spellEnd"/>
      <w:r w:rsidRPr="00B90777">
        <w:rPr>
          <w:color w:val="auto"/>
        </w:rPr>
        <w:t>, remote-sensing and terrain indicators and reported approximately 73% correspondence in a qualitative pit-based comparison, alongside a separate regression-derived performance figure (</w:t>
      </w:r>
      <w:proofErr w:type="spellStart"/>
      <w:r w:rsidRPr="00B90777">
        <w:rPr>
          <w:color w:val="auto"/>
        </w:rPr>
        <w:t>Akinlalu</w:t>
      </w:r>
      <w:proofErr w:type="spellEnd"/>
      <w:r w:rsidRPr="00B90777">
        <w:rPr>
          <w:color w:val="auto"/>
        </w:rPr>
        <w:t xml:space="preserve"> et al., 2024). These results show that established mining areas can be recovered by the chosen predictor combinations; they do not measure success in prospecting untested ground.</w:t>
      </w:r>
    </w:p>
    <w:p w14:paraId="54ACB2D5" w14:textId="77777777" w:rsidR="00064FC0" w:rsidRPr="00B90777" w:rsidRDefault="00000000">
      <w:pPr>
        <w:jc w:val="both"/>
        <w:rPr>
          <w:color w:val="auto"/>
        </w:rPr>
      </w:pPr>
      <w:r w:rsidRPr="00B90777">
        <w:rPr>
          <w:color w:val="auto"/>
        </w:rPr>
        <w:t xml:space="preserve">Abubakar et al. (2024) </w:t>
      </w:r>
      <w:proofErr w:type="spellStart"/>
      <w:r w:rsidRPr="00B90777">
        <w:rPr>
          <w:color w:val="auto"/>
        </w:rPr>
        <w:t>analysed</w:t>
      </w:r>
      <w:proofErr w:type="spellEnd"/>
      <w:r w:rsidRPr="00B90777">
        <w:rPr>
          <w:color w:val="auto"/>
        </w:rPr>
        <w:t xml:space="preserve"> a substantially larger Ilesha area, reported a high-potential category covering approximately 10.52% of the mapped area and stated that 15 of 16 known mining locations fell within this category. This apparent concentration is a meaningful within-study descriptive outcome. Yet it has two vulnerabilities as a prospectivity validation: the map was designed using geological assumptions informed by known occurrences, and the validation points may not be spatially independent of the training knowledge. Mine pits are also preferentially situated where access, surface exposure and historical prospecting were </w:t>
      </w:r>
      <w:proofErr w:type="spellStart"/>
      <w:r w:rsidRPr="00B90777">
        <w:rPr>
          <w:color w:val="auto"/>
        </w:rPr>
        <w:t>favourable</w:t>
      </w:r>
      <w:proofErr w:type="spellEnd"/>
      <w:r w:rsidRPr="00B90777">
        <w:rPr>
          <w:color w:val="auto"/>
        </w:rPr>
        <w:t>. Without newly tested positive and negative sites, the result cannot be interpreted as a 94% probability that an unexplored high-category location contains economic gold.</w:t>
      </w:r>
    </w:p>
    <w:p w14:paraId="00557644" w14:textId="77777777" w:rsidR="00064FC0" w:rsidRPr="00B90777" w:rsidRDefault="00000000">
      <w:pPr>
        <w:jc w:val="both"/>
        <w:rPr>
          <w:color w:val="auto"/>
        </w:rPr>
      </w:pPr>
      <w:r w:rsidRPr="00B90777">
        <w:rPr>
          <w:color w:val="auto"/>
        </w:rPr>
        <w:t xml:space="preserve">Expert-weighted models encode an explicit geological hypothesis, which is an advantage when observations are sparse. Their limitation is that weights reflect the </w:t>
      </w:r>
      <w:proofErr w:type="spellStart"/>
      <w:r w:rsidRPr="00B90777">
        <w:rPr>
          <w:color w:val="auto"/>
        </w:rPr>
        <w:t>modeller's</w:t>
      </w:r>
      <w:proofErr w:type="spellEnd"/>
      <w:r w:rsidRPr="00B90777">
        <w:rPr>
          <w:color w:val="auto"/>
        </w:rPr>
        <w:t xml:space="preserve"> selected criteria and can create a strong-looking pattern even when underlying data are noisy or redundant. If distance to a shear and lineament density are derived from the same magnetic grid, giving them separate weights effectively double-counts one observation. A regional potassium ratio and a modelled alteration zone derived from that ratio present a similar problem. Comparison with other mineral-potential frameworks shows why predictor dependence, alternative weight scenarios and evidence of non-occurrence should be examined rather than relying on a single deterministic priority map (Porwal et al., 2006).</w:t>
      </w:r>
    </w:p>
    <w:p w14:paraId="69A6BCDB" w14:textId="77777777" w:rsidR="00064FC0" w:rsidRPr="00B90777" w:rsidRDefault="00000000">
      <w:pPr>
        <w:jc w:val="both"/>
        <w:rPr>
          <w:color w:val="auto"/>
        </w:rPr>
      </w:pPr>
      <w:r w:rsidRPr="00B90777">
        <w:rPr>
          <w:color w:val="auto"/>
        </w:rPr>
        <w:t xml:space="preserve">The numerical indicators used in the regional studies are not directly comparable. A percentage of known mine pits lying in the highest class is a capture proportion conditional on the sampled mine locations, whereas a reported regression correlation or cross-validated classifier score may answer a different question. Neither denominator includes the full population of untested targets. Furthermore, the number of high-class pixels, their spatial clustering and their proximity to roads or known workings affect apparent success. Conflating these metrics as independent verification would overstate the predictive evidence (Abubakar et al., 2024; </w:t>
      </w:r>
      <w:proofErr w:type="spellStart"/>
      <w:r w:rsidRPr="00B90777">
        <w:rPr>
          <w:color w:val="auto"/>
        </w:rPr>
        <w:t>Akinlalu</w:t>
      </w:r>
      <w:proofErr w:type="spellEnd"/>
      <w:r w:rsidRPr="00B90777">
        <w:rPr>
          <w:color w:val="auto"/>
        </w:rPr>
        <w:t xml:space="preserve"> et al., 2021; </w:t>
      </w:r>
      <w:proofErr w:type="spellStart"/>
      <w:r w:rsidRPr="00B90777">
        <w:rPr>
          <w:color w:val="auto"/>
        </w:rPr>
        <w:t>Akinlalu</w:t>
      </w:r>
      <w:proofErr w:type="spellEnd"/>
      <w:r w:rsidRPr="00B90777">
        <w:rPr>
          <w:color w:val="auto"/>
        </w:rPr>
        <w:t xml:space="preserve"> et al., 2024).</w:t>
      </w:r>
    </w:p>
    <w:p w14:paraId="3CA81991" w14:textId="77777777" w:rsidR="00064FC0" w:rsidRPr="00B90777" w:rsidRDefault="00000000">
      <w:pPr>
        <w:pStyle w:val="Heading2"/>
        <w:rPr>
          <w:color w:val="auto"/>
        </w:rPr>
      </w:pPr>
      <w:r w:rsidRPr="00B90777">
        <w:rPr>
          <w:color w:val="auto"/>
        </w:rPr>
        <w:lastRenderedPageBreak/>
        <w:t>7.3 Data-Driven Classification, Spatial Leakage and Negative Labels</w:t>
      </w:r>
    </w:p>
    <w:p w14:paraId="17E9A925" w14:textId="77777777" w:rsidR="00064FC0" w:rsidRPr="00B90777" w:rsidRDefault="00000000">
      <w:pPr>
        <w:jc w:val="both"/>
        <w:rPr>
          <w:color w:val="auto"/>
        </w:rPr>
      </w:pPr>
      <w:r w:rsidRPr="00B90777">
        <w:rPr>
          <w:color w:val="auto"/>
        </w:rPr>
        <w:t xml:space="preserve">Machine-learning classification has recently been applied to Ilesha prospectivity using geology, airborne geophysics and remote-sensing predictors. Faruwa et al. (2025) assessed several classifier types over a local dataset with a limited number of mineral occurrence and non-occurrence examples, and reported high performance under its chosen validation scheme. Such work is valuable for exploring nonlinear predictor combinations and can identify patterns not readily encoded by fixed expert weights. However, performance reported under conventional random or non-spatial cross-validation is vulnerable when </w:t>
      </w:r>
      <w:proofErr w:type="spellStart"/>
      <w:r w:rsidRPr="00B90777">
        <w:rPr>
          <w:color w:val="auto"/>
        </w:rPr>
        <w:t>neighbouring</w:t>
      </w:r>
      <w:proofErr w:type="spellEnd"/>
      <w:r w:rsidRPr="00B90777">
        <w:rPr>
          <w:color w:val="auto"/>
        </w:rPr>
        <w:t xml:space="preserve"> pixels and samples share the same geological structures, survey grid and labels.</w:t>
      </w:r>
    </w:p>
    <w:p w14:paraId="7A0A9F45" w14:textId="77777777" w:rsidR="00064FC0" w:rsidRPr="00B90777" w:rsidRDefault="00000000">
      <w:pPr>
        <w:jc w:val="both"/>
        <w:rPr>
          <w:color w:val="auto"/>
        </w:rPr>
      </w:pPr>
      <w:r w:rsidRPr="00B90777">
        <w:rPr>
          <w:color w:val="auto"/>
        </w:rPr>
        <w:t xml:space="preserve">Spatial autocorrelation creates leakage when observations from the same </w:t>
      </w:r>
      <w:proofErr w:type="spellStart"/>
      <w:r w:rsidRPr="00B90777">
        <w:rPr>
          <w:color w:val="auto"/>
        </w:rPr>
        <w:t>mineralised</w:t>
      </w:r>
      <w:proofErr w:type="spellEnd"/>
      <w:r w:rsidRPr="00B90777">
        <w:rPr>
          <w:color w:val="auto"/>
        </w:rPr>
        <w:t xml:space="preserve"> corridor are split between training and test subsets. The algorithm may then learn the spatial footprint of an already known deposit instead of transferable geological relations. If several non-occurrence sites are merely untested areas rather than demonstrated barren rocks, their labels introduce an additional uncertainty: absence of recorded mining is not proof of absence of gold. Models trained on such labels may appear more accurate by distinguishing well-known mining districts from locations with less exploration activity. High numerical classification performance is therefore insufficient unless the evaluation specifies the geographical separation of folds and the provenance of both positive and negative labels.</w:t>
      </w:r>
    </w:p>
    <w:p w14:paraId="048D0811" w14:textId="77777777" w:rsidR="00064FC0" w:rsidRPr="00B90777" w:rsidRDefault="00000000">
      <w:pPr>
        <w:jc w:val="both"/>
        <w:rPr>
          <w:color w:val="auto"/>
        </w:rPr>
      </w:pPr>
      <w:r w:rsidRPr="00B90777">
        <w:rPr>
          <w:color w:val="auto"/>
        </w:rPr>
        <w:t xml:space="preserve">A suitable test would reserve entire geological blocks or structural corridors from training, and then evaluate predictions using new field sampling independent of the map-making process. Precision and recall must be considered with the prevalence of confirmed </w:t>
      </w:r>
      <w:proofErr w:type="spellStart"/>
      <w:r w:rsidRPr="00B90777">
        <w:rPr>
          <w:color w:val="auto"/>
        </w:rPr>
        <w:t>mineralised</w:t>
      </w:r>
      <w:proofErr w:type="spellEnd"/>
      <w:r w:rsidRPr="00B90777">
        <w:rPr>
          <w:color w:val="auto"/>
        </w:rPr>
        <w:t xml:space="preserve"> targets in mind; an apparently strong ranking may still generate many false positives where </w:t>
      </w:r>
      <w:proofErr w:type="spellStart"/>
      <w:r w:rsidRPr="00B90777">
        <w:rPr>
          <w:color w:val="auto"/>
        </w:rPr>
        <w:t>mineralisation</w:t>
      </w:r>
      <w:proofErr w:type="spellEnd"/>
      <w:r w:rsidRPr="00B90777">
        <w:rPr>
          <w:color w:val="auto"/>
        </w:rPr>
        <w:t xml:space="preserve"> is rare. Probability calibration is equally important. A machine-learning score of 0.9 is not a 90% chance of economic gold unless the model has been calibrated against representative, independent outcomes. Interpretation should also specify whether a “positive” site means visible gold, a chemical threshold, a </w:t>
      </w:r>
      <w:proofErr w:type="spellStart"/>
      <w:r w:rsidRPr="00B90777">
        <w:rPr>
          <w:color w:val="auto"/>
        </w:rPr>
        <w:t>mineralised</w:t>
      </w:r>
      <w:proofErr w:type="spellEnd"/>
      <w:r w:rsidRPr="00B90777">
        <w:rPr>
          <w:color w:val="auto"/>
        </w:rPr>
        <w:t xml:space="preserve"> intercept or a defined resource.</w:t>
      </w:r>
    </w:p>
    <w:p w14:paraId="317B1A2A" w14:textId="77777777" w:rsidR="00064FC0" w:rsidRPr="00B90777" w:rsidRDefault="00000000">
      <w:pPr>
        <w:jc w:val="both"/>
        <w:rPr>
          <w:color w:val="auto"/>
        </w:rPr>
      </w:pPr>
      <w:r w:rsidRPr="00B90777">
        <w:rPr>
          <w:color w:val="auto"/>
        </w:rPr>
        <w:t>Predictor preparation can create hidden forms of information leakage. A regional magnetic lineament layer may have been manually edited using known mines; an alteration map may have been selected after inspecting where workings occur; interpolation of assay anomalies can inadvertently transmit nearby target information into the test area. These activities may be legitimate for building an exploration model, but they invalidate the claim that later overlap with the same mines is wholly independent confirmation. Publication of exact predictor provenance, masking boundaries, training coordinates and withheld-test protocols would be especially valuable in a district where labelled samples remain limited (Faruwa et al., 2025; Porwal et al., 2006).</w:t>
      </w:r>
    </w:p>
    <w:p w14:paraId="5AA79A9E" w14:textId="77777777" w:rsidR="00064FC0" w:rsidRPr="00B90777" w:rsidRDefault="00000000">
      <w:pPr>
        <w:pStyle w:val="Heading2"/>
        <w:rPr>
          <w:color w:val="auto"/>
        </w:rPr>
      </w:pPr>
      <w:r w:rsidRPr="00B90777">
        <w:rPr>
          <w:color w:val="auto"/>
        </w:rPr>
        <w:t>7.4 A Stage-Gated Interpretation Framework</w:t>
      </w:r>
    </w:p>
    <w:p w14:paraId="6AE385AC" w14:textId="77777777" w:rsidR="00064FC0" w:rsidRPr="00B90777" w:rsidRDefault="00000000">
      <w:pPr>
        <w:jc w:val="both"/>
        <w:rPr>
          <w:color w:val="auto"/>
        </w:rPr>
      </w:pPr>
      <w:r w:rsidRPr="00B90777">
        <w:rPr>
          <w:color w:val="auto"/>
        </w:rPr>
        <w:t xml:space="preserve">At the first stage, exploration should assemble geological maps, confirmed occurrences, radiometric channels, magnetic grids and metadata on acquisition height, spacing and processing. The goal is to describe a mineral system and distinguish known geological facts from </w:t>
      </w:r>
      <w:proofErr w:type="spellStart"/>
      <w:r w:rsidRPr="00B90777">
        <w:rPr>
          <w:color w:val="auto"/>
        </w:rPr>
        <w:t>hypothesised</w:t>
      </w:r>
      <w:proofErr w:type="spellEnd"/>
      <w:r w:rsidRPr="00B90777">
        <w:rPr>
          <w:color w:val="auto"/>
        </w:rPr>
        <w:t xml:space="preserve"> pathways. Structural corridors should be mapped from several stable magnetic products and supported by field geometry where </w:t>
      </w:r>
      <w:r w:rsidRPr="00B90777">
        <w:rPr>
          <w:color w:val="auto"/>
        </w:rPr>
        <w:lastRenderedPageBreak/>
        <w:t xml:space="preserve">feasible. Radiometric predictors should be stratified by lithology and regolith type rather than interpreted across all terrain under one alteration threshold. This stage can </w:t>
      </w:r>
      <w:proofErr w:type="spellStart"/>
      <w:r w:rsidRPr="00B90777">
        <w:rPr>
          <w:color w:val="auto"/>
        </w:rPr>
        <w:t>prioritise</w:t>
      </w:r>
      <w:proofErr w:type="spellEnd"/>
      <w:r w:rsidRPr="00B90777">
        <w:rPr>
          <w:color w:val="auto"/>
        </w:rPr>
        <w:t xml:space="preserve"> field access and prospective geological settings without assigning resource certainty.</w:t>
      </w:r>
    </w:p>
    <w:p w14:paraId="358C155D" w14:textId="77777777" w:rsidR="00064FC0" w:rsidRPr="00B90777" w:rsidRDefault="00000000">
      <w:pPr>
        <w:jc w:val="both"/>
        <w:rPr>
          <w:color w:val="auto"/>
        </w:rPr>
      </w:pPr>
      <w:r w:rsidRPr="00B90777">
        <w:rPr>
          <w:color w:val="auto"/>
        </w:rPr>
        <w:t xml:space="preserve">At the second stage, the field campaign should test whether predicted structures and alteration proxies exist in bedrock. </w:t>
      </w:r>
      <w:proofErr w:type="gramStart"/>
      <w:r w:rsidRPr="00B90777">
        <w:rPr>
          <w:color w:val="auto"/>
        </w:rPr>
        <w:t>Traverses</w:t>
      </w:r>
      <w:proofErr w:type="gramEnd"/>
      <w:r w:rsidRPr="00B90777">
        <w:rPr>
          <w:color w:val="auto"/>
        </w:rPr>
        <w:t xml:space="preserve"> perpendicular to the main shear fabrics should log veins, gouge, foliation, weathering depth and alteration minerals. Soil, rock-chip and stream-sediment geochemistry can identify metal dispersion, but their sampling support and possible transport must be accounted for. Where </w:t>
      </w:r>
      <w:proofErr w:type="spellStart"/>
      <w:r w:rsidRPr="00B90777">
        <w:rPr>
          <w:color w:val="auto"/>
        </w:rPr>
        <w:t>mineralisation</w:t>
      </w:r>
      <w:proofErr w:type="spellEnd"/>
      <w:r w:rsidRPr="00B90777">
        <w:rPr>
          <w:color w:val="auto"/>
        </w:rPr>
        <w:t xml:space="preserve"> is demonstrably </w:t>
      </w:r>
      <w:proofErr w:type="spellStart"/>
      <w:r w:rsidRPr="00B90777">
        <w:rPr>
          <w:color w:val="auto"/>
        </w:rPr>
        <w:t>sulphide</w:t>
      </w:r>
      <w:proofErr w:type="spellEnd"/>
      <w:r w:rsidRPr="00B90777">
        <w:rPr>
          <w:color w:val="auto"/>
        </w:rPr>
        <w:t xml:space="preserve">-poor, IP should not automatically be chosen as the principal discriminator. Where conductive </w:t>
      </w:r>
      <w:proofErr w:type="spellStart"/>
      <w:r w:rsidRPr="00B90777">
        <w:rPr>
          <w:color w:val="auto"/>
        </w:rPr>
        <w:t>sulphides</w:t>
      </w:r>
      <w:proofErr w:type="spellEnd"/>
      <w:r w:rsidRPr="00B90777">
        <w:rPr>
          <w:color w:val="auto"/>
        </w:rPr>
        <w:t xml:space="preserve"> or clay-rich shear material are expected, paired ERT and IP can be configured to resolve both chargeability and resistivity while anticipating non-unique outcomes.</w:t>
      </w:r>
    </w:p>
    <w:p w14:paraId="5A1C709E" w14:textId="77777777" w:rsidR="00064FC0" w:rsidRPr="00B90777" w:rsidRDefault="00000000">
      <w:pPr>
        <w:jc w:val="both"/>
        <w:rPr>
          <w:color w:val="auto"/>
        </w:rPr>
      </w:pPr>
      <w:r w:rsidRPr="00B90777">
        <w:rPr>
          <w:color w:val="auto"/>
        </w:rPr>
        <w:t xml:space="preserve">At the third stage, candidate targets are ranked for excavation or drilling using a defined decision rule. Geological feasibility, geochemical anomaly strength, structural continuity, electrical response, uncertainty and field access may each influence the ranking, but a prospectivity score must not substitute for measurement uncertainty. A target map should preserve alternative scenarios where, for example, a radiometric anomaly is interpreted as granitoid background rather than hydrothermal alteration, or a conductive layer is interpreted as weathered saprolite rather than </w:t>
      </w:r>
      <w:proofErr w:type="spellStart"/>
      <w:r w:rsidRPr="00B90777">
        <w:rPr>
          <w:color w:val="auto"/>
        </w:rPr>
        <w:t>sulphidised</w:t>
      </w:r>
      <w:proofErr w:type="spellEnd"/>
      <w:r w:rsidRPr="00B90777">
        <w:rPr>
          <w:color w:val="auto"/>
        </w:rPr>
        <w:t xml:space="preserve"> shear. Under each scenario, the ranking should be re-evaluated to identify targets genuinely robust to interpretation choices.</w:t>
      </w:r>
    </w:p>
    <w:p w14:paraId="10194374" w14:textId="77777777" w:rsidR="00064FC0" w:rsidRPr="00B90777" w:rsidRDefault="00000000">
      <w:pPr>
        <w:jc w:val="both"/>
        <w:rPr>
          <w:color w:val="auto"/>
        </w:rPr>
      </w:pPr>
      <w:r w:rsidRPr="00B90777">
        <w:rPr>
          <w:color w:val="auto"/>
        </w:rPr>
        <w:t xml:space="preserve">The final stage is independent confirmation. Trenches and boreholes must test the predicted orientation, width, depth, host rock, alteration and Au grade using accredited laboratory assays with appropriate blanks, duplicates and standards. Equally important are documented barren intervals: negative outcomes improve the ability to estimate false positives and revise prospectivity models. At no stage should a geophysical anomaly be presented as a reserve, and even the discovery of gold in a grab sample is insufficient to establish a continuous, economically extractable orebody. Decisions on resource estimation and viability require a separate </w:t>
      </w:r>
      <w:proofErr w:type="spellStart"/>
      <w:r w:rsidRPr="00B90777">
        <w:rPr>
          <w:color w:val="auto"/>
        </w:rPr>
        <w:t>programme</w:t>
      </w:r>
      <w:proofErr w:type="spellEnd"/>
      <w:r w:rsidRPr="00B90777">
        <w:rPr>
          <w:color w:val="auto"/>
        </w:rPr>
        <w:t xml:space="preserve"> of geological continuity, grade distribution and engineering assessment.</w:t>
      </w:r>
    </w:p>
    <w:p w14:paraId="343D7BC1" w14:textId="77777777" w:rsidR="00064FC0" w:rsidRPr="00B90777" w:rsidRDefault="00000000">
      <w:pPr>
        <w:pStyle w:val="Heading2"/>
        <w:rPr>
          <w:color w:val="auto"/>
        </w:rPr>
      </w:pPr>
      <w:r w:rsidRPr="00B90777">
        <w:rPr>
          <w:color w:val="auto"/>
        </w:rPr>
        <w:t>7.5 Uncertainty, Transferability and Responsible Field Implementation</w:t>
      </w:r>
    </w:p>
    <w:p w14:paraId="35C160F3" w14:textId="77777777" w:rsidR="00064FC0" w:rsidRPr="00B90777" w:rsidRDefault="00000000">
      <w:pPr>
        <w:jc w:val="both"/>
        <w:rPr>
          <w:color w:val="auto"/>
        </w:rPr>
      </w:pPr>
      <w:r w:rsidRPr="00B90777">
        <w:rPr>
          <w:color w:val="auto"/>
        </w:rPr>
        <w:t xml:space="preserve">A coherent integrated study should propagate uncertainty from the original measurements into the mapped target decision. For airborne data, this includes line spacing, altitude, levelling and lithological ambiguity; for ERT/IP it includes contact resistance, topographic effects, noise, inversion </w:t>
      </w:r>
      <w:proofErr w:type="spellStart"/>
      <w:r w:rsidRPr="00B90777">
        <w:rPr>
          <w:color w:val="auto"/>
        </w:rPr>
        <w:t>regularisation</w:t>
      </w:r>
      <w:proofErr w:type="spellEnd"/>
      <w:r w:rsidRPr="00B90777">
        <w:rPr>
          <w:color w:val="auto"/>
        </w:rPr>
        <w:t xml:space="preserve"> and depth sensitivity; for geochemistry it includes sample representativeness and laboratory quality control. A qualitative uncertainty register is better than unexplained numerical precision when the original covariance structure is unknown. Inverse models may be displayed as alternative plausible </w:t>
      </w:r>
      <w:proofErr w:type="spellStart"/>
      <w:r w:rsidRPr="00B90777">
        <w:rPr>
          <w:color w:val="auto"/>
        </w:rPr>
        <w:t>realisations</w:t>
      </w:r>
      <w:proofErr w:type="spellEnd"/>
      <w:r w:rsidRPr="00B90777">
        <w:rPr>
          <w:color w:val="auto"/>
        </w:rPr>
        <w:t xml:space="preserve"> or envelopes, whereas prospectivity can be mapped as ranking stability under varying reasonable weights and geological interpretations.</w:t>
      </w:r>
    </w:p>
    <w:p w14:paraId="56B108D7" w14:textId="77777777" w:rsidR="00064FC0" w:rsidRPr="00B90777" w:rsidRDefault="00000000">
      <w:pPr>
        <w:jc w:val="both"/>
        <w:rPr>
          <w:color w:val="auto"/>
        </w:rPr>
      </w:pPr>
      <w:r w:rsidRPr="00B90777">
        <w:rPr>
          <w:color w:val="auto"/>
        </w:rPr>
        <w:t xml:space="preserve">The literature also raises the problem of geographical transferability. An </w:t>
      </w:r>
      <w:proofErr w:type="spellStart"/>
      <w:r w:rsidRPr="00B90777">
        <w:rPr>
          <w:color w:val="auto"/>
        </w:rPr>
        <w:t>Iperindo</w:t>
      </w:r>
      <w:proofErr w:type="spellEnd"/>
      <w:r w:rsidRPr="00B90777">
        <w:rPr>
          <w:color w:val="auto"/>
        </w:rPr>
        <w:t xml:space="preserve"> target may involve altered biotite gneiss and relatively sparse </w:t>
      </w:r>
      <w:proofErr w:type="spellStart"/>
      <w:r w:rsidRPr="00B90777">
        <w:rPr>
          <w:color w:val="auto"/>
        </w:rPr>
        <w:t>sulphide</w:t>
      </w:r>
      <w:proofErr w:type="spellEnd"/>
      <w:r w:rsidRPr="00B90777">
        <w:rPr>
          <w:color w:val="auto"/>
        </w:rPr>
        <w:t xml:space="preserve"> grains, whereas a </w:t>
      </w:r>
      <w:proofErr w:type="spellStart"/>
      <w:r w:rsidRPr="00B90777">
        <w:rPr>
          <w:color w:val="auto"/>
        </w:rPr>
        <w:t>neighbouring</w:t>
      </w:r>
      <w:proofErr w:type="spellEnd"/>
      <w:r w:rsidRPr="00B90777">
        <w:rPr>
          <w:color w:val="auto"/>
        </w:rPr>
        <w:t xml:space="preserve"> </w:t>
      </w:r>
      <w:proofErr w:type="spellStart"/>
      <w:r w:rsidRPr="00B90777">
        <w:rPr>
          <w:color w:val="auto"/>
        </w:rPr>
        <w:t>Itagunmodi</w:t>
      </w:r>
      <w:proofErr w:type="spellEnd"/>
      <w:r w:rsidRPr="00B90777">
        <w:rPr>
          <w:color w:val="auto"/>
        </w:rPr>
        <w:t xml:space="preserve"> anomaly may be developed in a different weathering or schist-hosted environment. A resistivity or potassium threshold calibrated at one site is not necessarily applicable to the other. Separating models by host </w:t>
      </w:r>
      <w:r w:rsidRPr="00B90777">
        <w:rPr>
          <w:color w:val="auto"/>
        </w:rPr>
        <w:lastRenderedPageBreak/>
        <w:t xml:space="preserve">lithology and regolith type offers a more defensible basis for transfer than assuming universal thresholds across the belt. The most informative validation therefore spans distinct blocks, host formations, weathering conditions and both mined and undisturbed localities (Olajide-Kayode et al., 2020; </w:t>
      </w:r>
      <w:proofErr w:type="spellStart"/>
      <w:r w:rsidRPr="00B90777">
        <w:rPr>
          <w:color w:val="auto"/>
        </w:rPr>
        <w:t>Oyinloye</w:t>
      </w:r>
      <w:proofErr w:type="spellEnd"/>
      <w:r w:rsidRPr="00B90777">
        <w:rPr>
          <w:color w:val="auto"/>
        </w:rPr>
        <w:t xml:space="preserve"> &amp; Steed, 1996).</w:t>
      </w:r>
    </w:p>
    <w:p w14:paraId="60AD13A5" w14:textId="77777777" w:rsidR="00064FC0" w:rsidRPr="00B90777" w:rsidRDefault="00000000">
      <w:pPr>
        <w:jc w:val="both"/>
        <w:rPr>
          <w:color w:val="auto"/>
        </w:rPr>
      </w:pPr>
      <w:r w:rsidRPr="00B90777">
        <w:rPr>
          <w:color w:val="auto"/>
        </w:rPr>
        <w:t xml:space="preserve">The physical footprint of ground surveys and associated sampling has practical implications. Electrode placement, clearing of vegetation, trenching, boreholes and access tracks should be designed to </w:t>
      </w:r>
      <w:proofErr w:type="spellStart"/>
      <w:r w:rsidRPr="00B90777">
        <w:rPr>
          <w:color w:val="auto"/>
        </w:rPr>
        <w:t>minimise</w:t>
      </w:r>
      <w:proofErr w:type="spellEnd"/>
      <w:r w:rsidRPr="00B90777">
        <w:rPr>
          <w:color w:val="auto"/>
        </w:rPr>
        <w:t xml:space="preserve"> disturbance and protect water sources and existing land use. Exploratory targets near artisanal workings need careful distinction between scientific sampling, mining activity and community expectations. The geophysical literature reviewed here does not establish environmental safety merely through the use of remote measurements: the relevant impacts usually arise during confirmation and development. Recording land-access arrangements, remediation of small excavations and waste-handling procedures strengthens the credibility of subsequent exploration decisions without converting the review into an unsupported impact assessment.</w:t>
      </w:r>
    </w:p>
    <w:p w14:paraId="6AD77E3A" w14:textId="77777777" w:rsidR="00064FC0" w:rsidRPr="00B90777" w:rsidRDefault="00000000">
      <w:pPr>
        <w:jc w:val="both"/>
        <w:rPr>
          <w:color w:val="auto"/>
        </w:rPr>
      </w:pPr>
      <w:r w:rsidRPr="00B90777">
        <w:rPr>
          <w:color w:val="auto"/>
        </w:rPr>
        <w:t xml:space="preserve">Direct geological evidence provides the most appropriate reference point for ranking competing target interpretations. The </w:t>
      </w:r>
      <w:proofErr w:type="spellStart"/>
      <w:r w:rsidRPr="00B90777">
        <w:rPr>
          <w:color w:val="auto"/>
        </w:rPr>
        <w:t>Iperindo</w:t>
      </w:r>
      <w:proofErr w:type="spellEnd"/>
      <w:r w:rsidRPr="00B90777">
        <w:rPr>
          <w:color w:val="auto"/>
        </w:rPr>
        <w:t xml:space="preserve"> primary gold description supplies a mechanism to investigate; the Osu–</w:t>
      </w:r>
      <w:proofErr w:type="spellStart"/>
      <w:r w:rsidRPr="00B90777">
        <w:rPr>
          <w:color w:val="auto"/>
        </w:rPr>
        <w:t>Itagunmodi</w:t>
      </w:r>
      <w:proofErr w:type="spellEnd"/>
      <w:r w:rsidRPr="00B90777">
        <w:rPr>
          <w:color w:val="auto"/>
        </w:rPr>
        <w:t xml:space="preserve"> geochemical work supplies samples and plausible lithological variation; the airborne and shallow electrical studies supply spatial hypotheses. A scientifically persuasive integrated assessment would connect these three layers with explicit coordinates and sampling protocols, allowing a reviewer to trace any recommended drilling site to the original observation. At present, that full chain is seldom available for the same prospect, and the resulting epistemic gap is more consequential than the choice between advanced weighting algorithms (</w:t>
      </w:r>
      <w:proofErr w:type="spellStart"/>
      <w:r w:rsidRPr="00B90777">
        <w:rPr>
          <w:color w:val="auto"/>
        </w:rPr>
        <w:t>Adekanle</w:t>
      </w:r>
      <w:proofErr w:type="spellEnd"/>
      <w:r w:rsidRPr="00B90777">
        <w:rPr>
          <w:color w:val="auto"/>
        </w:rPr>
        <w:t xml:space="preserve"> et al., 2025; Olajide-Kayode et al., 2020; </w:t>
      </w:r>
      <w:proofErr w:type="spellStart"/>
      <w:r w:rsidRPr="00B90777">
        <w:rPr>
          <w:color w:val="auto"/>
        </w:rPr>
        <w:t>Oyinloye</w:t>
      </w:r>
      <w:proofErr w:type="spellEnd"/>
      <w:r w:rsidRPr="00B90777">
        <w:rPr>
          <w:color w:val="auto"/>
        </w:rPr>
        <w:t xml:space="preserve"> &amp; Steed, 1996).</w:t>
      </w:r>
    </w:p>
    <w:p w14:paraId="68125661" w14:textId="77777777" w:rsidR="00064FC0" w:rsidRPr="00B90777" w:rsidRDefault="00000000">
      <w:pPr>
        <w:jc w:val="both"/>
        <w:rPr>
          <w:color w:val="auto"/>
        </w:rPr>
      </w:pPr>
      <w:r w:rsidRPr="00B90777">
        <w:rPr>
          <w:color w:val="auto"/>
        </w:rPr>
        <w:t>Table 5 translates these methodological concerns into a practical hierarchy of evidence and validation. Its recurring lesson is that repeated map agreement does not create independent confirmation unless the later test samples new geology and reports both successful and unsuccessful targets.</w:t>
      </w:r>
    </w:p>
    <w:p w14:paraId="2288A2E1" w14:textId="77777777" w:rsidR="00064FC0" w:rsidRPr="00B90777" w:rsidRDefault="00000000">
      <w:pPr>
        <w:keepNext/>
        <w:spacing w:before="160" w:after="40"/>
        <w:rPr>
          <w:color w:val="auto"/>
        </w:rPr>
      </w:pPr>
      <w:r w:rsidRPr="00B90777">
        <w:rPr>
          <w:b/>
          <w:color w:val="auto"/>
          <w:sz w:val="20"/>
        </w:rPr>
        <w:t>Table 5</w:t>
      </w:r>
    </w:p>
    <w:p w14:paraId="6EDD4AD5" w14:textId="77777777" w:rsidR="00064FC0" w:rsidRPr="00B90777" w:rsidRDefault="00000000">
      <w:pPr>
        <w:keepNext/>
        <w:spacing w:after="100"/>
        <w:rPr>
          <w:color w:val="auto"/>
        </w:rPr>
      </w:pPr>
      <w:r w:rsidRPr="00B90777">
        <w:rPr>
          <w:i/>
          <w:color w:val="auto"/>
          <w:sz w:val="20"/>
        </w:rPr>
        <w:t>Evidence hierarchy for integrated gold-target assessment and independent validation</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26F67D84"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3A8CB6F4" w14:textId="77777777" w:rsidR="00064FC0" w:rsidRPr="00B90777" w:rsidRDefault="00000000">
            <w:pPr>
              <w:pStyle w:val="TableBodyAuthor"/>
            </w:pPr>
            <w:r w:rsidRPr="00B90777">
              <w:rPr>
                <w:b/>
              </w:rPr>
              <w:t>Decision stage</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435385EF" w14:textId="77777777" w:rsidR="00064FC0" w:rsidRPr="00B90777" w:rsidRDefault="00000000">
            <w:pPr>
              <w:pStyle w:val="TableBodyAuthor"/>
            </w:pPr>
            <w:r w:rsidRPr="00B90777">
              <w:rPr>
                <w:b/>
              </w:rPr>
              <w:t>Defensible output</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7645ECC0" w14:textId="77777777" w:rsidR="00064FC0" w:rsidRPr="00B90777" w:rsidRDefault="00000000">
            <w:pPr>
              <w:pStyle w:val="TableBodyAuthor"/>
            </w:pPr>
            <w:r w:rsidRPr="00B90777">
              <w:rPr>
                <w:b/>
              </w:rPr>
              <w:t>Independent test</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7398742A" w14:textId="77777777" w:rsidR="00064FC0" w:rsidRPr="00B90777" w:rsidRDefault="00000000">
            <w:pPr>
              <w:pStyle w:val="TableBodyAuthor"/>
            </w:pPr>
            <w:r w:rsidRPr="00B90777">
              <w:rPr>
                <w:b/>
              </w:rPr>
              <w:t>Principal failure mode</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3AAD572F" w14:textId="77777777" w:rsidR="00064FC0" w:rsidRPr="00B90777" w:rsidRDefault="00000000">
            <w:pPr>
              <w:pStyle w:val="TableBodyAuthor"/>
            </w:pPr>
            <w:r w:rsidRPr="00B90777">
              <w:rPr>
                <w:b/>
              </w:rPr>
              <w:t>Supporting references</w:t>
            </w:r>
          </w:p>
        </w:tc>
      </w:tr>
      <w:tr w:rsidR="00B90777" w:rsidRPr="00B90777" w14:paraId="4BCDA127" w14:textId="77777777">
        <w:trPr>
          <w:jc w:val="center"/>
        </w:trPr>
        <w:tc>
          <w:tcPr>
            <w:tcW w:w="1555" w:type="dxa"/>
            <w:tcMar>
              <w:top w:w="90" w:type="dxa"/>
              <w:left w:w="80" w:type="dxa"/>
              <w:bottom w:w="90" w:type="dxa"/>
              <w:right w:w="80" w:type="dxa"/>
            </w:tcMar>
            <w:vAlign w:val="center"/>
          </w:tcPr>
          <w:p w14:paraId="593A09D1" w14:textId="77777777" w:rsidR="00064FC0" w:rsidRPr="00B90777" w:rsidRDefault="00000000">
            <w:pPr>
              <w:pStyle w:val="TableBodyAuthor"/>
            </w:pPr>
            <w:r w:rsidRPr="00B90777">
              <w:t>Regional geological model</w:t>
            </w:r>
          </w:p>
        </w:tc>
        <w:tc>
          <w:tcPr>
            <w:tcW w:w="1915" w:type="dxa"/>
            <w:tcMar>
              <w:top w:w="90" w:type="dxa"/>
              <w:left w:w="80" w:type="dxa"/>
              <w:bottom w:w="90" w:type="dxa"/>
              <w:right w:w="80" w:type="dxa"/>
            </w:tcMar>
            <w:vAlign w:val="center"/>
          </w:tcPr>
          <w:p w14:paraId="2297811A" w14:textId="77777777" w:rsidR="00064FC0" w:rsidRPr="00B90777" w:rsidRDefault="00000000">
            <w:pPr>
              <w:pStyle w:val="TableBodyAuthor"/>
            </w:pPr>
            <w:r w:rsidRPr="00B90777">
              <w:t>Candidate host formations and vein-controlling structures</w:t>
            </w:r>
          </w:p>
        </w:tc>
        <w:tc>
          <w:tcPr>
            <w:tcW w:w="2002" w:type="dxa"/>
            <w:tcMar>
              <w:top w:w="90" w:type="dxa"/>
              <w:left w:w="80" w:type="dxa"/>
              <w:bottom w:w="90" w:type="dxa"/>
              <w:right w:w="80" w:type="dxa"/>
            </w:tcMar>
            <w:vAlign w:val="center"/>
          </w:tcPr>
          <w:p w14:paraId="294084AF" w14:textId="77777777" w:rsidR="00064FC0" w:rsidRPr="00B90777" w:rsidRDefault="00000000">
            <w:pPr>
              <w:pStyle w:val="TableBodyAuthor"/>
            </w:pPr>
            <w:r w:rsidRPr="00B90777">
              <w:t>Mapped exposure, petrography and historical deposit descriptions</w:t>
            </w:r>
          </w:p>
        </w:tc>
        <w:tc>
          <w:tcPr>
            <w:tcW w:w="2016" w:type="dxa"/>
            <w:tcMar>
              <w:top w:w="90" w:type="dxa"/>
              <w:left w:w="80" w:type="dxa"/>
              <w:bottom w:w="90" w:type="dxa"/>
              <w:right w:w="80" w:type="dxa"/>
            </w:tcMar>
            <w:vAlign w:val="center"/>
          </w:tcPr>
          <w:p w14:paraId="2B2EF6EE" w14:textId="77777777" w:rsidR="00064FC0" w:rsidRPr="00B90777" w:rsidRDefault="00000000">
            <w:pPr>
              <w:pStyle w:val="TableBodyAuthor"/>
            </w:pPr>
            <w:r w:rsidRPr="00B90777">
              <w:t>Assuming every structural intersection is auriferous</w:t>
            </w:r>
          </w:p>
        </w:tc>
        <w:tc>
          <w:tcPr>
            <w:tcW w:w="1987" w:type="dxa"/>
            <w:tcMar>
              <w:top w:w="90" w:type="dxa"/>
              <w:left w:w="80" w:type="dxa"/>
              <w:bottom w:w="90" w:type="dxa"/>
              <w:right w:w="80" w:type="dxa"/>
            </w:tcMar>
            <w:vAlign w:val="center"/>
          </w:tcPr>
          <w:p w14:paraId="43C3DBA2" w14:textId="77777777" w:rsidR="00064FC0" w:rsidRPr="00B90777" w:rsidRDefault="00000000">
            <w:pPr>
              <w:pStyle w:val="TableBodyAuthor"/>
            </w:pPr>
            <w:r w:rsidRPr="00B90777">
              <w:t>(</w:t>
            </w:r>
            <w:proofErr w:type="spellStart"/>
            <w:r w:rsidRPr="00B90777">
              <w:t>Elueze</w:t>
            </w:r>
            <w:proofErr w:type="spellEnd"/>
            <w:r w:rsidRPr="00B90777">
              <w:t xml:space="preserve">, 1986; </w:t>
            </w:r>
            <w:proofErr w:type="spellStart"/>
            <w:r w:rsidRPr="00B90777">
              <w:t>Oyinloye</w:t>
            </w:r>
            <w:proofErr w:type="spellEnd"/>
            <w:r w:rsidRPr="00B90777">
              <w:t xml:space="preserve"> &amp; Steed, 1996)</w:t>
            </w:r>
          </w:p>
        </w:tc>
      </w:tr>
      <w:tr w:rsidR="00B90777" w:rsidRPr="00B90777" w14:paraId="3EE46291" w14:textId="77777777">
        <w:trPr>
          <w:jc w:val="center"/>
        </w:trPr>
        <w:tc>
          <w:tcPr>
            <w:tcW w:w="1555" w:type="dxa"/>
            <w:tcMar>
              <w:top w:w="90" w:type="dxa"/>
              <w:left w:w="80" w:type="dxa"/>
              <w:bottom w:w="90" w:type="dxa"/>
              <w:right w:w="80" w:type="dxa"/>
            </w:tcMar>
            <w:vAlign w:val="center"/>
          </w:tcPr>
          <w:p w14:paraId="2AAC4410" w14:textId="77777777" w:rsidR="00064FC0" w:rsidRPr="00B90777" w:rsidRDefault="00000000">
            <w:pPr>
              <w:pStyle w:val="TableBodyAuthor"/>
            </w:pPr>
            <w:r w:rsidRPr="00B90777">
              <w:t>Airborne reconnaissance</w:t>
            </w:r>
          </w:p>
        </w:tc>
        <w:tc>
          <w:tcPr>
            <w:tcW w:w="1915" w:type="dxa"/>
            <w:tcMar>
              <w:top w:w="90" w:type="dxa"/>
              <w:left w:w="80" w:type="dxa"/>
              <w:bottom w:w="90" w:type="dxa"/>
              <w:right w:w="80" w:type="dxa"/>
            </w:tcMar>
            <w:vAlign w:val="center"/>
          </w:tcPr>
          <w:p w14:paraId="2DBBED0F" w14:textId="77777777" w:rsidR="00064FC0" w:rsidRPr="00B90777" w:rsidRDefault="00000000">
            <w:pPr>
              <w:pStyle w:val="TableBodyAuthor"/>
            </w:pPr>
            <w:r w:rsidRPr="00B90777">
              <w:t>Structural and near-surface alteration hypotheses</w:t>
            </w:r>
          </w:p>
        </w:tc>
        <w:tc>
          <w:tcPr>
            <w:tcW w:w="2002" w:type="dxa"/>
            <w:tcMar>
              <w:top w:w="90" w:type="dxa"/>
              <w:left w:w="80" w:type="dxa"/>
              <w:bottom w:w="90" w:type="dxa"/>
              <w:right w:w="80" w:type="dxa"/>
            </w:tcMar>
            <w:vAlign w:val="center"/>
          </w:tcPr>
          <w:p w14:paraId="1D822AB9" w14:textId="77777777" w:rsidR="00064FC0" w:rsidRPr="00B90777" w:rsidRDefault="00000000">
            <w:pPr>
              <w:pStyle w:val="TableBodyAuthor"/>
            </w:pPr>
            <w:r w:rsidRPr="00B90777">
              <w:t>Ground mapping and lithology-specific geochemistry</w:t>
            </w:r>
          </w:p>
        </w:tc>
        <w:tc>
          <w:tcPr>
            <w:tcW w:w="2016" w:type="dxa"/>
            <w:tcMar>
              <w:top w:w="90" w:type="dxa"/>
              <w:left w:w="80" w:type="dxa"/>
              <w:bottom w:w="90" w:type="dxa"/>
              <w:right w:w="80" w:type="dxa"/>
            </w:tcMar>
            <w:vAlign w:val="center"/>
          </w:tcPr>
          <w:p w14:paraId="25ADBF9E" w14:textId="77777777" w:rsidR="00064FC0" w:rsidRPr="00B90777" w:rsidRDefault="00000000">
            <w:pPr>
              <w:pStyle w:val="TableBodyAuthor"/>
            </w:pPr>
            <w:r w:rsidRPr="00B90777">
              <w:t>Counting correlated predictors as independent confirmation</w:t>
            </w:r>
          </w:p>
        </w:tc>
        <w:tc>
          <w:tcPr>
            <w:tcW w:w="1987" w:type="dxa"/>
            <w:tcMar>
              <w:top w:w="90" w:type="dxa"/>
              <w:left w:w="80" w:type="dxa"/>
              <w:bottom w:w="90" w:type="dxa"/>
              <w:right w:w="80" w:type="dxa"/>
            </w:tcMar>
            <w:vAlign w:val="center"/>
          </w:tcPr>
          <w:p w14:paraId="159CE405" w14:textId="77777777" w:rsidR="00064FC0" w:rsidRPr="00B90777" w:rsidRDefault="00000000">
            <w:pPr>
              <w:pStyle w:val="TableBodyAuthor"/>
            </w:pPr>
            <w:r w:rsidRPr="00B90777">
              <w:t>(</w:t>
            </w:r>
            <w:proofErr w:type="spellStart"/>
            <w:r w:rsidRPr="00B90777">
              <w:t>Olomo</w:t>
            </w:r>
            <w:proofErr w:type="spellEnd"/>
            <w:r w:rsidRPr="00B90777">
              <w:t xml:space="preserve"> et al., 2022; Salawu et al., 2021)</w:t>
            </w:r>
          </w:p>
        </w:tc>
      </w:tr>
      <w:tr w:rsidR="00B90777" w:rsidRPr="00B90777" w14:paraId="198326CB" w14:textId="77777777">
        <w:trPr>
          <w:jc w:val="center"/>
        </w:trPr>
        <w:tc>
          <w:tcPr>
            <w:tcW w:w="1555" w:type="dxa"/>
            <w:tcMar>
              <w:top w:w="90" w:type="dxa"/>
              <w:left w:w="80" w:type="dxa"/>
              <w:bottom w:w="90" w:type="dxa"/>
              <w:right w:w="80" w:type="dxa"/>
            </w:tcMar>
            <w:vAlign w:val="center"/>
          </w:tcPr>
          <w:p w14:paraId="5AA62AD8" w14:textId="77777777" w:rsidR="00064FC0" w:rsidRPr="00B90777" w:rsidRDefault="00000000">
            <w:pPr>
              <w:pStyle w:val="TableBodyAuthor"/>
            </w:pPr>
            <w:r w:rsidRPr="00B90777">
              <w:t>ERT/IP prospect profiling</w:t>
            </w:r>
          </w:p>
        </w:tc>
        <w:tc>
          <w:tcPr>
            <w:tcW w:w="1915" w:type="dxa"/>
            <w:tcMar>
              <w:top w:w="90" w:type="dxa"/>
              <w:left w:w="80" w:type="dxa"/>
              <w:bottom w:w="90" w:type="dxa"/>
              <w:right w:w="80" w:type="dxa"/>
            </w:tcMar>
            <w:vAlign w:val="center"/>
          </w:tcPr>
          <w:p w14:paraId="33C675F7" w14:textId="77777777" w:rsidR="00064FC0" w:rsidRPr="00B90777" w:rsidRDefault="00000000">
            <w:pPr>
              <w:pStyle w:val="TableBodyAuthor"/>
            </w:pPr>
            <w:r w:rsidRPr="00B90777">
              <w:t xml:space="preserve">Position and uncertain extent of </w:t>
            </w:r>
            <w:proofErr w:type="spellStart"/>
            <w:r w:rsidRPr="00B90777">
              <w:t>polarising</w:t>
            </w:r>
            <w:proofErr w:type="spellEnd"/>
            <w:r w:rsidRPr="00B90777">
              <w:t xml:space="preserve"> or conductive zones</w:t>
            </w:r>
          </w:p>
        </w:tc>
        <w:tc>
          <w:tcPr>
            <w:tcW w:w="2002" w:type="dxa"/>
            <w:tcMar>
              <w:top w:w="90" w:type="dxa"/>
              <w:left w:w="80" w:type="dxa"/>
              <w:bottom w:w="90" w:type="dxa"/>
              <w:right w:w="80" w:type="dxa"/>
            </w:tcMar>
            <w:vAlign w:val="center"/>
          </w:tcPr>
          <w:p w14:paraId="5FA841DF" w14:textId="77777777" w:rsidR="00064FC0" w:rsidRPr="00B90777" w:rsidRDefault="00000000">
            <w:pPr>
              <w:pStyle w:val="TableBodyAuthor"/>
            </w:pPr>
            <w:r w:rsidRPr="00B90777">
              <w:t>Trenching, petrophysical sampling, logged boreholes and assays</w:t>
            </w:r>
          </w:p>
        </w:tc>
        <w:tc>
          <w:tcPr>
            <w:tcW w:w="2016" w:type="dxa"/>
            <w:tcMar>
              <w:top w:w="90" w:type="dxa"/>
              <w:left w:w="80" w:type="dxa"/>
              <w:bottom w:w="90" w:type="dxa"/>
              <w:right w:w="80" w:type="dxa"/>
            </w:tcMar>
            <w:vAlign w:val="center"/>
          </w:tcPr>
          <w:p w14:paraId="54F3EA3E" w14:textId="77777777" w:rsidR="00064FC0" w:rsidRPr="00B90777" w:rsidRDefault="00000000">
            <w:pPr>
              <w:pStyle w:val="TableBodyAuthor"/>
            </w:pPr>
            <w:proofErr w:type="spellStart"/>
            <w:r w:rsidRPr="00B90777">
              <w:t>Relabelling</w:t>
            </w:r>
            <w:proofErr w:type="spellEnd"/>
            <w:r w:rsidRPr="00B90777">
              <w:t xml:space="preserve"> an inverted physical property as gold grade</w:t>
            </w:r>
          </w:p>
        </w:tc>
        <w:tc>
          <w:tcPr>
            <w:tcW w:w="1987" w:type="dxa"/>
            <w:tcMar>
              <w:top w:w="90" w:type="dxa"/>
              <w:left w:w="80" w:type="dxa"/>
              <w:bottom w:w="90" w:type="dxa"/>
              <w:right w:w="80" w:type="dxa"/>
            </w:tcMar>
            <w:vAlign w:val="center"/>
          </w:tcPr>
          <w:p w14:paraId="2C6E2B62" w14:textId="77777777" w:rsidR="00064FC0" w:rsidRPr="00B90777" w:rsidRDefault="00000000">
            <w:pPr>
              <w:pStyle w:val="TableBodyAuthor"/>
            </w:pPr>
            <w:r w:rsidRPr="00B90777">
              <w:t>(</w:t>
            </w:r>
            <w:proofErr w:type="spellStart"/>
            <w:r w:rsidRPr="00B90777">
              <w:t>Adekanle</w:t>
            </w:r>
            <w:proofErr w:type="spellEnd"/>
            <w:r w:rsidRPr="00B90777">
              <w:t xml:space="preserve"> et al., 2025; Oldenburg &amp; Li, 1999)</w:t>
            </w:r>
          </w:p>
        </w:tc>
      </w:tr>
      <w:tr w:rsidR="00B90777" w:rsidRPr="00B90777" w14:paraId="356A47E2" w14:textId="77777777">
        <w:trPr>
          <w:jc w:val="center"/>
        </w:trPr>
        <w:tc>
          <w:tcPr>
            <w:tcW w:w="1555" w:type="dxa"/>
            <w:tcMar>
              <w:top w:w="90" w:type="dxa"/>
              <w:left w:w="80" w:type="dxa"/>
              <w:bottom w:w="90" w:type="dxa"/>
              <w:right w:w="80" w:type="dxa"/>
            </w:tcMar>
            <w:vAlign w:val="center"/>
          </w:tcPr>
          <w:p w14:paraId="57740B91" w14:textId="77777777" w:rsidR="00064FC0" w:rsidRPr="00B90777" w:rsidRDefault="00000000">
            <w:pPr>
              <w:pStyle w:val="TableBodyAuthor"/>
            </w:pPr>
            <w:r w:rsidRPr="00B90777">
              <w:t>Expert-weighted ranking</w:t>
            </w:r>
          </w:p>
        </w:tc>
        <w:tc>
          <w:tcPr>
            <w:tcW w:w="1915" w:type="dxa"/>
            <w:tcMar>
              <w:top w:w="90" w:type="dxa"/>
              <w:left w:w="80" w:type="dxa"/>
              <w:bottom w:w="90" w:type="dxa"/>
              <w:right w:w="80" w:type="dxa"/>
            </w:tcMar>
            <w:vAlign w:val="center"/>
          </w:tcPr>
          <w:p w14:paraId="19ECA101" w14:textId="77777777" w:rsidR="00064FC0" w:rsidRPr="00B90777" w:rsidRDefault="00000000">
            <w:pPr>
              <w:pStyle w:val="TableBodyAuthor"/>
            </w:pPr>
            <w:r w:rsidRPr="00B90777">
              <w:t>Priority map under stated mineral-system assumptions</w:t>
            </w:r>
          </w:p>
        </w:tc>
        <w:tc>
          <w:tcPr>
            <w:tcW w:w="2002" w:type="dxa"/>
            <w:tcMar>
              <w:top w:w="90" w:type="dxa"/>
              <w:left w:w="80" w:type="dxa"/>
              <w:bottom w:w="90" w:type="dxa"/>
              <w:right w:w="80" w:type="dxa"/>
            </w:tcMar>
            <w:vAlign w:val="center"/>
          </w:tcPr>
          <w:p w14:paraId="25E96959" w14:textId="77777777" w:rsidR="00064FC0" w:rsidRPr="00B90777" w:rsidRDefault="00000000">
            <w:pPr>
              <w:pStyle w:val="TableBodyAuthor"/>
            </w:pPr>
            <w:r w:rsidRPr="00B90777">
              <w:t>Sensitivity to criteria, weights and independent targets</w:t>
            </w:r>
          </w:p>
        </w:tc>
        <w:tc>
          <w:tcPr>
            <w:tcW w:w="2016" w:type="dxa"/>
            <w:tcMar>
              <w:top w:w="90" w:type="dxa"/>
              <w:left w:w="80" w:type="dxa"/>
              <w:bottom w:w="90" w:type="dxa"/>
              <w:right w:w="80" w:type="dxa"/>
            </w:tcMar>
            <w:vAlign w:val="center"/>
          </w:tcPr>
          <w:p w14:paraId="067B47D6" w14:textId="77777777" w:rsidR="00064FC0" w:rsidRPr="00B90777" w:rsidRDefault="00000000">
            <w:pPr>
              <w:pStyle w:val="TableBodyAuthor"/>
            </w:pPr>
            <w:r w:rsidRPr="00B90777">
              <w:t>Circular validation using known mines</w:t>
            </w:r>
          </w:p>
        </w:tc>
        <w:tc>
          <w:tcPr>
            <w:tcW w:w="1987" w:type="dxa"/>
            <w:tcMar>
              <w:top w:w="90" w:type="dxa"/>
              <w:left w:w="80" w:type="dxa"/>
              <w:bottom w:w="90" w:type="dxa"/>
              <w:right w:w="80" w:type="dxa"/>
            </w:tcMar>
            <w:vAlign w:val="center"/>
          </w:tcPr>
          <w:p w14:paraId="427FA1AD" w14:textId="77777777" w:rsidR="00064FC0" w:rsidRPr="00B90777" w:rsidRDefault="00000000">
            <w:pPr>
              <w:pStyle w:val="TableBodyAuthor"/>
            </w:pPr>
            <w:r w:rsidRPr="00B90777">
              <w:t xml:space="preserve">(Abubakar et al., 2024; </w:t>
            </w:r>
            <w:proofErr w:type="spellStart"/>
            <w:r w:rsidRPr="00B90777">
              <w:t>Akinlalu</w:t>
            </w:r>
            <w:proofErr w:type="spellEnd"/>
            <w:r w:rsidRPr="00B90777">
              <w:t xml:space="preserve"> et al., 2021; </w:t>
            </w:r>
            <w:proofErr w:type="spellStart"/>
            <w:r w:rsidRPr="00B90777">
              <w:t>Akinlalu</w:t>
            </w:r>
            <w:proofErr w:type="spellEnd"/>
            <w:r w:rsidRPr="00B90777">
              <w:t xml:space="preserve"> et al., 2024)</w:t>
            </w:r>
          </w:p>
        </w:tc>
      </w:tr>
      <w:tr w:rsidR="00B90777" w:rsidRPr="00B90777" w14:paraId="112CAD16" w14:textId="77777777">
        <w:trPr>
          <w:jc w:val="center"/>
        </w:trPr>
        <w:tc>
          <w:tcPr>
            <w:tcW w:w="1555" w:type="dxa"/>
            <w:tcMar>
              <w:top w:w="90" w:type="dxa"/>
              <w:left w:w="80" w:type="dxa"/>
              <w:bottom w:w="90" w:type="dxa"/>
              <w:right w:w="80" w:type="dxa"/>
            </w:tcMar>
            <w:vAlign w:val="center"/>
          </w:tcPr>
          <w:p w14:paraId="4954815E" w14:textId="77777777" w:rsidR="00064FC0" w:rsidRPr="00B90777" w:rsidRDefault="00000000">
            <w:pPr>
              <w:pStyle w:val="TableBodyAuthor"/>
            </w:pPr>
            <w:r w:rsidRPr="00B90777">
              <w:lastRenderedPageBreak/>
              <w:t>Machine-learning ranking</w:t>
            </w:r>
          </w:p>
        </w:tc>
        <w:tc>
          <w:tcPr>
            <w:tcW w:w="1915" w:type="dxa"/>
            <w:tcMar>
              <w:top w:w="90" w:type="dxa"/>
              <w:left w:w="80" w:type="dxa"/>
              <w:bottom w:w="90" w:type="dxa"/>
              <w:right w:w="80" w:type="dxa"/>
            </w:tcMar>
            <w:vAlign w:val="center"/>
          </w:tcPr>
          <w:p w14:paraId="49F3CBF0" w14:textId="77777777" w:rsidR="00064FC0" w:rsidRPr="00B90777" w:rsidRDefault="00000000">
            <w:pPr>
              <w:pStyle w:val="TableBodyAuthor"/>
            </w:pPr>
            <w:r w:rsidRPr="00B90777">
              <w:t>Predicted class or score for candidate areas</w:t>
            </w:r>
          </w:p>
        </w:tc>
        <w:tc>
          <w:tcPr>
            <w:tcW w:w="2002" w:type="dxa"/>
            <w:tcMar>
              <w:top w:w="90" w:type="dxa"/>
              <w:left w:w="80" w:type="dxa"/>
              <w:bottom w:w="90" w:type="dxa"/>
              <w:right w:w="80" w:type="dxa"/>
            </w:tcMar>
            <w:vAlign w:val="center"/>
          </w:tcPr>
          <w:p w14:paraId="28E39965" w14:textId="77777777" w:rsidR="00064FC0" w:rsidRPr="00B90777" w:rsidRDefault="00000000">
            <w:pPr>
              <w:pStyle w:val="TableBodyAuthor"/>
            </w:pPr>
            <w:r w:rsidRPr="00B90777">
              <w:t>Spatially blocked tests with verified positive and negative labels</w:t>
            </w:r>
          </w:p>
        </w:tc>
        <w:tc>
          <w:tcPr>
            <w:tcW w:w="2016" w:type="dxa"/>
            <w:tcMar>
              <w:top w:w="90" w:type="dxa"/>
              <w:left w:w="80" w:type="dxa"/>
              <w:bottom w:w="90" w:type="dxa"/>
              <w:right w:w="80" w:type="dxa"/>
            </w:tcMar>
            <w:vAlign w:val="center"/>
          </w:tcPr>
          <w:p w14:paraId="3E807E0D" w14:textId="77777777" w:rsidR="00064FC0" w:rsidRPr="00B90777" w:rsidRDefault="00000000">
            <w:pPr>
              <w:pStyle w:val="TableBodyAuthor"/>
            </w:pPr>
            <w:r w:rsidRPr="00B90777">
              <w:t>Training–testing spatial leakage and presumed absence labels</w:t>
            </w:r>
          </w:p>
        </w:tc>
        <w:tc>
          <w:tcPr>
            <w:tcW w:w="1987" w:type="dxa"/>
            <w:tcMar>
              <w:top w:w="90" w:type="dxa"/>
              <w:left w:w="80" w:type="dxa"/>
              <w:bottom w:w="90" w:type="dxa"/>
              <w:right w:w="80" w:type="dxa"/>
            </w:tcMar>
            <w:vAlign w:val="center"/>
          </w:tcPr>
          <w:p w14:paraId="627081B3" w14:textId="77777777" w:rsidR="00064FC0" w:rsidRPr="00B90777" w:rsidRDefault="00000000">
            <w:pPr>
              <w:pStyle w:val="TableBodyAuthor"/>
            </w:pPr>
            <w:r w:rsidRPr="00B90777">
              <w:t>(Faruwa et al., 2025; Porwal et al., 2006)</w:t>
            </w:r>
          </w:p>
        </w:tc>
      </w:tr>
      <w:tr w:rsidR="00B90777" w:rsidRPr="00B90777" w14:paraId="0CEBF7BA" w14:textId="77777777">
        <w:trPr>
          <w:jc w:val="center"/>
        </w:trPr>
        <w:tc>
          <w:tcPr>
            <w:tcW w:w="1555" w:type="dxa"/>
            <w:tcBorders>
              <w:bottom w:val="single" w:sz="7" w:space="0" w:color="273B4E"/>
            </w:tcBorders>
            <w:tcMar>
              <w:top w:w="90" w:type="dxa"/>
              <w:left w:w="80" w:type="dxa"/>
              <w:bottom w:w="90" w:type="dxa"/>
              <w:right w:w="80" w:type="dxa"/>
            </w:tcMar>
            <w:vAlign w:val="center"/>
          </w:tcPr>
          <w:p w14:paraId="79F8DE89" w14:textId="77777777" w:rsidR="00064FC0" w:rsidRPr="00B90777" w:rsidRDefault="00000000">
            <w:pPr>
              <w:pStyle w:val="TableBodyAuthor"/>
            </w:pPr>
            <w:r w:rsidRPr="00B90777">
              <w:t>Resource-oriented confirmation</w:t>
            </w:r>
          </w:p>
        </w:tc>
        <w:tc>
          <w:tcPr>
            <w:tcW w:w="1915" w:type="dxa"/>
            <w:tcBorders>
              <w:bottom w:val="single" w:sz="7" w:space="0" w:color="273B4E"/>
            </w:tcBorders>
            <w:tcMar>
              <w:top w:w="90" w:type="dxa"/>
              <w:left w:w="80" w:type="dxa"/>
              <w:bottom w:w="90" w:type="dxa"/>
              <w:right w:w="80" w:type="dxa"/>
            </w:tcMar>
            <w:vAlign w:val="center"/>
          </w:tcPr>
          <w:p w14:paraId="5B7E1ACA" w14:textId="77777777" w:rsidR="00064FC0" w:rsidRPr="00B90777" w:rsidRDefault="00000000">
            <w:pPr>
              <w:pStyle w:val="TableBodyAuthor"/>
            </w:pPr>
            <w:r w:rsidRPr="00B90777">
              <w:t xml:space="preserve">Assayed </w:t>
            </w:r>
            <w:proofErr w:type="spellStart"/>
            <w:r w:rsidRPr="00B90777">
              <w:t>mineralised</w:t>
            </w:r>
            <w:proofErr w:type="spellEnd"/>
            <w:r w:rsidRPr="00B90777">
              <w:t xml:space="preserve"> intervals, continuity and uncertainty</w:t>
            </w:r>
          </w:p>
        </w:tc>
        <w:tc>
          <w:tcPr>
            <w:tcW w:w="2002" w:type="dxa"/>
            <w:tcBorders>
              <w:bottom w:val="single" w:sz="7" w:space="0" w:color="273B4E"/>
            </w:tcBorders>
            <w:tcMar>
              <w:top w:w="90" w:type="dxa"/>
              <w:left w:w="80" w:type="dxa"/>
              <w:bottom w:w="90" w:type="dxa"/>
              <w:right w:w="80" w:type="dxa"/>
            </w:tcMar>
            <w:vAlign w:val="center"/>
          </w:tcPr>
          <w:p w14:paraId="0FD69C51" w14:textId="77777777" w:rsidR="00064FC0" w:rsidRPr="00B90777" w:rsidRDefault="00000000">
            <w:pPr>
              <w:pStyle w:val="TableBodyAuthor"/>
            </w:pPr>
            <w:r w:rsidRPr="00B90777">
              <w:t>Independent drilling, quality-controlled assays and geology</w:t>
            </w:r>
          </w:p>
        </w:tc>
        <w:tc>
          <w:tcPr>
            <w:tcW w:w="2016" w:type="dxa"/>
            <w:tcBorders>
              <w:bottom w:val="single" w:sz="7" w:space="0" w:color="273B4E"/>
            </w:tcBorders>
            <w:tcMar>
              <w:top w:w="90" w:type="dxa"/>
              <w:left w:w="80" w:type="dxa"/>
              <w:bottom w:w="90" w:type="dxa"/>
              <w:right w:w="80" w:type="dxa"/>
            </w:tcMar>
            <w:vAlign w:val="center"/>
          </w:tcPr>
          <w:p w14:paraId="3737763D" w14:textId="77777777" w:rsidR="00064FC0" w:rsidRPr="00B90777" w:rsidRDefault="00000000">
            <w:pPr>
              <w:pStyle w:val="TableBodyAuthor"/>
            </w:pPr>
            <w:r w:rsidRPr="00B90777">
              <w:t>Equating an anomaly or isolated occurrence with a resource</w:t>
            </w:r>
          </w:p>
        </w:tc>
        <w:tc>
          <w:tcPr>
            <w:tcW w:w="1987" w:type="dxa"/>
            <w:tcBorders>
              <w:bottom w:val="single" w:sz="7" w:space="0" w:color="273B4E"/>
            </w:tcBorders>
            <w:tcMar>
              <w:top w:w="90" w:type="dxa"/>
              <w:left w:w="80" w:type="dxa"/>
              <w:bottom w:w="90" w:type="dxa"/>
              <w:right w:w="80" w:type="dxa"/>
            </w:tcMar>
            <w:vAlign w:val="center"/>
          </w:tcPr>
          <w:p w14:paraId="65BFDF72" w14:textId="77777777" w:rsidR="00064FC0" w:rsidRPr="00B90777" w:rsidRDefault="00000000">
            <w:pPr>
              <w:pStyle w:val="TableBodyAuthor"/>
            </w:pPr>
            <w:r w:rsidRPr="00B90777">
              <w:t>(Garba, 2003; Olajide-Kayode et al., 2020)</w:t>
            </w:r>
          </w:p>
        </w:tc>
      </w:tr>
    </w:tbl>
    <w:p w14:paraId="538B4FD8" w14:textId="77777777" w:rsidR="00064FC0" w:rsidRPr="00B90777" w:rsidRDefault="00000000">
      <w:pPr>
        <w:pStyle w:val="TableNoteAuthor"/>
      </w:pPr>
      <w:r w:rsidRPr="00B90777">
        <w:rPr>
          <w:i/>
        </w:rPr>
        <w:t xml:space="preserve">Note. </w:t>
      </w:r>
      <w:r w:rsidRPr="00B90777">
        <w:t>Each stage ranks evidence; none of the first five stages alone demonstrates an economically mineable gold resource.</w:t>
      </w:r>
    </w:p>
    <w:p w14:paraId="2282F0EE" w14:textId="77777777" w:rsidR="00064FC0" w:rsidRPr="00B90777" w:rsidRDefault="00000000">
      <w:pPr>
        <w:pStyle w:val="Heading1"/>
        <w:rPr>
          <w:color w:val="auto"/>
        </w:rPr>
      </w:pPr>
      <w:r w:rsidRPr="00B90777">
        <w:rPr>
          <w:color w:val="auto"/>
        </w:rPr>
        <w:t>8. Future Directions</w:t>
      </w:r>
    </w:p>
    <w:p w14:paraId="14619DAD" w14:textId="77777777" w:rsidR="00064FC0" w:rsidRPr="00B90777" w:rsidRDefault="00000000">
      <w:pPr>
        <w:jc w:val="both"/>
        <w:rPr>
          <w:color w:val="auto"/>
        </w:rPr>
      </w:pPr>
      <w:r w:rsidRPr="00B90777">
        <w:rPr>
          <w:color w:val="auto"/>
        </w:rPr>
        <w:t xml:space="preserve">The immediate priority is to link physical-property surveys to laboratory-confirmed </w:t>
      </w:r>
      <w:proofErr w:type="spellStart"/>
      <w:r w:rsidRPr="00B90777">
        <w:rPr>
          <w:color w:val="auto"/>
        </w:rPr>
        <w:t>mineralisation</w:t>
      </w:r>
      <w:proofErr w:type="spellEnd"/>
      <w:r w:rsidRPr="00B90777">
        <w:rPr>
          <w:color w:val="auto"/>
        </w:rPr>
        <w:t xml:space="preserve"> at the same spatial locations. A suitable design would acquire matched ERT and time-domain IP lines across a small set of known auriferous and deliberately selected apparently barren structures, followed by logged trenches or shallow boreholes. Each sampling interval should record lithology, weathering state, </w:t>
      </w:r>
      <w:proofErr w:type="spellStart"/>
      <w:r w:rsidRPr="00B90777">
        <w:rPr>
          <w:color w:val="auto"/>
        </w:rPr>
        <w:t>sulphide</w:t>
      </w:r>
      <w:proofErr w:type="spellEnd"/>
      <w:r w:rsidRPr="00B90777">
        <w:rPr>
          <w:color w:val="auto"/>
        </w:rPr>
        <w:t xml:space="preserve"> mineralogy, clay content and certified gold assays. Comparison of </w:t>
      </w:r>
      <w:proofErr w:type="spellStart"/>
      <w:r w:rsidRPr="00B90777">
        <w:rPr>
          <w:color w:val="auto"/>
        </w:rPr>
        <w:t>mineralised</w:t>
      </w:r>
      <w:proofErr w:type="spellEnd"/>
      <w:r w:rsidRPr="00B90777">
        <w:rPr>
          <w:color w:val="auto"/>
        </w:rPr>
        <w:t xml:space="preserve"> and barren intervals within the same host unit would address the specific unresolved question of whether IP adds predictive information beyond resistivity and a mapped fault. The principal outcomes would be target-scale false-positive rates, sensitivity conditional on deposit style and model calibration, not the visual prominence of chargeability </w:t>
      </w:r>
      <w:proofErr w:type="spellStart"/>
      <w:r w:rsidRPr="00B90777">
        <w:rPr>
          <w:color w:val="auto"/>
        </w:rPr>
        <w:t>colours</w:t>
      </w:r>
      <w:proofErr w:type="spellEnd"/>
      <w:r w:rsidRPr="00B90777">
        <w:rPr>
          <w:color w:val="auto"/>
        </w:rPr>
        <w:t>.</w:t>
      </w:r>
    </w:p>
    <w:p w14:paraId="7FEAA6B3" w14:textId="77777777" w:rsidR="00064FC0" w:rsidRPr="00B90777" w:rsidRDefault="00000000">
      <w:pPr>
        <w:jc w:val="both"/>
        <w:rPr>
          <w:color w:val="auto"/>
        </w:rPr>
      </w:pPr>
      <w:r w:rsidRPr="00B90777">
        <w:rPr>
          <w:color w:val="auto"/>
        </w:rPr>
        <w:t>A second priority is rigorous testing of the correspondence between shallow radiometric indicators and deeper mineral-system features. Surface radioelement measurements should be acquired with documented calibration and moisture conditions over areas of mapped potassic alteration, feldspathic granitoid and unaltered background rock. Fresh-bedrock and regolith samples should then measure potassium-bearing minerals and the degree of weathering. This paired design would determine whether airborne K deviation consistently differentiates mineral-system alteration after controlling for primary lithology and regolith transport. The outcome should be a conditional classifier with documented failure cases, not a general claim that every potassium anomaly indicates gold.</w:t>
      </w:r>
    </w:p>
    <w:p w14:paraId="680A0B59" w14:textId="77777777" w:rsidR="00064FC0" w:rsidRPr="00B90777" w:rsidRDefault="00000000">
      <w:pPr>
        <w:jc w:val="both"/>
        <w:rPr>
          <w:color w:val="auto"/>
        </w:rPr>
      </w:pPr>
      <w:r w:rsidRPr="00B90777">
        <w:rPr>
          <w:color w:val="auto"/>
        </w:rPr>
        <w:t>Improved acquisition transparency is as important as new hardware. Archived airborne grids should be accompanied by survey dates, original line geometry, levelling information, height corrections, filtering choices and uncertainty estimates. Where permission and logistics allow, limited repeat airborne or high-resolution ground magnetic surveys across the most disputed structures could distinguish stable geological lineaments from artefacts associated with interpolation or derivatives. Field susceptibility readings and oriented structural measurements are particularly valuable at lithological contacts. Comparing measured and predicted profiles is more informative than assessing whether lineaments appear sharp on a derivative map.</w:t>
      </w:r>
    </w:p>
    <w:p w14:paraId="64624BF1" w14:textId="77777777" w:rsidR="00064FC0" w:rsidRPr="00B90777" w:rsidRDefault="00000000">
      <w:pPr>
        <w:jc w:val="both"/>
        <w:rPr>
          <w:color w:val="auto"/>
        </w:rPr>
      </w:pPr>
      <w:r w:rsidRPr="00B90777">
        <w:rPr>
          <w:color w:val="auto"/>
        </w:rPr>
        <w:t>A third priority concerns three-dimensional geometry. Many existing electrical investigations consist of parallel two-dimensional profiles in terrains where cross-strike faults, intrusive bodies and vein swarms are likely. A carefully designed three-dimensional ERT/IP pilot study, accompanied by topography and representative petrophysical sampling, would establish whether the apparent steep zones in two-</w:t>
      </w:r>
      <w:r w:rsidRPr="00B90777">
        <w:rPr>
          <w:color w:val="auto"/>
        </w:rPr>
        <w:lastRenderedPageBreak/>
        <w:t>dimensional sections persist spatially or were displaced by out-of-plane sensitivity. Model-resolution and depth-of-investigation tests should be reported alongside the preferred inversion. Any subsequent drilling should be chosen from a prespecified target list to prevent confirmation bias after the geometry is known.</w:t>
      </w:r>
    </w:p>
    <w:p w14:paraId="2A084AFF" w14:textId="77777777" w:rsidR="00064FC0" w:rsidRPr="00B90777" w:rsidRDefault="00000000">
      <w:pPr>
        <w:jc w:val="both"/>
        <w:rPr>
          <w:color w:val="auto"/>
        </w:rPr>
      </w:pPr>
      <w:r w:rsidRPr="00B90777">
        <w:rPr>
          <w:color w:val="auto"/>
        </w:rPr>
        <w:t xml:space="preserve">Prospectivity models require spatially independent testing before any regional accuracy claim can be accepted. One feasible design would withhold entire geological blocks, train the model on remaining verified occurrences and non-occurrence evidence, and send a separate sampling team to assess the withheld targets without access to the predicted class. Outcomes should distinguish detectable gold, a defined grade–width interval and any later resource classification. Sampling all risk classes, rather than only the most visually promising, is necessary to estimate specificity and calibration. Random pixel splitting should not be treated as equivalent to this design because </w:t>
      </w:r>
      <w:proofErr w:type="spellStart"/>
      <w:r w:rsidRPr="00B90777">
        <w:rPr>
          <w:color w:val="auto"/>
        </w:rPr>
        <w:t>neighbouring</w:t>
      </w:r>
      <w:proofErr w:type="spellEnd"/>
      <w:r w:rsidRPr="00B90777">
        <w:rPr>
          <w:color w:val="auto"/>
        </w:rPr>
        <w:t xml:space="preserve"> geophysical pixels are not independent geological examples.</w:t>
      </w:r>
    </w:p>
    <w:p w14:paraId="1B31E870" w14:textId="77777777" w:rsidR="00064FC0" w:rsidRPr="00B90777" w:rsidRDefault="00000000">
      <w:pPr>
        <w:jc w:val="both"/>
        <w:rPr>
          <w:color w:val="auto"/>
        </w:rPr>
      </w:pPr>
      <w:r w:rsidRPr="00B90777">
        <w:rPr>
          <w:color w:val="auto"/>
        </w:rPr>
        <w:t xml:space="preserve">A corresponding data priority is the definition of reliable negative examples. In the present exploration setting, a site without an operating mine or recorded occurrence is generally untested rather than confirmed barren. Negative labels should therefore be assigned preferentially to sampled structures with sufficient exposure or drilling to exclude the predefined target under a stated detection limit. Models may alternatively treat untested locations as </w:t>
      </w:r>
      <w:proofErr w:type="spellStart"/>
      <w:r w:rsidRPr="00B90777">
        <w:rPr>
          <w:color w:val="auto"/>
        </w:rPr>
        <w:t>unlabelled</w:t>
      </w:r>
      <w:proofErr w:type="spellEnd"/>
      <w:r w:rsidRPr="00B90777">
        <w:rPr>
          <w:color w:val="auto"/>
        </w:rPr>
        <w:t>. This distinction would substantially improve the interpretability of machine-learning results, reduce apparent overconfidence and make it possible to compare expert-weighted and data-driven methods using equivalent outcomes.</w:t>
      </w:r>
    </w:p>
    <w:p w14:paraId="64AED552" w14:textId="77777777" w:rsidR="00064FC0" w:rsidRPr="00B90777" w:rsidRDefault="00000000">
      <w:pPr>
        <w:jc w:val="both"/>
        <w:rPr>
          <w:color w:val="auto"/>
        </w:rPr>
      </w:pPr>
      <w:r w:rsidRPr="00B90777">
        <w:rPr>
          <w:color w:val="auto"/>
        </w:rPr>
        <w:t xml:space="preserve">Inter-study comparison also requires common reporting standards. Every ground electrical publication should give electrode spacing, array, instrument gates, topographic corrections, inversion error measure, resolution diagnostics and a clear separation between raw apparent observations and recovered model properties. Every airborne interpretation should document flight-line separation, survey altitude, correction pipeline, grid cell size, derivative parameters and structural-index sensitivity where applicable. Such information would allow reanalysis and facilitate comparisons between </w:t>
      </w:r>
      <w:proofErr w:type="spellStart"/>
      <w:r w:rsidRPr="00B90777">
        <w:rPr>
          <w:color w:val="auto"/>
        </w:rPr>
        <w:t>Iperindo</w:t>
      </w:r>
      <w:proofErr w:type="spellEnd"/>
      <w:r w:rsidRPr="00B90777">
        <w:rPr>
          <w:color w:val="auto"/>
        </w:rPr>
        <w:t xml:space="preserve">, </w:t>
      </w:r>
      <w:proofErr w:type="spellStart"/>
      <w:r w:rsidRPr="00B90777">
        <w:rPr>
          <w:color w:val="auto"/>
        </w:rPr>
        <w:t>Itagunmodi</w:t>
      </w:r>
      <w:proofErr w:type="spellEnd"/>
      <w:r w:rsidRPr="00B90777">
        <w:rPr>
          <w:color w:val="auto"/>
        </w:rPr>
        <w:t xml:space="preserve"> and less explored sectors without treating nominal map resolution as physical resolving power.</w:t>
      </w:r>
    </w:p>
    <w:p w14:paraId="223A9351" w14:textId="77777777" w:rsidR="00064FC0" w:rsidRPr="00B90777" w:rsidRDefault="00000000">
      <w:pPr>
        <w:jc w:val="both"/>
        <w:rPr>
          <w:color w:val="auto"/>
        </w:rPr>
      </w:pPr>
      <w:r w:rsidRPr="00B90777">
        <w:rPr>
          <w:color w:val="auto"/>
        </w:rPr>
        <w:t xml:space="preserve">Petrophysical </w:t>
      </w:r>
      <w:proofErr w:type="spellStart"/>
      <w:r w:rsidRPr="00B90777">
        <w:rPr>
          <w:color w:val="auto"/>
        </w:rPr>
        <w:t>characterisation</w:t>
      </w:r>
      <w:proofErr w:type="spellEnd"/>
      <w:r w:rsidRPr="00B90777">
        <w:rPr>
          <w:color w:val="auto"/>
        </w:rPr>
        <w:t xml:space="preserve"> is a further cost-effective research need. Fresh and weathered samples should be measured for magnetic susceptibility, remanence where relevant, electrical conductivity and frequency-dependent </w:t>
      </w:r>
      <w:proofErr w:type="spellStart"/>
      <w:r w:rsidRPr="00B90777">
        <w:rPr>
          <w:color w:val="auto"/>
        </w:rPr>
        <w:t>polarisation</w:t>
      </w:r>
      <w:proofErr w:type="spellEnd"/>
      <w:r w:rsidRPr="00B90777">
        <w:rPr>
          <w:color w:val="auto"/>
        </w:rPr>
        <w:t xml:space="preserve"> under controlled moisture or electrolyte conditions. Laboratory mineralogy should quantify </w:t>
      </w:r>
      <w:proofErr w:type="spellStart"/>
      <w:r w:rsidRPr="00B90777">
        <w:rPr>
          <w:color w:val="auto"/>
        </w:rPr>
        <w:t>sulphides</w:t>
      </w:r>
      <w:proofErr w:type="spellEnd"/>
      <w:r w:rsidRPr="00B90777">
        <w:rPr>
          <w:color w:val="auto"/>
        </w:rPr>
        <w:t xml:space="preserve"> and alteration phases so that the physical origin of an anomaly can be tested. These measurements would also allow synthetic forward modelling of plausible lode geometries and assess whether the proposed target could realistically produce a measurable signal at the survey's electrode or flight-line geometry. Failure to detect a geologically known lode may then be attributed to resolution or low contrast rather than regarded as evidence that the lode is absent.</w:t>
      </w:r>
    </w:p>
    <w:p w14:paraId="3C324CD0" w14:textId="77777777" w:rsidR="00064FC0" w:rsidRPr="00B90777" w:rsidRDefault="00000000">
      <w:pPr>
        <w:jc w:val="both"/>
        <w:rPr>
          <w:color w:val="auto"/>
        </w:rPr>
      </w:pPr>
      <w:r w:rsidRPr="00B90777">
        <w:rPr>
          <w:color w:val="auto"/>
        </w:rPr>
        <w:t xml:space="preserve">Longer-term work should connect ore-system interpretation with the spatial pattern of historical erosion and placer development. Bedrock-geochemistry </w:t>
      </w:r>
      <w:proofErr w:type="gramStart"/>
      <w:r w:rsidRPr="00B90777">
        <w:rPr>
          <w:color w:val="auto"/>
        </w:rPr>
        <w:t>transects,</w:t>
      </w:r>
      <w:proofErr w:type="gramEnd"/>
      <w:r w:rsidRPr="00B90777">
        <w:rPr>
          <w:color w:val="auto"/>
        </w:rPr>
        <w:t xml:space="preserve"> transport-path studies and gold-grain </w:t>
      </w:r>
      <w:proofErr w:type="spellStart"/>
      <w:r w:rsidRPr="00B90777">
        <w:rPr>
          <w:color w:val="auto"/>
        </w:rPr>
        <w:t>characterisation</w:t>
      </w:r>
      <w:proofErr w:type="spellEnd"/>
      <w:r w:rsidRPr="00B90777">
        <w:rPr>
          <w:color w:val="auto"/>
        </w:rPr>
        <w:t xml:space="preserve"> can help distinguish a primary source from secondary concentration. Stream-grain microchemical studies provide a starting point, but bedrock source matching needs appropriate controls and reproducible microanalysis. Separating placers from lode targets would prevent models from using the </w:t>
      </w:r>
      <w:r w:rsidRPr="00B90777">
        <w:rPr>
          <w:color w:val="auto"/>
        </w:rPr>
        <w:lastRenderedPageBreak/>
        <w:t>same historical occurrence layer to justify incompatible geological mechanisms. This is particularly important when alluvial workings occur on floodplains distant from candidate bedrock structures (</w:t>
      </w:r>
      <w:proofErr w:type="spellStart"/>
      <w:r w:rsidRPr="00B90777">
        <w:rPr>
          <w:color w:val="auto"/>
        </w:rPr>
        <w:t>Elueze</w:t>
      </w:r>
      <w:proofErr w:type="spellEnd"/>
      <w:r w:rsidRPr="00B90777">
        <w:rPr>
          <w:color w:val="auto"/>
        </w:rPr>
        <w:t>, 1986; Omang et al., 2026).</w:t>
      </w:r>
    </w:p>
    <w:p w14:paraId="70B99EDA" w14:textId="77777777" w:rsidR="00064FC0" w:rsidRPr="00B90777" w:rsidRDefault="00000000">
      <w:pPr>
        <w:jc w:val="both"/>
        <w:rPr>
          <w:color w:val="auto"/>
        </w:rPr>
      </w:pPr>
      <w:r w:rsidRPr="00B90777">
        <w:rPr>
          <w:color w:val="auto"/>
        </w:rPr>
        <w:t>Finally, field-scale confirmation should be designed with the needs of host communities and the environmental vulnerability of mining districts in mind. Initial low-disturbance mapping can guide the location of the smallest necessary test excavation, while explicit reclamation and water-protection procedures should accompany subsequent sampling. The principal research outcome remains geological: whether a target predicted from complementary physical evidence yields independently verified gold-bearing rock of defined continuity. The wider implication is that reliable, auditable exploration decisions can be made without exaggerating the certainty of an anomaly or encouraging premature interpretations of resource potential.</w:t>
      </w:r>
    </w:p>
    <w:p w14:paraId="1C10027D" w14:textId="77777777" w:rsidR="00064FC0" w:rsidRPr="00B90777" w:rsidRDefault="00000000">
      <w:pPr>
        <w:pStyle w:val="Heading1"/>
        <w:rPr>
          <w:color w:val="auto"/>
        </w:rPr>
      </w:pPr>
      <w:r w:rsidRPr="00B90777">
        <w:rPr>
          <w:color w:val="auto"/>
        </w:rPr>
        <w:t>9. Conclusions</w:t>
      </w:r>
    </w:p>
    <w:p w14:paraId="2D3C4177" w14:textId="77777777" w:rsidR="00064FC0" w:rsidRPr="00B90777" w:rsidRDefault="00000000">
      <w:pPr>
        <w:jc w:val="both"/>
        <w:rPr>
          <w:color w:val="auto"/>
        </w:rPr>
      </w:pPr>
      <w:r w:rsidRPr="00B90777">
        <w:rPr>
          <w:color w:val="auto"/>
        </w:rPr>
        <w:t xml:space="preserve">Gold prospectivity in southwestern Nigeria is geologically credible in specific segments of the Ilesha–Ife schist belt, where documented primary quartz-bearing veins, altered basement rocks and secondary gold concentrations provide a substantive foundation for exploration. The most defensible regional geophysical conclusion is that </w:t>
      </w:r>
      <w:proofErr w:type="spellStart"/>
      <w:r w:rsidRPr="00B90777">
        <w:rPr>
          <w:color w:val="auto"/>
        </w:rPr>
        <w:t>aeromagnetics</w:t>
      </w:r>
      <w:proofErr w:type="spellEnd"/>
      <w:r w:rsidRPr="00B90777">
        <w:rPr>
          <w:color w:val="auto"/>
        </w:rPr>
        <w:t xml:space="preserve"> maps structural and lithological architecture, while airborne gamma-ray spectrometry </w:t>
      </w:r>
      <w:proofErr w:type="spellStart"/>
      <w:r w:rsidRPr="00B90777">
        <w:rPr>
          <w:color w:val="auto"/>
        </w:rPr>
        <w:t>characterises</w:t>
      </w:r>
      <w:proofErr w:type="spellEnd"/>
      <w:r w:rsidRPr="00B90777">
        <w:rPr>
          <w:color w:val="auto"/>
        </w:rPr>
        <w:t xml:space="preserve"> shallow radioelement distributions that can sometimes trace alteration. Neither a magnetic discontinuity nor potassium enrichment directly establishes gold </w:t>
      </w:r>
      <w:proofErr w:type="spellStart"/>
      <w:r w:rsidRPr="00B90777">
        <w:rPr>
          <w:color w:val="auto"/>
        </w:rPr>
        <w:t>mineralisation</w:t>
      </w:r>
      <w:proofErr w:type="spellEnd"/>
      <w:r w:rsidRPr="00B90777">
        <w:rPr>
          <w:color w:val="auto"/>
        </w:rPr>
        <w:t>.</w:t>
      </w:r>
    </w:p>
    <w:p w14:paraId="7BA833B7" w14:textId="77777777" w:rsidR="00064FC0" w:rsidRPr="00B90777" w:rsidRDefault="00000000">
      <w:pPr>
        <w:jc w:val="both"/>
        <w:rPr>
          <w:color w:val="auto"/>
        </w:rPr>
      </w:pPr>
      <w:r w:rsidRPr="00B90777">
        <w:rPr>
          <w:color w:val="auto"/>
        </w:rPr>
        <w:t xml:space="preserve">Ground ERT and IP surveys can focus investigation on electrical boundaries and </w:t>
      </w:r>
      <w:proofErr w:type="spellStart"/>
      <w:r w:rsidRPr="00B90777">
        <w:rPr>
          <w:color w:val="auto"/>
        </w:rPr>
        <w:t>polarising</w:t>
      </w:r>
      <w:proofErr w:type="spellEnd"/>
      <w:r w:rsidRPr="00B90777">
        <w:rPr>
          <w:color w:val="auto"/>
        </w:rPr>
        <w:t xml:space="preserve"> zones, but their interpretations remain conditioned by weathering, pore-water properties, host rock, </w:t>
      </w:r>
      <w:proofErr w:type="spellStart"/>
      <w:r w:rsidRPr="00B90777">
        <w:rPr>
          <w:color w:val="auto"/>
        </w:rPr>
        <w:t>sulphide</w:t>
      </w:r>
      <w:proofErr w:type="spellEnd"/>
      <w:r w:rsidRPr="00B90777">
        <w:rPr>
          <w:color w:val="auto"/>
        </w:rPr>
        <w:t xml:space="preserve"> content, inversion design and target resolution. A conductive zone may be barren regolith, and a gold-bearing quartz vein need not have high chargeability. Several integrated maps successfully reproduce the locations of known workings; their reported percentages do not establish transferable performance on independently tested exploration targets. The most consequential evidential gap is therefore the lack of matched geophysical observations, petrographic </w:t>
      </w:r>
      <w:proofErr w:type="spellStart"/>
      <w:r w:rsidRPr="00B90777">
        <w:rPr>
          <w:color w:val="auto"/>
        </w:rPr>
        <w:t>characterisation</w:t>
      </w:r>
      <w:proofErr w:type="spellEnd"/>
      <w:r w:rsidRPr="00B90777">
        <w:rPr>
          <w:color w:val="auto"/>
        </w:rPr>
        <w:t>, gold assays and documented negative tests on the same prospective structures.</w:t>
      </w:r>
    </w:p>
    <w:p w14:paraId="7ED4EA3D" w14:textId="77777777" w:rsidR="00064FC0" w:rsidRPr="00B90777" w:rsidRDefault="00000000">
      <w:pPr>
        <w:jc w:val="both"/>
        <w:rPr>
          <w:color w:val="auto"/>
        </w:rPr>
      </w:pPr>
      <w:r w:rsidRPr="00B90777">
        <w:rPr>
          <w:color w:val="auto"/>
        </w:rPr>
        <w:t xml:space="preserve">A credible integrated assessment proceeds from mineral-system geology through regional airborne screening and ground electrical testing to independently </w:t>
      </w:r>
      <w:proofErr w:type="spellStart"/>
      <w:r w:rsidRPr="00B90777">
        <w:rPr>
          <w:color w:val="auto"/>
        </w:rPr>
        <w:t>analysed</w:t>
      </w:r>
      <w:proofErr w:type="spellEnd"/>
      <w:r w:rsidRPr="00B90777">
        <w:rPr>
          <w:color w:val="auto"/>
        </w:rPr>
        <w:t xml:space="preserve"> rock samples and, where warranted, drilling. The geological interpretation must be allowed to accommodate both agreement and disagreement between physical datasets. Treating geophysical models as hypotheses with explicit uncertainty, rather than as images of ore, offers the soundest basis for directing future investigation and for distinguishing exploration potential from a demonstrated mineral resource.</w:t>
      </w:r>
    </w:p>
    <w:p w14:paraId="492B229E" w14:textId="77777777" w:rsidR="00064FC0" w:rsidRPr="00B90777" w:rsidRDefault="00000000">
      <w:pPr>
        <w:pStyle w:val="Heading1"/>
        <w:rPr>
          <w:color w:val="auto"/>
        </w:rPr>
      </w:pPr>
      <w:r w:rsidRPr="00B90777">
        <w:rPr>
          <w:color w:val="auto"/>
        </w:rPr>
        <w:t>10. Limitations</w:t>
      </w:r>
    </w:p>
    <w:p w14:paraId="16DBD600" w14:textId="77777777" w:rsidR="00064FC0" w:rsidRPr="00B90777" w:rsidRDefault="00000000">
      <w:pPr>
        <w:jc w:val="both"/>
        <w:rPr>
          <w:color w:val="auto"/>
        </w:rPr>
      </w:pPr>
      <w:r w:rsidRPr="00B90777">
        <w:rPr>
          <w:color w:val="auto"/>
        </w:rPr>
        <w:t xml:space="preserve">As a critical narrative review, this synthesis remains exposed to selection and interpretive bias despite explicit eligibility criteria, source checking and attention to competing explanations. It was not a systematic </w:t>
      </w:r>
      <w:r w:rsidRPr="00B90777">
        <w:rPr>
          <w:color w:val="auto"/>
        </w:rPr>
        <w:lastRenderedPageBreak/>
        <w:t>search with an auditable universe of all records and cannot claim exhaustive coverage or quantify the prevalence of study characteristics. Some historical sources are accessible principally through stable bibliographic archives, whereas portions of newer articles are available through abstracts and public sections rather than complete raw datasets. These differences constrain the depth of study-level appraisal and do not warrant formal risk-of-bias scores.</w:t>
      </w:r>
    </w:p>
    <w:p w14:paraId="0AAD863C" w14:textId="77777777" w:rsidR="00064FC0" w:rsidRPr="00B90777" w:rsidRDefault="00000000">
      <w:pPr>
        <w:jc w:val="both"/>
        <w:rPr>
          <w:color w:val="auto"/>
        </w:rPr>
      </w:pPr>
      <w:r w:rsidRPr="00B90777">
        <w:rPr>
          <w:color w:val="auto"/>
        </w:rPr>
        <w:t>The available regional investigations differ in flight-line spacing, electrode arrays, geographical footprint, inversion algorithms, ore-target definitions and degree of geochemical confirmation. Their numerical outputs consequently cannot be pooled as equivalent diagnostic estimates. The evidence is geographically concentrated in districts with known workings and relatively good access, raising the possibility that less explored terrain has different mineral associations and geophysical responses. Published prospectivity-map evaluations frequently rely on historically known mining locations, and independent test drilling or credible barren controls are insufficiently documented to calculate robust regional sensitivity, specificity or economic discovery rates.</w:t>
      </w:r>
    </w:p>
    <w:p w14:paraId="3E03632B" w14:textId="77777777" w:rsidR="00064FC0" w:rsidRDefault="00000000">
      <w:pPr>
        <w:jc w:val="both"/>
        <w:rPr>
          <w:color w:val="auto"/>
        </w:rPr>
      </w:pPr>
      <w:r w:rsidRPr="00B90777">
        <w:rPr>
          <w:color w:val="auto"/>
        </w:rPr>
        <w:t>The review excludes an estimation of gold reserves, recoverable tonnage and economic feasibility because the necessary grade continuity, geotechnical and metallurgical data are not supplied by the core geophysical evidence. Proposed survey sequencing and validation procedures are methodological recommendations rather than demonstrated gains in discovery efficiency. Their relative value will depend on deposit style, weathering, land access, instrument availability and the results of future independent tests.</w:t>
      </w:r>
    </w:p>
    <w:p w14:paraId="23004B61" w14:textId="77777777" w:rsidR="0049182E" w:rsidRDefault="0049182E">
      <w:pPr>
        <w:jc w:val="both"/>
        <w:rPr>
          <w:color w:val="auto"/>
        </w:rPr>
      </w:pPr>
    </w:p>
    <w:p w14:paraId="5D588B26" w14:textId="77777777" w:rsidR="0049182E" w:rsidRPr="0049182E" w:rsidRDefault="0049182E" w:rsidP="0049182E">
      <w:pPr>
        <w:jc w:val="both"/>
        <w:rPr>
          <w:color w:val="auto"/>
        </w:rPr>
      </w:pPr>
      <w:r w:rsidRPr="0049182E">
        <w:rPr>
          <w:color w:val="auto"/>
        </w:rPr>
        <w:t>Declaration of AI Use</w:t>
      </w:r>
    </w:p>
    <w:p w14:paraId="28DF1283" w14:textId="77777777" w:rsidR="0049182E" w:rsidRPr="0049182E" w:rsidRDefault="0049182E" w:rsidP="0049182E">
      <w:pPr>
        <w:jc w:val="both"/>
        <w:rPr>
          <w:color w:val="auto"/>
        </w:rPr>
      </w:pPr>
    </w:p>
    <w:p w14:paraId="10D6000A" w14:textId="77777777" w:rsidR="0049182E" w:rsidRPr="00B90777" w:rsidRDefault="0049182E" w:rsidP="0049182E">
      <w:pPr>
        <w:jc w:val="both"/>
        <w:rPr>
          <w:color w:val="auto"/>
        </w:rPr>
      </w:pPr>
      <w:r w:rsidRPr="0049182E">
        <w:rPr>
          <w:color w:val="auto"/>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CCC27F1" w14:textId="77777777" w:rsidR="00064FC0" w:rsidRDefault="00000000">
      <w:pPr>
        <w:pStyle w:val="Heading1"/>
        <w:rPr>
          <w:color w:val="auto"/>
        </w:rPr>
      </w:pPr>
      <w:r w:rsidRPr="00B90777">
        <w:rPr>
          <w:color w:val="auto"/>
        </w:rPr>
        <w:t>References</w:t>
      </w:r>
    </w:p>
    <w:p w14:paraId="50196C4D"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Abubakar, F., Alao, J. O., Ogah, A. J., Ayuba, R., </w:t>
      </w:r>
      <w:proofErr w:type="spellStart"/>
      <w:r w:rsidRPr="00E0113F">
        <w:rPr>
          <w:rFonts w:eastAsia="Times New Roman" w:cs="Times New Roman"/>
          <w:color w:val="auto"/>
          <w:sz w:val="24"/>
          <w:szCs w:val="24"/>
        </w:rPr>
        <w:t>Lekdukun</w:t>
      </w:r>
      <w:proofErr w:type="spellEnd"/>
      <w:r w:rsidRPr="00E0113F">
        <w:rPr>
          <w:rFonts w:eastAsia="Times New Roman" w:cs="Times New Roman"/>
          <w:color w:val="auto"/>
          <w:sz w:val="24"/>
          <w:szCs w:val="24"/>
        </w:rPr>
        <w:t xml:space="preserve">, M. O., Baba, Y., Sadiq, F. K., Samson, E. E., &amp; Aliyu, A. (2024). Evaluation of gold </w:t>
      </w:r>
      <w:proofErr w:type="spellStart"/>
      <w:r w:rsidRPr="00E0113F">
        <w:rPr>
          <w:rFonts w:eastAsia="Times New Roman" w:cs="Times New Roman"/>
          <w:color w:val="auto"/>
          <w:sz w:val="24"/>
          <w:szCs w:val="24"/>
        </w:rPr>
        <w:t>mineralisation</w:t>
      </w:r>
      <w:proofErr w:type="spellEnd"/>
      <w:r w:rsidRPr="00E0113F">
        <w:rPr>
          <w:rFonts w:eastAsia="Times New Roman" w:cs="Times New Roman"/>
          <w:color w:val="auto"/>
          <w:sz w:val="24"/>
          <w:szCs w:val="24"/>
        </w:rPr>
        <w:t xml:space="preserve"> potential using AHP systems and weighted overlay analysis. </w:t>
      </w:r>
      <w:r w:rsidRPr="00E0113F">
        <w:rPr>
          <w:rFonts w:eastAsia="Times New Roman" w:cs="Times New Roman"/>
          <w:i/>
          <w:iCs/>
          <w:color w:val="auto"/>
          <w:sz w:val="24"/>
          <w:szCs w:val="24"/>
        </w:rPr>
        <w:t>Scientific Reports, 14</w:t>
      </w:r>
      <w:r w:rsidRPr="00E0113F">
        <w:rPr>
          <w:rFonts w:eastAsia="Times New Roman" w:cs="Times New Roman"/>
          <w:color w:val="auto"/>
          <w:sz w:val="24"/>
          <w:szCs w:val="24"/>
        </w:rPr>
        <w:t xml:space="preserve">, Article 21263. </w:t>
      </w:r>
      <w:hyperlink r:id="rId8" w:history="1">
        <w:r w:rsidRPr="00E0113F">
          <w:rPr>
            <w:rFonts w:eastAsia="Times New Roman" w:cs="Times New Roman"/>
            <w:color w:val="0000FF"/>
            <w:sz w:val="24"/>
            <w:szCs w:val="24"/>
            <w:u w:val="single"/>
          </w:rPr>
          <w:t>https://doi.org/10.1038/s41598-024-70957-8</w:t>
        </w:r>
      </w:hyperlink>
    </w:p>
    <w:p w14:paraId="7A5C9F95"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Adekanle, O. J., Badmus, B. S., Ganiyu, S. A., Badejo, A. A., Mathew, S., </w:t>
      </w:r>
      <w:proofErr w:type="spellStart"/>
      <w:r w:rsidRPr="00E0113F">
        <w:rPr>
          <w:rFonts w:eastAsia="Times New Roman" w:cs="Times New Roman"/>
          <w:color w:val="auto"/>
          <w:sz w:val="24"/>
          <w:szCs w:val="24"/>
        </w:rPr>
        <w:t>Adefuwa</w:t>
      </w:r>
      <w:proofErr w:type="spellEnd"/>
      <w:r w:rsidRPr="00E0113F">
        <w:rPr>
          <w:rFonts w:eastAsia="Times New Roman" w:cs="Times New Roman"/>
          <w:color w:val="auto"/>
          <w:sz w:val="24"/>
          <w:szCs w:val="24"/>
        </w:rPr>
        <w:t xml:space="preserve">, A. A., &amp; Ojo, A. O. (2025). Geophysical exploration of gold mineralization zones using induced polarization and electrical resistivity imaging methods at </w:t>
      </w:r>
      <w:proofErr w:type="spellStart"/>
      <w:r w:rsidRPr="00E0113F">
        <w:rPr>
          <w:rFonts w:eastAsia="Times New Roman" w:cs="Times New Roman"/>
          <w:color w:val="auto"/>
          <w:sz w:val="24"/>
          <w:szCs w:val="24"/>
        </w:rPr>
        <w:t>Itagunmodi</w:t>
      </w:r>
      <w:proofErr w:type="spellEnd"/>
      <w:r w:rsidRPr="00E0113F">
        <w:rPr>
          <w:rFonts w:eastAsia="Times New Roman" w:cs="Times New Roman"/>
          <w:color w:val="auto"/>
          <w:sz w:val="24"/>
          <w:szCs w:val="24"/>
        </w:rPr>
        <w:t xml:space="preserve"> area of Ilesha, Osun State, Southwest Nigeria. </w:t>
      </w:r>
      <w:r w:rsidRPr="00E0113F">
        <w:rPr>
          <w:rFonts w:eastAsia="Times New Roman" w:cs="Times New Roman"/>
          <w:i/>
          <w:iCs/>
          <w:color w:val="auto"/>
          <w:sz w:val="24"/>
          <w:szCs w:val="24"/>
        </w:rPr>
        <w:t>Nigerian Journal of Theoretical and Environmental Physics, 3</w:t>
      </w:r>
      <w:r w:rsidRPr="00E0113F">
        <w:rPr>
          <w:rFonts w:eastAsia="Times New Roman" w:cs="Times New Roman"/>
          <w:color w:val="auto"/>
          <w:sz w:val="24"/>
          <w:szCs w:val="24"/>
        </w:rPr>
        <w:t xml:space="preserve">(2), 32–41. </w:t>
      </w:r>
      <w:hyperlink r:id="rId9" w:history="1">
        <w:r w:rsidRPr="00E0113F">
          <w:rPr>
            <w:rFonts w:eastAsia="Times New Roman" w:cs="Times New Roman"/>
            <w:color w:val="0000FF"/>
            <w:sz w:val="24"/>
            <w:szCs w:val="24"/>
            <w:u w:val="single"/>
          </w:rPr>
          <w:t>https://doi.org/10.62292/njtep.v3i2.2025.76</w:t>
        </w:r>
      </w:hyperlink>
    </w:p>
    <w:p w14:paraId="4E63209F"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proofErr w:type="spellStart"/>
      <w:r w:rsidRPr="00E0113F">
        <w:rPr>
          <w:rFonts w:eastAsia="Times New Roman" w:cs="Times New Roman"/>
          <w:color w:val="auto"/>
          <w:sz w:val="24"/>
          <w:szCs w:val="24"/>
        </w:rPr>
        <w:lastRenderedPageBreak/>
        <w:t>Adelusi</w:t>
      </w:r>
      <w:proofErr w:type="spellEnd"/>
      <w:r w:rsidRPr="00E0113F">
        <w:rPr>
          <w:rFonts w:eastAsia="Times New Roman" w:cs="Times New Roman"/>
          <w:color w:val="auto"/>
          <w:sz w:val="24"/>
          <w:szCs w:val="24"/>
        </w:rPr>
        <w:t xml:space="preserve">, A. O., Kayode, J. S., &amp; </w:t>
      </w:r>
      <w:proofErr w:type="spellStart"/>
      <w:r w:rsidRPr="00E0113F">
        <w:rPr>
          <w:rFonts w:eastAsia="Times New Roman" w:cs="Times New Roman"/>
          <w:color w:val="auto"/>
          <w:sz w:val="24"/>
          <w:szCs w:val="24"/>
        </w:rPr>
        <w:t>Akinlalu</w:t>
      </w:r>
      <w:proofErr w:type="spellEnd"/>
      <w:r w:rsidRPr="00E0113F">
        <w:rPr>
          <w:rFonts w:eastAsia="Times New Roman" w:cs="Times New Roman"/>
          <w:color w:val="auto"/>
          <w:sz w:val="24"/>
          <w:szCs w:val="24"/>
        </w:rPr>
        <w:t xml:space="preserve">, A. A. (2013). Interpretation of aeromagnetic anomalies and electrical resistivity mapping around </w:t>
      </w:r>
      <w:proofErr w:type="spellStart"/>
      <w:r w:rsidRPr="00E0113F">
        <w:rPr>
          <w:rFonts w:eastAsia="Times New Roman" w:cs="Times New Roman"/>
          <w:color w:val="auto"/>
          <w:sz w:val="24"/>
          <w:szCs w:val="24"/>
        </w:rPr>
        <w:t>Iwaraja</w:t>
      </w:r>
      <w:proofErr w:type="spellEnd"/>
      <w:r w:rsidRPr="00E0113F">
        <w:rPr>
          <w:rFonts w:eastAsia="Times New Roman" w:cs="Times New Roman"/>
          <w:color w:val="auto"/>
          <w:sz w:val="24"/>
          <w:szCs w:val="24"/>
        </w:rPr>
        <w:t xml:space="preserve"> area Southwestern Nigeria. </w:t>
      </w:r>
      <w:r w:rsidRPr="00E0113F">
        <w:rPr>
          <w:rFonts w:eastAsia="Times New Roman" w:cs="Times New Roman"/>
          <w:i/>
          <w:iCs/>
          <w:color w:val="auto"/>
          <w:sz w:val="24"/>
          <w:szCs w:val="24"/>
        </w:rPr>
        <w:t>Journal of Geology and Mining Research, 5</w:t>
      </w:r>
      <w:r w:rsidRPr="00E0113F">
        <w:rPr>
          <w:rFonts w:eastAsia="Times New Roman" w:cs="Times New Roman"/>
          <w:color w:val="auto"/>
          <w:sz w:val="24"/>
          <w:szCs w:val="24"/>
        </w:rPr>
        <w:t xml:space="preserve">(2), 38–57. </w:t>
      </w:r>
      <w:hyperlink r:id="rId10" w:history="1">
        <w:r w:rsidRPr="00E0113F">
          <w:rPr>
            <w:rFonts w:eastAsia="Times New Roman" w:cs="Times New Roman"/>
            <w:color w:val="0000FF"/>
            <w:sz w:val="24"/>
            <w:szCs w:val="24"/>
            <w:u w:val="single"/>
          </w:rPr>
          <w:t>https://doi.org/10.5897/JGMR12.016</w:t>
        </w:r>
      </w:hyperlink>
    </w:p>
    <w:p w14:paraId="4BE75997"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Afolabi, D. O., Akinlalu, A. A., &amp; Sanusi, S. O. (2024). Integrated geophysical and remote sensing investigations in hydrothermal mapping for orogenic gold mineralization in parts of Ife–Ilesa schist belt SW Nigeria—a case study. </w:t>
      </w:r>
      <w:r w:rsidRPr="00E0113F">
        <w:rPr>
          <w:rFonts w:eastAsia="Times New Roman" w:cs="Times New Roman"/>
          <w:i/>
          <w:iCs/>
          <w:color w:val="auto"/>
          <w:sz w:val="24"/>
          <w:szCs w:val="24"/>
        </w:rPr>
        <w:t>Arabian Journal of Geosciences, 17</w:t>
      </w:r>
      <w:r w:rsidRPr="00E0113F">
        <w:rPr>
          <w:rFonts w:eastAsia="Times New Roman" w:cs="Times New Roman"/>
          <w:color w:val="auto"/>
          <w:sz w:val="24"/>
          <w:szCs w:val="24"/>
        </w:rPr>
        <w:t xml:space="preserve">(9), Article 244. </w:t>
      </w:r>
      <w:hyperlink r:id="rId11" w:history="1">
        <w:r w:rsidRPr="00E0113F">
          <w:rPr>
            <w:rFonts w:eastAsia="Times New Roman" w:cs="Times New Roman"/>
            <w:color w:val="0000FF"/>
            <w:sz w:val="24"/>
            <w:szCs w:val="24"/>
            <w:u w:val="single"/>
          </w:rPr>
          <w:t>https://doi.org/10.1007/s12517-024-12048-6</w:t>
        </w:r>
      </w:hyperlink>
    </w:p>
    <w:p w14:paraId="0564C9EE"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proofErr w:type="spellStart"/>
      <w:r w:rsidRPr="00E0113F">
        <w:rPr>
          <w:rFonts w:eastAsia="Times New Roman" w:cs="Times New Roman"/>
          <w:color w:val="auto"/>
          <w:sz w:val="24"/>
          <w:szCs w:val="24"/>
        </w:rPr>
        <w:t>Akinlalu</w:t>
      </w:r>
      <w:proofErr w:type="spellEnd"/>
      <w:r w:rsidRPr="00E0113F">
        <w:rPr>
          <w:rFonts w:eastAsia="Times New Roman" w:cs="Times New Roman"/>
          <w:color w:val="auto"/>
          <w:sz w:val="24"/>
          <w:szCs w:val="24"/>
        </w:rPr>
        <w:t xml:space="preserve">, A. A., </w:t>
      </w:r>
      <w:proofErr w:type="spellStart"/>
      <w:r w:rsidRPr="00E0113F">
        <w:rPr>
          <w:rFonts w:eastAsia="Times New Roman" w:cs="Times New Roman"/>
          <w:color w:val="auto"/>
          <w:sz w:val="24"/>
          <w:szCs w:val="24"/>
        </w:rPr>
        <w:t>Adelusi</w:t>
      </w:r>
      <w:proofErr w:type="spellEnd"/>
      <w:r w:rsidRPr="00E0113F">
        <w:rPr>
          <w:rFonts w:eastAsia="Times New Roman" w:cs="Times New Roman"/>
          <w:color w:val="auto"/>
          <w:sz w:val="24"/>
          <w:szCs w:val="24"/>
        </w:rPr>
        <w:t xml:space="preserve">, A. O., Olayanju, G. M., Adiat, K. A. N., </w:t>
      </w:r>
      <w:proofErr w:type="spellStart"/>
      <w:r w:rsidRPr="00E0113F">
        <w:rPr>
          <w:rFonts w:eastAsia="Times New Roman" w:cs="Times New Roman"/>
          <w:color w:val="auto"/>
          <w:sz w:val="24"/>
          <w:szCs w:val="24"/>
        </w:rPr>
        <w:t>Omosuyi</w:t>
      </w:r>
      <w:proofErr w:type="spellEnd"/>
      <w:r w:rsidRPr="00E0113F">
        <w:rPr>
          <w:rFonts w:eastAsia="Times New Roman" w:cs="Times New Roman"/>
          <w:color w:val="auto"/>
          <w:sz w:val="24"/>
          <w:szCs w:val="24"/>
        </w:rPr>
        <w:t xml:space="preserve">, G. O., Anifowose, A. Y. B., &amp; Akeredolu, B. E. (2018). Aeromagnetic mapping of basement structures and </w:t>
      </w:r>
      <w:proofErr w:type="spellStart"/>
      <w:r w:rsidRPr="00E0113F">
        <w:rPr>
          <w:rFonts w:eastAsia="Times New Roman" w:cs="Times New Roman"/>
          <w:color w:val="auto"/>
          <w:sz w:val="24"/>
          <w:szCs w:val="24"/>
        </w:rPr>
        <w:t>mineralisation</w:t>
      </w:r>
      <w:proofErr w:type="spellEnd"/>
      <w:r w:rsidRPr="00E0113F">
        <w:rPr>
          <w:rFonts w:eastAsia="Times New Roman" w:cs="Times New Roman"/>
          <w:color w:val="auto"/>
          <w:sz w:val="24"/>
          <w:szCs w:val="24"/>
        </w:rPr>
        <w:t xml:space="preserve"> </w:t>
      </w:r>
      <w:proofErr w:type="spellStart"/>
      <w:r w:rsidRPr="00E0113F">
        <w:rPr>
          <w:rFonts w:eastAsia="Times New Roman" w:cs="Times New Roman"/>
          <w:color w:val="auto"/>
          <w:sz w:val="24"/>
          <w:szCs w:val="24"/>
        </w:rPr>
        <w:t>characterisation</w:t>
      </w:r>
      <w:proofErr w:type="spellEnd"/>
      <w:r w:rsidRPr="00E0113F">
        <w:rPr>
          <w:rFonts w:eastAsia="Times New Roman" w:cs="Times New Roman"/>
          <w:color w:val="auto"/>
          <w:sz w:val="24"/>
          <w:szCs w:val="24"/>
        </w:rPr>
        <w:t xml:space="preserve"> of Ilesa Schist Belt, Southwestern Nigeria. </w:t>
      </w:r>
      <w:r w:rsidRPr="00E0113F">
        <w:rPr>
          <w:rFonts w:eastAsia="Times New Roman" w:cs="Times New Roman"/>
          <w:i/>
          <w:iCs/>
          <w:color w:val="auto"/>
          <w:sz w:val="24"/>
          <w:szCs w:val="24"/>
        </w:rPr>
        <w:t>Journal of African Earth Sciences, 138</w:t>
      </w:r>
      <w:r w:rsidRPr="00E0113F">
        <w:rPr>
          <w:rFonts w:eastAsia="Times New Roman" w:cs="Times New Roman"/>
          <w:color w:val="auto"/>
          <w:sz w:val="24"/>
          <w:szCs w:val="24"/>
        </w:rPr>
        <w:t xml:space="preserve">, 383–391. </w:t>
      </w:r>
      <w:hyperlink r:id="rId12" w:history="1">
        <w:r w:rsidRPr="00E0113F">
          <w:rPr>
            <w:rFonts w:eastAsia="Times New Roman" w:cs="Times New Roman"/>
            <w:color w:val="0000FF"/>
            <w:sz w:val="24"/>
            <w:szCs w:val="24"/>
            <w:u w:val="single"/>
          </w:rPr>
          <w:t>https://doi.org/10.1016/j.jafrearsci.2017.11.033</w:t>
        </w:r>
      </w:hyperlink>
    </w:p>
    <w:p w14:paraId="06A35B4C"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proofErr w:type="spellStart"/>
      <w:r w:rsidRPr="00E0113F">
        <w:rPr>
          <w:rFonts w:eastAsia="Times New Roman" w:cs="Times New Roman"/>
          <w:color w:val="auto"/>
          <w:sz w:val="24"/>
          <w:szCs w:val="24"/>
        </w:rPr>
        <w:t>Akinlalu</w:t>
      </w:r>
      <w:proofErr w:type="spellEnd"/>
      <w:r w:rsidRPr="00E0113F">
        <w:rPr>
          <w:rFonts w:eastAsia="Times New Roman" w:cs="Times New Roman"/>
          <w:color w:val="auto"/>
          <w:sz w:val="24"/>
          <w:szCs w:val="24"/>
        </w:rPr>
        <w:t xml:space="preserve">, A. A., Obideyi, O. I., Afolabi, D. O., Adiat, K. A.-N., &amp; Adeola, O. J. (2024). Gold prospectivity mapping using “SWARA” model on geophysical datasets in parts of Ilesa Schist belt, Southwestern Nigeria. </w:t>
      </w:r>
      <w:r w:rsidRPr="00E0113F">
        <w:rPr>
          <w:rFonts w:eastAsia="Times New Roman" w:cs="Times New Roman"/>
          <w:i/>
          <w:iCs/>
          <w:color w:val="auto"/>
          <w:sz w:val="24"/>
          <w:szCs w:val="24"/>
        </w:rPr>
        <w:t>Results in Earth Sciences, 2</w:t>
      </w:r>
      <w:r w:rsidRPr="00E0113F">
        <w:rPr>
          <w:rFonts w:eastAsia="Times New Roman" w:cs="Times New Roman"/>
          <w:color w:val="auto"/>
          <w:sz w:val="24"/>
          <w:szCs w:val="24"/>
        </w:rPr>
        <w:t xml:space="preserve">, Article 100039. </w:t>
      </w:r>
      <w:hyperlink r:id="rId13" w:history="1">
        <w:r w:rsidRPr="00E0113F">
          <w:rPr>
            <w:rFonts w:eastAsia="Times New Roman" w:cs="Times New Roman"/>
            <w:color w:val="0000FF"/>
            <w:sz w:val="24"/>
            <w:szCs w:val="24"/>
            <w:u w:val="single"/>
          </w:rPr>
          <w:t>https://doi.org/10.1016/j.rines.2024.100039</w:t>
        </w:r>
      </w:hyperlink>
    </w:p>
    <w:p w14:paraId="43F2300D"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proofErr w:type="spellStart"/>
      <w:r w:rsidRPr="00E0113F">
        <w:rPr>
          <w:rFonts w:eastAsia="Times New Roman" w:cs="Times New Roman"/>
          <w:color w:val="auto"/>
          <w:sz w:val="24"/>
          <w:szCs w:val="24"/>
        </w:rPr>
        <w:t>Akinlalu</w:t>
      </w:r>
      <w:proofErr w:type="spellEnd"/>
      <w:r w:rsidRPr="00E0113F">
        <w:rPr>
          <w:rFonts w:eastAsia="Times New Roman" w:cs="Times New Roman"/>
          <w:color w:val="auto"/>
          <w:sz w:val="24"/>
          <w:szCs w:val="24"/>
        </w:rPr>
        <w:t xml:space="preserve">, A. A., Olayanju, G. M., Adiat, K. A. N., &amp; </w:t>
      </w:r>
      <w:proofErr w:type="spellStart"/>
      <w:r w:rsidRPr="00E0113F">
        <w:rPr>
          <w:rFonts w:eastAsia="Times New Roman" w:cs="Times New Roman"/>
          <w:color w:val="auto"/>
          <w:sz w:val="24"/>
          <w:szCs w:val="24"/>
        </w:rPr>
        <w:t>Omosuyi</w:t>
      </w:r>
      <w:proofErr w:type="spellEnd"/>
      <w:r w:rsidRPr="00E0113F">
        <w:rPr>
          <w:rFonts w:eastAsia="Times New Roman" w:cs="Times New Roman"/>
          <w:color w:val="auto"/>
          <w:sz w:val="24"/>
          <w:szCs w:val="24"/>
        </w:rPr>
        <w:t xml:space="preserve">, G. O. (2021). </w:t>
      </w:r>
      <w:proofErr w:type="spellStart"/>
      <w:r w:rsidRPr="00E0113F">
        <w:rPr>
          <w:rFonts w:eastAsia="Times New Roman" w:cs="Times New Roman"/>
          <w:color w:val="auto"/>
          <w:sz w:val="24"/>
          <w:szCs w:val="24"/>
        </w:rPr>
        <w:t>Mineralisation</w:t>
      </w:r>
      <w:proofErr w:type="spellEnd"/>
      <w:r w:rsidRPr="00E0113F">
        <w:rPr>
          <w:rFonts w:eastAsia="Times New Roman" w:cs="Times New Roman"/>
          <w:color w:val="auto"/>
          <w:sz w:val="24"/>
          <w:szCs w:val="24"/>
        </w:rPr>
        <w:t xml:space="preserve"> potential assessment using analytical hierarchy process (AHP) modeling technique: A case study of Ilesha schist belt, southwestern Nigeria. </w:t>
      </w:r>
      <w:r w:rsidRPr="00E0113F">
        <w:rPr>
          <w:rFonts w:eastAsia="Times New Roman" w:cs="Times New Roman"/>
          <w:i/>
          <w:iCs/>
          <w:color w:val="auto"/>
          <w:sz w:val="24"/>
          <w:szCs w:val="24"/>
        </w:rPr>
        <w:t>Results in Geophysical Sciences, 7</w:t>
      </w:r>
      <w:r w:rsidRPr="00E0113F">
        <w:rPr>
          <w:rFonts w:eastAsia="Times New Roman" w:cs="Times New Roman"/>
          <w:color w:val="auto"/>
          <w:sz w:val="24"/>
          <w:szCs w:val="24"/>
        </w:rPr>
        <w:t xml:space="preserve">, Article 100026. </w:t>
      </w:r>
      <w:hyperlink r:id="rId14" w:history="1">
        <w:r w:rsidRPr="00E0113F">
          <w:rPr>
            <w:rFonts w:eastAsia="Times New Roman" w:cs="Times New Roman"/>
            <w:color w:val="0000FF"/>
            <w:sz w:val="24"/>
            <w:szCs w:val="24"/>
            <w:u w:val="single"/>
          </w:rPr>
          <w:t>https://doi.org/10.1016/j.ringps.2021.100026</w:t>
        </w:r>
      </w:hyperlink>
    </w:p>
    <w:p w14:paraId="3D2A3A77"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proofErr w:type="spellStart"/>
      <w:r w:rsidRPr="00E0113F">
        <w:rPr>
          <w:rFonts w:eastAsia="Times New Roman" w:cs="Times New Roman"/>
          <w:color w:val="auto"/>
          <w:sz w:val="24"/>
          <w:szCs w:val="24"/>
        </w:rPr>
        <w:t>Baethge</w:t>
      </w:r>
      <w:proofErr w:type="spellEnd"/>
      <w:r w:rsidRPr="00E0113F">
        <w:rPr>
          <w:rFonts w:eastAsia="Times New Roman" w:cs="Times New Roman"/>
          <w:color w:val="auto"/>
          <w:sz w:val="24"/>
          <w:szCs w:val="24"/>
        </w:rPr>
        <w:t xml:space="preserve">, C., Goldbeck-Wood, S., &amp; Mertens, S. (2019). SANRA—a scale for the quality assessment of narrative review articles. </w:t>
      </w:r>
      <w:r w:rsidRPr="00E0113F">
        <w:rPr>
          <w:rFonts w:eastAsia="Times New Roman" w:cs="Times New Roman"/>
          <w:i/>
          <w:iCs/>
          <w:color w:val="auto"/>
          <w:sz w:val="24"/>
          <w:szCs w:val="24"/>
        </w:rPr>
        <w:t>Research Integrity and Peer Review, 4</w:t>
      </w:r>
      <w:r w:rsidRPr="00E0113F">
        <w:rPr>
          <w:rFonts w:eastAsia="Times New Roman" w:cs="Times New Roman"/>
          <w:color w:val="auto"/>
          <w:sz w:val="24"/>
          <w:szCs w:val="24"/>
        </w:rPr>
        <w:t xml:space="preserve">, Article 5. </w:t>
      </w:r>
      <w:hyperlink r:id="rId15" w:history="1">
        <w:r w:rsidRPr="00E0113F">
          <w:rPr>
            <w:rFonts w:eastAsia="Times New Roman" w:cs="Times New Roman"/>
            <w:color w:val="0000FF"/>
            <w:sz w:val="24"/>
            <w:szCs w:val="24"/>
            <w:u w:val="single"/>
          </w:rPr>
          <w:t>https://doi.org/10.1186/s41073-019-0064-8</w:t>
        </w:r>
      </w:hyperlink>
    </w:p>
    <w:p w14:paraId="1811B59C"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Bayode, S., Adeboye, J. O., Sanusi, S. O., &amp; </w:t>
      </w:r>
      <w:proofErr w:type="spellStart"/>
      <w:r w:rsidRPr="00E0113F">
        <w:rPr>
          <w:rFonts w:eastAsia="Times New Roman" w:cs="Times New Roman"/>
          <w:color w:val="auto"/>
          <w:sz w:val="24"/>
          <w:szCs w:val="24"/>
        </w:rPr>
        <w:t>Akinlalu</w:t>
      </w:r>
      <w:proofErr w:type="spellEnd"/>
      <w:r w:rsidRPr="00E0113F">
        <w:rPr>
          <w:rFonts w:eastAsia="Times New Roman" w:cs="Times New Roman"/>
          <w:color w:val="auto"/>
          <w:sz w:val="24"/>
          <w:szCs w:val="24"/>
        </w:rPr>
        <w:t xml:space="preserve">, A. A. (2023). Orogenic gold mineralization targeting of </w:t>
      </w:r>
      <w:proofErr w:type="spellStart"/>
      <w:r w:rsidRPr="00E0113F">
        <w:rPr>
          <w:rFonts w:eastAsia="Times New Roman" w:cs="Times New Roman"/>
          <w:color w:val="auto"/>
          <w:sz w:val="24"/>
          <w:szCs w:val="24"/>
        </w:rPr>
        <w:t>Alagbede</w:t>
      </w:r>
      <w:proofErr w:type="spellEnd"/>
      <w:r w:rsidRPr="00E0113F">
        <w:rPr>
          <w:rFonts w:eastAsia="Times New Roman" w:cs="Times New Roman"/>
          <w:color w:val="auto"/>
          <w:sz w:val="24"/>
          <w:szCs w:val="24"/>
        </w:rPr>
        <w:t xml:space="preserve"> goldfield Southwestern Nigeria using an integrated geophysical approach. </w:t>
      </w:r>
      <w:r w:rsidRPr="00E0113F">
        <w:rPr>
          <w:rFonts w:eastAsia="Times New Roman" w:cs="Times New Roman"/>
          <w:i/>
          <w:iCs/>
          <w:color w:val="auto"/>
          <w:sz w:val="24"/>
          <w:szCs w:val="24"/>
        </w:rPr>
        <w:t>Mining, Metallurgy &amp; Exploration, 40</w:t>
      </w:r>
      <w:r w:rsidRPr="00E0113F">
        <w:rPr>
          <w:rFonts w:eastAsia="Times New Roman" w:cs="Times New Roman"/>
          <w:color w:val="auto"/>
          <w:sz w:val="24"/>
          <w:szCs w:val="24"/>
        </w:rPr>
        <w:t xml:space="preserve">(3), 955–983. </w:t>
      </w:r>
      <w:hyperlink r:id="rId16" w:history="1">
        <w:r w:rsidRPr="00E0113F">
          <w:rPr>
            <w:rFonts w:eastAsia="Times New Roman" w:cs="Times New Roman"/>
            <w:color w:val="0000FF"/>
            <w:sz w:val="24"/>
            <w:szCs w:val="24"/>
            <w:u w:val="single"/>
          </w:rPr>
          <w:t>https://doi.org/10.1007/s42461-023-00763-9</w:t>
        </w:r>
      </w:hyperlink>
    </w:p>
    <w:p w14:paraId="7A70D4FF"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Constable, S. C., Parker, R. L., &amp; Constable, C. G. (1987). Occam’s inversion: A practical algorithm for generating smooth models from electromagnetic sounding data. </w:t>
      </w:r>
      <w:r w:rsidRPr="00E0113F">
        <w:rPr>
          <w:rFonts w:eastAsia="Times New Roman" w:cs="Times New Roman"/>
          <w:i/>
          <w:iCs/>
          <w:color w:val="auto"/>
          <w:sz w:val="24"/>
          <w:szCs w:val="24"/>
        </w:rPr>
        <w:t>Geophysics, 52</w:t>
      </w:r>
      <w:r w:rsidRPr="00E0113F">
        <w:rPr>
          <w:rFonts w:eastAsia="Times New Roman" w:cs="Times New Roman"/>
          <w:color w:val="auto"/>
          <w:sz w:val="24"/>
          <w:szCs w:val="24"/>
        </w:rPr>
        <w:t xml:space="preserve">(3), 289–300. </w:t>
      </w:r>
      <w:hyperlink r:id="rId17" w:history="1">
        <w:r w:rsidRPr="00E0113F">
          <w:rPr>
            <w:rFonts w:eastAsia="Times New Roman" w:cs="Times New Roman"/>
            <w:color w:val="0000FF"/>
            <w:sz w:val="24"/>
            <w:szCs w:val="24"/>
            <w:u w:val="single"/>
          </w:rPr>
          <w:t>https://doi.org/10.1190/1.1442303</w:t>
        </w:r>
      </w:hyperlink>
    </w:p>
    <w:p w14:paraId="55A824BC"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proofErr w:type="spellStart"/>
      <w:r w:rsidRPr="00E0113F">
        <w:rPr>
          <w:rFonts w:eastAsia="Times New Roman" w:cs="Times New Roman"/>
          <w:color w:val="auto"/>
          <w:sz w:val="24"/>
          <w:szCs w:val="24"/>
        </w:rPr>
        <w:t>Elueze</w:t>
      </w:r>
      <w:proofErr w:type="spellEnd"/>
      <w:r w:rsidRPr="00E0113F">
        <w:rPr>
          <w:rFonts w:eastAsia="Times New Roman" w:cs="Times New Roman"/>
          <w:color w:val="auto"/>
          <w:sz w:val="24"/>
          <w:szCs w:val="24"/>
        </w:rPr>
        <w:t xml:space="preserve">, A. A. (1986). Petrology and gold mineralization of the amphibolite belt, Ilesha area, Southwestern Nigeria. </w:t>
      </w:r>
      <w:proofErr w:type="spellStart"/>
      <w:r w:rsidRPr="00E0113F">
        <w:rPr>
          <w:rFonts w:eastAsia="Times New Roman" w:cs="Times New Roman"/>
          <w:i/>
          <w:iCs/>
          <w:color w:val="auto"/>
          <w:sz w:val="24"/>
          <w:szCs w:val="24"/>
        </w:rPr>
        <w:t>Geologie</w:t>
      </w:r>
      <w:proofErr w:type="spellEnd"/>
      <w:r w:rsidRPr="00E0113F">
        <w:rPr>
          <w:rFonts w:eastAsia="Times New Roman" w:cs="Times New Roman"/>
          <w:i/>
          <w:iCs/>
          <w:color w:val="auto"/>
          <w:sz w:val="24"/>
          <w:szCs w:val="24"/>
        </w:rPr>
        <w:t xml:space="preserve"> </w:t>
      </w:r>
      <w:proofErr w:type="spellStart"/>
      <w:r w:rsidRPr="00E0113F">
        <w:rPr>
          <w:rFonts w:eastAsia="Times New Roman" w:cs="Times New Roman"/>
          <w:i/>
          <w:iCs/>
          <w:color w:val="auto"/>
          <w:sz w:val="24"/>
          <w:szCs w:val="24"/>
        </w:rPr>
        <w:t>en</w:t>
      </w:r>
      <w:proofErr w:type="spellEnd"/>
      <w:r w:rsidRPr="00E0113F">
        <w:rPr>
          <w:rFonts w:eastAsia="Times New Roman" w:cs="Times New Roman"/>
          <w:i/>
          <w:iCs/>
          <w:color w:val="auto"/>
          <w:sz w:val="24"/>
          <w:szCs w:val="24"/>
        </w:rPr>
        <w:t xml:space="preserve"> </w:t>
      </w:r>
      <w:proofErr w:type="spellStart"/>
      <w:r w:rsidRPr="00E0113F">
        <w:rPr>
          <w:rFonts w:eastAsia="Times New Roman" w:cs="Times New Roman"/>
          <w:i/>
          <w:iCs/>
          <w:color w:val="auto"/>
          <w:sz w:val="24"/>
          <w:szCs w:val="24"/>
        </w:rPr>
        <w:t>Mijnbouw</w:t>
      </w:r>
      <w:proofErr w:type="spellEnd"/>
      <w:r w:rsidRPr="00E0113F">
        <w:rPr>
          <w:rFonts w:eastAsia="Times New Roman" w:cs="Times New Roman"/>
          <w:i/>
          <w:iCs/>
          <w:color w:val="auto"/>
          <w:sz w:val="24"/>
          <w:szCs w:val="24"/>
        </w:rPr>
        <w:t>, 65</w:t>
      </w:r>
      <w:r w:rsidRPr="00E0113F">
        <w:rPr>
          <w:rFonts w:eastAsia="Times New Roman" w:cs="Times New Roman"/>
          <w:color w:val="auto"/>
          <w:sz w:val="24"/>
          <w:szCs w:val="24"/>
        </w:rPr>
        <w:t xml:space="preserve">, 189–195. </w:t>
      </w:r>
      <w:hyperlink r:id="rId18" w:history="1">
        <w:r w:rsidRPr="00E0113F">
          <w:rPr>
            <w:rFonts w:eastAsia="Times New Roman" w:cs="Times New Roman"/>
            <w:color w:val="0000FF"/>
            <w:sz w:val="24"/>
            <w:szCs w:val="24"/>
            <w:u w:val="single"/>
          </w:rPr>
          <w:t>https://njgjournal.nl/index.php/njg/article/view/13141</w:t>
        </w:r>
      </w:hyperlink>
    </w:p>
    <w:p w14:paraId="2E9621EE"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Faruwa, A. R., Ba, J., Qian, W., Markus, U. I., &amp; </w:t>
      </w:r>
      <w:proofErr w:type="spellStart"/>
      <w:r w:rsidRPr="00E0113F">
        <w:rPr>
          <w:rFonts w:eastAsia="Times New Roman" w:cs="Times New Roman"/>
          <w:color w:val="auto"/>
          <w:sz w:val="24"/>
          <w:szCs w:val="24"/>
        </w:rPr>
        <w:t>Bachri</w:t>
      </w:r>
      <w:proofErr w:type="spellEnd"/>
      <w:r w:rsidRPr="00E0113F">
        <w:rPr>
          <w:rFonts w:eastAsia="Times New Roman" w:cs="Times New Roman"/>
          <w:color w:val="auto"/>
          <w:sz w:val="24"/>
          <w:szCs w:val="24"/>
        </w:rPr>
        <w:t xml:space="preserve">, I. (2025). Implementation of machine learning predictive models for targeting gold prospectivity mapping in part of the Ilesha schist belt, southwestern Nigeria. </w:t>
      </w:r>
      <w:r w:rsidRPr="00E0113F">
        <w:rPr>
          <w:rFonts w:eastAsia="Times New Roman" w:cs="Times New Roman"/>
          <w:i/>
          <w:iCs/>
          <w:color w:val="auto"/>
          <w:sz w:val="24"/>
          <w:szCs w:val="24"/>
        </w:rPr>
        <w:t>Journal of African Earth Sciences, 225</w:t>
      </w:r>
      <w:r w:rsidRPr="00E0113F">
        <w:rPr>
          <w:rFonts w:eastAsia="Times New Roman" w:cs="Times New Roman"/>
          <w:color w:val="auto"/>
          <w:sz w:val="24"/>
          <w:szCs w:val="24"/>
        </w:rPr>
        <w:t xml:space="preserve">, Article 105543. </w:t>
      </w:r>
      <w:hyperlink r:id="rId19" w:history="1">
        <w:r w:rsidRPr="00E0113F">
          <w:rPr>
            <w:rFonts w:eastAsia="Times New Roman" w:cs="Times New Roman"/>
            <w:color w:val="0000FF"/>
            <w:sz w:val="24"/>
            <w:szCs w:val="24"/>
            <w:u w:val="single"/>
          </w:rPr>
          <w:t>https://doi.org/10.1016/j.jafrearsci.2025.105543</w:t>
        </w:r>
      </w:hyperlink>
    </w:p>
    <w:p w14:paraId="50A074F0"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Garba, I. (2003). Geochemical characteristics of mesothermal gold </w:t>
      </w:r>
      <w:proofErr w:type="spellStart"/>
      <w:r w:rsidRPr="00E0113F">
        <w:rPr>
          <w:rFonts w:eastAsia="Times New Roman" w:cs="Times New Roman"/>
          <w:color w:val="auto"/>
          <w:sz w:val="24"/>
          <w:szCs w:val="24"/>
        </w:rPr>
        <w:t>mineralisation</w:t>
      </w:r>
      <w:proofErr w:type="spellEnd"/>
      <w:r w:rsidRPr="00E0113F">
        <w:rPr>
          <w:rFonts w:eastAsia="Times New Roman" w:cs="Times New Roman"/>
          <w:color w:val="auto"/>
          <w:sz w:val="24"/>
          <w:szCs w:val="24"/>
        </w:rPr>
        <w:t xml:space="preserve"> in the Pan-African (600 ± 150 Ma) basement of Nigeria. </w:t>
      </w:r>
      <w:r w:rsidRPr="00E0113F">
        <w:rPr>
          <w:rFonts w:eastAsia="Times New Roman" w:cs="Times New Roman"/>
          <w:i/>
          <w:iCs/>
          <w:color w:val="auto"/>
          <w:sz w:val="24"/>
          <w:szCs w:val="24"/>
        </w:rPr>
        <w:t>Applied Earth Science, 112</w:t>
      </w:r>
      <w:r w:rsidRPr="00E0113F">
        <w:rPr>
          <w:rFonts w:eastAsia="Times New Roman" w:cs="Times New Roman"/>
          <w:color w:val="auto"/>
          <w:sz w:val="24"/>
          <w:szCs w:val="24"/>
        </w:rPr>
        <w:t xml:space="preserve">(3), 319–325. </w:t>
      </w:r>
      <w:hyperlink r:id="rId20" w:history="1">
        <w:r w:rsidRPr="00E0113F">
          <w:rPr>
            <w:rFonts w:eastAsia="Times New Roman" w:cs="Times New Roman"/>
            <w:color w:val="0000FF"/>
            <w:sz w:val="24"/>
            <w:szCs w:val="24"/>
            <w:u w:val="single"/>
          </w:rPr>
          <w:t>https://doi.org/10.1179/037174503225003143</w:t>
        </w:r>
      </w:hyperlink>
    </w:p>
    <w:p w14:paraId="36B2EDFC"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lastRenderedPageBreak/>
        <w:t xml:space="preserve">Ghorbani, A., Camerlynck, C., Florsch, N., Cosenza, P., &amp; Revil, A. (2007). Bayesian inference of the Cole–Cole parameters from time- and frequency-domain induced polarization. </w:t>
      </w:r>
      <w:r w:rsidRPr="00E0113F">
        <w:rPr>
          <w:rFonts w:eastAsia="Times New Roman" w:cs="Times New Roman"/>
          <w:i/>
          <w:iCs/>
          <w:color w:val="auto"/>
          <w:sz w:val="24"/>
          <w:szCs w:val="24"/>
        </w:rPr>
        <w:t>Geophysical Prospecting, 55</w:t>
      </w:r>
      <w:r w:rsidRPr="00E0113F">
        <w:rPr>
          <w:rFonts w:eastAsia="Times New Roman" w:cs="Times New Roman"/>
          <w:color w:val="auto"/>
          <w:sz w:val="24"/>
          <w:szCs w:val="24"/>
        </w:rPr>
        <w:t xml:space="preserve">(4), 589–605. </w:t>
      </w:r>
      <w:hyperlink r:id="rId21" w:history="1">
        <w:r w:rsidRPr="00E0113F">
          <w:rPr>
            <w:rFonts w:eastAsia="Times New Roman" w:cs="Times New Roman"/>
            <w:color w:val="0000FF"/>
            <w:sz w:val="24"/>
            <w:szCs w:val="24"/>
            <w:u w:val="single"/>
          </w:rPr>
          <w:t>https://doi.org/10.1111/j.1365-2478.2007.00627.x</w:t>
        </w:r>
      </w:hyperlink>
    </w:p>
    <w:p w14:paraId="0960AB60"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Goldfarb, R. J., &amp; Groves, D. I. (2015). Orogenic gold: Common or evolving fluid and metal sources through time. </w:t>
      </w:r>
      <w:proofErr w:type="spellStart"/>
      <w:r w:rsidRPr="00E0113F">
        <w:rPr>
          <w:rFonts w:eastAsia="Times New Roman" w:cs="Times New Roman"/>
          <w:i/>
          <w:iCs/>
          <w:color w:val="auto"/>
          <w:sz w:val="24"/>
          <w:szCs w:val="24"/>
        </w:rPr>
        <w:t>Lithos</w:t>
      </w:r>
      <w:proofErr w:type="spellEnd"/>
      <w:r w:rsidRPr="00E0113F">
        <w:rPr>
          <w:rFonts w:eastAsia="Times New Roman" w:cs="Times New Roman"/>
          <w:i/>
          <w:iCs/>
          <w:color w:val="auto"/>
          <w:sz w:val="24"/>
          <w:szCs w:val="24"/>
        </w:rPr>
        <w:t>, 233</w:t>
      </w:r>
      <w:r w:rsidRPr="00E0113F">
        <w:rPr>
          <w:rFonts w:eastAsia="Times New Roman" w:cs="Times New Roman"/>
          <w:color w:val="auto"/>
          <w:sz w:val="24"/>
          <w:szCs w:val="24"/>
        </w:rPr>
        <w:t xml:space="preserve">, 2–26. </w:t>
      </w:r>
      <w:hyperlink r:id="rId22" w:history="1">
        <w:r w:rsidRPr="00E0113F">
          <w:rPr>
            <w:rFonts w:eastAsia="Times New Roman" w:cs="Times New Roman"/>
            <w:color w:val="0000FF"/>
            <w:sz w:val="24"/>
            <w:szCs w:val="24"/>
            <w:u w:val="single"/>
          </w:rPr>
          <w:t>https://doi.org/10.1016/j.lithos.2015.07.011</w:t>
        </w:r>
      </w:hyperlink>
    </w:p>
    <w:p w14:paraId="5C9B38A5"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Griffiths, D. H., Turnbull, J., &amp; Olayinka, A. I. (1990). Two-dimensional resistivity mapping with a computer-controlled array. </w:t>
      </w:r>
      <w:r w:rsidRPr="00E0113F">
        <w:rPr>
          <w:rFonts w:eastAsia="Times New Roman" w:cs="Times New Roman"/>
          <w:i/>
          <w:iCs/>
          <w:color w:val="auto"/>
          <w:sz w:val="24"/>
          <w:szCs w:val="24"/>
        </w:rPr>
        <w:t>First Break, 8</w:t>
      </w:r>
      <w:r w:rsidRPr="00E0113F">
        <w:rPr>
          <w:rFonts w:eastAsia="Times New Roman" w:cs="Times New Roman"/>
          <w:color w:val="auto"/>
          <w:sz w:val="24"/>
          <w:szCs w:val="24"/>
        </w:rPr>
        <w:t xml:space="preserve">(4), 121–129. </w:t>
      </w:r>
      <w:hyperlink r:id="rId23" w:history="1">
        <w:r w:rsidRPr="00E0113F">
          <w:rPr>
            <w:rFonts w:eastAsia="Times New Roman" w:cs="Times New Roman"/>
            <w:color w:val="0000FF"/>
            <w:sz w:val="24"/>
            <w:szCs w:val="24"/>
            <w:u w:val="single"/>
          </w:rPr>
          <w:t>https://doi.org/10.3997/1365-2397.1990008</w:t>
        </w:r>
      </w:hyperlink>
    </w:p>
    <w:p w14:paraId="49D909AD"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Groves, D. I., Goldfarb, R. J., Gebre-Mariam, M., Hagemann, S. G., &amp; Robert, F. (1998). Orogenic gold deposits: A proposed classification in the context of their crustal distribution and relationship to other gold deposit types. </w:t>
      </w:r>
      <w:r w:rsidRPr="00E0113F">
        <w:rPr>
          <w:rFonts w:eastAsia="Times New Roman" w:cs="Times New Roman"/>
          <w:i/>
          <w:iCs/>
          <w:color w:val="auto"/>
          <w:sz w:val="24"/>
          <w:szCs w:val="24"/>
        </w:rPr>
        <w:t>Ore Geology Reviews, 13</w:t>
      </w:r>
      <w:r w:rsidRPr="00E0113F">
        <w:rPr>
          <w:rFonts w:eastAsia="Times New Roman" w:cs="Times New Roman"/>
          <w:color w:val="auto"/>
          <w:sz w:val="24"/>
          <w:szCs w:val="24"/>
        </w:rPr>
        <w:t xml:space="preserve">(1–5), 7–27. </w:t>
      </w:r>
      <w:hyperlink r:id="rId24" w:history="1">
        <w:r w:rsidRPr="00E0113F">
          <w:rPr>
            <w:rFonts w:eastAsia="Times New Roman" w:cs="Times New Roman"/>
            <w:color w:val="0000FF"/>
            <w:sz w:val="24"/>
            <w:szCs w:val="24"/>
            <w:u w:val="single"/>
          </w:rPr>
          <w:t>https://doi.org/10.1016/S0169-1368(97)00012-7</w:t>
        </w:r>
      </w:hyperlink>
    </w:p>
    <w:p w14:paraId="265515BB"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Kim, B., Deparis, J., </w:t>
      </w:r>
      <w:proofErr w:type="spellStart"/>
      <w:r w:rsidRPr="00E0113F">
        <w:rPr>
          <w:rFonts w:eastAsia="Times New Roman" w:cs="Times New Roman"/>
          <w:color w:val="auto"/>
          <w:sz w:val="24"/>
          <w:szCs w:val="24"/>
        </w:rPr>
        <w:t>Bretaudeau</w:t>
      </w:r>
      <w:proofErr w:type="spellEnd"/>
      <w:r w:rsidRPr="00E0113F">
        <w:rPr>
          <w:rFonts w:eastAsia="Times New Roman" w:cs="Times New Roman"/>
          <w:color w:val="auto"/>
          <w:sz w:val="24"/>
          <w:szCs w:val="24"/>
        </w:rPr>
        <w:t xml:space="preserve">, F., Vedrine, S., Kamm, J., Autio, U., Patzer, C., Heinonen, S., Gance, J., </w:t>
      </w:r>
      <w:proofErr w:type="spellStart"/>
      <w:r w:rsidRPr="00E0113F">
        <w:rPr>
          <w:rFonts w:eastAsia="Times New Roman" w:cs="Times New Roman"/>
          <w:color w:val="auto"/>
          <w:sz w:val="24"/>
          <w:szCs w:val="24"/>
        </w:rPr>
        <w:t>Darnet</w:t>
      </w:r>
      <w:proofErr w:type="spellEnd"/>
      <w:r w:rsidRPr="00E0113F">
        <w:rPr>
          <w:rFonts w:eastAsia="Times New Roman" w:cs="Times New Roman"/>
          <w:color w:val="auto"/>
          <w:sz w:val="24"/>
          <w:szCs w:val="24"/>
        </w:rPr>
        <w:t xml:space="preserve">, M., &amp; SEEMSDEEP Working Group. (2026). Three-dimensional geoelectrical imaging beyond 1 km depth for mineral exploration: Framework of deep electrical resistivity tomography and induced polarization with advanced strategies. </w:t>
      </w:r>
      <w:r w:rsidRPr="00E0113F">
        <w:rPr>
          <w:rFonts w:eastAsia="Times New Roman" w:cs="Times New Roman"/>
          <w:i/>
          <w:iCs/>
          <w:color w:val="auto"/>
          <w:sz w:val="24"/>
          <w:szCs w:val="24"/>
        </w:rPr>
        <w:t>Geophysical Journal International, 244</w:t>
      </w:r>
      <w:r w:rsidRPr="00E0113F">
        <w:rPr>
          <w:rFonts w:eastAsia="Times New Roman" w:cs="Times New Roman"/>
          <w:color w:val="auto"/>
          <w:sz w:val="24"/>
          <w:szCs w:val="24"/>
        </w:rPr>
        <w:t xml:space="preserve">(3), Article ggaf460. </w:t>
      </w:r>
      <w:hyperlink r:id="rId25" w:history="1">
        <w:r w:rsidRPr="00E0113F">
          <w:rPr>
            <w:rFonts w:eastAsia="Times New Roman" w:cs="Times New Roman"/>
            <w:color w:val="0000FF"/>
            <w:sz w:val="24"/>
            <w:szCs w:val="24"/>
            <w:u w:val="single"/>
          </w:rPr>
          <w:t>https://doi.org/10.1093/gji/ggaf460</w:t>
        </w:r>
      </w:hyperlink>
    </w:p>
    <w:p w14:paraId="292F5F48"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Li, X. (2006). Understanding 3D analytic signal amplitude. </w:t>
      </w:r>
      <w:r w:rsidRPr="00E0113F">
        <w:rPr>
          <w:rFonts w:eastAsia="Times New Roman" w:cs="Times New Roman"/>
          <w:i/>
          <w:iCs/>
          <w:color w:val="auto"/>
          <w:sz w:val="24"/>
          <w:szCs w:val="24"/>
        </w:rPr>
        <w:t>Geophysics, 71</w:t>
      </w:r>
      <w:r w:rsidRPr="00E0113F">
        <w:rPr>
          <w:rFonts w:eastAsia="Times New Roman" w:cs="Times New Roman"/>
          <w:color w:val="auto"/>
          <w:sz w:val="24"/>
          <w:szCs w:val="24"/>
        </w:rPr>
        <w:t xml:space="preserve">(2), L13–L16. </w:t>
      </w:r>
      <w:hyperlink r:id="rId26" w:history="1">
        <w:r w:rsidRPr="00E0113F">
          <w:rPr>
            <w:rFonts w:eastAsia="Times New Roman" w:cs="Times New Roman"/>
            <w:color w:val="0000FF"/>
            <w:sz w:val="24"/>
            <w:szCs w:val="24"/>
            <w:u w:val="single"/>
          </w:rPr>
          <w:t>https://doi.org/10.1190/1.2184367</w:t>
        </w:r>
      </w:hyperlink>
    </w:p>
    <w:p w14:paraId="1967176A"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Li, X., &amp; Pilkington, M. (2016). Attributes of the magnetic field, analytic signal, and monogenic signal for gravity and magnetic interpretation. </w:t>
      </w:r>
      <w:r w:rsidRPr="00E0113F">
        <w:rPr>
          <w:rFonts w:eastAsia="Times New Roman" w:cs="Times New Roman"/>
          <w:i/>
          <w:iCs/>
          <w:color w:val="auto"/>
          <w:sz w:val="24"/>
          <w:szCs w:val="24"/>
        </w:rPr>
        <w:t>Geophysics, 81</w:t>
      </w:r>
      <w:r w:rsidRPr="00E0113F">
        <w:rPr>
          <w:rFonts w:eastAsia="Times New Roman" w:cs="Times New Roman"/>
          <w:color w:val="auto"/>
          <w:sz w:val="24"/>
          <w:szCs w:val="24"/>
        </w:rPr>
        <w:t xml:space="preserve">(6), J79–J86. </w:t>
      </w:r>
      <w:hyperlink r:id="rId27" w:history="1">
        <w:r w:rsidRPr="00E0113F">
          <w:rPr>
            <w:rFonts w:eastAsia="Times New Roman" w:cs="Times New Roman"/>
            <w:color w:val="0000FF"/>
            <w:sz w:val="24"/>
            <w:szCs w:val="24"/>
            <w:u w:val="single"/>
          </w:rPr>
          <w:t>https://doi.org/10.1190/GEO2015-0697.1</w:t>
        </w:r>
      </w:hyperlink>
    </w:p>
    <w:p w14:paraId="22F9F136"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Li, Y., &amp; Oldenburg, D. W. (1996). 3-D inversion of magnetic data. </w:t>
      </w:r>
      <w:r w:rsidRPr="00E0113F">
        <w:rPr>
          <w:rFonts w:eastAsia="Times New Roman" w:cs="Times New Roman"/>
          <w:i/>
          <w:iCs/>
          <w:color w:val="auto"/>
          <w:sz w:val="24"/>
          <w:szCs w:val="24"/>
        </w:rPr>
        <w:t>Geophysics, 61</w:t>
      </w:r>
      <w:r w:rsidRPr="00E0113F">
        <w:rPr>
          <w:rFonts w:eastAsia="Times New Roman" w:cs="Times New Roman"/>
          <w:color w:val="auto"/>
          <w:sz w:val="24"/>
          <w:szCs w:val="24"/>
        </w:rPr>
        <w:t xml:space="preserve">(2), 394–408. </w:t>
      </w:r>
      <w:hyperlink r:id="rId28" w:history="1">
        <w:r w:rsidRPr="00E0113F">
          <w:rPr>
            <w:rFonts w:eastAsia="Times New Roman" w:cs="Times New Roman"/>
            <w:color w:val="0000FF"/>
            <w:sz w:val="24"/>
            <w:szCs w:val="24"/>
            <w:u w:val="single"/>
          </w:rPr>
          <w:t>https://doi.org/10.1190/1.1443968</w:t>
        </w:r>
      </w:hyperlink>
    </w:p>
    <w:p w14:paraId="69A764D4"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Loke, M. H., &amp; Barker, R. D. (1996). Rapid least-squares inversion of apparent resistivity </w:t>
      </w:r>
      <w:proofErr w:type="spellStart"/>
      <w:r w:rsidRPr="00E0113F">
        <w:rPr>
          <w:rFonts w:eastAsia="Times New Roman" w:cs="Times New Roman"/>
          <w:color w:val="auto"/>
          <w:sz w:val="24"/>
          <w:szCs w:val="24"/>
        </w:rPr>
        <w:t>pseudosections</w:t>
      </w:r>
      <w:proofErr w:type="spellEnd"/>
      <w:r w:rsidRPr="00E0113F">
        <w:rPr>
          <w:rFonts w:eastAsia="Times New Roman" w:cs="Times New Roman"/>
          <w:color w:val="auto"/>
          <w:sz w:val="24"/>
          <w:szCs w:val="24"/>
        </w:rPr>
        <w:t xml:space="preserve"> by a quasi-Newton method. </w:t>
      </w:r>
      <w:r w:rsidRPr="00E0113F">
        <w:rPr>
          <w:rFonts w:eastAsia="Times New Roman" w:cs="Times New Roman"/>
          <w:i/>
          <w:iCs/>
          <w:color w:val="auto"/>
          <w:sz w:val="24"/>
          <w:szCs w:val="24"/>
        </w:rPr>
        <w:t>Geophysical Prospecting, 44</w:t>
      </w:r>
      <w:r w:rsidRPr="00E0113F">
        <w:rPr>
          <w:rFonts w:eastAsia="Times New Roman" w:cs="Times New Roman"/>
          <w:color w:val="auto"/>
          <w:sz w:val="24"/>
          <w:szCs w:val="24"/>
        </w:rPr>
        <w:t xml:space="preserve">(1), 131–152. </w:t>
      </w:r>
      <w:hyperlink r:id="rId29" w:history="1">
        <w:r w:rsidRPr="00E0113F">
          <w:rPr>
            <w:rFonts w:eastAsia="Times New Roman" w:cs="Times New Roman"/>
            <w:color w:val="0000FF"/>
            <w:sz w:val="24"/>
            <w:szCs w:val="24"/>
            <w:u w:val="single"/>
          </w:rPr>
          <w:t>https://doi.org/10.1111/j.1365-2478.1996.tb00142.x</w:t>
        </w:r>
      </w:hyperlink>
    </w:p>
    <w:p w14:paraId="55D40C67"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Miller, H. G., &amp; Singh, V. (1994). Potential field tilt—a new concept for location of potential field sources. </w:t>
      </w:r>
      <w:r w:rsidRPr="00E0113F">
        <w:rPr>
          <w:rFonts w:eastAsia="Times New Roman" w:cs="Times New Roman"/>
          <w:i/>
          <w:iCs/>
          <w:color w:val="auto"/>
          <w:sz w:val="24"/>
          <w:szCs w:val="24"/>
        </w:rPr>
        <w:t>Journal of Applied Geophysics, 32</w:t>
      </w:r>
      <w:r w:rsidRPr="00E0113F">
        <w:rPr>
          <w:rFonts w:eastAsia="Times New Roman" w:cs="Times New Roman"/>
          <w:color w:val="auto"/>
          <w:sz w:val="24"/>
          <w:szCs w:val="24"/>
        </w:rPr>
        <w:t xml:space="preserve">(2–3), 213–217. </w:t>
      </w:r>
      <w:hyperlink r:id="rId30" w:history="1">
        <w:r w:rsidRPr="00E0113F">
          <w:rPr>
            <w:rFonts w:eastAsia="Times New Roman" w:cs="Times New Roman"/>
            <w:color w:val="0000FF"/>
            <w:sz w:val="24"/>
            <w:szCs w:val="24"/>
            <w:u w:val="single"/>
          </w:rPr>
          <w:t>https://doi.org/10.1016/0926-9851(94)90022-1</w:t>
        </w:r>
      </w:hyperlink>
    </w:p>
    <w:p w14:paraId="42ECC121"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Minty, B. R. S. (1997). Fundamentals of airborne gamma-ray spectrometry. </w:t>
      </w:r>
      <w:r w:rsidRPr="00E0113F">
        <w:rPr>
          <w:rFonts w:eastAsia="Times New Roman" w:cs="Times New Roman"/>
          <w:i/>
          <w:iCs/>
          <w:color w:val="auto"/>
          <w:sz w:val="24"/>
          <w:szCs w:val="24"/>
        </w:rPr>
        <w:t>AGSO Journal of Australian Geology &amp; Geophysics, 17</w:t>
      </w:r>
      <w:r w:rsidRPr="00E0113F">
        <w:rPr>
          <w:rFonts w:eastAsia="Times New Roman" w:cs="Times New Roman"/>
          <w:color w:val="auto"/>
          <w:sz w:val="24"/>
          <w:szCs w:val="24"/>
        </w:rPr>
        <w:t xml:space="preserve">(2), 39–50. </w:t>
      </w:r>
      <w:hyperlink r:id="rId31" w:history="1">
        <w:r w:rsidRPr="00E0113F">
          <w:rPr>
            <w:rFonts w:eastAsia="Times New Roman" w:cs="Times New Roman"/>
            <w:color w:val="0000FF"/>
            <w:sz w:val="24"/>
            <w:szCs w:val="24"/>
            <w:u w:val="single"/>
          </w:rPr>
          <w:t>https://www.ga.gov.au/data-pubs/library/legacy-publications/journals</w:t>
        </w:r>
      </w:hyperlink>
    </w:p>
    <w:p w14:paraId="0FB9F68B"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Olajide-Kayode, J. O., Mustapha, S. O., Olatunji, A. S., &amp; </w:t>
      </w:r>
      <w:proofErr w:type="spellStart"/>
      <w:r w:rsidRPr="00E0113F">
        <w:rPr>
          <w:rFonts w:eastAsia="Times New Roman" w:cs="Times New Roman"/>
          <w:color w:val="auto"/>
          <w:sz w:val="24"/>
          <w:szCs w:val="24"/>
        </w:rPr>
        <w:t>Okunlola</w:t>
      </w:r>
      <w:proofErr w:type="spellEnd"/>
      <w:r w:rsidRPr="00E0113F">
        <w:rPr>
          <w:rFonts w:eastAsia="Times New Roman" w:cs="Times New Roman"/>
          <w:color w:val="auto"/>
          <w:sz w:val="24"/>
          <w:szCs w:val="24"/>
        </w:rPr>
        <w:t xml:space="preserve">, O. A. (2020). Assessment of gold </w:t>
      </w:r>
      <w:proofErr w:type="spellStart"/>
      <w:r w:rsidRPr="00E0113F">
        <w:rPr>
          <w:rFonts w:eastAsia="Times New Roman" w:cs="Times New Roman"/>
          <w:color w:val="auto"/>
          <w:sz w:val="24"/>
          <w:szCs w:val="24"/>
        </w:rPr>
        <w:t>mineralisation</w:t>
      </w:r>
      <w:proofErr w:type="spellEnd"/>
      <w:r w:rsidRPr="00E0113F">
        <w:rPr>
          <w:rFonts w:eastAsia="Times New Roman" w:cs="Times New Roman"/>
          <w:color w:val="auto"/>
          <w:sz w:val="24"/>
          <w:szCs w:val="24"/>
        </w:rPr>
        <w:t xml:space="preserve"> in Osu–</w:t>
      </w:r>
      <w:proofErr w:type="spellStart"/>
      <w:r w:rsidRPr="00E0113F">
        <w:rPr>
          <w:rFonts w:eastAsia="Times New Roman" w:cs="Times New Roman"/>
          <w:color w:val="auto"/>
          <w:sz w:val="24"/>
          <w:szCs w:val="24"/>
        </w:rPr>
        <w:t>Amuta</w:t>
      </w:r>
      <w:proofErr w:type="spellEnd"/>
      <w:r w:rsidRPr="00E0113F">
        <w:rPr>
          <w:rFonts w:eastAsia="Times New Roman" w:cs="Times New Roman"/>
          <w:color w:val="auto"/>
          <w:sz w:val="24"/>
          <w:szCs w:val="24"/>
        </w:rPr>
        <w:t>–</w:t>
      </w:r>
      <w:proofErr w:type="spellStart"/>
      <w:r w:rsidRPr="00E0113F">
        <w:rPr>
          <w:rFonts w:eastAsia="Times New Roman" w:cs="Times New Roman"/>
          <w:color w:val="auto"/>
          <w:sz w:val="24"/>
          <w:szCs w:val="24"/>
        </w:rPr>
        <w:t>Itagunmodi</w:t>
      </w:r>
      <w:proofErr w:type="spellEnd"/>
      <w:r w:rsidRPr="00E0113F">
        <w:rPr>
          <w:rFonts w:eastAsia="Times New Roman" w:cs="Times New Roman"/>
          <w:color w:val="auto"/>
          <w:sz w:val="24"/>
          <w:szCs w:val="24"/>
        </w:rPr>
        <w:t xml:space="preserve"> areas, Southwestern Nigeria. </w:t>
      </w:r>
      <w:r w:rsidRPr="00E0113F">
        <w:rPr>
          <w:rFonts w:eastAsia="Times New Roman" w:cs="Times New Roman"/>
          <w:i/>
          <w:iCs/>
          <w:color w:val="auto"/>
          <w:sz w:val="24"/>
          <w:szCs w:val="24"/>
        </w:rPr>
        <w:t>Arabian Journal of Geosciences, 13</w:t>
      </w:r>
      <w:r w:rsidRPr="00E0113F">
        <w:rPr>
          <w:rFonts w:eastAsia="Times New Roman" w:cs="Times New Roman"/>
          <w:color w:val="auto"/>
          <w:sz w:val="24"/>
          <w:szCs w:val="24"/>
        </w:rPr>
        <w:t xml:space="preserve">(13), Article 573. </w:t>
      </w:r>
      <w:hyperlink r:id="rId32" w:history="1">
        <w:r w:rsidRPr="00E0113F">
          <w:rPr>
            <w:rFonts w:eastAsia="Times New Roman" w:cs="Times New Roman"/>
            <w:color w:val="0000FF"/>
            <w:sz w:val="24"/>
            <w:szCs w:val="24"/>
            <w:u w:val="single"/>
          </w:rPr>
          <w:t>https://doi.org/10.1007/s12517-020-05619-w</w:t>
        </w:r>
      </w:hyperlink>
    </w:p>
    <w:p w14:paraId="6C33E705"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lastRenderedPageBreak/>
        <w:t xml:space="preserve">Oldenburg, D. W., &amp; Li, Y. (1999). Estimating depth of investigation in DC resistivity and IP surveys. </w:t>
      </w:r>
      <w:r w:rsidRPr="00E0113F">
        <w:rPr>
          <w:rFonts w:eastAsia="Times New Roman" w:cs="Times New Roman"/>
          <w:i/>
          <w:iCs/>
          <w:color w:val="auto"/>
          <w:sz w:val="24"/>
          <w:szCs w:val="24"/>
        </w:rPr>
        <w:t>Geophysics, 64</w:t>
      </w:r>
      <w:r w:rsidRPr="00E0113F">
        <w:rPr>
          <w:rFonts w:eastAsia="Times New Roman" w:cs="Times New Roman"/>
          <w:color w:val="auto"/>
          <w:sz w:val="24"/>
          <w:szCs w:val="24"/>
        </w:rPr>
        <w:t xml:space="preserve">(2), 403–416. </w:t>
      </w:r>
      <w:hyperlink r:id="rId33" w:history="1">
        <w:r w:rsidRPr="00E0113F">
          <w:rPr>
            <w:rFonts w:eastAsia="Times New Roman" w:cs="Times New Roman"/>
            <w:color w:val="0000FF"/>
            <w:sz w:val="24"/>
            <w:szCs w:val="24"/>
            <w:u w:val="single"/>
          </w:rPr>
          <w:t>https://doi.org/10.1190/1.1444545</w:t>
        </w:r>
      </w:hyperlink>
    </w:p>
    <w:p w14:paraId="1E329152"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proofErr w:type="spellStart"/>
      <w:r w:rsidRPr="00E0113F">
        <w:rPr>
          <w:rFonts w:eastAsia="Times New Roman" w:cs="Times New Roman"/>
          <w:color w:val="auto"/>
          <w:sz w:val="24"/>
          <w:szCs w:val="24"/>
        </w:rPr>
        <w:t>Olomo</w:t>
      </w:r>
      <w:proofErr w:type="spellEnd"/>
      <w:r w:rsidRPr="00E0113F">
        <w:rPr>
          <w:rFonts w:eastAsia="Times New Roman" w:cs="Times New Roman"/>
          <w:color w:val="auto"/>
          <w:sz w:val="24"/>
          <w:szCs w:val="24"/>
        </w:rPr>
        <w:t xml:space="preserve">, K. O., Bayode, S., </w:t>
      </w:r>
      <w:proofErr w:type="spellStart"/>
      <w:r w:rsidRPr="00E0113F">
        <w:rPr>
          <w:rFonts w:eastAsia="Times New Roman" w:cs="Times New Roman"/>
          <w:color w:val="auto"/>
          <w:sz w:val="24"/>
          <w:szCs w:val="24"/>
        </w:rPr>
        <w:t>Alagbe</w:t>
      </w:r>
      <w:proofErr w:type="spellEnd"/>
      <w:r w:rsidRPr="00E0113F">
        <w:rPr>
          <w:rFonts w:eastAsia="Times New Roman" w:cs="Times New Roman"/>
          <w:color w:val="auto"/>
          <w:sz w:val="24"/>
          <w:szCs w:val="24"/>
        </w:rPr>
        <w:t xml:space="preserve">, O. A., Olayanju, G. M., &amp; Olaleye, O. K. (2022). Aeromagnetic mapping and radioelement influence on mineralogical composition of mesothermal gold deposit in part of Ilesha Schist Belt, Southwestern Nigeria. </w:t>
      </w:r>
      <w:r w:rsidRPr="00E0113F">
        <w:rPr>
          <w:rFonts w:eastAsia="Times New Roman" w:cs="Times New Roman"/>
          <w:i/>
          <w:iCs/>
          <w:color w:val="auto"/>
          <w:sz w:val="24"/>
          <w:szCs w:val="24"/>
        </w:rPr>
        <w:t>NRIAG Journal of Astronomy and Geophysics, 11</w:t>
      </w:r>
      <w:r w:rsidRPr="00E0113F">
        <w:rPr>
          <w:rFonts w:eastAsia="Times New Roman" w:cs="Times New Roman"/>
          <w:color w:val="auto"/>
          <w:sz w:val="24"/>
          <w:szCs w:val="24"/>
        </w:rPr>
        <w:t xml:space="preserve">(1), 177–192. </w:t>
      </w:r>
      <w:hyperlink r:id="rId34" w:history="1">
        <w:r w:rsidRPr="00E0113F">
          <w:rPr>
            <w:rFonts w:eastAsia="Times New Roman" w:cs="Times New Roman"/>
            <w:color w:val="0000FF"/>
            <w:sz w:val="24"/>
            <w:szCs w:val="24"/>
            <w:u w:val="single"/>
          </w:rPr>
          <w:t>https://doi.org/10.1080/20909977.2022.2057147</w:t>
        </w:r>
      </w:hyperlink>
    </w:p>
    <w:p w14:paraId="14FDBCDA"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Omang, B. O., Kave, G. T., Omeka, M. E., </w:t>
      </w:r>
      <w:proofErr w:type="spellStart"/>
      <w:r w:rsidRPr="00E0113F">
        <w:rPr>
          <w:rFonts w:eastAsia="Times New Roman" w:cs="Times New Roman"/>
          <w:color w:val="auto"/>
          <w:sz w:val="24"/>
          <w:szCs w:val="24"/>
        </w:rPr>
        <w:t>Ukwang</w:t>
      </w:r>
      <w:proofErr w:type="spellEnd"/>
      <w:r w:rsidRPr="00E0113F">
        <w:rPr>
          <w:rFonts w:eastAsia="Times New Roman" w:cs="Times New Roman"/>
          <w:color w:val="auto"/>
          <w:sz w:val="24"/>
          <w:szCs w:val="24"/>
        </w:rPr>
        <w:t xml:space="preserve">, E. E., </w:t>
      </w:r>
      <w:proofErr w:type="spellStart"/>
      <w:r w:rsidRPr="00E0113F">
        <w:rPr>
          <w:rFonts w:eastAsia="Times New Roman" w:cs="Times New Roman"/>
          <w:color w:val="auto"/>
          <w:sz w:val="24"/>
          <w:szCs w:val="24"/>
        </w:rPr>
        <w:t>Vishiti</w:t>
      </w:r>
      <w:proofErr w:type="spellEnd"/>
      <w:r w:rsidRPr="00E0113F">
        <w:rPr>
          <w:rFonts w:eastAsia="Times New Roman" w:cs="Times New Roman"/>
          <w:color w:val="auto"/>
          <w:sz w:val="24"/>
          <w:szCs w:val="24"/>
        </w:rPr>
        <w:t xml:space="preserve">, A., </w:t>
      </w:r>
      <w:proofErr w:type="spellStart"/>
      <w:r w:rsidRPr="00E0113F">
        <w:rPr>
          <w:rFonts w:eastAsia="Times New Roman" w:cs="Times New Roman"/>
          <w:color w:val="auto"/>
          <w:sz w:val="24"/>
          <w:szCs w:val="24"/>
        </w:rPr>
        <w:t>Itagbor</w:t>
      </w:r>
      <w:proofErr w:type="spellEnd"/>
      <w:r w:rsidRPr="00E0113F">
        <w:rPr>
          <w:rFonts w:eastAsia="Times New Roman" w:cs="Times New Roman"/>
          <w:color w:val="auto"/>
          <w:sz w:val="24"/>
          <w:szCs w:val="24"/>
        </w:rPr>
        <w:t xml:space="preserve">, F., </w:t>
      </w:r>
      <w:proofErr w:type="spellStart"/>
      <w:r w:rsidRPr="00E0113F">
        <w:rPr>
          <w:rFonts w:eastAsia="Times New Roman" w:cs="Times New Roman"/>
          <w:color w:val="auto"/>
          <w:sz w:val="24"/>
          <w:szCs w:val="24"/>
        </w:rPr>
        <w:t>Asinya</w:t>
      </w:r>
      <w:proofErr w:type="spellEnd"/>
      <w:r w:rsidRPr="00E0113F">
        <w:rPr>
          <w:rFonts w:eastAsia="Times New Roman" w:cs="Times New Roman"/>
          <w:color w:val="auto"/>
          <w:sz w:val="24"/>
          <w:szCs w:val="24"/>
        </w:rPr>
        <w:t xml:space="preserve">, E. A., Gimba, I. N., </w:t>
      </w:r>
      <w:proofErr w:type="spellStart"/>
      <w:r w:rsidRPr="00E0113F">
        <w:rPr>
          <w:rFonts w:eastAsia="Times New Roman" w:cs="Times New Roman"/>
          <w:color w:val="auto"/>
          <w:sz w:val="24"/>
          <w:szCs w:val="24"/>
        </w:rPr>
        <w:t>Arikpo</w:t>
      </w:r>
      <w:proofErr w:type="spellEnd"/>
      <w:r w:rsidRPr="00E0113F">
        <w:rPr>
          <w:rFonts w:eastAsia="Times New Roman" w:cs="Times New Roman"/>
          <w:color w:val="auto"/>
          <w:sz w:val="24"/>
          <w:szCs w:val="24"/>
        </w:rPr>
        <w:t>, T. O., &amp; Edem, S. U. (2026). Baseline gold microchemical data from parts of the Ilesha–Osu segment of the Ilesha–</w:t>
      </w:r>
      <w:proofErr w:type="spellStart"/>
      <w:r w:rsidRPr="00E0113F">
        <w:rPr>
          <w:rFonts w:eastAsia="Times New Roman" w:cs="Times New Roman"/>
          <w:color w:val="auto"/>
          <w:sz w:val="24"/>
          <w:szCs w:val="24"/>
        </w:rPr>
        <w:t>Isanlu</w:t>
      </w:r>
      <w:proofErr w:type="spellEnd"/>
      <w:r w:rsidRPr="00E0113F">
        <w:rPr>
          <w:rFonts w:eastAsia="Times New Roman" w:cs="Times New Roman"/>
          <w:color w:val="auto"/>
          <w:sz w:val="24"/>
          <w:szCs w:val="24"/>
        </w:rPr>
        <w:t xml:space="preserve"> schist belt, southwestern Nigeria. </w:t>
      </w:r>
      <w:r w:rsidRPr="00E0113F">
        <w:rPr>
          <w:rFonts w:eastAsia="Times New Roman" w:cs="Times New Roman"/>
          <w:i/>
          <w:iCs/>
          <w:color w:val="auto"/>
          <w:sz w:val="24"/>
          <w:szCs w:val="24"/>
        </w:rPr>
        <w:t>Global Journal of Pure and Applied Sciences, 32</w:t>
      </w:r>
      <w:r w:rsidRPr="00E0113F">
        <w:rPr>
          <w:rFonts w:eastAsia="Times New Roman" w:cs="Times New Roman"/>
          <w:color w:val="auto"/>
          <w:sz w:val="24"/>
          <w:szCs w:val="24"/>
        </w:rPr>
        <w:t xml:space="preserve">(4), 489–500. </w:t>
      </w:r>
      <w:hyperlink r:id="rId35" w:history="1">
        <w:r w:rsidRPr="00E0113F">
          <w:rPr>
            <w:rFonts w:eastAsia="Times New Roman" w:cs="Times New Roman"/>
            <w:color w:val="0000FF"/>
            <w:sz w:val="24"/>
            <w:szCs w:val="24"/>
            <w:u w:val="single"/>
          </w:rPr>
          <w:t>https://doi.org/10.4314/gjpas.v32i4.1</w:t>
        </w:r>
      </w:hyperlink>
    </w:p>
    <w:p w14:paraId="6542A44D"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Osinowo, O. O., Fashola, O. E., </w:t>
      </w:r>
      <w:proofErr w:type="spellStart"/>
      <w:r w:rsidRPr="00E0113F">
        <w:rPr>
          <w:rFonts w:eastAsia="Times New Roman" w:cs="Times New Roman"/>
          <w:color w:val="auto"/>
          <w:sz w:val="24"/>
          <w:szCs w:val="24"/>
        </w:rPr>
        <w:t>Ayolabi</w:t>
      </w:r>
      <w:proofErr w:type="spellEnd"/>
      <w:r w:rsidRPr="00E0113F">
        <w:rPr>
          <w:rFonts w:eastAsia="Times New Roman" w:cs="Times New Roman"/>
          <w:color w:val="auto"/>
          <w:sz w:val="24"/>
          <w:szCs w:val="24"/>
        </w:rPr>
        <w:t xml:space="preserve">, E. A., &amp; Olayinka, A. I. (2022). Structural mapping and gold </w:t>
      </w:r>
      <w:proofErr w:type="spellStart"/>
      <w:r w:rsidRPr="00E0113F">
        <w:rPr>
          <w:rFonts w:eastAsia="Times New Roman" w:cs="Times New Roman"/>
          <w:color w:val="auto"/>
          <w:sz w:val="24"/>
          <w:szCs w:val="24"/>
        </w:rPr>
        <w:t>mineralisation</w:t>
      </w:r>
      <w:proofErr w:type="spellEnd"/>
      <w:r w:rsidRPr="00E0113F">
        <w:rPr>
          <w:rFonts w:eastAsia="Times New Roman" w:cs="Times New Roman"/>
          <w:color w:val="auto"/>
          <w:sz w:val="24"/>
          <w:szCs w:val="24"/>
        </w:rPr>
        <w:t xml:space="preserve"> potential evaluation from airborne time–domain electromagnetic (TDEM) data of Ilesha Schist Belt, southwestern Nigeria. </w:t>
      </w:r>
      <w:r w:rsidRPr="00E0113F">
        <w:rPr>
          <w:rFonts w:eastAsia="Times New Roman" w:cs="Times New Roman"/>
          <w:i/>
          <w:iCs/>
          <w:color w:val="auto"/>
          <w:sz w:val="24"/>
          <w:szCs w:val="24"/>
        </w:rPr>
        <w:t>Exploration Geophysics, 53</w:t>
      </w:r>
      <w:r w:rsidRPr="00E0113F">
        <w:rPr>
          <w:rFonts w:eastAsia="Times New Roman" w:cs="Times New Roman"/>
          <w:color w:val="auto"/>
          <w:sz w:val="24"/>
          <w:szCs w:val="24"/>
        </w:rPr>
        <w:t xml:space="preserve">(3), 237–254. </w:t>
      </w:r>
      <w:hyperlink r:id="rId36" w:history="1">
        <w:r w:rsidRPr="00E0113F">
          <w:rPr>
            <w:rFonts w:eastAsia="Times New Roman" w:cs="Times New Roman"/>
            <w:color w:val="0000FF"/>
            <w:sz w:val="24"/>
            <w:szCs w:val="24"/>
            <w:u w:val="single"/>
          </w:rPr>
          <w:t>https://doi.org/10.1080/08123985.2021.1922275</w:t>
        </w:r>
      </w:hyperlink>
    </w:p>
    <w:p w14:paraId="48A60526"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Osinowo, O. O., Usman, A. K., &amp; </w:t>
      </w:r>
      <w:proofErr w:type="spellStart"/>
      <w:r w:rsidRPr="00E0113F">
        <w:rPr>
          <w:rFonts w:eastAsia="Times New Roman" w:cs="Times New Roman"/>
          <w:color w:val="auto"/>
          <w:sz w:val="24"/>
          <w:szCs w:val="24"/>
        </w:rPr>
        <w:t>Omitoogun</w:t>
      </w:r>
      <w:proofErr w:type="spellEnd"/>
      <w:r w:rsidRPr="00E0113F">
        <w:rPr>
          <w:rFonts w:eastAsia="Times New Roman" w:cs="Times New Roman"/>
          <w:color w:val="auto"/>
          <w:sz w:val="24"/>
          <w:szCs w:val="24"/>
        </w:rPr>
        <w:t xml:space="preserve">, A. A. (2020). Application of electrical resistivity tomography for mapping gold mineralization potential in </w:t>
      </w:r>
      <w:proofErr w:type="spellStart"/>
      <w:r w:rsidRPr="00E0113F">
        <w:rPr>
          <w:rFonts w:eastAsia="Times New Roman" w:cs="Times New Roman"/>
          <w:color w:val="auto"/>
          <w:sz w:val="24"/>
          <w:szCs w:val="24"/>
        </w:rPr>
        <w:t>Iperindo</w:t>
      </w:r>
      <w:proofErr w:type="spellEnd"/>
      <w:r w:rsidRPr="00E0113F">
        <w:rPr>
          <w:rFonts w:eastAsia="Times New Roman" w:cs="Times New Roman"/>
          <w:color w:val="auto"/>
          <w:sz w:val="24"/>
          <w:szCs w:val="24"/>
        </w:rPr>
        <w:t xml:space="preserve">, Ilesha schist belt, southwestern Nigeria. </w:t>
      </w:r>
      <w:r w:rsidRPr="00E0113F">
        <w:rPr>
          <w:rFonts w:eastAsia="Times New Roman" w:cs="Times New Roman"/>
          <w:i/>
          <w:iCs/>
          <w:color w:val="auto"/>
          <w:sz w:val="24"/>
          <w:szCs w:val="24"/>
        </w:rPr>
        <w:t>International Journal of Advanced Geosciences, 8</w:t>
      </w:r>
      <w:r w:rsidRPr="00E0113F">
        <w:rPr>
          <w:rFonts w:eastAsia="Times New Roman" w:cs="Times New Roman"/>
          <w:color w:val="auto"/>
          <w:sz w:val="24"/>
          <w:szCs w:val="24"/>
        </w:rPr>
        <w:t xml:space="preserve">(2), 146–152. </w:t>
      </w:r>
      <w:hyperlink r:id="rId37" w:history="1">
        <w:r w:rsidRPr="00E0113F">
          <w:rPr>
            <w:rFonts w:eastAsia="Times New Roman" w:cs="Times New Roman"/>
            <w:color w:val="0000FF"/>
            <w:sz w:val="24"/>
            <w:szCs w:val="24"/>
            <w:u w:val="single"/>
          </w:rPr>
          <w:t>https://doi.org/10.14419/ijag.v8i2.31023</w:t>
        </w:r>
      </w:hyperlink>
    </w:p>
    <w:p w14:paraId="24206137"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proofErr w:type="spellStart"/>
      <w:r w:rsidRPr="00E0113F">
        <w:rPr>
          <w:rFonts w:eastAsia="Times New Roman" w:cs="Times New Roman"/>
          <w:color w:val="auto"/>
          <w:sz w:val="24"/>
          <w:szCs w:val="24"/>
        </w:rPr>
        <w:t>Oyinloye</w:t>
      </w:r>
      <w:proofErr w:type="spellEnd"/>
      <w:r w:rsidRPr="00E0113F">
        <w:rPr>
          <w:rFonts w:eastAsia="Times New Roman" w:cs="Times New Roman"/>
          <w:color w:val="auto"/>
          <w:sz w:val="24"/>
          <w:szCs w:val="24"/>
        </w:rPr>
        <w:t xml:space="preserve">, A. O., &amp; Steed, G. M. (1996). Geology and geochemistry of </w:t>
      </w:r>
      <w:proofErr w:type="spellStart"/>
      <w:r w:rsidRPr="00E0113F">
        <w:rPr>
          <w:rFonts w:eastAsia="Times New Roman" w:cs="Times New Roman"/>
          <w:color w:val="auto"/>
          <w:sz w:val="24"/>
          <w:szCs w:val="24"/>
        </w:rPr>
        <w:t>Iperindo</w:t>
      </w:r>
      <w:proofErr w:type="spellEnd"/>
      <w:r w:rsidRPr="00E0113F">
        <w:rPr>
          <w:rFonts w:eastAsia="Times New Roman" w:cs="Times New Roman"/>
          <w:color w:val="auto"/>
          <w:sz w:val="24"/>
          <w:szCs w:val="24"/>
        </w:rPr>
        <w:t xml:space="preserve"> primary gold deposit, Ilesha schist belt, southwestern Nigeria. </w:t>
      </w:r>
      <w:r w:rsidRPr="00E0113F">
        <w:rPr>
          <w:rFonts w:eastAsia="Times New Roman" w:cs="Times New Roman"/>
          <w:i/>
          <w:iCs/>
          <w:color w:val="auto"/>
          <w:sz w:val="24"/>
          <w:szCs w:val="24"/>
        </w:rPr>
        <w:t>Transactions of the Institution of Mining and Metallurgy, Section B: Applied Earth Science, 105</w:t>
      </w:r>
      <w:r w:rsidRPr="00E0113F">
        <w:rPr>
          <w:rFonts w:eastAsia="Times New Roman" w:cs="Times New Roman"/>
          <w:color w:val="auto"/>
          <w:sz w:val="24"/>
          <w:szCs w:val="24"/>
        </w:rPr>
        <w:t xml:space="preserve">, B74–B81. </w:t>
      </w:r>
      <w:hyperlink r:id="rId38" w:history="1">
        <w:r w:rsidRPr="00E0113F">
          <w:rPr>
            <w:rFonts w:eastAsia="Times New Roman" w:cs="Times New Roman"/>
            <w:color w:val="0000FF"/>
            <w:sz w:val="24"/>
            <w:szCs w:val="24"/>
            <w:u w:val="single"/>
          </w:rPr>
          <w:t>https://onemine.org/documents/geology-and-geochemistry-of-iperindo-primary-gold-deposit-ilesha-schist-belt-southwestern-nigeria</w:t>
        </w:r>
      </w:hyperlink>
    </w:p>
    <w:p w14:paraId="093E4FBA"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Pelton, W. H., Ward, S. H., Hallof, P. G., Sill, W. R., &amp; Nelson, P. H. (1978). Mineral discrimination and removal of inductive coupling with multifrequency IP. </w:t>
      </w:r>
      <w:r w:rsidRPr="00E0113F">
        <w:rPr>
          <w:rFonts w:eastAsia="Times New Roman" w:cs="Times New Roman"/>
          <w:i/>
          <w:iCs/>
          <w:color w:val="auto"/>
          <w:sz w:val="24"/>
          <w:szCs w:val="24"/>
        </w:rPr>
        <w:t>Geophysics, 43</w:t>
      </w:r>
      <w:r w:rsidRPr="00E0113F">
        <w:rPr>
          <w:rFonts w:eastAsia="Times New Roman" w:cs="Times New Roman"/>
          <w:color w:val="auto"/>
          <w:sz w:val="24"/>
          <w:szCs w:val="24"/>
        </w:rPr>
        <w:t xml:space="preserve">(3), 588–609. </w:t>
      </w:r>
      <w:hyperlink r:id="rId39" w:history="1">
        <w:r w:rsidRPr="00E0113F">
          <w:rPr>
            <w:rFonts w:eastAsia="Times New Roman" w:cs="Times New Roman"/>
            <w:color w:val="0000FF"/>
            <w:sz w:val="24"/>
            <w:szCs w:val="24"/>
            <w:u w:val="single"/>
          </w:rPr>
          <w:t>https://doi.org/10.1190/1.1440839</w:t>
        </w:r>
      </w:hyperlink>
    </w:p>
    <w:p w14:paraId="368556C2"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Porwal, A. K., Carranza, E. J. M., &amp; Hale, M. (2006). A hybrid fuzzy weights-of-evidence model for mineral potential mapping. </w:t>
      </w:r>
      <w:r w:rsidRPr="00E0113F">
        <w:rPr>
          <w:rFonts w:eastAsia="Times New Roman" w:cs="Times New Roman"/>
          <w:i/>
          <w:iCs/>
          <w:color w:val="auto"/>
          <w:sz w:val="24"/>
          <w:szCs w:val="24"/>
        </w:rPr>
        <w:t>Natural Resources Research, 15</w:t>
      </w:r>
      <w:r w:rsidRPr="00E0113F">
        <w:rPr>
          <w:rFonts w:eastAsia="Times New Roman" w:cs="Times New Roman"/>
          <w:color w:val="auto"/>
          <w:sz w:val="24"/>
          <w:szCs w:val="24"/>
        </w:rPr>
        <w:t xml:space="preserve">(1), 1–14. </w:t>
      </w:r>
      <w:hyperlink r:id="rId40" w:history="1">
        <w:r w:rsidRPr="00E0113F">
          <w:rPr>
            <w:rFonts w:eastAsia="Times New Roman" w:cs="Times New Roman"/>
            <w:color w:val="0000FF"/>
            <w:sz w:val="24"/>
            <w:szCs w:val="24"/>
            <w:u w:val="single"/>
          </w:rPr>
          <w:t>https://doi.org/10.1007/s11053-006-9012-7</w:t>
        </w:r>
      </w:hyperlink>
    </w:p>
    <w:p w14:paraId="345E0F31"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Reid, A. B., Allsop, J. M., </w:t>
      </w:r>
      <w:proofErr w:type="spellStart"/>
      <w:r w:rsidRPr="00E0113F">
        <w:rPr>
          <w:rFonts w:eastAsia="Times New Roman" w:cs="Times New Roman"/>
          <w:color w:val="auto"/>
          <w:sz w:val="24"/>
          <w:szCs w:val="24"/>
        </w:rPr>
        <w:t>Granser</w:t>
      </w:r>
      <w:proofErr w:type="spellEnd"/>
      <w:r w:rsidRPr="00E0113F">
        <w:rPr>
          <w:rFonts w:eastAsia="Times New Roman" w:cs="Times New Roman"/>
          <w:color w:val="auto"/>
          <w:sz w:val="24"/>
          <w:szCs w:val="24"/>
        </w:rPr>
        <w:t xml:space="preserve">, H., Millett, A. J., &amp; Somerton, I. W. (1990). Magnetic interpretation in three dimensions using Euler deconvolution. </w:t>
      </w:r>
      <w:r w:rsidRPr="00E0113F">
        <w:rPr>
          <w:rFonts w:eastAsia="Times New Roman" w:cs="Times New Roman"/>
          <w:i/>
          <w:iCs/>
          <w:color w:val="auto"/>
          <w:sz w:val="24"/>
          <w:szCs w:val="24"/>
        </w:rPr>
        <w:t>Geophysics, 55</w:t>
      </w:r>
      <w:r w:rsidRPr="00E0113F">
        <w:rPr>
          <w:rFonts w:eastAsia="Times New Roman" w:cs="Times New Roman"/>
          <w:color w:val="auto"/>
          <w:sz w:val="24"/>
          <w:szCs w:val="24"/>
        </w:rPr>
        <w:t xml:space="preserve">(1), 80–91. </w:t>
      </w:r>
      <w:hyperlink r:id="rId41" w:history="1">
        <w:r w:rsidRPr="00E0113F">
          <w:rPr>
            <w:rFonts w:eastAsia="Times New Roman" w:cs="Times New Roman"/>
            <w:color w:val="0000FF"/>
            <w:sz w:val="24"/>
            <w:szCs w:val="24"/>
            <w:u w:val="single"/>
          </w:rPr>
          <w:t>https://doi.org/10.1190/1.1442774</w:t>
        </w:r>
      </w:hyperlink>
    </w:p>
    <w:p w14:paraId="1779A5EB"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Revil, A., </w:t>
      </w:r>
      <w:proofErr w:type="spellStart"/>
      <w:r w:rsidRPr="00E0113F">
        <w:rPr>
          <w:rFonts w:eastAsia="Times New Roman" w:cs="Times New Roman"/>
          <w:color w:val="auto"/>
          <w:sz w:val="24"/>
          <w:szCs w:val="24"/>
        </w:rPr>
        <w:t>Florsch</w:t>
      </w:r>
      <w:proofErr w:type="spellEnd"/>
      <w:r w:rsidRPr="00E0113F">
        <w:rPr>
          <w:rFonts w:eastAsia="Times New Roman" w:cs="Times New Roman"/>
          <w:color w:val="auto"/>
          <w:sz w:val="24"/>
          <w:szCs w:val="24"/>
        </w:rPr>
        <w:t xml:space="preserve">, N., &amp; Mao, D. (2015). Induced-polarization response of porous media with metallic particles—Part 1: A theory for disseminated semiconductors. </w:t>
      </w:r>
      <w:r w:rsidRPr="00E0113F">
        <w:rPr>
          <w:rFonts w:eastAsia="Times New Roman" w:cs="Times New Roman"/>
          <w:i/>
          <w:iCs/>
          <w:color w:val="auto"/>
          <w:sz w:val="24"/>
          <w:szCs w:val="24"/>
        </w:rPr>
        <w:t>Geophysics, 80</w:t>
      </w:r>
      <w:r w:rsidRPr="00E0113F">
        <w:rPr>
          <w:rFonts w:eastAsia="Times New Roman" w:cs="Times New Roman"/>
          <w:color w:val="auto"/>
          <w:sz w:val="24"/>
          <w:szCs w:val="24"/>
        </w:rPr>
        <w:t xml:space="preserve">(5), D525–D538. </w:t>
      </w:r>
      <w:hyperlink r:id="rId42" w:history="1">
        <w:r w:rsidRPr="00E0113F">
          <w:rPr>
            <w:rFonts w:eastAsia="Times New Roman" w:cs="Times New Roman"/>
            <w:color w:val="0000FF"/>
            <w:sz w:val="24"/>
            <w:szCs w:val="24"/>
            <w:u w:val="single"/>
          </w:rPr>
          <w:t>https://doi.org/10.1190/geo2014-0577.1</w:t>
        </w:r>
      </w:hyperlink>
    </w:p>
    <w:p w14:paraId="30DED70D"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Roest, W. R., Verhoef, J., &amp; Pilkington, M. (1992). Magnetic interpretation using the 3-D analytic signal. </w:t>
      </w:r>
      <w:r w:rsidRPr="00E0113F">
        <w:rPr>
          <w:rFonts w:eastAsia="Times New Roman" w:cs="Times New Roman"/>
          <w:i/>
          <w:iCs/>
          <w:color w:val="auto"/>
          <w:sz w:val="24"/>
          <w:szCs w:val="24"/>
        </w:rPr>
        <w:t>Geophysics, 57</w:t>
      </w:r>
      <w:r w:rsidRPr="00E0113F">
        <w:rPr>
          <w:rFonts w:eastAsia="Times New Roman" w:cs="Times New Roman"/>
          <w:color w:val="auto"/>
          <w:sz w:val="24"/>
          <w:szCs w:val="24"/>
        </w:rPr>
        <w:t xml:space="preserve">(1), 116–125. </w:t>
      </w:r>
      <w:hyperlink r:id="rId43" w:history="1">
        <w:r w:rsidRPr="00E0113F">
          <w:rPr>
            <w:rFonts w:eastAsia="Times New Roman" w:cs="Times New Roman"/>
            <w:color w:val="0000FF"/>
            <w:sz w:val="24"/>
            <w:szCs w:val="24"/>
            <w:u w:val="single"/>
          </w:rPr>
          <w:t>https://doi.org/10.1190/1.1443174</w:t>
        </w:r>
      </w:hyperlink>
    </w:p>
    <w:p w14:paraId="6FECEDC7"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lastRenderedPageBreak/>
        <w:t xml:space="preserve">Salawu, N. B., </w:t>
      </w:r>
      <w:proofErr w:type="spellStart"/>
      <w:r w:rsidRPr="00E0113F">
        <w:rPr>
          <w:rFonts w:eastAsia="Times New Roman" w:cs="Times New Roman"/>
          <w:color w:val="auto"/>
          <w:sz w:val="24"/>
          <w:szCs w:val="24"/>
        </w:rPr>
        <w:t>Fatoba</w:t>
      </w:r>
      <w:proofErr w:type="spellEnd"/>
      <w:r w:rsidRPr="00E0113F">
        <w:rPr>
          <w:rFonts w:eastAsia="Times New Roman" w:cs="Times New Roman"/>
          <w:color w:val="auto"/>
          <w:sz w:val="24"/>
          <w:szCs w:val="24"/>
        </w:rPr>
        <w:t xml:space="preserve">, J. O., Adebiyi, L. S., </w:t>
      </w:r>
      <w:proofErr w:type="spellStart"/>
      <w:r w:rsidRPr="00E0113F">
        <w:rPr>
          <w:rFonts w:eastAsia="Times New Roman" w:cs="Times New Roman"/>
          <w:color w:val="auto"/>
          <w:sz w:val="24"/>
          <w:szCs w:val="24"/>
        </w:rPr>
        <w:t>Orosun</w:t>
      </w:r>
      <w:proofErr w:type="spellEnd"/>
      <w:r w:rsidRPr="00E0113F">
        <w:rPr>
          <w:rFonts w:eastAsia="Times New Roman" w:cs="Times New Roman"/>
          <w:color w:val="auto"/>
          <w:sz w:val="24"/>
          <w:szCs w:val="24"/>
        </w:rPr>
        <w:t xml:space="preserve">, M. M., &amp; Dada, S. S. (2021). New insights on the Ife-Ilesha schist belt using integrated satellite, aeromagnetic and radiometric data. </w:t>
      </w:r>
      <w:r w:rsidRPr="00E0113F">
        <w:rPr>
          <w:rFonts w:eastAsia="Times New Roman" w:cs="Times New Roman"/>
          <w:i/>
          <w:iCs/>
          <w:color w:val="auto"/>
          <w:sz w:val="24"/>
          <w:szCs w:val="24"/>
        </w:rPr>
        <w:t>Scientific Reports, 11</w:t>
      </w:r>
      <w:r w:rsidRPr="00E0113F">
        <w:rPr>
          <w:rFonts w:eastAsia="Times New Roman" w:cs="Times New Roman"/>
          <w:color w:val="auto"/>
          <w:sz w:val="24"/>
          <w:szCs w:val="24"/>
        </w:rPr>
        <w:t xml:space="preserve">, Article 15314. </w:t>
      </w:r>
      <w:hyperlink r:id="rId44" w:history="1">
        <w:r w:rsidRPr="00E0113F">
          <w:rPr>
            <w:rFonts w:eastAsia="Times New Roman" w:cs="Times New Roman"/>
            <w:color w:val="0000FF"/>
            <w:sz w:val="24"/>
            <w:szCs w:val="24"/>
            <w:u w:val="single"/>
          </w:rPr>
          <w:t>https://doi.org/10.1038/s41598-021-94813-1</w:t>
        </w:r>
      </w:hyperlink>
    </w:p>
    <w:p w14:paraId="6F6AE63F"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Seigel, H. O. (1959). Mathematical formulation and type curves for induced polarization. </w:t>
      </w:r>
      <w:r w:rsidRPr="00E0113F">
        <w:rPr>
          <w:rFonts w:eastAsia="Times New Roman" w:cs="Times New Roman"/>
          <w:i/>
          <w:iCs/>
          <w:color w:val="auto"/>
          <w:sz w:val="24"/>
          <w:szCs w:val="24"/>
        </w:rPr>
        <w:t>Geophysics, 24</w:t>
      </w:r>
      <w:r w:rsidRPr="00E0113F">
        <w:rPr>
          <w:rFonts w:eastAsia="Times New Roman" w:cs="Times New Roman"/>
          <w:color w:val="auto"/>
          <w:sz w:val="24"/>
          <w:szCs w:val="24"/>
        </w:rPr>
        <w:t xml:space="preserve">(3), 547–565. </w:t>
      </w:r>
      <w:hyperlink r:id="rId45" w:history="1">
        <w:r w:rsidRPr="00E0113F">
          <w:rPr>
            <w:rFonts w:eastAsia="Times New Roman" w:cs="Times New Roman"/>
            <w:color w:val="0000FF"/>
            <w:sz w:val="24"/>
            <w:szCs w:val="24"/>
            <w:u w:val="single"/>
          </w:rPr>
          <w:t>https://doi.org/10.1190/1.1438625</w:t>
        </w:r>
      </w:hyperlink>
    </w:p>
    <w:p w14:paraId="731001EF"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Verduzco, B., Fairhead, J. D., Green, C. M., &amp; MacKenzie, C. (2004). New insights into magnetic derivatives for structural mapping. </w:t>
      </w:r>
      <w:r w:rsidRPr="00E0113F">
        <w:rPr>
          <w:rFonts w:eastAsia="Times New Roman" w:cs="Times New Roman"/>
          <w:i/>
          <w:iCs/>
          <w:color w:val="auto"/>
          <w:sz w:val="24"/>
          <w:szCs w:val="24"/>
        </w:rPr>
        <w:t>The Leading Edge, 23</w:t>
      </w:r>
      <w:r w:rsidRPr="00E0113F">
        <w:rPr>
          <w:rFonts w:eastAsia="Times New Roman" w:cs="Times New Roman"/>
          <w:color w:val="auto"/>
          <w:sz w:val="24"/>
          <w:szCs w:val="24"/>
        </w:rPr>
        <w:t xml:space="preserve">(2), 116–119. </w:t>
      </w:r>
      <w:hyperlink r:id="rId46" w:history="1">
        <w:r w:rsidRPr="00E0113F">
          <w:rPr>
            <w:rFonts w:eastAsia="Times New Roman" w:cs="Times New Roman"/>
            <w:color w:val="0000FF"/>
            <w:sz w:val="24"/>
            <w:szCs w:val="24"/>
            <w:u w:val="single"/>
          </w:rPr>
          <w:t>https://doi.org/10.1190/1.1651454</w:t>
        </w:r>
      </w:hyperlink>
    </w:p>
    <w:p w14:paraId="48272230" w14:textId="77777777" w:rsidR="00E0113F" w:rsidRPr="00E0113F" w:rsidRDefault="00E0113F" w:rsidP="00E0113F">
      <w:pPr>
        <w:spacing w:before="100" w:beforeAutospacing="1" w:after="100" w:afterAutospacing="1" w:line="240" w:lineRule="auto"/>
        <w:rPr>
          <w:rFonts w:eastAsia="Times New Roman" w:cs="Times New Roman"/>
          <w:color w:val="auto"/>
          <w:sz w:val="24"/>
          <w:szCs w:val="24"/>
        </w:rPr>
      </w:pPr>
      <w:r w:rsidRPr="00E0113F">
        <w:rPr>
          <w:rFonts w:eastAsia="Times New Roman" w:cs="Times New Roman"/>
          <w:color w:val="auto"/>
          <w:sz w:val="24"/>
          <w:szCs w:val="24"/>
        </w:rPr>
        <w:t xml:space="preserve">Wang, H., Xia, Q., Zhou, Z., Lei, L., Meng, Y., Chen, C., Gong, Y., &amp; Yang, P. (2025). Mineral prospectivity mapping of orogenic gold deposits using a mineral systems approach in the </w:t>
      </w:r>
      <w:proofErr w:type="spellStart"/>
      <w:r w:rsidRPr="00E0113F">
        <w:rPr>
          <w:rFonts w:eastAsia="Times New Roman" w:cs="Times New Roman"/>
          <w:color w:val="auto"/>
          <w:sz w:val="24"/>
          <w:szCs w:val="24"/>
        </w:rPr>
        <w:t>Huangling</w:t>
      </w:r>
      <w:proofErr w:type="spellEnd"/>
      <w:r w:rsidRPr="00E0113F">
        <w:rPr>
          <w:rFonts w:eastAsia="Times New Roman" w:cs="Times New Roman"/>
          <w:color w:val="auto"/>
          <w:sz w:val="24"/>
          <w:szCs w:val="24"/>
        </w:rPr>
        <w:t xml:space="preserve"> region, western Hubei. </w:t>
      </w:r>
      <w:r w:rsidRPr="00E0113F">
        <w:rPr>
          <w:rFonts w:eastAsia="Times New Roman" w:cs="Times New Roman"/>
          <w:i/>
          <w:iCs/>
          <w:color w:val="auto"/>
          <w:sz w:val="24"/>
          <w:szCs w:val="24"/>
        </w:rPr>
        <w:t>Ore Geology Reviews, 183</w:t>
      </w:r>
      <w:r w:rsidRPr="00E0113F">
        <w:rPr>
          <w:rFonts w:eastAsia="Times New Roman" w:cs="Times New Roman"/>
          <w:color w:val="auto"/>
          <w:sz w:val="24"/>
          <w:szCs w:val="24"/>
        </w:rPr>
        <w:t xml:space="preserve">, Article 106681. </w:t>
      </w:r>
      <w:hyperlink r:id="rId47" w:history="1">
        <w:r w:rsidRPr="00E0113F">
          <w:rPr>
            <w:rFonts w:eastAsia="Times New Roman" w:cs="Times New Roman"/>
            <w:color w:val="0000FF"/>
            <w:sz w:val="24"/>
            <w:szCs w:val="24"/>
            <w:u w:val="single"/>
          </w:rPr>
          <w:t>https://doi.org/10.1016/j.oregeorev.2025.106681</w:t>
        </w:r>
      </w:hyperlink>
    </w:p>
    <w:p w14:paraId="6DCBEF24" w14:textId="77777777" w:rsidR="00E0113F" w:rsidRPr="00E0113F" w:rsidRDefault="00E0113F" w:rsidP="00E0113F"/>
    <w:sectPr w:rsidR="00E0113F" w:rsidRPr="00E0113F" w:rsidSect="00034616">
      <w:headerReference w:type="even" r:id="rId48"/>
      <w:headerReference w:type="default" r:id="rId49"/>
      <w:footerReference w:type="even" r:id="rId50"/>
      <w:footerReference w:type="default" r:id="rId51"/>
      <w:headerReference w:type="first" r:id="rId52"/>
      <w:footerReference w:type="first" r:id="rId53"/>
      <w:pgSz w:w="12240" w:h="15840"/>
      <w:pgMar w:top="1267" w:right="1382" w:bottom="1181" w:left="138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8CD5D" w14:textId="77777777" w:rsidR="00FF28F8" w:rsidRDefault="00FF28F8">
      <w:pPr>
        <w:spacing w:after="0" w:line="240" w:lineRule="auto"/>
      </w:pPr>
      <w:r>
        <w:separator/>
      </w:r>
    </w:p>
  </w:endnote>
  <w:endnote w:type="continuationSeparator" w:id="0">
    <w:p w14:paraId="70BB9859" w14:textId="77777777" w:rsidR="00FF28F8" w:rsidRDefault="00FF2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02F0" w14:textId="77777777" w:rsidR="00376282" w:rsidRDefault="003762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D575" w14:textId="77777777" w:rsidR="00064FC0" w:rsidRDefault="00000000">
    <w:pPr>
      <w:pStyle w:val="Footer"/>
      <w:spacing w:before="60"/>
      <w:jc w:val="center"/>
    </w:pPr>
    <w:r>
      <w:fldChar w:fldCharType="begin"/>
    </w:r>
    <w:r>
      <w:instrText>PAGE</w:instrText>
    </w:r>
    <w:r>
      <w:fldChar w:fldCharType="separate"/>
    </w:r>
    <w:r w:rsidR="00B9077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57CDF" w14:textId="77777777" w:rsidR="00376282" w:rsidRDefault="00376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E0331" w14:textId="77777777" w:rsidR="00FF28F8" w:rsidRDefault="00FF28F8">
      <w:pPr>
        <w:spacing w:after="0" w:line="240" w:lineRule="auto"/>
      </w:pPr>
      <w:r>
        <w:separator/>
      </w:r>
    </w:p>
  </w:footnote>
  <w:footnote w:type="continuationSeparator" w:id="0">
    <w:p w14:paraId="0FD0E03F" w14:textId="77777777" w:rsidR="00FF28F8" w:rsidRDefault="00FF2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615F" w14:textId="77777777" w:rsidR="00376282" w:rsidRDefault="00000000">
    <w:pPr>
      <w:pStyle w:val="Header"/>
    </w:pPr>
    <w:r>
      <w:rPr>
        <w:noProof/>
      </w:rPr>
      <w:pict w14:anchorId="4DEA0A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693594" o:spid="_x0000_s1026" type="#_x0000_t136" style="position:absolute;margin-left:0;margin-top:0;width:601.15pt;height:66.7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6CE66" w14:textId="77777777" w:rsidR="00376282" w:rsidRDefault="00000000">
    <w:pPr>
      <w:pStyle w:val="Header"/>
    </w:pPr>
    <w:r>
      <w:rPr>
        <w:noProof/>
      </w:rPr>
      <w:pict w14:anchorId="3B547E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693595" o:spid="_x0000_s1027" type="#_x0000_t136" style="position:absolute;margin-left:0;margin-top:0;width:601.15pt;height:66.7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36E7" w14:textId="77777777" w:rsidR="00376282" w:rsidRDefault="00000000">
    <w:pPr>
      <w:pStyle w:val="Header"/>
    </w:pPr>
    <w:r>
      <w:rPr>
        <w:noProof/>
      </w:rPr>
      <w:pict w14:anchorId="30D03E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693593" o:spid="_x0000_s1025" type="#_x0000_t136" style="position:absolute;margin-left:0;margin-top:0;width:601.15pt;height:66.7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3437113">
    <w:abstractNumId w:val="8"/>
  </w:num>
  <w:num w:numId="2" w16cid:durableId="380400543">
    <w:abstractNumId w:val="6"/>
  </w:num>
  <w:num w:numId="3" w16cid:durableId="2139373342">
    <w:abstractNumId w:val="5"/>
  </w:num>
  <w:num w:numId="4" w16cid:durableId="827551507">
    <w:abstractNumId w:val="4"/>
  </w:num>
  <w:num w:numId="5" w16cid:durableId="1071318600">
    <w:abstractNumId w:val="7"/>
  </w:num>
  <w:num w:numId="6" w16cid:durableId="1995330512">
    <w:abstractNumId w:val="3"/>
  </w:num>
  <w:num w:numId="7" w16cid:durableId="1410925597">
    <w:abstractNumId w:val="2"/>
  </w:num>
  <w:num w:numId="8" w16cid:durableId="873807006">
    <w:abstractNumId w:val="1"/>
  </w:num>
  <w:num w:numId="9" w16cid:durableId="1031878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FC0"/>
    <w:rsid w:val="0015074B"/>
    <w:rsid w:val="0029639D"/>
    <w:rsid w:val="00326F90"/>
    <w:rsid w:val="00376282"/>
    <w:rsid w:val="0049182E"/>
    <w:rsid w:val="0051384A"/>
    <w:rsid w:val="005300FD"/>
    <w:rsid w:val="00800728"/>
    <w:rsid w:val="00AA1D8D"/>
    <w:rsid w:val="00B47730"/>
    <w:rsid w:val="00B90777"/>
    <w:rsid w:val="00B93AF7"/>
    <w:rsid w:val="00BD7AAF"/>
    <w:rsid w:val="00CB0664"/>
    <w:rsid w:val="00CD5779"/>
    <w:rsid w:val="00CF2A9C"/>
    <w:rsid w:val="00DA06CD"/>
    <w:rsid w:val="00E0113F"/>
    <w:rsid w:val="00FC693F"/>
    <w:rsid w:val="00FF2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2E9535"/>
  <w14:defaultImageDpi w14:val="300"/>
  <w15:docId w15:val="{54AB03F3-CA9B-468D-85D5-82E8387B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50" w:line="314" w:lineRule="auto"/>
    </w:pPr>
    <w:rPr>
      <w:rFonts w:ascii="Times New Roman" w:hAnsi="Times New Roman"/>
      <w:color w:val="16191C"/>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182431"/>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18243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BodyAuthor">
    <w:name w:val="TableBodyAuthor"/>
    <w:pPr>
      <w:spacing w:after="0" w:line="274" w:lineRule="auto"/>
    </w:pPr>
    <w:rPr>
      <w:rFonts w:ascii="Times New Roman" w:hAnsi="Times New Roman"/>
      <w:sz w:val="16"/>
    </w:rPr>
  </w:style>
  <w:style w:type="paragraph" w:customStyle="1" w:styleId="BibliographyAuthor">
    <w:name w:val="BibliographyAuthor"/>
    <w:pPr>
      <w:spacing w:after="100" w:line="288" w:lineRule="auto"/>
      <w:ind w:left="432" w:hanging="432"/>
    </w:pPr>
    <w:rPr>
      <w:rFonts w:ascii="Times New Roman" w:hAnsi="Times New Roman"/>
      <w:sz w:val="18"/>
    </w:rPr>
  </w:style>
  <w:style w:type="paragraph" w:customStyle="1" w:styleId="TableNoteAuthor">
    <w:name w:val="TableNoteAuthor"/>
    <w:pPr>
      <w:spacing w:before="80" w:after="240"/>
    </w:pPr>
    <w:rPr>
      <w:rFonts w:ascii="Times New Roman" w:hAnsi="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rines.2024.100039" TargetMode="External"/><Relationship Id="rId18" Type="http://schemas.openxmlformats.org/officeDocument/2006/relationships/hyperlink" Target="https://njgjournal.nl/index.php/njg/article/view/13141" TargetMode="External"/><Relationship Id="rId26" Type="http://schemas.openxmlformats.org/officeDocument/2006/relationships/hyperlink" Target="https://doi.org/10.1190/1.2184367" TargetMode="External"/><Relationship Id="rId39" Type="http://schemas.openxmlformats.org/officeDocument/2006/relationships/hyperlink" Target="https://doi.org/10.1190/1.1440839" TargetMode="External"/><Relationship Id="rId21" Type="http://schemas.openxmlformats.org/officeDocument/2006/relationships/hyperlink" Target="https://doi.org/10.1111/j.1365-2478.2007.00627.x" TargetMode="External"/><Relationship Id="rId34" Type="http://schemas.openxmlformats.org/officeDocument/2006/relationships/hyperlink" Target="https://doi.org/10.1080/20909977.2022.2057147" TargetMode="External"/><Relationship Id="rId42" Type="http://schemas.openxmlformats.org/officeDocument/2006/relationships/hyperlink" Target="https://doi.org/10.1190/geo2014-0577.1" TargetMode="External"/><Relationship Id="rId47" Type="http://schemas.openxmlformats.org/officeDocument/2006/relationships/hyperlink" Target="https://doi.org/10.1016/j.oregeorev.2025.106681"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42461-023-00763-9" TargetMode="External"/><Relationship Id="rId29" Type="http://schemas.openxmlformats.org/officeDocument/2006/relationships/hyperlink" Target="https://doi.org/10.1111/j.1365-2478.1996.tb00142.x" TargetMode="External"/><Relationship Id="rId11" Type="http://schemas.openxmlformats.org/officeDocument/2006/relationships/hyperlink" Target="https://doi.org/10.1007/s12517-024-12048-6" TargetMode="External"/><Relationship Id="rId24" Type="http://schemas.openxmlformats.org/officeDocument/2006/relationships/hyperlink" Target="https://doi.org/10.1016/S0169-1368(97)00012-7" TargetMode="External"/><Relationship Id="rId32" Type="http://schemas.openxmlformats.org/officeDocument/2006/relationships/hyperlink" Target="https://doi.org/10.1007/s12517-020-05619-w" TargetMode="External"/><Relationship Id="rId37" Type="http://schemas.openxmlformats.org/officeDocument/2006/relationships/hyperlink" Target="https://doi.org/10.14419/ijag.v8i2.31023" TargetMode="External"/><Relationship Id="rId40" Type="http://schemas.openxmlformats.org/officeDocument/2006/relationships/hyperlink" Target="https://doi.org/10.1007/s11053-006-9012-7" TargetMode="External"/><Relationship Id="rId45" Type="http://schemas.openxmlformats.org/officeDocument/2006/relationships/hyperlink" Target="https://doi.org/10.1190/1.1438625" TargetMode="External"/><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s://doi.org/10.5897/JGMR12.016" TargetMode="External"/><Relationship Id="rId19" Type="http://schemas.openxmlformats.org/officeDocument/2006/relationships/hyperlink" Target="https://doi.org/10.1016/j.jafrearsci.2025.105543" TargetMode="External"/><Relationship Id="rId31" Type="http://schemas.openxmlformats.org/officeDocument/2006/relationships/hyperlink" Target="https://www.ga.gov.au/data-pubs/library/legacy-publications/journals" TargetMode="External"/><Relationship Id="rId44" Type="http://schemas.openxmlformats.org/officeDocument/2006/relationships/hyperlink" Target="https://doi.org/10.1038/s41598-021-94813-1"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62292/njtep.v3i2.2025.76" TargetMode="External"/><Relationship Id="rId14" Type="http://schemas.openxmlformats.org/officeDocument/2006/relationships/hyperlink" Target="https://doi.org/10.1016/j.ringps.2021.100026" TargetMode="External"/><Relationship Id="rId22" Type="http://schemas.openxmlformats.org/officeDocument/2006/relationships/hyperlink" Target="https://doi.org/10.1016/j.lithos.2015.07.011" TargetMode="External"/><Relationship Id="rId27" Type="http://schemas.openxmlformats.org/officeDocument/2006/relationships/hyperlink" Target="https://doi.org/10.1190/GEO2015-0697.1" TargetMode="External"/><Relationship Id="rId30" Type="http://schemas.openxmlformats.org/officeDocument/2006/relationships/hyperlink" Target="https://doi.org/10.1016/0926-9851(94)90022-1" TargetMode="External"/><Relationship Id="rId35" Type="http://schemas.openxmlformats.org/officeDocument/2006/relationships/hyperlink" Target="https://doi.org/10.4314/gjpas.v32i4.1" TargetMode="External"/><Relationship Id="rId43" Type="http://schemas.openxmlformats.org/officeDocument/2006/relationships/hyperlink" Target="https://doi.org/10.1190/1.1443174" TargetMode="External"/><Relationship Id="rId48" Type="http://schemas.openxmlformats.org/officeDocument/2006/relationships/header" Target="header1.xml"/><Relationship Id="rId8" Type="http://schemas.openxmlformats.org/officeDocument/2006/relationships/hyperlink" Target="https://doi.org/10.1038/s41598-024-70957-8" TargetMode="Externa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doi.org/10.1016/j.jafrearsci.2017.11.033" TargetMode="External"/><Relationship Id="rId17" Type="http://schemas.openxmlformats.org/officeDocument/2006/relationships/hyperlink" Target="https://doi.org/10.1190/1.1442303" TargetMode="External"/><Relationship Id="rId25" Type="http://schemas.openxmlformats.org/officeDocument/2006/relationships/hyperlink" Target="https://doi.org/10.1093/gji/ggaf460" TargetMode="External"/><Relationship Id="rId33" Type="http://schemas.openxmlformats.org/officeDocument/2006/relationships/hyperlink" Target="https://doi.org/10.1190/1.1444545" TargetMode="External"/><Relationship Id="rId38" Type="http://schemas.openxmlformats.org/officeDocument/2006/relationships/hyperlink" Target="https://onemine.org/documents/geology-and-geochemistry-of-iperindo-primary-gold-deposit-ilesha-schist-belt-southwestern-nigeria" TargetMode="External"/><Relationship Id="rId46" Type="http://schemas.openxmlformats.org/officeDocument/2006/relationships/hyperlink" Target="https://doi.org/10.1190/1.1651454" TargetMode="External"/><Relationship Id="rId20" Type="http://schemas.openxmlformats.org/officeDocument/2006/relationships/hyperlink" Target="https://doi.org/10.1179/037174503225003143" TargetMode="External"/><Relationship Id="rId41" Type="http://schemas.openxmlformats.org/officeDocument/2006/relationships/hyperlink" Target="https://doi.org/10.1190/1.144277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86/s41073-019-0064-8" TargetMode="External"/><Relationship Id="rId23" Type="http://schemas.openxmlformats.org/officeDocument/2006/relationships/hyperlink" Target="https://doi.org/10.3997/1365-2397.1990008" TargetMode="External"/><Relationship Id="rId28" Type="http://schemas.openxmlformats.org/officeDocument/2006/relationships/hyperlink" Target="https://doi.org/10.1190/1.1443968" TargetMode="External"/><Relationship Id="rId36" Type="http://schemas.openxmlformats.org/officeDocument/2006/relationships/hyperlink" Target="https://doi.org/10.1080/08123985.2021.1922275"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Pages>
  <Words>15595</Words>
  <Characters>88894</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Geophysical Assessment of Gold Prospectivity in Southwestern Nigeria: A Critical Narrative Review of Induced Polarisation, Electrical Resistivity Tomography, Airborne Radiometrics and Aeromagnetics</dc:title>
  <dc:subject>Critical narrative review of gold geophysics in southwestern Nigeria</dc:subject>
  <dc:creator/>
  <cp:keywords>Ilesha schist belt; Ifewara shear zone; chargeability; mineral prospectivity mapping; hydrothermal alteration; inverse modelling; spatial validation; basement geology</cp:keywords>
  <dc:description>generated by python-docx</dc:description>
  <cp:lastModifiedBy>SDI 1087</cp:lastModifiedBy>
  <cp:revision>5</cp:revision>
  <dcterms:created xsi:type="dcterms:W3CDTF">2013-12-23T23:15:00Z</dcterms:created>
  <dcterms:modified xsi:type="dcterms:W3CDTF">2026-10-30T07:17:00Z</dcterms:modified>
  <cp:category/>
</cp:coreProperties>
</file>