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46607" w14:textId="77777777" w:rsidR="00D611AC" w:rsidRPr="00DC26F6" w:rsidRDefault="00D611AC" w:rsidP="003A1836">
      <w:pPr>
        <w:jc w:val="center"/>
        <w:rPr>
          <w:rFonts w:ascii="Times New Roman" w:hAnsi="Times New Roman" w:cs="Times New Roman"/>
          <w:b/>
          <w:bCs/>
          <w:sz w:val="28"/>
          <w:szCs w:val="28"/>
        </w:rPr>
      </w:pPr>
      <w:r w:rsidRPr="00DC26F6">
        <w:rPr>
          <w:rFonts w:ascii="Times New Roman" w:hAnsi="Times New Roman" w:cs="Times New Roman"/>
          <w:b/>
          <w:bCs/>
          <w:sz w:val="28"/>
          <w:szCs w:val="28"/>
        </w:rPr>
        <w:t xml:space="preserve">Case Report </w:t>
      </w:r>
    </w:p>
    <w:p w14:paraId="4DAAFF8C" w14:textId="77777777" w:rsidR="00D611AC" w:rsidRPr="00DC26F6" w:rsidRDefault="00D611AC" w:rsidP="003A1836">
      <w:pPr>
        <w:jc w:val="center"/>
        <w:rPr>
          <w:rFonts w:ascii="Times New Roman" w:hAnsi="Times New Roman" w:cs="Times New Roman"/>
          <w:b/>
          <w:bCs/>
          <w:sz w:val="28"/>
          <w:szCs w:val="28"/>
        </w:rPr>
      </w:pPr>
    </w:p>
    <w:p w14:paraId="341A7201" w14:textId="77777777" w:rsidR="00C70322" w:rsidRPr="00DC26F6" w:rsidRDefault="00C70322" w:rsidP="003A1836">
      <w:pPr>
        <w:jc w:val="center"/>
        <w:rPr>
          <w:rFonts w:ascii="Times New Roman" w:hAnsi="Times New Roman" w:cs="Times New Roman"/>
          <w:b/>
          <w:bCs/>
          <w:sz w:val="28"/>
          <w:szCs w:val="28"/>
        </w:rPr>
      </w:pPr>
      <w:r w:rsidRPr="00DC26F6">
        <w:rPr>
          <w:rFonts w:ascii="Times New Roman" w:hAnsi="Times New Roman" w:cs="Times New Roman"/>
          <w:b/>
          <w:bCs/>
          <w:sz w:val="28"/>
          <w:szCs w:val="28"/>
        </w:rPr>
        <w:t xml:space="preserve">Insulin-Induced </w:t>
      </w:r>
      <w:proofErr w:type="spellStart"/>
      <w:r w:rsidRPr="00DC26F6">
        <w:rPr>
          <w:rFonts w:ascii="Times New Roman" w:hAnsi="Times New Roman" w:cs="Times New Roman"/>
          <w:b/>
          <w:bCs/>
          <w:sz w:val="28"/>
          <w:szCs w:val="28"/>
        </w:rPr>
        <w:t>Hypoglycemic</w:t>
      </w:r>
      <w:proofErr w:type="spellEnd"/>
      <w:r w:rsidRPr="00DC26F6">
        <w:rPr>
          <w:rFonts w:ascii="Times New Roman" w:hAnsi="Times New Roman" w:cs="Times New Roman"/>
          <w:b/>
          <w:bCs/>
          <w:sz w:val="28"/>
          <w:szCs w:val="28"/>
        </w:rPr>
        <w:t xml:space="preserve"> Seizure in a Diabetic Patient with Acute Kidney Injury and Acute Decompensated Heart Failure</w:t>
      </w:r>
    </w:p>
    <w:p w14:paraId="75946986" w14:textId="77777777" w:rsidR="00E716C6" w:rsidRPr="00DC26F6" w:rsidRDefault="00E716C6" w:rsidP="003A1836">
      <w:pPr>
        <w:jc w:val="center"/>
        <w:rPr>
          <w:rFonts w:ascii="Times New Roman" w:hAnsi="Times New Roman" w:cs="Times New Roman"/>
          <w:b/>
          <w:bCs/>
          <w:sz w:val="28"/>
          <w:szCs w:val="28"/>
        </w:rPr>
      </w:pPr>
    </w:p>
    <w:p w14:paraId="59A13FBA"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Abstract</w:t>
      </w:r>
    </w:p>
    <w:p w14:paraId="3FC53A59" w14:textId="77777777" w:rsidR="00C45133" w:rsidRDefault="00C45133" w:rsidP="00C45133">
      <w:pPr>
        <w:pStyle w:val="NormalWeb"/>
      </w:pPr>
      <w:r>
        <w:rPr>
          <w:rStyle w:val="Strong"/>
        </w:rPr>
        <w:t>Background:</w:t>
      </w:r>
      <w:r>
        <w:t xml:space="preserve"> Acute kidney injury may increase susceptibility to insulin-associated </w:t>
      </w:r>
      <w:proofErr w:type="spellStart"/>
      <w:r>
        <w:t>hypoglycaemia</w:t>
      </w:r>
      <w:proofErr w:type="spellEnd"/>
      <w:r>
        <w:t xml:space="preserve"> through changes in insulin clearance and glucose regulation, particularly when oral intake is reduced.</w:t>
      </w:r>
    </w:p>
    <w:p w14:paraId="0C5C343D" w14:textId="77777777" w:rsidR="00C45133" w:rsidRDefault="00C45133" w:rsidP="00C45133">
      <w:pPr>
        <w:pStyle w:val="NormalWeb"/>
      </w:pPr>
      <w:r>
        <w:rPr>
          <w:rStyle w:val="Strong"/>
        </w:rPr>
        <w:t>Case presentation:</w:t>
      </w:r>
      <w:r>
        <w:t xml:space="preserve"> A 57-year-old man with type 2 diabetes mellitus receiving isophane insulin was admitted with acute decompensated heart failure, myocardial injury and acute kidney injury. Admission findings included serum creatinine of 3.1 mg/dL, troponin I of 0.360 ng/mL and a left ventricular ejection fraction of 30%. During </w:t>
      </w:r>
      <w:proofErr w:type="spellStart"/>
      <w:r>
        <w:t>hospitalisation</w:t>
      </w:r>
      <w:proofErr w:type="spellEnd"/>
      <w:r>
        <w:t xml:space="preserve">, he received NPH insulin (6-0-4 U) and regular insulin (4-4-2 U) while consuming approximately one-third of his meals. At 03:30 on hospital day 3, he experienced a </w:t>
      </w:r>
      <w:proofErr w:type="spellStart"/>
      <w:r>
        <w:t>generalised</w:t>
      </w:r>
      <w:proofErr w:type="spellEnd"/>
      <w:r>
        <w:t xml:space="preserve"> tonic-</w:t>
      </w:r>
      <w:proofErr w:type="spellStart"/>
      <w:r>
        <w:t>clonic</w:t>
      </w:r>
      <w:proofErr w:type="spellEnd"/>
      <w:r>
        <w:t xml:space="preserve"> seizure lasting approximately two minutes, with a documented capillary glucose concentration of 38 mg/dL. The seizure had terminated before intravenous dextrose was administered. Following dextrose treatment, blood glucose increased and consciousness returned. Insulin was subsequently reduced to NPH 6-0-2 U and regular insulin 4-4-1 U, with prandial insulin administration linked to meal consumption. No further </w:t>
      </w:r>
      <w:proofErr w:type="spellStart"/>
      <w:r>
        <w:t>hypoglycaemic</w:t>
      </w:r>
      <w:proofErr w:type="spellEnd"/>
      <w:r>
        <w:t xml:space="preserve"> episodes or seizures were documented during admission or at the one-week follow-up.</w:t>
      </w:r>
    </w:p>
    <w:p w14:paraId="484CBBB6" w14:textId="77777777" w:rsidR="00C45133" w:rsidRDefault="00C45133" w:rsidP="00C45133">
      <w:pPr>
        <w:pStyle w:val="NormalWeb"/>
      </w:pPr>
      <w:r>
        <w:rPr>
          <w:rStyle w:val="Strong"/>
        </w:rPr>
        <w:t>Conclusion:</w:t>
      </w:r>
      <w:r>
        <w:t xml:space="preserve"> This case highlights the need to reassess insulin requirements alongside changes in renal function and nutritional intake during acute illness. The observations are consistent with multiple contributing factors but cannot establish their individual causal roles.</w:t>
      </w:r>
    </w:p>
    <w:p w14:paraId="772C01D3" w14:textId="3CF999FF" w:rsidR="00C45133" w:rsidRDefault="00C70322" w:rsidP="00C70322">
      <w:pPr>
        <w:rPr>
          <w:rFonts w:ascii="Times New Roman" w:hAnsi="Times New Roman" w:cs="Times New Roman"/>
        </w:rPr>
      </w:pPr>
      <w:r>
        <w:rPr>
          <w:rFonts w:ascii="Times New Roman" w:hAnsi="Times New Roman" w:cs="Times New Roman"/>
          <w:b/>
          <w:bCs/>
        </w:rPr>
        <w:t>Keywords:</w:t>
      </w:r>
      <w:r>
        <w:rPr>
          <w:rFonts w:ascii="Times New Roman" w:hAnsi="Times New Roman" w:cs="Times New Roman"/>
        </w:rPr>
        <w:t xml:space="preserve"> </w:t>
      </w:r>
      <w:r w:rsidR="00C45133" w:rsidRPr="00C45133">
        <w:rPr>
          <w:rFonts w:ascii="Times New Roman" w:hAnsi="Times New Roman" w:cs="Times New Roman"/>
        </w:rPr>
        <w:t>Type 2 diabetes mellitus; severe hypoglycaemia; hypoglycaemic seizure; acute kidney injury; acute decompensated heart failure; NPH insulin; regular insulin</w:t>
      </w:r>
    </w:p>
    <w:p w14:paraId="4858C6B8" w14:textId="68E6BEA0"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Introduction</w:t>
      </w:r>
    </w:p>
    <w:p w14:paraId="0D889D2D" w14:textId="5EA3A35C" w:rsidR="00FD211B" w:rsidRPr="00C45133" w:rsidRDefault="00C70322">
      <w:pPr>
        <w:rPr>
          <w:rFonts w:ascii="Times New Roman" w:hAnsi="Times New Roman" w:cs="Times New Roman"/>
        </w:rPr>
      </w:pPr>
      <w:r>
        <w:rPr>
          <w:rFonts w:ascii="Times New Roman" w:hAnsi="Times New Roman" w:cs="Times New Roman"/>
        </w:rPr>
        <w:t xml:space="preserve">The kidney clears a significant fraction of circulating insulin and contributes to fasting glucose production. In AKI, insulin half-life lengthens and counter-regulation weakens, so previously safe doses can cause profound </w:t>
      </w:r>
      <w:r>
        <w:rPr>
          <w:rFonts w:ascii="Times New Roman" w:hAnsi="Times New Roman" w:cs="Times New Roman"/>
          <w:highlight w:val="yellow"/>
        </w:rPr>
        <w:t>hypoglycaemia.</w:t>
      </w:r>
      <w:r>
        <w:rPr>
          <w:rFonts w:ascii="Times New Roman" w:hAnsi="Times New Roman" w:cs="Times New Roman"/>
        </w:rPr>
        <w:t xml:space="preserve"> Anorexia, </w:t>
      </w:r>
      <w:r>
        <w:rPr>
          <w:rFonts w:ascii="Times New Roman" w:hAnsi="Times New Roman" w:cs="Times New Roman"/>
          <w:highlight w:val="yellow"/>
        </w:rPr>
        <w:t>vomiting,</w:t>
      </w:r>
      <w:r>
        <w:rPr>
          <w:rFonts w:ascii="Times New Roman" w:hAnsi="Times New Roman" w:cs="Times New Roman"/>
        </w:rPr>
        <w:t xml:space="preserve"> and beta-blockers add to the risk (Alsahli &amp; Gerich, 2015; Cryer et al., 2009). We describe a </w:t>
      </w:r>
      <w:r>
        <w:rPr>
          <w:rFonts w:ascii="Times New Roman" w:hAnsi="Times New Roman" w:cs="Times New Roman"/>
          <w:highlight w:val="yellow"/>
        </w:rPr>
        <w:t>hospitalised</w:t>
      </w:r>
      <w:r>
        <w:rPr>
          <w:rFonts w:ascii="Times New Roman" w:hAnsi="Times New Roman" w:cs="Times New Roman"/>
        </w:rPr>
        <w:t xml:space="preserve"> patient in whom these factors converged.</w:t>
      </w:r>
      <w:r w:rsidR="00C45133">
        <w:rPr>
          <w:rFonts w:ascii="Times New Roman" w:hAnsi="Times New Roman" w:cs="Times New Roman"/>
        </w:rPr>
        <w:t xml:space="preserve"> </w:t>
      </w:r>
      <w:r w:rsidRPr="00C45133">
        <w:rPr>
          <w:bCs/>
          <w:highlight w:val="yellow"/>
        </w:rPr>
        <w:t>A review of emergency-department hypoglycaemia identified insulin administration and inadequate nutritional intake as relevant clinical contexts, although those observations cannot establish the cause of an individual inpatient event (Sonbul et al., 2021).</w:t>
      </w:r>
    </w:p>
    <w:p w14:paraId="752E6B4D" w14:textId="268542F3" w:rsidR="00FD211B" w:rsidRPr="00C45133" w:rsidRDefault="00000000">
      <w:pPr>
        <w:spacing w:after="140" w:line="271" w:lineRule="auto"/>
      </w:pPr>
      <w:r>
        <w:t xml:space="preserve">The renal contribution to glucose regulation is especially relevant during acute illness because kidney dysfunction can alter both insulin disposition and endogenous glucose availability. Renal disease has been associated with decreased insulin clearance, impaired renal gluconeogenesis, and additional nutritional or metabolic contributors to </w:t>
      </w:r>
      <w:r>
        <w:rPr>
          <w:highlight w:val="yellow"/>
        </w:rPr>
        <w:t>hypoglycaemia;</w:t>
      </w:r>
      <w:r>
        <w:t xml:space="preserve"> however, these mechanisms may differ according to the degree and duration of renal dysfunction (Alsahli &amp; Gerich, 2015; Snyder &amp; Berns, 2004). These considerations support </w:t>
      </w:r>
      <w:r>
        <w:lastRenderedPageBreak/>
        <w:t>individual reassessment of insulin requirements when kidney function changes rather than reliance on a fixed outpatient regimen.</w:t>
      </w:r>
      <w:r w:rsidR="00C45133">
        <w:t xml:space="preserve"> </w:t>
      </w:r>
      <w:r w:rsidRPr="00C45133">
        <w:rPr>
          <w:bCs/>
          <w:highlight w:val="yellow"/>
        </w:rPr>
        <w:t>A recent narrative review of insulin therapy in type 2 diabetes similarly emphasises individualised treatment and measures to reduce hypoglycaemia among patients whose clinical needs change (Abioke et al., 2026).</w:t>
      </w:r>
    </w:p>
    <w:p w14:paraId="267E1983" w14:textId="207FA6D1" w:rsidR="00FD211B" w:rsidRPr="00C45133" w:rsidRDefault="00000000">
      <w:pPr>
        <w:spacing w:after="140" w:line="271" w:lineRule="auto"/>
      </w:pPr>
      <w:r>
        <w:t xml:space="preserve">Observational evidence also links acute kidney injury to clinically important subsequent </w:t>
      </w:r>
      <w:r>
        <w:rPr>
          <w:highlight w:val="yellow"/>
        </w:rPr>
        <w:t>hypoglycaemia.</w:t>
      </w:r>
      <w:r>
        <w:t xml:space="preserve"> In a large propensity-matched cohort of </w:t>
      </w:r>
      <w:r>
        <w:rPr>
          <w:highlight w:val="yellow"/>
        </w:rPr>
        <w:t>hospitalised</w:t>
      </w:r>
      <w:r>
        <w:t xml:space="preserve"> adults with diabetes, acute kidney injury was associated with a higher risk of </w:t>
      </w:r>
      <w:r>
        <w:rPr>
          <w:highlight w:val="yellow"/>
        </w:rPr>
        <w:t>hypoglycaemia</w:t>
      </w:r>
      <w:r>
        <w:t xml:space="preserve"> during the 90 days after discharge, with greater risk among patients whose renal function had not fully recovered (Hung et al., 2018). Although these observations concern postdischarge outcomes and cannot establish the mechanism of an individual inpatient event, they reinforce the importance of monitoring glucose during and following changes in renal function.</w:t>
      </w:r>
      <w:r w:rsidR="00C45133">
        <w:t xml:space="preserve"> </w:t>
      </w:r>
      <w:r w:rsidRPr="00C45133">
        <w:rPr>
          <w:bCs/>
          <w:highlight w:val="yellow"/>
        </w:rPr>
        <w:t>A multi-institutional cohort study also reported an association between incomplete recovery after acute kidney injury and later hypoglycaemia in adults with type 2 diabetes; this postdischarge finding should not be assumed to predict an individual inpatient episode (Chen et al., 2026).</w:t>
      </w:r>
      <w:r w:rsidR="00C45133">
        <w:t xml:space="preserve"> </w:t>
      </w:r>
      <w:r w:rsidRPr="00C45133">
        <w:rPr>
          <w:bCs/>
          <w:highlight w:val="yellow"/>
        </w:rPr>
        <w:t>In contrast, a study using continuous glucose monitoring in hospitalised patients with type 2 diabetes associated acute kidney injury mainly with greater hyperglycaemia, without a significant increase in time below the target range, indicating that glycaemic patterns can differ across settings (Olsen et al., 2026).</w:t>
      </w:r>
    </w:p>
    <w:p w14:paraId="4035628C" w14:textId="23343354" w:rsidR="00FD211B" w:rsidRPr="00C45133" w:rsidRDefault="00000000">
      <w:pPr>
        <w:spacing w:after="140" w:line="271" w:lineRule="auto"/>
      </w:pPr>
      <w:r>
        <w:t xml:space="preserve">Insulin dose selection during </w:t>
      </w:r>
      <w:r>
        <w:rPr>
          <w:highlight w:val="yellow"/>
        </w:rPr>
        <w:t>hospitalisation</w:t>
      </w:r>
      <w:r>
        <w:t xml:space="preserve"> must also account for variation in dietary intake. In a </w:t>
      </w:r>
      <w:r>
        <w:rPr>
          <w:highlight w:val="yellow"/>
        </w:rPr>
        <w:t>randomised</w:t>
      </w:r>
      <w:r>
        <w:t xml:space="preserve"> study involving </w:t>
      </w:r>
      <w:r>
        <w:rPr>
          <w:highlight w:val="yellow"/>
        </w:rPr>
        <w:t>hospitalised</w:t>
      </w:r>
      <w:r>
        <w:t xml:space="preserve"> patients with type 2 diabetes and renal insufficiency, a lower initial weight-based basal-bolus insulin dose provided comparable </w:t>
      </w:r>
      <w:r>
        <w:rPr>
          <w:highlight w:val="yellow"/>
        </w:rPr>
        <w:t>glycaemic</w:t>
      </w:r>
      <w:r>
        <w:t xml:space="preserve"> control with fewer observed episodes of </w:t>
      </w:r>
      <w:r>
        <w:rPr>
          <w:highlight w:val="yellow"/>
        </w:rPr>
        <w:t>hypoglycaemia</w:t>
      </w:r>
      <w:r>
        <w:t xml:space="preserve"> than a higher dose (Baldwin et al., 2012). Another multicenter trial found that a basal-plus-correction approach achieved </w:t>
      </w:r>
      <w:r>
        <w:rPr>
          <w:highlight w:val="yellow"/>
        </w:rPr>
        <w:t>glycaemic</w:t>
      </w:r>
      <w:r>
        <w:t xml:space="preserve"> control similar to a scheduled basal-bolus regimen in selected noncritically ill medical and surgical patients (Umpierrez et al., 2013). These results support </w:t>
      </w:r>
      <w:r>
        <w:rPr>
          <w:highlight w:val="yellow"/>
        </w:rPr>
        <w:t>individualised</w:t>
      </w:r>
      <w:r>
        <w:t xml:space="preserve"> assessment of treatment intensity but do not establish a single preferred regimen for patients with acute kidney injury.</w:t>
      </w:r>
      <w:r w:rsidR="00C45133">
        <w:t xml:space="preserve"> </w:t>
      </w:r>
      <w:r w:rsidRPr="00C45133">
        <w:rPr>
          <w:bCs/>
          <w:highlight w:val="yellow"/>
        </w:rPr>
        <w:t>In a large study of hospitalised adults with type 2 diabetes, documented hypoglycaemia remained a relevant complication of inpatient care, even though its frequency declined over the study period (Heidenreich et al., 2025).</w:t>
      </w:r>
    </w:p>
    <w:p w14:paraId="5B127165" w14:textId="77777777" w:rsidR="005711EB" w:rsidRPr="00DC26F6" w:rsidRDefault="00000000">
      <w:pPr>
        <w:spacing w:after="140" w:line="271" w:lineRule="auto"/>
      </w:pPr>
      <w:r>
        <w:t xml:space="preserve">Insulin formulation and administration time are additional considerations. A patient-level meta-analysis of </w:t>
      </w:r>
      <w:r>
        <w:rPr>
          <w:highlight w:val="yellow"/>
        </w:rPr>
        <w:t>randomised</w:t>
      </w:r>
      <w:r>
        <w:t xml:space="preserve"> trials reported a lower frequency of nocturnal </w:t>
      </w:r>
      <w:r>
        <w:rPr>
          <w:highlight w:val="yellow"/>
        </w:rPr>
        <w:t>hypoglycaemia</w:t>
      </w:r>
      <w:r>
        <w:t xml:space="preserve"> with insulin glargine than with evening neutral protamine Hagedorn (NPH) insulin in the populations studied (Home et al., 2010). Severe </w:t>
      </w:r>
      <w:r>
        <w:rPr>
          <w:highlight w:val="yellow"/>
        </w:rPr>
        <w:t>hypoglycaemia</w:t>
      </w:r>
      <w:r>
        <w:t xml:space="preserve"> has also been associated with cardiovascular electrophysiological disturbances, providing a further reason for caution when cardiac disease coexists with insulin treatment (Chow et al., 2014; Frier et al., 2011).</w:t>
      </w:r>
    </w:p>
    <w:p w14:paraId="6D95160A" w14:textId="77777777" w:rsidR="00FD211B" w:rsidRPr="00C45133" w:rsidRDefault="00000000">
      <w:pPr>
        <w:keepNext/>
        <w:keepLines/>
        <w:spacing w:after="140" w:line="271" w:lineRule="auto"/>
        <w:rPr>
          <w:bCs/>
        </w:rPr>
      </w:pPr>
      <w:r w:rsidRPr="00C45133">
        <w:rPr>
          <w:bCs/>
          <w:highlight w:val="yellow"/>
        </w:rPr>
        <w:lastRenderedPageBreak/>
        <w:t>The observational and treatment studies cited above do not establish how concurrent risk factors contributed to a seizure in an individual hospitalised patient. In the present case, the temporal relationship between renal dysfunction, reduced meal intake, evening NPH administration, and nocturnal hypoglycaemia therefore warrants description without assigning causality to a single factor.</w:t>
      </w:r>
    </w:p>
    <w:p w14:paraId="0B7B827C" w14:textId="77777777" w:rsidR="00FD211B" w:rsidRDefault="00000000">
      <w:pPr>
        <w:keepNext/>
        <w:spacing w:after="140" w:line="271" w:lineRule="auto"/>
      </w:pPr>
      <w:r>
        <w:rPr>
          <w:b/>
          <w:highlight w:val="yellow"/>
        </w:rPr>
        <w:t>Objective</w:t>
      </w:r>
    </w:p>
    <w:p w14:paraId="1C498479" w14:textId="77777777" w:rsidR="00FD211B" w:rsidRPr="00C45133" w:rsidRDefault="00000000">
      <w:pPr>
        <w:spacing w:after="140" w:line="271" w:lineRule="auto"/>
        <w:rPr>
          <w:bCs/>
        </w:rPr>
      </w:pPr>
      <w:r w:rsidRPr="00C45133">
        <w:rPr>
          <w:bCs/>
          <w:highlight w:val="yellow"/>
        </w:rPr>
        <w:t>This case report describes the circumstances, management, and short-term outcome of a nocturnal hypoglycaemic seizure in an insulin-treated patient with acute kidney injury and acute decompensated heart failure.</w:t>
      </w:r>
    </w:p>
    <w:p w14:paraId="4B6BDCFD"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Case Presentation</w:t>
      </w:r>
    </w:p>
    <w:p w14:paraId="0409B73F" w14:textId="77777777" w:rsidR="00C70322" w:rsidRPr="00DC26F6" w:rsidRDefault="00C70322" w:rsidP="00C70322">
      <w:pPr>
        <w:rPr>
          <w:rFonts w:ascii="Times New Roman" w:hAnsi="Times New Roman" w:cs="Times New Roman"/>
        </w:rPr>
      </w:pPr>
      <w:r>
        <w:rPr>
          <w:rFonts w:ascii="Times New Roman" w:hAnsi="Times New Roman" w:cs="Times New Roman"/>
          <w:b/>
          <w:bCs/>
        </w:rPr>
        <w:t>Patient:</w:t>
      </w:r>
      <w:r>
        <w:rPr>
          <w:rFonts w:ascii="Times New Roman" w:hAnsi="Times New Roman" w:cs="Times New Roman"/>
          <w:b/>
          <w:bCs/>
          <w:highlight w:val="yellow"/>
        </w:rPr>
        <w:t xml:space="preserve"> A</w:t>
      </w:r>
      <w:r>
        <w:rPr>
          <w:rFonts w:ascii="Times New Roman" w:hAnsi="Times New Roman" w:cs="Times New Roman"/>
        </w:rPr>
        <w:t xml:space="preserve"> 57-year-old man</w:t>
      </w:r>
      <w:r>
        <w:rPr>
          <w:rFonts w:ascii="Times New Roman" w:hAnsi="Times New Roman" w:cs="Times New Roman"/>
          <w:highlight w:val="yellow"/>
        </w:rPr>
        <w:t xml:space="preserve"> was</w:t>
      </w:r>
      <w:r>
        <w:rPr>
          <w:rFonts w:ascii="Times New Roman" w:hAnsi="Times New Roman" w:cs="Times New Roman"/>
        </w:rPr>
        <w:t xml:space="preserve"> admitted</w:t>
      </w:r>
      <w:r>
        <w:rPr>
          <w:rFonts w:ascii="Times New Roman" w:hAnsi="Times New Roman" w:cs="Times New Roman"/>
          <w:highlight w:val="yellow"/>
        </w:rPr>
        <w:t xml:space="preserve"> on</w:t>
      </w:r>
      <w:r>
        <w:rPr>
          <w:rFonts w:ascii="Times New Roman" w:hAnsi="Times New Roman" w:cs="Times New Roman"/>
        </w:rPr>
        <w:t xml:space="preserve"> 25/05/2026 via Emergency Medicine.</w:t>
      </w:r>
      <w:r>
        <w:rPr>
          <w:rFonts w:ascii="Times New Roman" w:hAnsi="Times New Roman" w:cs="Times New Roman"/>
        </w:rPr>
        <w:br/>
      </w:r>
      <w:r>
        <w:rPr>
          <w:rFonts w:ascii="Times New Roman" w:hAnsi="Times New Roman" w:cs="Times New Roman"/>
          <w:b/>
          <w:bCs/>
        </w:rPr>
        <w:t>Past history:</w:t>
      </w:r>
      <w:r>
        <w:rPr>
          <w:rFonts w:ascii="Times New Roman" w:hAnsi="Times New Roman" w:cs="Times New Roman"/>
        </w:rPr>
        <w:t xml:space="preserve"> Type 2 diabetes mellitus for 12 years, </w:t>
      </w:r>
      <w:r>
        <w:rPr>
          <w:rFonts w:ascii="Times New Roman" w:hAnsi="Times New Roman" w:cs="Times New Roman"/>
          <w:highlight w:val="yellow"/>
        </w:rPr>
        <w:t>treated at home with</w:t>
      </w:r>
      <w:r>
        <w:rPr>
          <w:rFonts w:ascii="Times New Roman" w:hAnsi="Times New Roman" w:cs="Times New Roman"/>
        </w:rPr>
        <w:t xml:space="preserve"> Inj. Isophane insulin 10 U </w:t>
      </w:r>
      <w:r>
        <w:rPr>
          <w:rFonts w:ascii="Times New Roman" w:hAnsi="Times New Roman" w:cs="Times New Roman"/>
          <w:highlight w:val="yellow"/>
        </w:rPr>
        <w:t xml:space="preserve">in the </w:t>
      </w:r>
      <w:r>
        <w:rPr>
          <w:rFonts w:ascii="Times New Roman" w:hAnsi="Times New Roman" w:cs="Times New Roman"/>
        </w:rPr>
        <w:t xml:space="preserve">morning and 6 U </w:t>
      </w:r>
      <w:r>
        <w:rPr>
          <w:rFonts w:ascii="Times New Roman" w:hAnsi="Times New Roman" w:cs="Times New Roman"/>
          <w:highlight w:val="yellow"/>
        </w:rPr>
        <w:t xml:space="preserve">at </w:t>
      </w:r>
      <w:r>
        <w:rPr>
          <w:rFonts w:ascii="Times New Roman" w:hAnsi="Times New Roman" w:cs="Times New Roman"/>
        </w:rPr>
        <w:t xml:space="preserve">night, with poor adherence to </w:t>
      </w:r>
      <w:r>
        <w:rPr>
          <w:rFonts w:ascii="Times New Roman" w:hAnsi="Times New Roman" w:cs="Times New Roman"/>
          <w:highlight w:val="yellow"/>
        </w:rPr>
        <w:t>dietary advice.</w:t>
      </w:r>
      <w:r>
        <w:rPr>
          <w:rFonts w:ascii="Times New Roman" w:hAnsi="Times New Roman" w:cs="Times New Roman"/>
        </w:rPr>
        <w:t xml:space="preserve"> HbA1c 8.6%. Hypertension for 6 years. </w:t>
      </w:r>
      <w:r>
        <w:rPr>
          <w:rFonts w:ascii="Times New Roman" w:hAnsi="Times New Roman" w:cs="Times New Roman"/>
          <w:highlight w:val="yellow"/>
        </w:rPr>
        <w:t>There was no history of</w:t>
      </w:r>
      <w:r>
        <w:rPr>
          <w:rFonts w:ascii="Times New Roman" w:hAnsi="Times New Roman" w:cs="Times New Roman"/>
        </w:rPr>
        <w:t xml:space="preserve"> prior </w:t>
      </w:r>
      <w:r>
        <w:rPr>
          <w:rFonts w:ascii="Times New Roman" w:hAnsi="Times New Roman" w:cs="Times New Roman"/>
          <w:highlight w:val="yellow"/>
        </w:rPr>
        <w:t>hypoglycaemia,</w:t>
      </w:r>
      <w:r>
        <w:rPr>
          <w:rFonts w:ascii="Times New Roman" w:hAnsi="Times New Roman" w:cs="Times New Roman"/>
        </w:rPr>
        <w:t xml:space="preserve"> seizure, or known CKD. </w:t>
      </w:r>
      <w:r>
        <w:rPr>
          <w:rFonts w:ascii="Times New Roman" w:hAnsi="Times New Roman" w:cs="Times New Roman"/>
          <w:highlight w:val="yellow"/>
        </w:rPr>
        <w:t>He was a non-smoker and consumed alcohol</w:t>
      </w:r>
      <w:r>
        <w:rPr>
          <w:rFonts w:ascii="Times New Roman" w:hAnsi="Times New Roman" w:cs="Times New Roman"/>
        </w:rPr>
        <w:t xml:space="preserve"> </w:t>
      </w:r>
      <w:r>
        <w:rPr>
          <w:rFonts w:ascii="Times New Roman" w:hAnsi="Times New Roman" w:cs="Times New Roman"/>
          <w:highlight w:val="yellow"/>
        </w:rPr>
        <w:t>occasionally.</w:t>
      </w:r>
    </w:p>
    <w:p w14:paraId="03C79D7E" w14:textId="77777777" w:rsidR="00C70322" w:rsidRPr="00DC26F6" w:rsidRDefault="00C70322" w:rsidP="00C70322">
      <w:pPr>
        <w:rPr>
          <w:rFonts w:ascii="Times New Roman" w:hAnsi="Times New Roman" w:cs="Times New Roman"/>
        </w:rPr>
      </w:pPr>
      <w:r>
        <w:rPr>
          <w:rFonts w:ascii="Times New Roman" w:hAnsi="Times New Roman" w:cs="Times New Roman"/>
          <w:b/>
          <w:bCs/>
        </w:rPr>
        <w:t>Presenting complaints (15 days):</w:t>
      </w:r>
      <w:r>
        <w:rPr>
          <w:rFonts w:ascii="Times New Roman" w:hAnsi="Times New Roman" w:cs="Times New Roman"/>
        </w:rPr>
        <w:t xml:space="preserve"> </w:t>
      </w:r>
      <w:r>
        <w:rPr>
          <w:rFonts w:ascii="Times New Roman" w:hAnsi="Times New Roman" w:cs="Times New Roman"/>
          <w:highlight w:val="yellow"/>
        </w:rPr>
        <w:t>Progressive</w:t>
      </w:r>
      <w:r>
        <w:rPr>
          <w:rFonts w:ascii="Times New Roman" w:hAnsi="Times New Roman" w:cs="Times New Roman"/>
        </w:rPr>
        <w:t xml:space="preserve"> breathlessness (mMRC grade IV), </w:t>
      </w:r>
      <w:r>
        <w:rPr>
          <w:rFonts w:ascii="Times New Roman" w:hAnsi="Times New Roman" w:cs="Times New Roman"/>
          <w:highlight w:val="yellow"/>
        </w:rPr>
        <w:t>orthopnoea,</w:t>
      </w:r>
      <w:r>
        <w:rPr>
          <w:rFonts w:ascii="Times New Roman" w:hAnsi="Times New Roman" w:cs="Times New Roman"/>
        </w:rPr>
        <w:t xml:space="preserve"> PND, bilateral pitting pedal </w:t>
      </w:r>
      <w:r>
        <w:rPr>
          <w:rFonts w:ascii="Times New Roman" w:hAnsi="Times New Roman" w:cs="Times New Roman"/>
          <w:highlight w:val="yellow"/>
        </w:rPr>
        <w:t>oedema,</w:t>
      </w:r>
      <w:r>
        <w:rPr>
          <w:rFonts w:ascii="Times New Roman" w:hAnsi="Times New Roman" w:cs="Times New Roman"/>
        </w:rPr>
        <w:t xml:space="preserve"> cough with scanty expectoration, anorexia and postprandial vomiting.</w:t>
      </w:r>
    </w:p>
    <w:p w14:paraId="1BF1A7B1" w14:textId="77777777" w:rsidR="00C70322" w:rsidRPr="00DC26F6" w:rsidRDefault="00C70322" w:rsidP="00C70322">
      <w:pPr>
        <w:rPr>
          <w:rFonts w:ascii="Times New Roman" w:hAnsi="Times New Roman" w:cs="Times New Roman"/>
        </w:rPr>
      </w:pPr>
      <w:r>
        <w:rPr>
          <w:rFonts w:ascii="Times New Roman" w:hAnsi="Times New Roman" w:cs="Times New Roman"/>
          <w:b/>
          <w:bCs/>
        </w:rPr>
        <w:t>Examination:</w:t>
      </w:r>
      <w:r>
        <w:rPr>
          <w:rFonts w:ascii="Times New Roman" w:hAnsi="Times New Roman" w:cs="Times New Roman"/>
        </w:rPr>
        <w:t xml:space="preserve"> </w:t>
      </w:r>
      <w:r>
        <w:rPr>
          <w:rFonts w:ascii="Times New Roman" w:hAnsi="Times New Roman" w:cs="Times New Roman"/>
          <w:highlight w:val="yellow"/>
        </w:rPr>
        <w:t>The patient was conscious and</w:t>
      </w:r>
      <w:r>
        <w:rPr>
          <w:rFonts w:ascii="Times New Roman" w:hAnsi="Times New Roman" w:cs="Times New Roman"/>
        </w:rPr>
        <w:t xml:space="preserve"> oriented, </w:t>
      </w:r>
      <w:r>
        <w:rPr>
          <w:rFonts w:ascii="Times New Roman" w:hAnsi="Times New Roman" w:cs="Times New Roman"/>
          <w:highlight w:val="yellow"/>
        </w:rPr>
        <w:t xml:space="preserve">with a </w:t>
      </w:r>
      <w:r>
        <w:rPr>
          <w:rFonts w:ascii="Times New Roman" w:hAnsi="Times New Roman" w:cs="Times New Roman"/>
        </w:rPr>
        <w:t>GCS</w:t>
      </w:r>
      <w:r>
        <w:rPr>
          <w:rFonts w:ascii="Times New Roman" w:hAnsi="Times New Roman" w:cs="Times New Roman"/>
          <w:highlight w:val="yellow"/>
        </w:rPr>
        <w:t xml:space="preserve"> of</w:t>
      </w:r>
      <w:r>
        <w:rPr>
          <w:rFonts w:ascii="Times New Roman" w:hAnsi="Times New Roman" w:cs="Times New Roman"/>
        </w:rPr>
        <w:t xml:space="preserve"> 15/15. Pulse </w:t>
      </w:r>
      <w:r>
        <w:rPr>
          <w:rFonts w:ascii="Times New Roman" w:hAnsi="Times New Roman" w:cs="Times New Roman"/>
          <w:highlight w:val="yellow"/>
        </w:rPr>
        <w:t>102/min,</w:t>
      </w:r>
      <w:r>
        <w:rPr>
          <w:rFonts w:ascii="Times New Roman" w:hAnsi="Times New Roman" w:cs="Times New Roman"/>
        </w:rPr>
        <w:t xml:space="preserve"> </w:t>
      </w:r>
      <w:r>
        <w:rPr>
          <w:rFonts w:ascii="Times New Roman" w:hAnsi="Times New Roman" w:cs="Times New Roman"/>
          <w:highlight w:val="yellow"/>
        </w:rPr>
        <w:t>regular;</w:t>
      </w:r>
      <w:r>
        <w:rPr>
          <w:rFonts w:ascii="Times New Roman" w:hAnsi="Times New Roman" w:cs="Times New Roman"/>
        </w:rPr>
        <w:t xml:space="preserve"> BP 128/78 mmHg, RR 26/min, SpO₂ 90% on room air (95% on 3 L/min </w:t>
      </w:r>
      <w:r>
        <w:rPr>
          <w:rFonts w:ascii="Times New Roman" w:hAnsi="Times New Roman" w:cs="Times New Roman"/>
          <w:highlight w:val="yellow"/>
        </w:rPr>
        <w:t>O₂);</w:t>
      </w:r>
      <w:r>
        <w:rPr>
          <w:rFonts w:ascii="Times New Roman" w:hAnsi="Times New Roman" w:cs="Times New Roman"/>
        </w:rPr>
        <w:t xml:space="preserve"> afebrile. Pallor</w:t>
      </w:r>
      <w:r>
        <w:rPr>
          <w:rFonts w:ascii="Times New Roman" w:hAnsi="Times New Roman" w:cs="Times New Roman"/>
          <w:highlight w:val="yellow"/>
        </w:rPr>
        <w:t xml:space="preserve"> was</w:t>
      </w:r>
      <w:r>
        <w:rPr>
          <w:rFonts w:ascii="Times New Roman" w:hAnsi="Times New Roman" w:cs="Times New Roman"/>
        </w:rPr>
        <w:t xml:space="preserve"> absent. Bilateral pitting </w:t>
      </w:r>
      <w:r>
        <w:rPr>
          <w:rFonts w:ascii="Times New Roman" w:hAnsi="Times New Roman" w:cs="Times New Roman"/>
          <w:highlight w:val="yellow"/>
        </w:rPr>
        <w:t>oedema extended</w:t>
      </w:r>
      <w:r>
        <w:rPr>
          <w:rFonts w:ascii="Times New Roman" w:hAnsi="Times New Roman" w:cs="Times New Roman"/>
        </w:rPr>
        <w:t xml:space="preserve"> up to the knees. JVP </w:t>
      </w:r>
      <w:r>
        <w:rPr>
          <w:rFonts w:ascii="Times New Roman" w:hAnsi="Times New Roman" w:cs="Times New Roman"/>
          <w:highlight w:val="yellow"/>
        </w:rPr>
        <w:t xml:space="preserve">was </w:t>
      </w:r>
      <w:r>
        <w:rPr>
          <w:rFonts w:ascii="Times New Roman" w:hAnsi="Times New Roman" w:cs="Times New Roman"/>
        </w:rPr>
        <w:t xml:space="preserve">raised (6 cm </w:t>
      </w:r>
      <w:r>
        <w:rPr>
          <w:rFonts w:ascii="Times New Roman" w:hAnsi="Times New Roman" w:cs="Times New Roman"/>
          <w:highlight w:val="yellow"/>
        </w:rPr>
        <w:t>above the</w:t>
      </w:r>
      <w:r>
        <w:rPr>
          <w:rFonts w:ascii="Times New Roman" w:hAnsi="Times New Roman" w:cs="Times New Roman"/>
        </w:rPr>
        <w:t xml:space="preserve"> sternal angle). Chest: </w:t>
      </w:r>
      <w:r>
        <w:rPr>
          <w:rFonts w:ascii="Times New Roman" w:hAnsi="Times New Roman" w:cs="Times New Roman"/>
          <w:highlight w:val="yellow"/>
        </w:rPr>
        <w:t>Bilateral</w:t>
      </w:r>
      <w:r>
        <w:rPr>
          <w:rFonts w:ascii="Times New Roman" w:hAnsi="Times New Roman" w:cs="Times New Roman"/>
        </w:rPr>
        <w:t xml:space="preserve"> basal crepitations. CVS: S1 </w:t>
      </w:r>
      <w:r>
        <w:rPr>
          <w:rFonts w:ascii="Times New Roman" w:hAnsi="Times New Roman" w:cs="Times New Roman"/>
          <w:highlight w:val="yellow"/>
        </w:rPr>
        <w:t xml:space="preserve">and </w:t>
      </w:r>
      <w:r>
        <w:rPr>
          <w:rFonts w:ascii="Times New Roman" w:hAnsi="Times New Roman" w:cs="Times New Roman"/>
        </w:rPr>
        <w:t>S2</w:t>
      </w:r>
      <w:r>
        <w:rPr>
          <w:rFonts w:ascii="Times New Roman" w:hAnsi="Times New Roman" w:cs="Times New Roman"/>
          <w:highlight w:val="yellow"/>
        </w:rPr>
        <w:t xml:space="preserve"> were</w:t>
      </w:r>
      <w:r>
        <w:rPr>
          <w:rFonts w:ascii="Times New Roman" w:hAnsi="Times New Roman" w:cs="Times New Roman"/>
        </w:rPr>
        <w:t xml:space="preserve"> </w:t>
      </w:r>
      <w:r>
        <w:rPr>
          <w:rFonts w:ascii="Times New Roman" w:hAnsi="Times New Roman" w:cs="Times New Roman"/>
          <w:highlight w:val="yellow"/>
        </w:rPr>
        <w:t>normal; an</w:t>
      </w:r>
      <w:r>
        <w:rPr>
          <w:rFonts w:ascii="Times New Roman" w:hAnsi="Times New Roman" w:cs="Times New Roman"/>
        </w:rPr>
        <w:t xml:space="preserve"> S3 gallop </w:t>
      </w:r>
      <w:r>
        <w:rPr>
          <w:rFonts w:ascii="Times New Roman" w:hAnsi="Times New Roman" w:cs="Times New Roman"/>
          <w:highlight w:val="yellow"/>
        </w:rPr>
        <w:t xml:space="preserve">was </w:t>
      </w:r>
      <w:r>
        <w:rPr>
          <w:rFonts w:ascii="Times New Roman" w:hAnsi="Times New Roman" w:cs="Times New Roman"/>
        </w:rPr>
        <w:t>present,</w:t>
      </w:r>
      <w:r>
        <w:rPr>
          <w:rFonts w:ascii="Times New Roman" w:hAnsi="Times New Roman" w:cs="Times New Roman"/>
          <w:highlight w:val="yellow"/>
        </w:rPr>
        <w:t xml:space="preserve"> with</w:t>
      </w:r>
      <w:r>
        <w:rPr>
          <w:rFonts w:ascii="Times New Roman" w:hAnsi="Times New Roman" w:cs="Times New Roman"/>
        </w:rPr>
        <w:t xml:space="preserve"> no murmur. Abdomen: </w:t>
      </w:r>
      <w:r>
        <w:rPr>
          <w:rFonts w:ascii="Times New Roman" w:hAnsi="Times New Roman" w:cs="Times New Roman"/>
          <w:highlight w:val="yellow"/>
        </w:rPr>
        <w:t>Soft,</w:t>
      </w:r>
      <w:r>
        <w:rPr>
          <w:rFonts w:ascii="Times New Roman" w:hAnsi="Times New Roman" w:cs="Times New Roman"/>
        </w:rPr>
        <w:t xml:space="preserve"> </w:t>
      </w:r>
      <w:r>
        <w:rPr>
          <w:rFonts w:ascii="Times New Roman" w:hAnsi="Times New Roman" w:cs="Times New Roman"/>
          <w:highlight w:val="yellow"/>
        </w:rPr>
        <w:t>with mildly</w:t>
      </w:r>
      <w:r>
        <w:rPr>
          <w:rFonts w:ascii="Times New Roman" w:hAnsi="Times New Roman" w:cs="Times New Roman"/>
        </w:rPr>
        <w:t xml:space="preserve"> tender hepatomegaly</w:t>
      </w:r>
      <w:r>
        <w:rPr>
          <w:rFonts w:ascii="Times New Roman" w:hAnsi="Times New Roman" w:cs="Times New Roman"/>
          <w:highlight w:val="yellow"/>
        </w:rPr>
        <w:t xml:space="preserve"> and</w:t>
      </w:r>
      <w:r>
        <w:rPr>
          <w:rFonts w:ascii="Times New Roman" w:hAnsi="Times New Roman" w:cs="Times New Roman"/>
        </w:rPr>
        <w:t xml:space="preserve"> suprapubic tenderness. CNS: </w:t>
      </w:r>
      <w:r>
        <w:rPr>
          <w:rFonts w:ascii="Times New Roman" w:hAnsi="Times New Roman" w:cs="Times New Roman"/>
          <w:highlight w:val="yellow"/>
        </w:rPr>
        <w:t>No</w:t>
      </w:r>
      <w:r>
        <w:rPr>
          <w:rFonts w:ascii="Times New Roman" w:hAnsi="Times New Roman" w:cs="Times New Roman"/>
        </w:rPr>
        <w:t xml:space="preserve"> focal deficit.</w:t>
      </w:r>
    </w:p>
    <w:p w14:paraId="20BAFEA1"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Investigations:</w:t>
      </w:r>
    </w:p>
    <w:p w14:paraId="40C72B59" w14:textId="77777777" w:rsidR="00FD211B" w:rsidRDefault="00000000">
      <w:r>
        <w:rPr>
          <w:highlight w:val="yellow"/>
        </w:rPr>
        <w:t>The admission investigation results are presented in Table 1.</w:t>
      </w:r>
    </w:p>
    <w:p w14:paraId="33D6CC66" w14:textId="77777777" w:rsidR="000132B9" w:rsidRPr="00DC26F6" w:rsidRDefault="000132B9" w:rsidP="00C70322">
      <w:pPr>
        <w:keepNext/>
        <w:spacing w:before="120" w:after="60"/>
        <w:rPr>
          <w:rFonts w:ascii="Times New Roman" w:hAnsi="Times New Roman" w:cs="Times New Roman"/>
          <w:b/>
          <w:bCs/>
        </w:rPr>
      </w:pPr>
      <w:r w:rsidRPr="00DC26F6">
        <w:rPr>
          <w:b/>
        </w:rPr>
        <w:t>Table 1. Clinical Laboratory, Electrocardiographic, Echocardiographic, and Radiographic Findings at Admission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2"/>
        <w:gridCol w:w="6314"/>
      </w:tblGrid>
      <w:tr w:rsidR="00C70322" w:rsidRPr="00DC26F6" w14:paraId="02760FF6" w14:textId="77777777">
        <w:trPr>
          <w:tblHeader/>
          <w:tblCellSpacing w:w="15" w:type="dxa"/>
        </w:trPr>
        <w:tc>
          <w:tcPr>
            <w:tcW w:w="0" w:type="auto"/>
            <w:vAlign w:val="center"/>
            <w:hideMark/>
          </w:tcPr>
          <w:p w14:paraId="526C4171" w14:textId="77777777" w:rsidR="00C70322" w:rsidRPr="00DC26F6" w:rsidRDefault="00C70322" w:rsidP="00C70322">
            <w:pPr>
              <w:keepNext/>
              <w:rPr>
                <w:rFonts w:ascii="Times New Roman" w:hAnsi="Times New Roman" w:cs="Times New Roman"/>
                <w:b/>
                <w:bCs/>
              </w:rPr>
            </w:pPr>
            <w:r w:rsidRPr="00DC26F6">
              <w:rPr>
                <w:rFonts w:ascii="Times New Roman" w:hAnsi="Times New Roman" w:cs="Times New Roman"/>
                <w:b/>
                <w:bCs/>
              </w:rPr>
              <w:t>Test</w:t>
            </w:r>
          </w:p>
        </w:tc>
        <w:tc>
          <w:tcPr>
            <w:tcW w:w="0" w:type="auto"/>
            <w:vAlign w:val="center"/>
            <w:hideMark/>
          </w:tcPr>
          <w:p w14:paraId="1E176478" w14:textId="77777777" w:rsidR="00C70322" w:rsidRPr="00DC26F6" w:rsidRDefault="00C70322" w:rsidP="00C70322">
            <w:pPr>
              <w:keepNext/>
              <w:rPr>
                <w:rFonts w:ascii="Times New Roman" w:hAnsi="Times New Roman" w:cs="Times New Roman"/>
                <w:b/>
                <w:bCs/>
              </w:rPr>
            </w:pPr>
            <w:r w:rsidRPr="00DC26F6">
              <w:rPr>
                <w:rFonts w:ascii="Times New Roman" w:hAnsi="Times New Roman" w:cs="Times New Roman"/>
                <w:b/>
                <w:bCs/>
              </w:rPr>
              <w:t>Result</w:t>
            </w:r>
          </w:p>
        </w:tc>
      </w:tr>
      <w:tr w:rsidR="00C70322" w:rsidRPr="00DC26F6" w14:paraId="2BFD54D3" w14:textId="77777777">
        <w:trPr>
          <w:tblCellSpacing w:w="15" w:type="dxa"/>
        </w:trPr>
        <w:tc>
          <w:tcPr>
            <w:tcW w:w="0" w:type="auto"/>
            <w:vAlign w:val="center"/>
            <w:hideMark/>
          </w:tcPr>
          <w:p w14:paraId="064F04F8"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Troponin I (quantitative)</w:t>
            </w:r>
          </w:p>
        </w:tc>
        <w:tc>
          <w:tcPr>
            <w:tcW w:w="0" w:type="auto"/>
            <w:vAlign w:val="center"/>
            <w:hideMark/>
          </w:tcPr>
          <w:p w14:paraId="207E6535"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0.360 ng/mL (raised); repeat at 6 h 0.341 ng/mL (flat)</w:t>
            </w:r>
          </w:p>
        </w:tc>
      </w:tr>
      <w:tr w:rsidR="00C70322" w:rsidRPr="00DC26F6" w14:paraId="20068108" w14:textId="77777777">
        <w:trPr>
          <w:tblCellSpacing w:w="15" w:type="dxa"/>
        </w:trPr>
        <w:tc>
          <w:tcPr>
            <w:tcW w:w="0" w:type="auto"/>
            <w:vAlign w:val="center"/>
            <w:hideMark/>
          </w:tcPr>
          <w:p w14:paraId="30ABDE2F"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Blood urea / Serum creatinine</w:t>
            </w:r>
          </w:p>
        </w:tc>
        <w:tc>
          <w:tcPr>
            <w:tcW w:w="0" w:type="auto"/>
            <w:vAlign w:val="center"/>
            <w:hideMark/>
          </w:tcPr>
          <w:p w14:paraId="4C7783C2"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62 mg/dL / 3.1 mg/dL</w:t>
            </w:r>
          </w:p>
        </w:tc>
      </w:tr>
      <w:tr w:rsidR="00C70322" w:rsidRPr="00DC26F6" w14:paraId="2733BAF2" w14:textId="77777777">
        <w:trPr>
          <w:tblCellSpacing w:w="15" w:type="dxa"/>
        </w:trPr>
        <w:tc>
          <w:tcPr>
            <w:tcW w:w="0" w:type="auto"/>
            <w:vAlign w:val="center"/>
            <w:hideMark/>
          </w:tcPr>
          <w:p w14:paraId="3490E015"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Random blood glucose</w:t>
            </w:r>
          </w:p>
        </w:tc>
        <w:tc>
          <w:tcPr>
            <w:tcW w:w="0" w:type="auto"/>
            <w:vAlign w:val="center"/>
            <w:hideMark/>
          </w:tcPr>
          <w:p w14:paraId="34F146BE"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208–229 mg/dL</w:t>
            </w:r>
          </w:p>
        </w:tc>
      </w:tr>
      <w:tr w:rsidR="00C70322" w:rsidRPr="00DC26F6" w14:paraId="5676E7E6" w14:textId="77777777">
        <w:trPr>
          <w:tblCellSpacing w:w="15" w:type="dxa"/>
        </w:trPr>
        <w:tc>
          <w:tcPr>
            <w:tcW w:w="0" w:type="auto"/>
            <w:vAlign w:val="center"/>
            <w:hideMark/>
          </w:tcPr>
          <w:p w14:paraId="06979A2D"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HbA1c</w:t>
            </w:r>
          </w:p>
        </w:tc>
        <w:tc>
          <w:tcPr>
            <w:tcW w:w="0" w:type="auto"/>
            <w:vAlign w:val="center"/>
            <w:hideMark/>
          </w:tcPr>
          <w:p w14:paraId="01027609"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8.6%</w:t>
            </w:r>
          </w:p>
        </w:tc>
      </w:tr>
      <w:tr w:rsidR="00C70322" w:rsidRPr="00DC26F6" w14:paraId="61B5EDD6" w14:textId="77777777">
        <w:trPr>
          <w:tblCellSpacing w:w="15" w:type="dxa"/>
        </w:trPr>
        <w:tc>
          <w:tcPr>
            <w:tcW w:w="0" w:type="auto"/>
            <w:vAlign w:val="center"/>
            <w:hideMark/>
          </w:tcPr>
          <w:p w14:paraId="2AAB37FA" w14:textId="77777777" w:rsidR="00C70322" w:rsidRPr="00DC26F6" w:rsidRDefault="00C70322" w:rsidP="00C70322">
            <w:pPr>
              <w:rPr>
                <w:rFonts w:ascii="Times New Roman" w:hAnsi="Times New Roman" w:cs="Times New Roman"/>
              </w:rPr>
            </w:pPr>
            <w:proofErr w:type="spellStart"/>
            <w:r w:rsidRPr="00DC26F6">
              <w:rPr>
                <w:rFonts w:ascii="Times New Roman" w:hAnsi="Times New Roman" w:cs="Times New Roman"/>
              </w:rPr>
              <w:t>Hemoglobin</w:t>
            </w:r>
            <w:proofErr w:type="spellEnd"/>
            <w:r w:rsidRPr="00DC26F6">
              <w:rPr>
                <w:rFonts w:ascii="Times New Roman" w:hAnsi="Times New Roman" w:cs="Times New Roman"/>
              </w:rPr>
              <w:t xml:space="preserve"> / TLC / Platelets</w:t>
            </w:r>
          </w:p>
        </w:tc>
        <w:tc>
          <w:tcPr>
            <w:tcW w:w="0" w:type="auto"/>
            <w:vAlign w:val="center"/>
            <w:hideMark/>
          </w:tcPr>
          <w:p w14:paraId="058F3376"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11.2 g/dL / 11,800 /µL (neutrophilic) / 2.1 lakh/µL</w:t>
            </w:r>
          </w:p>
        </w:tc>
      </w:tr>
      <w:tr w:rsidR="00C70322" w:rsidRPr="00DC26F6" w14:paraId="1672567D" w14:textId="77777777">
        <w:trPr>
          <w:tblCellSpacing w:w="15" w:type="dxa"/>
        </w:trPr>
        <w:tc>
          <w:tcPr>
            <w:tcW w:w="0" w:type="auto"/>
            <w:vAlign w:val="center"/>
            <w:hideMark/>
          </w:tcPr>
          <w:p w14:paraId="1B721EE2"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Na⁺ / K⁺ / Cl⁻</w:t>
            </w:r>
          </w:p>
        </w:tc>
        <w:tc>
          <w:tcPr>
            <w:tcW w:w="0" w:type="auto"/>
            <w:vAlign w:val="center"/>
            <w:hideMark/>
          </w:tcPr>
          <w:p w14:paraId="04178C69"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134 / 5.3 / 100 mmol/L</w:t>
            </w:r>
          </w:p>
        </w:tc>
      </w:tr>
      <w:tr w:rsidR="00C70322" w:rsidRPr="00DC26F6" w14:paraId="37C35B1C" w14:textId="77777777">
        <w:trPr>
          <w:tblCellSpacing w:w="15" w:type="dxa"/>
        </w:trPr>
        <w:tc>
          <w:tcPr>
            <w:tcW w:w="0" w:type="auto"/>
            <w:vAlign w:val="center"/>
            <w:hideMark/>
          </w:tcPr>
          <w:p w14:paraId="3B6CB1AF"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Calcium / Magnesium</w:t>
            </w:r>
          </w:p>
        </w:tc>
        <w:tc>
          <w:tcPr>
            <w:tcW w:w="0" w:type="auto"/>
            <w:vAlign w:val="center"/>
            <w:hideMark/>
          </w:tcPr>
          <w:p w14:paraId="53E949DC"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8.7 / 1.9 mg/dL</w:t>
            </w:r>
          </w:p>
        </w:tc>
      </w:tr>
      <w:tr w:rsidR="00C70322" w:rsidRPr="00DC26F6" w14:paraId="6EC9712B" w14:textId="77777777">
        <w:trPr>
          <w:tblCellSpacing w:w="15" w:type="dxa"/>
        </w:trPr>
        <w:tc>
          <w:tcPr>
            <w:tcW w:w="0" w:type="auto"/>
            <w:vAlign w:val="center"/>
            <w:hideMark/>
          </w:tcPr>
          <w:p w14:paraId="5C8B0102"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Serum bicarbonate</w:t>
            </w:r>
          </w:p>
        </w:tc>
        <w:tc>
          <w:tcPr>
            <w:tcW w:w="0" w:type="auto"/>
            <w:vAlign w:val="center"/>
            <w:hideMark/>
          </w:tcPr>
          <w:p w14:paraId="5BB2A0A3"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17 mmol/L (mild metabolic acidosis)</w:t>
            </w:r>
          </w:p>
        </w:tc>
      </w:tr>
      <w:tr w:rsidR="00C70322" w:rsidRPr="00DC26F6" w14:paraId="2E6A5A1E" w14:textId="77777777">
        <w:trPr>
          <w:tblCellSpacing w:w="15" w:type="dxa"/>
        </w:trPr>
        <w:tc>
          <w:tcPr>
            <w:tcW w:w="0" w:type="auto"/>
            <w:vAlign w:val="center"/>
            <w:hideMark/>
          </w:tcPr>
          <w:p w14:paraId="4107644D"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lastRenderedPageBreak/>
              <w:t>ABG</w:t>
            </w:r>
          </w:p>
        </w:tc>
        <w:tc>
          <w:tcPr>
            <w:tcW w:w="0" w:type="auto"/>
            <w:vAlign w:val="center"/>
            <w:hideMark/>
          </w:tcPr>
          <w:p w14:paraId="539FA42E"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pH 7.31, </w:t>
            </w:r>
            <w:proofErr w:type="spellStart"/>
            <w:r w:rsidRPr="00DC26F6">
              <w:rPr>
                <w:rFonts w:ascii="Times New Roman" w:hAnsi="Times New Roman" w:cs="Times New Roman"/>
              </w:rPr>
              <w:t>pCO</w:t>
            </w:r>
            <w:proofErr w:type="spellEnd"/>
            <w:r w:rsidRPr="00DC26F6">
              <w:rPr>
                <w:rFonts w:ascii="Times New Roman" w:hAnsi="Times New Roman" w:cs="Times New Roman"/>
              </w:rPr>
              <w:t>₂ 30, HCO₃ 15</w:t>
            </w:r>
          </w:p>
        </w:tc>
      </w:tr>
      <w:tr w:rsidR="00C70322" w:rsidRPr="00DC26F6" w14:paraId="4211A4D5" w14:textId="77777777">
        <w:trPr>
          <w:tblCellSpacing w:w="15" w:type="dxa"/>
        </w:trPr>
        <w:tc>
          <w:tcPr>
            <w:tcW w:w="0" w:type="auto"/>
            <w:vAlign w:val="center"/>
            <w:hideMark/>
          </w:tcPr>
          <w:p w14:paraId="41100FD5"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Urine routine</w:t>
            </w:r>
          </w:p>
        </w:tc>
        <w:tc>
          <w:tcPr>
            <w:tcW w:w="0" w:type="auto"/>
            <w:vAlign w:val="center"/>
            <w:hideMark/>
          </w:tcPr>
          <w:p w14:paraId="203C3D8A"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Protein 1+, pus cells 15–20/</w:t>
            </w:r>
            <w:proofErr w:type="spellStart"/>
            <w:r w:rsidRPr="00DC26F6">
              <w:rPr>
                <w:rFonts w:ascii="Times New Roman" w:hAnsi="Times New Roman" w:cs="Times New Roman"/>
              </w:rPr>
              <w:t>hpf</w:t>
            </w:r>
            <w:proofErr w:type="spellEnd"/>
            <w:r w:rsidRPr="00DC26F6">
              <w:rPr>
                <w:rFonts w:ascii="Times New Roman" w:hAnsi="Times New Roman" w:cs="Times New Roman"/>
              </w:rPr>
              <w:t>, no ketones</w:t>
            </w:r>
          </w:p>
        </w:tc>
      </w:tr>
      <w:tr w:rsidR="00C70322" w:rsidRPr="00DC26F6" w14:paraId="65B8779D" w14:textId="77777777">
        <w:trPr>
          <w:tblCellSpacing w:w="15" w:type="dxa"/>
        </w:trPr>
        <w:tc>
          <w:tcPr>
            <w:tcW w:w="0" w:type="auto"/>
            <w:vAlign w:val="center"/>
            <w:hideMark/>
          </w:tcPr>
          <w:p w14:paraId="39ED6715"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ECG</w:t>
            </w:r>
          </w:p>
        </w:tc>
        <w:tc>
          <w:tcPr>
            <w:tcW w:w="0" w:type="auto"/>
            <w:vAlign w:val="center"/>
            <w:hideMark/>
          </w:tcPr>
          <w:p w14:paraId="63985317"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Sinus tachycardia, nonspecific ST-T changes, no acute ST elevation</w:t>
            </w:r>
          </w:p>
        </w:tc>
      </w:tr>
      <w:tr w:rsidR="00C70322" w:rsidRPr="00DC26F6" w14:paraId="79930789" w14:textId="77777777">
        <w:trPr>
          <w:tblCellSpacing w:w="15" w:type="dxa"/>
        </w:trPr>
        <w:tc>
          <w:tcPr>
            <w:tcW w:w="0" w:type="auto"/>
            <w:vAlign w:val="center"/>
            <w:hideMark/>
          </w:tcPr>
          <w:p w14:paraId="70D1AF34"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2D-Echo</w:t>
            </w:r>
          </w:p>
        </w:tc>
        <w:tc>
          <w:tcPr>
            <w:tcW w:w="0" w:type="auto"/>
            <w:vAlign w:val="center"/>
            <w:hideMark/>
          </w:tcPr>
          <w:p w14:paraId="373B50AE"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LVEF 30%, global hypokinesia, mild MR, IVC dilated</w:t>
            </w:r>
          </w:p>
        </w:tc>
      </w:tr>
      <w:tr w:rsidR="00C70322" w:rsidRPr="00DC26F6" w14:paraId="0736F0FD" w14:textId="77777777">
        <w:trPr>
          <w:tblCellSpacing w:w="15" w:type="dxa"/>
        </w:trPr>
        <w:tc>
          <w:tcPr>
            <w:tcW w:w="0" w:type="auto"/>
            <w:vAlign w:val="center"/>
            <w:hideMark/>
          </w:tcPr>
          <w:p w14:paraId="18951B4B"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Chest X-ray</w:t>
            </w:r>
          </w:p>
        </w:tc>
        <w:tc>
          <w:tcPr>
            <w:tcW w:w="0" w:type="auto"/>
            <w:vAlign w:val="center"/>
            <w:hideMark/>
          </w:tcPr>
          <w:p w14:paraId="2B44BDED"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Cardiomegaly, bilateral pleural effusion, pulmonary venous congestion</w:t>
            </w:r>
          </w:p>
        </w:tc>
      </w:tr>
    </w:tbl>
    <w:p w14:paraId="61C7BCC0" w14:textId="77777777" w:rsidR="00C70322" w:rsidRPr="00DC26F6" w:rsidRDefault="00C70322" w:rsidP="00C70322">
      <w:pPr>
        <w:rPr>
          <w:rFonts w:ascii="Times New Roman" w:hAnsi="Times New Roman" w:cs="Times New Roman"/>
        </w:rPr>
      </w:pPr>
      <w:r>
        <w:rPr>
          <w:rFonts w:ascii="Times New Roman" w:hAnsi="Times New Roman" w:cs="Times New Roman"/>
          <w:b/>
          <w:bCs/>
        </w:rPr>
        <w:t>USG KUB:</w:t>
      </w:r>
      <w:r>
        <w:rPr>
          <w:rFonts w:ascii="Times New Roman" w:hAnsi="Times New Roman" w:cs="Times New Roman"/>
        </w:rPr>
        <w:t xml:space="preserve"> </w:t>
      </w:r>
      <w:r>
        <w:rPr>
          <w:rFonts w:ascii="Times New Roman" w:hAnsi="Times New Roman" w:cs="Times New Roman"/>
          <w:highlight w:val="yellow"/>
        </w:rPr>
        <w:t>Bilaterally</w:t>
      </w:r>
      <w:r>
        <w:rPr>
          <w:rFonts w:ascii="Times New Roman" w:hAnsi="Times New Roman" w:cs="Times New Roman"/>
        </w:rPr>
        <w:t xml:space="preserve"> increased renal cortical echoes (AKI/medical renal disease), right renal cortical cyst, diffuse irregular bladder wall thickening of 7 mm (cystitis), grade I prostatomegaly.</w:t>
      </w:r>
    </w:p>
    <w:p w14:paraId="46A0FD59" w14:textId="77777777" w:rsidR="00C70322" w:rsidRPr="00DC26F6" w:rsidRDefault="00C70322" w:rsidP="00C70322">
      <w:pPr>
        <w:rPr>
          <w:rFonts w:ascii="Times New Roman" w:hAnsi="Times New Roman" w:cs="Times New Roman"/>
        </w:rPr>
      </w:pPr>
      <w:r>
        <w:rPr>
          <w:rFonts w:ascii="Times New Roman" w:hAnsi="Times New Roman" w:cs="Times New Roman"/>
          <w:b/>
          <w:bCs/>
        </w:rPr>
        <w:t>Diagnosis:</w:t>
      </w:r>
      <w:r>
        <w:rPr>
          <w:rFonts w:ascii="Times New Roman" w:hAnsi="Times New Roman" w:cs="Times New Roman"/>
        </w:rPr>
        <w:t xml:space="preserve"> Acute decompensated heart failure with reduced EF (LVEF 30%) </w:t>
      </w:r>
      <w:r>
        <w:rPr>
          <w:rFonts w:ascii="Times New Roman" w:hAnsi="Times New Roman" w:cs="Times New Roman"/>
          <w:highlight w:val="yellow"/>
        </w:rPr>
        <w:t>and</w:t>
      </w:r>
      <w:r>
        <w:rPr>
          <w:rFonts w:ascii="Times New Roman" w:hAnsi="Times New Roman" w:cs="Times New Roman"/>
        </w:rPr>
        <w:t xml:space="preserve"> type 2 myocardial injury, cardiorenal AKI (KDIGO stage 2) (Kidney Disease: Improving Global Outcomes [KDIGO] Acute Kidney Injury Work Group, 2012), type 2 diabetes with </w:t>
      </w:r>
      <w:r>
        <w:rPr>
          <w:rFonts w:ascii="Times New Roman" w:hAnsi="Times New Roman" w:cs="Times New Roman"/>
          <w:highlight w:val="yellow"/>
        </w:rPr>
        <w:t>hyperglycaemia,</w:t>
      </w:r>
      <w:r>
        <w:rPr>
          <w:rFonts w:ascii="Times New Roman" w:hAnsi="Times New Roman" w:cs="Times New Roman"/>
        </w:rPr>
        <w:t xml:space="preserve"> and cystitis.</w:t>
      </w:r>
    </w:p>
    <w:p w14:paraId="292412E1"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Initial Treatment</w:t>
      </w:r>
    </w:p>
    <w:p w14:paraId="67F50984" w14:textId="77777777" w:rsidR="00C70322" w:rsidRPr="00DC26F6" w:rsidRDefault="00C70322" w:rsidP="00C70322">
      <w:pPr>
        <w:rPr>
          <w:rFonts w:ascii="Times New Roman" w:hAnsi="Times New Roman" w:cs="Times New Roman"/>
        </w:rPr>
      </w:pPr>
      <w:r>
        <w:rPr>
          <w:rFonts w:ascii="Times New Roman" w:hAnsi="Times New Roman" w:cs="Times New Roman"/>
        </w:rPr>
        <w:t>Inj. Ceftriaxone 2 g IV OD; Inj. Pantoprazole 40 mg IV OD (then PO); Tab. Sodium bicarbonate 1 g TDS; Tab. Ezetimibe/Atorvastatin 10/20 mg HS; Tab. Itopride 2.5 mg OD; Tab. Furosemide 20 mg 1-1-0; Tab. Carvedilol 3.125 mg 1-0-1; Inj. NPH 6 U-0-4 U SC; Inj. Actrapid 4 U-4 U-2 U SC. Spironolactone 12.5 mg and ivabradine 5 mg were stopped by the treating physician because of AKI with potassium 5.3 mmol/L and the risk of bradycardia with concurrent beta-blocker</w:t>
      </w:r>
      <w:r>
        <w:rPr>
          <w:rFonts w:ascii="Times New Roman" w:hAnsi="Times New Roman" w:cs="Times New Roman"/>
          <w:highlight w:val="yellow"/>
        </w:rPr>
        <w:t xml:space="preserve"> treatment.</w:t>
      </w:r>
      <w:r>
        <w:rPr>
          <w:rFonts w:ascii="Times New Roman" w:hAnsi="Times New Roman" w:cs="Times New Roman"/>
        </w:rPr>
        <w:t xml:space="preserve"> Oxygen and fluid restriction were advised.</w:t>
      </w:r>
    </w:p>
    <w:p w14:paraId="3E7B0D9B" w14:textId="77777777" w:rsidR="00C70322" w:rsidRPr="00DC26F6" w:rsidRDefault="00C70322" w:rsidP="00C70322">
      <w:pPr>
        <w:rPr>
          <w:rFonts w:ascii="Times New Roman" w:hAnsi="Times New Roman" w:cs="Times New Roman"/>
          <w:b/>
          <w:bCs/>
        </w:rPr>
      </w:pPr>
      <w:r>
        <w:rPr>
          <w:rFonts w:ascii="Times New Roman" w:hAnsi="Times New Roman" w:cs="Times New Roman"/>
          <w:b/>
          <w:bCs/>
          <w:highlight w:val="yellow"/>
        </w:rPr>
        <w:t>Hypoglycaemic</w:t>
      </w:r>
      <w:r>
        <w:rPr>
          <w:rFonts w:ascii="Times New Roman" w:hAnsi="Times New Roman" w:cs="Times New Roman"/>
          <w:b/>
          <w:bCs/>
        </w:rPr>
        <w:t xml:space="preserve"> Event</w:t>
      </w:r>
    </w:p>
    <w:p w14:paraId="11C5C86E" w14:textId="77777777" w:rsidR="00C70322" w:rsidRPr="00DC26F6" w:rsidRDefault="00C70322" w:rsidP="00C70322">
      <w:pPr>
        <w:rPr>
          <w:rFonts w:ascii="Times New Roman" w:hAnsi="Times New Roman" w:cs="Times New Roman"/>
        </w:rPr>
      </w:pPr>
      <w:r>
        <w:rPr>
          <w:rFonts w:ascii="Times New Roman" w:hAnsi="Times New Roman" w:cs="Times New Roman"/>
        </w:rPr>
        <w:t xml:space="preserve">On hospital day 3, the patient had been eating about one-third of his meals because of nausea and anorexia. He had received NPH 4 U at 21:00 and had eaten little dinner. At 03:30, the nurse found him diaphoretic and </w:t>
      </w:r>
      <w:r>
        <w:rPr>
          <w:rFonts w:ascii="Times New Roman" w:hAnsi="Times New Roman" w:cs="Times New Roman"/>
          <w:highlight w:val="yellow"/>
        </w:rPr>
        <w:t>confused; this was</w:t>
      </w:r>
      <w:r>
        <w:rPr>
          <w:rFonts w:ascii="Times New Roman" w:hAnsi="Times New Roman" w:cs="Times New Roman"/>
        </w:rPr>
        <w:t xml:space="preserve"> followed by a </w:t>
      </w:r>
      <w:r>
        <w:rPr>
          <w:rFonts w:ascii="Times New Roman" w:hAnsi="Times New Roman" w:cs="Times New Roman"/>
          <w:b/>
          <w:bCs/>
          <w:highlight w:val="yellow"/>
        </w:rPr>
        <w:t>generalised</w:t>
      </w:r>
      <w:r>
        <w:rPr>
          <w:rFonts w:ascii="Times New Roman" w:hAnsi="Times New Roman" w:cs="Times New Roman"/>
          <w:b/>
          <w:bCs/>
        </w:rPr>
        <w:t xml:space="preserve"> tonic-clonic seizure lasting about 2 minutes</w:t>
      </w:r>
      <w:r>
        <w:rPr>
          <w:rFonts w:ascii="Times New Roman" w:hAnsi="Times New Roman" w:cs="Times New Roman"/>
        </w:rPr>
        <w:t xml:space="preserve"> with tongue bite and post-ictal drowsiness. </w:t>
      </w:r>
      <w:r>
        <w:rPr>
          <w:rFonts w:ascii="Times New Roman" w:hAnsi="Times New Roman" w:cs="Times New Roman"/>
          <w:b/>
          <w:bCs/>
        </w:rPr>
        <w:t>Capillary glucose was 38 mg/dL</w:t>
      </w:r>
      <w:r>
        <w:rPr>
          <w:rFonts w:ascii="Times New Roman" w:hAnsi="Times New Roman" w:cs="Times New Roman"/>
        </w:rPr>
        <w:t xml:space="preserve">; pulse 112/min, BP 134/80 mmHg, SpO₂ 94%, GCS 8/15 during the event. Bedside glucose at 22:00 the previous night had been 146 mg/dL, and the </w:t>
      </w:r>
      <w:r>
        <w:rPr>
          <w:rFonts w:ascii="Times New Roman" w:hAnsi="Times New Roman" w:cs="Times New Roman"/>
          <w:highlight w:val="yellow"/>
        </w:rPr>
        <w:t xml:space="preserve">value on the </w:t>
      </w:r>
      <w:r>
        <w:rPr>
          <w:rFonts w:ascii="Times New Roman" w:hAnsi="Times New Roman" w:cs="Times New Roman"/>
        </w:rPr>
        <w:t xml:space="preserve">preceding afternoon </w:t>
      </w:r>
      <w:r>
        <w:rPr>
          <w:rFonts w:ascii="Times New Roman" w:hAnsi="Times New Roman" w:cs="Times New Roman"/>
          <w:highlight w:val="yellow"/>
        </w:rPr>
        <w:t xml:space="preserve">had been </w:t>
      </w:r>
      <w:r>
        <w:rPr>
          <w:rFonts w:ascii="Times New Roman" w:hAnsi="Times New Roman" w:cs="Times New Roman"/>
        </w:rPr>
        <w:t>168 mg/dL.</w:t>
      </w:r>
    </w:p>
    <w:p w14:paraId="6BA6E49F" w14:textId="77777777" w:rsidR="00C70322" w:rsidRPr="00DC26F6" w:rsidRDefault="00C70322" w:rsidP="00C70322">
      <w:pPr>
        <w:rPr>
          <w:rFonts w:ascii="Times New Roman" w:hAnsi="Times New Roman" w:cs="Times New Roman"/>
        </w:rPr>
      </w:pPr>
      <w:r>
        <w:rPr>
          <w:rFonts w:ascii="Times New Roman" w:hAnsi="Times New Roman" w:cs="Times New Roman"/>
          <w:b/>
          <w:bCs/>
        </w:rPr>
        <w:t>Alternative causes were excluded:</w:t>
      </w:r>
      <w:r>
        <w:rPr>
          <w:rFonts w:ascii="Times New Roman" w:hAnsi="Times New Roman" w:cs="Times New Roman"/>
        </w:rPr>
        <w:t xml:space="preserve"> serum sodium </w:t>
      </w:r>
      <w:r>
        <w:rPr>
          <w:rFonts w:ascii="Times New Roman" w:hAnsi="Times New Roman" w:cs="Times New Roman"/>
          <w:highlight w:val="yellow"/>
        </w:rPr>
        <w:t xml:space="preserve">was </w:t>
      </w:r>
      <w:r>
        <w:rPr>
          <w:rFonts w:ascii="Times New Roman" w:hAnsi="Times New Roman" w:cs="Times New Roman"/>
        </w:rPr>
        <w:t xml:space="preserve">135, calcium </w:t>
      </w:r>
      <w:r>
        <w:rPr>
          <w:rFonts w:ascii="Times New Roman" w:hAnsi="Times New Roman" w:cs="Times New Roman"/>
          <w:highlight w:val="yellow"/>
        </w:rPr>
        <w:t xml:space="preserve">was </w:t>
      </w:r>
      <w:r>
        <w:rPr>
          <w:rFonts w:ascii="Times New Roman" w:hAnsi="Times New Roman" w:cs="Times New Roman"/>
        </w:rPr>
        <w:t>8.8,</w:t>
      </w:r>
      <w:r>
        <w:rPr>
          <w:rFonts w:ascii="Times New Roman" w:hAnsi="Times New Roman" w:cs="Times New Roman"/>
          <w:highlight w:val="yellow"/>
        </w:rPr>
        <w:t xml:space="preserve"> and</w:t>
      </w:r>
      <w:r>
        <w:rPr>
          <w:rFonts w:ascii="Times New Roman" w:hAnsi="Times New Roman" w:cs="Times New Roman"/>
        </w:rPr>
        <w:t xml:space="preserve"> magnesium </w:t>
      </w:r>
      <w:r>
        <w:rPr>
          <w:rFonts w:ascii="Times New Roman" w:hAnsi="Times New Roman" w:cs="Times New Roman"/>
          <w:highlight w:val="yellow"/>
        </w:rPr>
        <w:t xml:space="preserve">was </w:t>
      </w:r>
      <w:r>
        <w:rPr>
          <w:rFonts w:ascii="Times New Roman" w:hAnsi="Times New Roman" w:cs="Times New Roman"/>
        </w:rPr>
        <w:t xml:space="preserve">1.9 </w:t>
      </w:r>
      <w:r>
        <w:rPr>
          <w:rFonts w:ascii="Times New Roman" w:hAnsi="Times New Roman" w:cs="Times New Roman"/>
          <w:highlight w:val="yellow"/>
        </w:rPr>
        <w:t>mmol/L; there were</w:t>
      </w:r>
      <w:r>
        <w:rPr>
          <w:rFonts w:ascii="Times New Roman" w:hAnsi="Times New Roman" w:cs="Times New Roman"/>
        </w:rPr>
        <w:t xml:space="preserve"> no new </w:t>
      </w:r>
      <w:r>
        <w:rPr>
          <w:rFonts w:ascii="Times New Roman" w:hAnsi="Times New Roman" w:cs="Times New Roman"/>
          <w:highlight w:val="yellow"/>
        </w:rPr>
        <w:t>uraemic</w:t>
      </w:r>
      <w:r>
        <w:rPr>
          <w:rFonts w:ascii="Times New Roman" w:hAnsi="Times New Roman" w:cs="Times New Roman"/>
        </w:rPr>
        <w:t xml:space="preserve"> features (urea 66 mg/dL), </w:t>
      </w:r>
      <w:r>
        <w:rPr>
          <w:rFonts w:ascii="Times New Roman" w:hAnsi="Times New Roman" w:cs="Times New Roman"/>
          <w:highlight w:val="yellow"/>
        </w:rPr>
        <w:t xml:space="preserve">the </w:t>
      </w:r>
      <w:r>
        <w:rPr>
          <w:rFonts w:ascii="Times New Roman" w:hAnsi="Times New Roman" w:cs="Times New Roman"/>
        </w:rPr>
        <w:t xml:space="preserve">non-contrast CT </w:t>
      </w:r>
      <w:r>
        <w:rPr>
          <w:rFonts w:ascii="Times New Roman" w:hAnsi="Times New Roman" w:cs="Times New Roman"/>
          <w:highlight w:val="yellow"/>
        </w:rPr>
        <w:t xml:space="preserve">scan of the </w:t>
      </w:r>
      <w:r>
        <w:rPr>
          <w:rFonts w:ascii="Times New Roman" w:hAnsi="Times New Roman" w:cs="Times New Roman"/>
        </w:rPr>
        <w:t>brain</w:t>
      </w:r>
      <w:r>
        <w:rPr>
          <w:rFonts w:ascii="Times New Roman" w:hAnsi="Times New Roman" w:cs="Times New Roman"/>
          <w:highlight w:val="yellow"/>
        </w:rPr>
        <w:t xml:space="preserve"> was</w:t>
      </w:r>
      <w:r>
        <w:rPr>
          <w:rFonts w:ascii="Times New Roman" w:hAnsi="Times New Roman" w:cs="Times New Roman"/>
        </w:rPr>
        <w:t xml:space="preserve"> normal,</w:t>
      </w:r>
      <w:r>
        <w:rPr>
          <w:rFonts w:ascii="Times New Roman" w:hAnsi="Times New Roman" w:cs="Times New Roman"/>
          <w:highlight w:val="yellow"/>
        </w:rPr>
        <w:t xml:space="preserve"> the</w:t>
      </w:r>
      <w:r>
        <w:rPr>
          <w:rFonts w:ascii="Times New Roman" w:hAnsi="Times New Roman" w:cs="Times New Roman"/>
        </w:rPr>
        <w:t xml:space="preserve"> ECG showed sinus tachycardia without arrhythmia or QT prolongation, and there was no fever. Whipple's triad was satisfied (symptoms, documented low glucose, prompt recovery with glucose; Cryer et al., 2009).</w:t>
      </w:r>
    </w:p>
    <w:p w14:paraId="7C9D9E98"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Management of the Event</w:t>
      </w:r>
    </w:p>
    <w:p w14:paraId="45DA30B8" w14:textId="77777777" w:rsidR="00C70322" w:rsidRPr="00DC26F6" w:rsidRDefault="00C70322" w:rsidP="00C70322">
      <w:pPr>
        <w:rPr>
          <w:rFonts w:ascii="Times New Roman" w:hAnsi="Times New Roman" w:cs="Times New Roman"/>
        </w:rPr>
      </w:pPr>
      <w:r>
        <w:rPr>
          <w:rFonts w:ascii="Times New Roman" w:hAnsi="Times New Roman" w:cs="Times New Roman"/>
        </w:rPr>
        <w:t xml:space="preserve">The patient was </w:t>
      </w:r>
      <w:r>
        <w:rPr>
          <w:rFonts w:ascii="Times New Roman" w:hAnsi="Times New Roman" w:cs="Times New Roman"/>
          <w:highlight w:val="yellow"/>
        </w:rPr>
        <w:t>placed in the</w:t>
      </w:r>
      <w:r>
        <w:rPr>
          <w:rFonts w:ascii="Times New Roman" w:hAnsi="Times New Roman" w:cs="Times New Roman"/>
        </w:rPr>
        <w:t xml:space="preserve"> left lateral</w:t>
      </w:r>
      <w:r>
        <w:rPr>
          <w:rFonts w:ascii="Times New Roman" w:hAnsi="Times New Roman" w:cs="Times New Roman"/>
          <w:highlight w:val="yellow"/>
        </w:rPr>
        <w:t xml:space="preserve"> position, the</w:t>
      </w:r>
      <w:r>
        <w:rPr>
          <w:rFonts w:ascii="Times New Roman" w:hAnsi="Times New Roman" w:cs="Times New Roman"/>
        </w:rPr>
        <w:t xml:space="preserve"> airway</w:t>
      </w:r>
      <w:r>
        <w:rPr>
          <w:rFonts w:ascii="Times New Roman" w:hAnsi="Times New Roman" w:cs="Times New Roman"/>
          <w:highlight w:val="yellow"/>
        </w:rPr>
        <w:t xml:space="preserve"> was</w:t>
      </w:r>
      <w:r>
        <w:rPr>
          <w:rFonts w:ascii="Times New Roman" w:hAnsi="Times New Roman" w:cs="Times New Roman"/>
        </w:rPr>
        <w:t xml:space="preserve"> </w:t>
      </w:r>
      <w:r>
        <w:rPr>
          <w:rFonts w:ascii="Times New Roman" w:hAnsi="Times New Roman" w:cs="Times New Roman"/>
          <w:highlight w:val="yellow"/>
        </w:rPr>
        <w:t>protected,</w:t>
      </w:r>
      <w:r>
        <w:rPr>
          <w:rFonts w:ascii="Times New Roman" w:hAnsi="Times New Roman" w:cs="Times New Roman"/>
        </w:rPr>
        <w:t xml:space="preserve"> and oxygen </w:t>
      </w:r>
      <w:r>
        <w:rPr>
          <w:rFonts w:ascii="Times New Roman" w:hAnsi="Times New Roman" w:cs="Times New Roman"/>
          <w:highlight w:val="yellow"/>
        </w:rPr>
        <w:t>was administered.</w:t>
      </w:r>
      <w:r>
        <w:rPr>
          <w:rFonts w:ascii="Times New Roman" w:hAnsi="Times New Roman" w:cs="Times New Roman"/>
        </w:rPr>
        <w:t xml:space="preserve"> IV access was </w:t>
      </w:r>
      <w:r>
        <w:rPr>
          <w:rFonts w:ascii="Times New Roman" w:hAnsi="Times New Roman" w:cs="Times New Roman"/>
          <w:highlight w:val="yellow"/>
        </w:rPr>
        <w:t>secured,</w:t>
      </w:r>
      <w:r>
        <w:rPr>
          <w:rFonts w:ascii="Times New Roman" w:hAnsi="Times New Roman" w:cs="Times New Roman"/>
        </w:rPr>
        <w:t xml:space="preserve"> and </w:t>
      </w:r>
      <w:r>
        <w:rPr>
          <w:rFonts w:ascii="Times New Roman" w:hAnsi="Times New Roman" w:cs="Times New Roman"/>
          <w:b/>
          <w:bCs/>
        </w:rPr>
        <w:t>50 mL of D50W (25 g dextrose)</w:t>
      </w:r>
      <w:r>
        <w:rPr>
          <w:rFonts w:ascii="Times New Roman" w:hAnsi="Times New Roman" w:cs="Times New Roman"/>
        </w:rPr>
        <w:t xml:space="preserve"> was given as a slow bolus. The seizure had already terminated, so no benzodiazepine was required. Repeat glucose at 15 minutes was 96 mg/dL; a </w:t>
      </w:r>
      <w:r>
        <w:rPr>
          <w:rFonts w:ascii="Times New Roman" w:hAnsi="Times New Roman" w:cs="Times New Roman"/>
          <w:b/>
          <w:bCs/>
        </w:rPr>
        <w:t>D10W infusion at 60 mL/hour</w:t>
      </w:r>
      <w:r>
        <w:rPr>
          <w:rFonts w:ascii="Times New Roman" w:hAnsi="Times New Roman" w:cs="Times New Roman"/>
        </w:rPr>
        <w:t xml:space="preserve"> was </w:t>
      </w:r>
      <w:r>
        <w:rPr>
          <w:rFonts w:ascii="Times New Roman" w:hAnsi="Times New Roman" w:cs="Times New Roman"/>
          <w:highlight w:val="yellow"/>
        </w:rPr>
        <w:t>started,</w:t>
      </w:r>
      <w:r>
        <w:rPr>
          <w:rFonts w:ascii="Times New Roman" w:hAnsi="Times New Roman" w:cs="Times New Roman"/>
        </w:rPr>
        <w:t xml:space="preserve"> and glucose</w:t>
      </w:r>
      <w:r>
        <w:rPr>
          <w:rFonts w:ascii="Times New Roman" w:hAnsi="Times New Roman" w:cs="Times New Roman"/>
          <w:highlight w:val="yellow"/>
        </w:rPr>
        <w:t xml:space="preserve"> was</w:t>
      </w:r>
      <w:r>
        <w:rPr>
          <w:rFonts w:ascii="Times New Roman" w:hAnsi="Times New Roman" w:cs="Times New Roman"/>
        </w:rPr>
        <w:t xml:space="preserve"> checked hourly. Glucose values were 112, 134, </w:t>
      </w:r>
      <w:r>
        <w:rPr>
          <w:rFonts w:ascii="Times New Roman" w:hAnsi="Times New Roman" w:cs="Times New Roman"/>
          <w:highlight w:val="yellow"/>
        </w:rPr>
        <w:t>148,</w:t>
      </w:r>
      <w:r>
        <w:rPr>
          <w:rFonts w:ascii="Times New Roman" w:hAnsi="Times New Roman" w:cs="Times New Roman"/>
        </w:rPr>
        <w:t xml:space="preserve"> and 160 mg/dL over the next 4 hours. GCS returned to 15/15 within 30 minutes and the infusion was tapered over 12 hours. Insulin was withheld until morning</w:t>
      </w:r>
      <w:r>
        <w:rPr>
          <w:rFonts w:ascii="Times New Roman" w:hAnsi="Times New Roman" w:cs="Times New Roman"/>
          <w:highlight w:val="yellow"/>
        </w:rPr>
        <w:t xml:space="preserve"> and</w:t>
      </w:r>
      <w:r>
        <w:rPr>
          <w:rFonts w:ascii="Times New Roman" w:hAnsi="Times New Roman" w:cs="Times New Roman"/>
        </w:rPr>
        <w:t xml:space="preserve"> then restarted at reduced doses.</w:t>
      </w:r>
    </w:p>
    <w:p w14:paraId="5E8BD44A"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Insulin Dose Adjustment</w:t>
      </w:r>
    </w:p>
    <w:p w14:paraId="355C05BB" w14:textId="77777777" w:rsidR="00C70322" w:rsidRPr="00DC26F6" w:rsidRDefault="00C70322" w:rsidP="00C70322">
      <w:pPr>
        <w:rPr>
          <w:rFonts w:ascii="Times New Roman" w:hAnsi="Times New Roman" w:cs="Times New Roman"/>
        </w:rPr>
      </w:pPr>
      <w:r>
        <w:rPr>
          <w:rFonts w:ascii="Times New Roman" w:hAnsi="Times New Roman" w:cs="Times New Roman"/>
        </w:rPr>
        <w:lastRenderedPageBreak/>
        <w:t>Because the event was nocturnal, the evening NPH and pre-dinner Actrapid were reduced</w:t>
      </w:r>
      <w:r>
        <w:rPr>
          <w:highlight w:val="yellow"/>
        </w:rPr>
        <w:t xml:space="preserve"> (Table 2).</w:t>
      </w:r>
    </w:p>
    <w:p w14:paraId="2654B186" w14:textId="77777777" w:rsidR="00F25A33" w:rsidRPr="00DC26F6" w:rsidRDefault="00F25A33" w:rsidP="00C70322">
      <w:pPr>
        <w:keepNext/>
        <w:spacing w:before="120" w:after="60"/>
        <w:rPr>
          <w:rFonts w:ascii="Times New Roman" w:hAnsi="Times New Roman" w:cs="Times New Roman"/>
        </w:rPr>
      </w:pPr>
      <w:r w:rsidRPr="00DC26F6">
        <w:rPr>
          <w:b/>
        </w:rPr>
        <w:t xml:space="preserve">Table 2. Timing-Based Insulin Dose Adjustment Options and the Regimen Selected After the Nocturnal </w:t>
      </w:r>
      <w:proofErr w:type="spellStart"/>
      <w:r w:rsidRPr="00DC26F6">
        <w:rPr>
          <w:b/>
        </w:rPr>
        <w:t>Hypoglycemic</w:t>
      </w:r>
      <w:proofErr w:type="spellEnd"/>
      <w:r w:rsidRPr="00DC26F6">
        <w:rPr>
          <w:b/>
        </w:rPr>
        <w:t xml:space="preserve"> Event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5"/>
        <w:gridCol w:w="2103"/>
        <w:gridCol w:w="2497"/>
      </w:tblGrid>
      <w:tr w:rsidR="00C70322" w:rsidRPr="00DC26F6" w14:paraId="4CA0B409" w14:textId="77777777">
        <w:trPr>
          <w:tblHeader/>
          <w:tblCellSpacing w:w="15" w:type="dxa"/>
        </w:trPr>
        <w:tc>
          <w:tcPr>
            <w:tcW w:w="0" w:type="auto"/>
            <w:vAlign w:val="center"/>
            <w:hideMark/>
          </w:tcPr>
          <w:p w14:paraId="1A2B2C50" w14:textId="77777777" w:rsidR="00C70322" w:rsidRPr="00DC26F6" w:rsidRDefault="00C70322" w:rsidP="00C70322">
            <w:pPr>
              <w:keepNext/>
              <w:rPr>
                <w:rFonts w:ascii="Times New Roman" w:hAnsi="Times New Roman" w:cs="Times New Roman"/>
                <w:b/>
                <w:bCs/>
              </w:rPr>
            </w:pPr>
            <w:r w:rsidRPr="00DC26F6">
              <w:rPr>
                <w:rFonts w:ascii="Times New Roman" w:hAnsi="Times New Roman" w:cs="Times New Roman"/>
                <w:b/>
                <w:bCs/>
              </w:rPr>
              <w:t xml:space="preserve">Timing of </w:t>
            </w:r>
            <w:proofErr w:type="spellStart"/>
            <w:r w:rsidRPr="00DC26F6">
              <w:rPr>
                <w:rFonts w:ascii="Times New Roman" w:hAnsi="Times New Roman" w:cs="Times New Roman"/>
                <w:b/>
                <w:bCs/>
              </w:rPr>
              <w:t>hypoglycemia</w:t>
            </w:r>
            <w:proofErr w:type="spellEnd"/>
          </w:p>
        </w:tc>
        <w:tc>
          <w:tcPr>
            <w:tcW w:w="0" w:type="auto"/>
            <w:vAlign w:val="center"/>
            <w:hideMark/>
          </w:tcPr>
          <w:p w14:paraId="054FA93F" w14:textId="77777777" w:rsidR="00C70322" w:rsidRPr="00DC26F6" w:rsidRDefault="00C70322" w:rsidP="00C70322">
            <w:pPr>
              <w:keepNext/>
              <w:rPr>
                <w:rFonts w:ascii="Times New Roman" w:hAnsi="Times New Roman" w:cs="Times New Roman"/>
                <w:b/>
                <w:bCs/>
              </w:rPr>
            </w:pPr>
            <w:r w:rsidRPr="00DC26F6">
              <w:rPr>
                <w:rFonts w:ascii="Times New Roman" w:hAnsi="Times New Roman" w:cs="Times New Roman"/>
                <w:b/>
                <w:bCs/>
              </w:rPr>
              <w:t>NPH (before → after)</w:t>
            </w:r>
          </w:p>
        </w:tc>
        <w:tc>
          <w:tcPr>
            <w:tcW w:w="0" w:type="auto"/>
            <w:vAlign w:val="center"/>
            <w:hideMark/>
          </w:tcPr>
          <w:p w14:paraId="5C1C817E" w14:textId="77777777" w:rsidR="00C70322" w:rsidRPr="00DC26F6" w:rsidRDefault="00C70322" w:rsidP="00C70322">
            <w:pPr>
              <w:keepNext/>
              <w:rPr>
                <w:rFonts w:ascii="Times New Roman" w:hAnsi="Times New Roman" w:cs="Times New Roman"/>
                <w:b/>
                <w:bCs/>
              </w:rPr>
            </w:pPr>
            <w:proofErr w:type="spellStart"/>
            <w:r w:rsidRPr="00DC26F6">
              <w:rPr>
                <w:rFonts w:ascii="Times New Roman" w:hAnsi="Times New Roman" w:cs="Times New Roman"/>
                <w:b/>
                <w:bCs/>
              </w:rPr>
              <w:t>Actrapid</w:t>
            </w:r>
            <w:proofErr w:type="spellEnd"/>
            <w:r w:rsidRPr="00DC26F6">
              <w:rPr>
                <w:rFonts w:ascii="Times New Roman" w:hAnsi="Times New Roman" w:cs="Times New Roman"/>
                <w:b/>
                <w:bCs/>
              </w:rPr>
              <w:t xml:space="preserve"> (before → after)</w:t>
            </w:r>
          </w:p>
        </w:tc>
      </w:tr>
      <w:tr w:rsidR="00C70322" w:rsidRPr="00DC26F6" w14:paraId="60EBFAED" w14:textId="77777777">
        <w:trPr>
          <w:tblCellSpacing w:w="15" w:type="dxa"/>
        </w:trPr>
        <w:tc>
          <w:tcPr>
            <w:tcW w:w="0" w:type="auto"/>
            <w:vAlign w:val="center"/>
            <w:hideMark/>
          </w:tcPr>
          <w:p w14:paraId="4C27A160"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Morning / pre-breakfast</w:t>
            </w:r>
          </w:p>
        </w:tc>
        <w:tc>
          <w:tcPr>
            <w:tcW w:w="0" w:type="auto"/>
            <w:vAlign w:val="center"/>
            <w:hideMark/>
          </w:tcPr>
          <w:p w14:paraId="2766AD21"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6-0-4 → 6-0-</w:t>
            </w:r>
            <w:r w:rsidRPr="00DC26F6">
              <w:rPr>
                <w:rFonts w:ascii="Times New Roman" w:hAnsi="Times New Roman" w:cs="Times New Roman"/>
                <w:b/>
                <w:bCs/>
              </w:rPr>
              <w:t>2</w:t>
            </w:r>
          </w:p>
        </w:tc>
        <w:tc>
          <w:tcPr>
            <w:tcW w:w="0" w:type="auto"/>
            <w:vAlign w:val="center"/>
            <w:hideMark/>
          </w:tcPr>
          <w:p w14:paraId="290C88E1"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4-4-2 → </w:t>
            </w:r>
            <w:r w:rsidRPr="00DC26F6">
              <w:rPr>
                <w:rFonts w:ascii="Times New Roman" w:hAnsi="Times New Roman" w:cs="Times New Roman"/>
                <w:b/>
                <w:bCs/>
              </w:rPr>
              <w:t>3</w:t>
            </w:r>
            <w:r w:rsidRPr="00DC26F6">
              <w:rPr>
                <w:rFonts w:ascii="Times New Roman" w:hAnsi="Times New Roman" w:cs="Times New Roman"/>
              </w:rPr>
              <w:t>-4-2</w:t>
            </w:r>
          </w:p>
        </w:tc>
      </w:tr>
      <w:tr w:rsidR="00C70322" w:rsidRPr="00DC26F6" w14:paraId="0634C12C" w14:textId="77777777">
        <w:trPr>
          <w:tblCellSpacing w:w="15" w:type="dxa"/>
        </w:trPr>
        <w:tc>
          <w:tcPr>
            <w:tcW w:w="0" w:type="auto"/>
            <w:vAlign w:val="center"/>
            <w:hideMark/>
          </w:tcPr>
          <w:p w14:paraId="5806321C"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Midday / pre-lunch</w:t>
            </w:r>
          </w:p>
        </w:tc>
        <w:tc>
          <w:tcPr>
            <w:tcW w:w="0" w:type="auto"/>
            <w:vAlign w:val="center"/>
            <w:hideMark/>
          </w:tcPr>
          <w:p w14:paraId="00BD381D"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6-0-4 → </w:t>
            </w:r>
            <w:r w:rsidRPr="00DC26F6">
              <w:rPr>
                <w:rFonts w:ascii="Times New Roman" w:hAnsi="Times New Roman" w:cs="Times New Roman"/>
                <w:b/>
                <w:bCs/>
              </w:rPr>
              <w:t>4</w:t>
            </w:r>
            <w:r w:rsidRPr="00DC26F6">
              <w:rPr>
                <w:rFonts w:ascii="Times New Roman" w:hAnsi="Times New Roman" w:cs="Times New Roman"/>
              </w:rPr>
              <w:t>-0-4</w:t>
            </w:r>
          </w:p>
        </w:tc>
        <w:tc>
          <w:tcPr>
            <w:tcW w:w="0" w:type="auto"/>
            <w:vAlign w:val="center"/>
            <w:hideMark/>
          </w:tcPr>
          <w:p w14:paraId="761E5F23"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4-4-2 → 4-</w:t>
            </w:r>
            <w:r w:rsidRPr="00DC26F6">
              <w:rPr>
                <w:rFonts w:ascii="Times New Roman" w:hAnsi="Times New Roman" w:cs="Times New Roman"/>
                <w:b/>
                <w:bCs/>
              </w:rPr>
              <w:t>3</w:t>
            </w:r>
            <w:r w:rsidRPr="00DC26F6">
              <w:rPr>
                <w:rFonts w:ascii="Times New Roman" w:hAnsi="Times New Roman" w:cs="Times New Roman"/>
              </w:rPr>
              <w:t>-2</w:t>
            </w:r>
          </w:p>
        </w:tc>
      </w:tr>
      <w:tr w:rsidR="00C70322" w:rsidRPr="00DC26F6" w14:paraId="6338524A" w14:textId="77777777">
        <w:trPr>
          <w:tblCellSpacing w:w="15" w:type="dxa"/>
        </w:trPr>
        <w:tc>
          <w:tcPr>
            <w:tcW w:w="0" w:type="auto"/>
            <w:vAlign w:val="center"/>
            <w:hideMark/>
          </w:tcPr>
          <w:p w14:paraId="30E372F4"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Evening / pre-dinner</w:t>
            </w:r>
          </w:p>
        </w:tc>
        <w:tc>
          <w:tcPr>
            <w:tcW w:w="0" w:type="auto"/>
            <w:vAlign w:val="center"/>
            <w:hideMark/>
          </w:tcPr>
          <w:p w14:paraId="20BDB670"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6-0-4 → </w:t>
            </w:r>
            <w:r w:rsidRPr="00DC26F6">
              <w:rPr>
                <w:rFonts w:ascii="Times New Roman" w:hAnsi="Times New Roman" w:cs="Times New Roman"/>
                <w:b/>
                <w:bCs/>
              </w:rPr>
              <w:t>4</w:t>
            </w:r>
            <w:r w:rsidRPr="00DC26F6">
              <w:rPr>
                <w:rFonts w:ascii="Times New Roman" w:hAnsi="Times New Roman" w:cs="Times New Roman"/>
              </w:rPr>
              <w:t>-0-4</w:t>
            </w:r>
          </w:p>
        </w:tc>
        <w:tc>
          <w:tcPr>
            <w:tcW w:w="0" w:type="auto"/>
            <w:vAlign w:val="center"/>
            <w:hideMark/>
          </w:tcPr>
          <w:p w14:paraId="290C9838"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4-4-2 → 4-4-</w:t>
            </w:r>
            <w:r w:rsidRPr="00DC26F6">
              <w:rPr>
                <w:rFonts w:ascii="Times New Roman" w:hAnsi="Times New Roman" w:cs="Times New Roman"/>
                <w:b/>
                <w:bCs/>
              </w:rPr>
              <w:t>1</w:t>
            </w:r>
          </w:p>
        </w:tc>
      </w:tr>
      <w:tr w:rsidR="00C70322" w:rsidRPr="00DC26F6" w14:paraId="3766D153" w14:textId="77777777">
        <w:trPr>
          <w:tblCellSpacing w:w="15" w:type="dxa"/>
        </w:trPr>
        <w:tc>
          <w:tcPr>
            <w:tcW w:w="0" w:type="auto"/>
            <w:vAlign w:val="center"/>
            <w:hideMark/>
          </w:tcPr>
          <w:p w14:paraId="02B9D8B2"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Nocturnal (this patient)</w:t>
            </w:r>
          </w:p>
        </w:tc>
        <w:tc>
          <w:tcPr>
            <w:tcW w:w="0" w:type="auto"/>
            <w:vAlign w:val="center"/>
            <w:hideMark/>
          </w:tcPr>
          <w:p w14:paraId="2EBAE926"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6-0-4 → 6-0-</w:t>
            </w:r>
            <w:r w:rsidRPr="00DC26F6">
              <w:rPr>
                <w:rFonts w:ascii="Times New Roman" w:hAnsi="Times New Roman" w:cs="Times New Roman"/>
                <w:b/>
                <w:bCs/>
              </w:rPr>
              <w:t>2</w:t>
            </w:r>
          </w:p>
        </w:tc>
        <w:tc>
          <w:tcPr>
            <w:tcW w:w="0" w:type="auto"/>
            <w:vAlign w:val="center"/>
            <w:hideMark/>
          </w:tcPr>
          <w:p w14:paraId="538F3165"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4-4-2 → 4-4-</w:t>
            </w:r>
            <w:r w:rsidRPr="00DC26F6">
              <w:rPr>
                <w:rFonts w:ascii="Times New Roman" w:hAnsi="Times New Roman" w:cs="Times New Roman"/>
                <w:b/>
                <w:bCs/>
              </w:rPr>
              <w:t>1</w:t>
            </w:r>
          </w:p>
        </w:tc>
      </w:tr>
    </w:tbl>
    <w:p w14:paraId="7E792AA0" w14:textId="77777777" w:rsidR="00C70322" w:rsidRPr="00DC26F6" w:rsidRDefault="00C70322" w:rsidP="00C70322">
      <w:pPr>
        <w:rPr>
          <w:rFonts w:ascii="Times New Roman" w:hAnsi="Times New Roman" w:cs="Times New Roman"/>
        </w:rPr>
      </w:pPr>
      <w:r>
        <w:rPr>
          <w:rFonts w:ascii="Times New Roman" w:hAnsi="Times New Roman" w:cs="Times New Roman"/>
        </w:rPr>
        <w:t xml:space="preserve">Final regimen: </w:t>
      </w:r>
      <w:r>
        <w:rPr>
          <w:rFonts w:ascii="Times New Roman" w:hAnsi="Times New Roman" w:cs="Times New Roman"/>
          <w:b/>
          <w:bCs/>
        </w:rPr>
        <w:t>NPH 6 U-0-2 U and Actrapid 4-4-1 U</w:t>
      </w:r>
      <w:r>
        <w:rPr>
          <w:rFonts w:ascii="Times New Roman" w:hAnsi="Times New Roman" w:cs="Times New Roman"/>
        </w:rPr>
        <w:t xml:space="preserve">, with Actrapid to be given only if the meal </w:t>
      </w:r>
      <w:r>
        <w:rPr>
          <w:rFonts w:ascii="Times New Roman" w:hAnsi="Times New Roman" w:cs="Times New Roman"/>
          <w:highlight w:val="yellow"/>
        </w:rPr>
        <w:t>was</w:t>
      </w:r>
      <w:r>
        <w:rPr>
          <w:rFonts w:ascii="Times New Roman" w:hAnsi="Times New Roman" w:cs="Times New Roman"/>
        </w:rPr>
        <w:t xml:space="preserve"> eaten.</w:t>
      </w:r>
    </w:p>
    <w:p w14:paraId="0965354A"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Outcome and Follow-up</w:t>
      </w:r>
    </w:p>
    <w:p w14:paraId="0ABA006C" w14:textId="77777777" w:rsidR="00C70322" w:rsidRPr="00DC26F6" w:rsidRDefault="00C70322" w:rsidP="00C70322">
      <w:pPr>
        <w:rPr>
          <w:rFonts w:ascii="Times New Roman" w:hAnsi="Times New Roman" w:cs="Times New Roman"/>
        </w:rPr>
      </w:pPr>
      <w:r>
        <w:rPr>
          <w:rFonts w:ascii="Times New Roman" w:hAnsi="Times New Roman" w:cs="Times New Roman"/>
        </w:rPr>
        <w:t xml:space="preserve">There was no recurrence of </w:t>
      </w:r>
      <w:r>
        <w:rPr>
          <w:rFonts w:ascii="Times New Roman" w:hAnsi="Times New Roman" w:cs="Times New Roman"/>
          <w:highlight w:val="yellow"/>
        </w:rPr>
        <w:t>hypoglycaemia</w:t>
      </w:r>
      <w:r>
        <w:rPr>
          <w:rFonts w:ascii="Times New Roman" w:hAnsi="Times New Roman" w:cs="Times New Roman"/>
        </w:rPr>
        <w:t xml:space="preserve"> or seizure. Glucose </w:t>
      </w:r>
      <w:r>
        <w:rPr>
          <w:rFonts w:ascii="Times New Roman" w:hAnsi="Times New Roman" w:cs="Times New Roman"/>
          <w:highlight w:val="yellow"/>
        </w:rPr>
        <w:t>stabilised</w:t>
      </w:r>
      <w:r>
        <w:rPr>
          <w:rFonts w:ascii="Times New Roman" w:hAnsi="Times New Roman" w:cs="Times New Roman"/>
        </w:rPr>
        <w:t xml:space="preserve"> at 130–180 mg/dL. With diuresis and treatment of heart failure and cystitis, creatinine fell to 1.8 mg/dL and urea to 41 mg/dL by day 8, </w:t>
      </w:r>
      <w:r>
        <w:rPr>
          <w:rFonts w:ascii="Times New Roman" w:hAnsi="Times New Roman" w:cs="Times New Roman"/>
          <w:highlight w:val="yellow"/>
        </w:rPr>
        <w:t>while</w:t>
      </w:r>
      <w:r>
        <w:rPr>
          <w:rFonts w:ascii="Times New Roman" w:hAnsi="Times New Roman" w:cs="Times New Roman"/>
        </w:rPr>
        <w:t xml:space="preserve"> </w:t>
      </w:r>
      <w:r>
        <w:rPr>
          <w:rFonts w:ascii="Times New Roman" w:hAnsi="Times New Roman" w:cs="Times New Roman"/>
          <w:highlight w:val="yellow"/>
        </w:rPr>
        <w:t>oedema</w:t>
      </w:r>
      <w:r>
        <w:rPr>
          <w:rFonts w:ascii="Times New Roman" w:hAnsi="Times New Roman" w:cs="Times New Roman"/>
        </w:rPr>
        <w:t xml:space="preserve"> and </w:t>
      </w:r>
      <w:r>
        <w:rPr>
          <w:rFonts w:ascii="Times New Roman" w:hAnsi="Times New Roman" w:cs="Times New Roman"/>
          <w:highlight w:val="yellow"/>
        </w:rPr>
        <w:t>orthopnoea</w:t>
      </w:r>
      <w:r>
        <w:rPr>
          <w:rFonts w:ascii="Times New Roman" w:hAnsi="Times New Roman" w:cs="Times New Roman"/>
        </w:rPr>
        <w:t xml:space="preserve"> resolved. He was discharged on day 9 </w:t>
      </w:r>
      <w:r>
        <w:rPr>
          <w:rFonts w:ascii="Times New Roman" w:hAnsi="Times New Roman" w:cs="Times New Roman"/>
          <w:highlight w:val="yellow"/>
        </w:rPr>
        <w:t>receiving</w:t>
      </w:r>
      <w:r>
        <w:rPr>
          <w:rFonts w:ascii="Times New Roman" w:hAnsi="Times New Roman" w:cs="Times New Roman"/>
        </w:rPr>
        <w:t xml:space="preserve"> NPH 6-0-2 U, Actrapid 4-4-1 U, carvedilol, furosemide, </w:t>
      </w:r>
      <w:r>
        <w:rPr>
          <w:rFonts w:ascii="Times New Roman" w:hAnsi="Times New Roman" w:cs="Times New Roman"/>
          <w:highlight w:val="yellow"/>
        </w:rPr>
        <w:t>atorvastatin/ezetimibe,</w:t>
      </w:r>
      <w:r>
        <w:rPr>
          <w:rFonts w:ascii="Times New Roman" w:hAnsi="Times New Roman" w:cs="Times New Roman"/>
        </w:rPr>
        <w:t xml:space="preserve"> and bicarbonate. He and his family were taught </w:t>
      </w:r>
      <w:r>
        <w:rPr>
          <w:rFonts w:ascii="Times New Roman" w:hAnsi="Times New Roman" w:cs="Times New Roman"/>
          <w:highlight w:val="yellow"/>
        </w:rPr>
        <w:t>hypoglycaemia</w:t>
      </w:r>
      <w:r>
        <w:rPr>
          <w:rFonts w:ascii="Times New Roman" w:hAnsi="Times New Roman" w:cs="Times New Roman"/>
        </w:rPr>
        <w:t xml:space="preserve"> recognition, glucometer </w:t>
      </w:r>
      <w:r>
        <w:rPr>
          <w:rFonts w:ascii="Times New Roman" w:hAnsi="Times New Roman" w:cs="Times New Roman"/>
          <w:highlight w:val="yellow"/>
        </w:rPr>
        <w:t>use,</w:t>
      </w:r>
      <w:r>
        <w:rPr>
          <w:rFonts w:ascii="Times New Roman" w:hAnsi="Times New Roman" w:cs="Times New Roman"/>
        </w:rPr>
        <w:t xml:space="preserve"> and sick-day rules. Follow-up at 1 week showed no </w:t>
      </w:r>
      <w:r>
        <w:rPr>
          <w:rFonts w:ascii="Times New Roman" w:hAnsi="Times New Roman" w:cs="Times New Roman"/>
          <w:highlight w:val="yellow"/>
        </w:rPr>
        <w:t>hypoglycaemia and a</w:t>
      </w:r>
      <w:r>
        <w:rPr>
          <w:rFonts w:ascii="Times New Roman" w:hAnsi="Times New Roman" w:cs="Times New Roman"/>
        </w:rPr>
        <w:t xml:space="preserve"> creatinine </w:t>
      </w:r>
      <w:r>
        <w:rPr>
          <w:rFonts w:ascii="Times New Roman" w:hAnsi="Times New Roman" w:cs="Times New Roman"/>
          <w:highlight w:val="yellow"/>
        </w:rPr>
        <w:t xml:space="preserve">level of </w:t>
      </w:r>
      <w:r>
        <w:rPr>
          <w:rFonts w:ascii="Times New Roman" w:hAnsi="Times New Roman" w:cs="Times New Roman"/>
        </w:rPr>
        <w:t xml:space="preserve">1.6 </w:t>
      </w:r>
      <w:r>
        <w:rPr>
          <w:rFonts w:ascii="Times New Roman" w:hAnsi="Times New Roman" w:cs="Times New Roman"/>
          <w:highlight w:val="yellow"/>
        </w:rPr>
        <w:t>mg/dL;</w:t>
      </w:r>
      <w:r>
        <w:rPr>
          <w:rFonts w:ascii="Times New Roman" w:hAnsi="Times New Roman" w:cs="Times New Roman"/>
        </w:rPr>
        <w:t xml:space="preserve"> outpatient nephrology and cardiology </w:t>
      </w:r>
      <w:r>
        <w:rPr>
          <w:rFonts w:ascii="Times New Roman" w:hAnsi="Times New Roman" w:cs="Times New Roman"/>
          <w:highlight w:val="yellow"/>
        </w:rPr>
        <w:t>reviews were</w:t>
      </w:r>
      <w:r>
        <w:rPr>
          <w:rFonts w:ascii="Times New Roman" w:hAnsi="Times New Roman" w:cs="Times New Roman"/>
        </w:rPr>
        <w:t xml:space="preserve"> planned.</w:t>
      </w:r>
    </w:p>
    <w:p w14:paraId="1CAEECFA"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Discussion</w:t>
      </w:r>
    </w:p>
    <w:p w14:paraId="7DC60011"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Several factors converged in this patient:</w:t>
      </w:r>
    </w:p>
    <w:p w14:paraId="2FFD96CB"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Reduced renal insulin clearance</w:t>
      </w:r>
      <w:r w:rsidRPr="00DC26F6">
        <w:rPr>
          <w:rFonts w:ascii="Times New Roman" w:hAnsi="Times New Roman" w:cs="Times New Roman"/>
        </w:rPr>
        <w:t xml:space="preserve"> (creatinine 3.1 mg/dL), prolonging the action of NPH and regular insulin. Requirements typically fall by about 25% at GFR 10–50 mL/min and about 50% below 10 mL/min.</w:t>
      </w:r>
    </w:p>
    <w:p w14:paraId="2E8EC516"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Loss of renal gluconeogenesis</w:t>
      </w:r>
      <w:r w:rsidRPr="00DC26F6">
        <w:rPr>
          <w:rFonts w:ascii="Times New Roman" w:hAnsi="Times New Roman" w:cs="Times New Roman"/>
        </w:rPr>
        <w:t xml:space="preserve"> during fasting.</w:t>
      </w:r>
    </w:p>
    <w:p w14:paraId="362BA094" w14:textId="77777777" w:rsidR="00C70322" w:rsidRPr="00DC26F6" w:rsidRDefault="00C70322" w:rsidP="00C70322">
      <w:pPr>
        <w:numPr>
          <w:ilvl w:val="0"/>
          <w:numId w:val="1"/>
        </w:numPr>
        <w:rPr>
          <w:rFonts w:ascii="Times New Roman" w:hAnsi="Times New Roman" w:cs="Times New Roman"/>
        </w:rPr>
      </w:pPr>
      <w:r>
        <w:rPr>
          <w:rFonts w:ascii="Times New Roman" w:hAnsi="Times New Roman" w:cs="Times New Roman"/>
          <w:b/>
          <w:bCs/>
        </w:rPr>
        <w:t>Poor oral intake</w:t>
      </w:r>
      <w:r>
        <w:rPr>
          <w:rFonts w:ascii="Times New Roman" w:hAnsi="Times New Roman" w:cs="Times New Roman"/>
        </w:rPr>
        <w:t xml:space="preserve"> </w:t>
      </w:r>
      <w:r>
        <w:rPr>
          <w:rFonts w:ascii="Times New Roman" w:hAnsi="Times New Roman" w:cs="Times New Roman"/>
          <w:highlight w:val="yellow"/>
        </w:rPr>
        <w:t>due to</w:t>
      </w:r>
      <w:r>
        <w:rPr>
          <w:rFonts w:ascii="Times New Roman" w:hAnsi="Times New Roman" w:cs="Times New Roman"/>
        </w:rPr>
        <w:t xml:space="preserve"> anorexia and vomiting, while prandial insulin </w:t>
      </w:r>
      <w:r>
        <w:rPr>
          <w:rFonts w:ascii="Times New Roman" w:hAnsi="Times New Roman" w:cs="Times New Roman"/>
          <w:highlight w:val="yellow"/>
        </w:rPr>
        <w:t>dosing remained</w:t>
      </w:r>
      <w:r>
        <w:rPr>
          <w:rFonts w:ascii="Times New Roman" w:hAnsi="Times New Roman" w:cs="Times New Roman"/>
        </w:rPr>
        <w:t xml:space="preserve"> fixed.</w:t>
      </w:r>
    </w:p>
    <w:p w14:paraId="42BC2176" w14:textId="77777777" w:rsidR="00C70322" w:rsidRPr="00DC26F6" w:rsidRDefault="00C70322" w:rsidP="00C70322">
      <w:pPr>
        <w:numPr>
          <w:ilvl w:val="0"/>
          <w:numId w:val="1"/>
        </w:numPr>
        <w:rPr>
          <w:rFonts w:ascii="Times New Roman" w:hAnsi="Times New Roman" w:cs="Times New Roman"/>
        </w:rPr>
      </w:pPr>
      <w:r>
        <w:rPr>
          <w:rFonts w:ascii="Times New Roman" w:hAnsi="Times New Roman" w:cs="Times New Roman"/>
          <w:b/>
          <w:bCs/>
        </w:rPr>
        <w:t>Evening NPH</w:t>
      </w:r>
      <w:r>
        <w:rPr>
          <w:rFonts w:ascii="Times New Roman" w:hAnsi="Times New Roman" w:cs="Times New Roman"/>
        </w:rPr>
        <w:t xml:space="preserve">, </w:t>
      </w:r>
      <w:r>
        <w:rPr>
          <w:rFonts w:ascii="Times New Roman" w:hAnsi="Times New Roman" w:cs="Times New Roman"/>
          <w:highlight w:val="yellow"/>
        </w:rPr>
        <w:t>which</w:t>
      </w:r>
      <w:r>
        <w:rPr>
          <w:rFonts w:ascii="Times New Roman" w:hAnsi="Times New Roman" w:cs="Times New Roman"/>
        </w:rPr>
        <w:t xml:space="preserve"> </w:t>
      </w:r>
      <w:r>
        <w:rPr>
          <w:rFonts w:ascii="Times New Roman" w:hAnsi="Times New Roman" w:cs="Times New Roman"/>
          <w:highlight w:val="yellow"/>
        </w:rPr>
        <w:t>peaks</w:t>
      </w:r>
      <w:r>
        <w:rPr>
          <w:rFonts w:ascii="Times New Roman" w:hAnsi="Times New Roman" w:cs="Times New Roman"/>
        </w:rPr>
        <w:t xml:space="preserve"> at 4–8 hours </w:t>
      </w:r>
      <w:r>
        <w:rPr>
          <w:rFonts w:ascii="Times New Roman" w:hAnsi="Times New Roman" w:cs="Times New Roman"/>
          <w:highlight w:val="yellow"/>
        </w:rPr>
        <w:t>during</w:t>
      </w:r>
      <w:r>
        <w:rPr>
          <w:rFonts w:ascii="Times New Roman" w:hAnsi="Times New Roman" w:cs="Times New Roman"/>
        </w:rPr>
        <w:t xml:space="preserve"> the early-morning hours, with a prolonged tail in renal failure.</w:t>
      </w:r>
    </w:p>
    <w:p w14:paraId="465C8196"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Carvedilol</w:t>
      </w:r>
      <w:r w:rsidRPr="00DC26F6">
        <w:rPr>
          <w:rFonts w:ascii="Times New Roman" w:hAnsi="Times New Roman" w:cs="Times New Roman"/>
        </w:rPr>
        <w:t>, which can blunt adrenergic warning symptoms such as tremor and palpitations.</w:t>
      </w:r>
    </w:p>
    <w:p w14:paraId="65E42989" w14:textId="77777777" w:rsidR="00C70322" w:rsidRPr="00DC26F6" w:rsidRDefault="00C70322" w:rsidP="00C70322">
      <w:pPr>
        <w:numPr>
          <w:ilvl w:val="0"/>
          <w:numId w:val="1"/>
        </w:numPr>
        <w:rPr>
          <w:rFonts w:ascii="Times New Roman" w:hAnsi="Times New Roman" w:cs="Times New Roman"/>
        </w:rPr>
      </w:pPr>
      <w:r>
        <w:rPr>
          <w:rFonts w:ascii="Times New Roman" w:hAnsi="Times New Roman" w:cs="Times New Roman"/>
          <w:b/>
          <w:bCs/>
        </w:rPr>
        <w:t>Acute illness</w:t>
      </w:r>
      <w:r>
        <w:rPr>
          <w:rFonts w:ascii="Times New Roman" w:hAnsi="Times New Roman" w:cs="Times New Roman"/>
        </w:rPr>
        <w:t xml:space="preserve"> (heart failure, hepatic congestion, </w:t>
      </w:r>
      <w:r>
        <w:rPr>
          <w:rFonts w:ascii="Times New Roman" w:hAnsi="Times New Roman" w:cs="Times New Roman"/>
          <w:highlight w:val="yellow"/>
        </w:rPr>
        <w:t xml:space="preserve">and </w:t>
      </w:r>
      <w:r>
        <w:rPr>
          <w:rFonts w:ascii="Times New Roman" w:hAnsi="Times New Roman" w:cs="Times New Roman"/>
        </w:rPr>
        <w:t>infection), which depletes glycogen stores.</w:t>
      </w:r>
    </w:p>
    <w:p w14:paraId="7D1A68FF" w14:textId="77777777" w:rsidR="00C70322" w:rsidRPr="00DC26F6" w:rsidRDefault="00C70322" w:rsidP="00C70322">
      <w:pPr>
        <w:numPr>
          <w:ilvl w:val="0"/>
          <w:numId w:val="1"/>
        </w:numPr>
        <w:rPr>
          <w:rFonts w:ascii="Times New Roman" w:hAnsi="Times New Roman" w:cs="Times New Roman"/>
        </w:rPr>
      </w:pPr>
      <w:r>
        <w:rPr>
          <w:rFonts w:ascii="Times New Roman" w:hAnsi="Times New Roman" w:cs="Times New Roman"/>
          <w:b/>
          <w:bCs/>
        </w:rPr>
        <w:t xml:space="preserve">Mild baseline </w:t>
      </w:r>
      <w:r>
        <w:rPr>
          <w:rFonts w:ascii="Times New Roman" w:hAnsi="Times New Roman" w:cs="Times New Roman"/>
          <w:b/>
          <w:bCs/>
          <w:highlight w:val="yellow"/>
        </w:rPr>
        <w:t>hyperglycaemia</w:t>
      </w:r>
      <w:r>
        <w:rPr>
          <w:rFonts w:ascii="Times New Roman" w:hAnsi="Times New Roman" w:cs="Times New Roman"/>
        </w:rPr>
        <w:t xml:space="preserve"> (208–229 mg/dL) that did not justify full-dose insulin.</w:t>
      </w:r>
    </w:p>
    <w:p w14:paraId="793B04FB" w14:textId="77777777" w:rsidR="005711EB" w:rsidRPr="00DC26F6" w:rsidRDefault="00000000">
      <w:pPr>
        <w:spacing w:after="140" w:line="271" w:lineRule="auto"/>
      </w:pPr>
      <w:r>
        <w:t xml:space="preserve">The sequence of events in this case is consistent with the possibility that impaired renal handling of insulin, reduced food intake, and exposure to an evening intermediate-acting insulin dose jointly contributed to the nocturnal episode. Nevertheless, a single case cannot quantify the contribution of each factor or demonstrate that acute kidney injury alone caused the seizure. The documented glucose concentration of 38 mg/dL and clinical improvement after intravenous glucose are compatible with symptomatic severe </w:t>
      </w:r>
      <w:r>
        <w:rPr>
          <w:highlight w:val="yellow"/>
        </w:rPr>
        <w:t>hypoglycaemia,</w:t>
      </w:r>
      <w:r>
        <w:t xml:space="preserve"> while the </w:t>
      </w:r>
      <w:r>
        <w:lastRenderedPageBreak/>
        <w:t>available information does not establish the patient’s underlying renal function before admission (Cryer et al., 2009; Snyder &amp; Berns, 2004).</w:t>
      </w:r>
    </w:p>
    <w:p w14:paraId="683B053F" w14:textId="77777777" w:rsidR="005711EB" w:rsidRPr="00DC26F6" w:rsidRDefault="00000000">
      <w:pPr>
        <w:spacing w:after="140" w:line="271" w:lineRule="auto"/>
      </w:pPr>
      <w:r>
        <w:t xml:space="preserve">The association between renal dysfunction and </w:t>
      </w:r>
      <w:r>
        <w:rPr>
          <w:highlight w:val="yellow"/>
        </w:rPr>
        <w:t>hypoglycaemia</w:t>
      </w:r>
      <w:r>
        <w:t xml:space="preserve"> is supported by evidence from different clinical settings. Hung et al. (2018) found an elevated postdischarge risk after acute kidney injury, whereas Baldwin et al. (2012) observed </w:t>
      </w:r>
      <w:r>
        <w:rPr>
          <w:highlight w:val="yellow"/>
        </w:rPr>
        <w:t>fewer episodes of</w:t>
      </w:r>
      <w:r>
        <w:t xml:space="preserve"> </w:t>
      </w:r>
      <w:r>
        <w:rPr>
          <w:highlight w:val="yellow"/>
        </w:rPr>
        <w:t>hypoglycaemia</w:t>
      </w:r>
      <w:r>
        <w:t xml:space="preserve"> with a lower-dose insulin regimen in </w:t>
      </w:r>
      <w:r>
        <w:rPr>
          <w:highlight w:val="yellow"/>
        </w:rPr>
        <w:t>hospitalised</w:t>
      </w:r>
      <w:r>
        <w:t xml:space="preserve"> patients with chronic renal insufficiency. These populations and study designs are not identical to the present case, and neither study provides a validated fixed percentage by which insulin must be reduced during all episodes of acute kidney injury. Accordingly, renal trends, point-of-care glucose measurements, prior insulin exposure, nutritional intake, and intercurrent illness should be assessed together when modifying treatment.</w:t>
      </w:r>
    </w:p>
    <w:p w14:paraId="3B4529AA" w14:textId="77777777" w:rsidR="005711EB" w:rsidRPr="00DC26F6" w:rsidRDefault="00000000">
      <w:pPr>
        <w:spacing w:after="140" w:line="271" w:lineRule="auto"/>
      </w:pPr>
      <w:r>
        <w:t xml:space="preserve">The patient’s consumption of approximately one-third of his meals </w:t>
      </w:r>
      <w:r>
        <w:rPr>
          <w:highlight w:val="yellow"/>
        </w:rPr>
        <w:t>created</w:t>
      </w:r>
      <w:r>
        <w:t xml:space="preserve"> an additional plausible mismatch between scheduled prandial insulin and carbohydrate availability. A </w:t>
      </w:r>
      <w:r>
        <w:rPr>
          <w:highlight w:val="yellow"/>
        </w:rPr>
        <w:t>randomised</w:t>
      </w:r>
      <w:r>
        <w:t xml:space="preserve"> trial of inpatient regimens found similar overall </w:t>
      </w:r>
      <w:r>
        <w:rPr>
          <w:highlight w:val="yellow"/>
        </w:rPr>
        <w:t>glycaemic</w:t>
      </w:r>
      <w:r>
        <w:t xml:space="preserve"> control with basal-plus-correction and scheduled basal-bolus approaches in selected individuals with type 2 diabetes (Umpierrez et al., 2013). This comparison does not directly test the NPH and regular-insulin schedule used here, but it illustrates that different intensities of scheduled insulin can be appropriate in defined hospital populations. The reduction in evening NPH and </w:t>
      </w:r>
      <w:r>
        <w:rPr>
          <w:highlight w:val="yellow"/>
        </w:rPr>
        <w:t>pre-dinner</w:t>
      </w:r>
      <w:r>
        <w:t xml:space="preserve"> regular insulin in the present case was followed by an absence of documented recurrent </w:t>
      </w:r>
      <w:r>
        <w:rPr>
          <w:highlight w:val="yellow"/>
        </w:rPr>
        <w:t>hypoglycaemia</w:t>
      </w:r>
      <w:r>
        <w:t xml:space="preserve"> during the reported observation period; causality cannot be established from this temporal association alone.</w:t>
      </w:r>
    </w:p>
    <w:p w14:paraId="675C282F" w14:textId="77777777" w:rsidR="005711EB" w:rsidRPr="00DC26F6" w:rsidRDefault="00000000">
      <w:pPr>
        <w:spacing w:after="140" w:line="271" w:lineRule="auto"/>
      </w:pPr>
      <w:r>
        <w:t xml:space="preserve">The timing of the event also warrants consideration. In </w:t>
      </w:r>
      <w:r>
        <w:rPr>
          <w:highlight w:val="yellow"/>
        </w:rPr>
        <w:t>randomised-trial</w:t>
      </w:r>
      <w:r>
        <w:t xml:space="preserve"> populations, evening NPH insulin has been associated with more nocturnal </w:t>
      </w:r>
      <w:r>
        <w:rPr>
          <w:highlight w:val="yellow"/>
        </w:rPr>
        <w:t>hypoglycaemia</w:t>
      </w:r>
      <w:r>
        <w:t xml:space="preserve"> than insulin glargine, although trial estimates should not be assumed to apply directly to this patient with acute illness and impaired renal function (Home et al., 2010). The use of carvedilol may further complicate symptom recognition, but the clinical record does not permit a determination of whether warning symptoms were masked in this episode. In such circumstances, scheduled nocturnal glucose assessment may be considered when clinically indicated, alongside adjustment of insulin to current glucose patterns and actual food intake (Alsahli &amp; Gerich, 2015; American Diabetes Association Professional Practice Committee, 2025).</w:t>
      </w:r>
    </w:p>
    <w:p w14:paraId="557E9393" w14:textId="77777777" w:rsidR="005711EB" w:rsidRPr="00DC26F6" w:rsidRDefault="00000000">
      <w:pPr>
        <w:spacing w:after="140" w:line="271" w:lineRule="auto"/>
      </w:pPr>
      <w:r>
        <w:t xml:space="preserve">The coexistence of myocardial injury and reduced left ventricular ejection fraction increases the clinical importance of avoiding further severe </w:t>
      </w:r>
      <w:r>
        <w:rPr>
          <w:highlight w:val="yellow"/>
        </w:rPr>
        <w:t>hypoglycaemia.</w:t>
      </w:r>
      <w:r>
        <w:t xml:space="preserve"> Observational work using concurrent continuous glucose and electrocardiographic monitoring has associated </w:t>
      </w:r>
      <w:r>
        <w:rPr>
          <w:highlight w:val="yellow"/>
        </w:rPr>
        <w:t>hypoglycaemia</w:t>
      </w:r>
      <w:r>
        <w:t xml:space="preserve"> with changes in cardiac rhythm among adults with type 2 diabetes and cardiovascular risk (Chow et al., 2014). Mechanistic reviews likewise describe sympathoadrenal activation and alterations in cardiac repolarization during </w:t>
      </w:r>
      <w:r>
        <w:rPr>
          <w:highlight w:val="yellow"/>
        </w:rPr>
        <w:t>hypoglycaemia</w:t>
      </w:r>
      <w:r>
        <w:t xml:space="preserve"> (Frier et al., 2011). These findings indicate potential cardiovascular vulnerability, but no arrhythmia was documented during the reported seizure, and the available information should not be interpreted as evidence of a </w:t>
      </w:r>
      <w:r>
        <w:rPr>
          <w:highlight w:val="yellow"/>
        </w:rPr>
        <w:t>hypoglycaemia-induced</w:t>
      </w:r>
      <w:r>
        <w:t xml:space="preserve"> cardiac event in this patient.</w:t>
      </w:r>
    </w:p>
    <w:p w14:paraId="73F05BF2" w14:textId="77777777" w:rsidR="005711EB" w:rsidRPr="00DC26F6" w:rsidRDefault="00000000">
      <w:pPr>
        <w:spacing w:after="140" w:line="271" w:lineRule="auto"/>
      </w:pPr>
      <w:r>
        <w:t xml:space="preserve">The American Diabetes Association recommendations distinguish between critically ill and noncritically ill </w:t>
      </w:r>
      <w:r>
        <w:rPr>
          <w:highlight w:val="yellow"/>
        </w:rPr>
        <w:t>hospitalised</w:t>
      </w:r>
      <w:r>
        <w:t xml:space="preserve"> adults, </w:t>
      </w:r>
      <w:r>
        <w:rPr>
          <w:highlight w:val="yellow"/>
        </w:rPr>
        <w:t>emphasising</w:t>
      </w:r>
      <w:r>
        <w:t xml:space="preserve"> </w:t>
      </w:r>
      <w:r>
        <w:rPr>
          <w:highlight w:val="yellow"/>
        </w:rPr>
        <w:t>individualised</w:t>
      </w:r>
      <w:r>
        <w:t xml:space="preserve"> </w:t>
      </w:r>
      <w:r>
        <w:rPr>
          <w:highlight w:val="yellow"/>
        </w:rPr>
        <w:t>glycaemic</w:t>
      </w:r>
      <w:r>
        <w:t xml:space="preserve"> targets and </w:t>
      </w:r>
      <w:r>
        <w:rPr>
          <w:highlight w:val="yellow"/>
        </w:rPr>
        <w:t>hypoglycaemia</w:t>
      </w:r>
      <w:r>
        <w:t xml:space="preserve"> prevention rather than a universal treatment range (American Diabetes Association Professional Practice Committee, 2025). In this case, improvement following </w:t>
      </w:r>
      <w:r>
        <w:lastRenderedPageBreak/>
        <w:t>dextrose administration, adjustment of the prescribed insulin doses, and close glucose monitoring illustrate a clinically coherent management sequence. Interpretation remains limited by the single-patient design, the absence of serial insulin-concentration measurements, and the lack of a formal comparison with an alternative dosing protocol (Baldwin et al., 2012; Umpierrez et al., 2013).</w:t>
      </w:r>
    </w:p>
    <w:p w14:paraId="6704422E" w14:textId="77777777" w:rsidR="00C70322" w:rsidRPr="00DC26F6" w:rsidRDefault="00C70322" w:rsidP="00C70322">
      <w:pPr>
        <w:rPr>
          <w:rFonts w:ascii="Times New Roman" w:hAnsi="Times New Roman" w:cs="Times New Roman"/>
        </w:rPr>
      </w:pPr>
      <w:r>
        <w:rPr>
          <w:rFonts w:ascii="Times New Roman" w:hAnsi="Times New Roman" w:cs="Times New Roman"/>
          <w:highlight w:val="yellow"/>
        </w:rPr>
        <w:t>Hypoglycaemia</w:t>
      </w:r>
      <w:r>
        <w:rPr>
          <w:rFonts w:ascii="Times New Roman" w:hAnsi="Times New Roman" w:cs="Times New Roman"/>
        </w:rPr>
        <w:t xml:space="preserve"> is especially hazardous with myocardial injury, since </w:t>
      </w:r>
      <w:r>
        <w:rPr>
          <w:rFonts w:ascii="Times New Roman" w:hAnsi="Times New Roman" w:cs="Times New Roman"/>
          <w:highlight w:val="yellow"/>
        </w:rPr>
        <w:t xml:space="preserve">a </w:t>
      </w:r>
      <w:r>
        <w:rPr>
          <w:rFonts w:ascii="Times New Roman" w:hAnsi="Times New Roman" w:cs="Times New Roman"/>
        </w:rPr>
        <w:t xml:space="preserve">catecholamine surge can provoke </w:t>
      </w:r>
      <w:r>
        <w:rPr>
          <w:rFonts w:ascii="Times New Roman" w:hAnsi="Times New Roman" w:cs="Times New Roman"/>
          <w:highlight w:val="yellow"/>
        </w:rPr>
        <w:t>ischaemia,</w:t>
      </w:r>
      <w:r>
        <w:rPr>
          <w:rFonts w:ascii="Times New Roman" w:hAnsi="Times New Roman" w:cs="Times New Roman"/>
        </w:rPr>
        <w:t xml:space="preserve"> </w:t>
      </w:r>
      <w:r>
        <w:rPr>
          <w:rFonts w:ascii="Times New Roman" w:hAnsi="Times New Roman" w:cs="Times New Roman"/>
          <w:highlight w:val="yellow"/>
        </w:rPr>
        <w:t>arrhythmia,</w:t>
      </w:r>
      <w:r>
        <w:rPr>
          <w:rFonts w:ascii="Times New Roman" w:hAnsi="Times New Roman" w:cs="Times New Roman"/>
        </w:rPr>
        <w:t xml:space="preserve"> and QT prolongation. The ADA recommends a hospital glucose target of 140–180 mg/dL and dose reduction when glucose falls below 100 mg/dL (American Diabetes Association Professional Practice Committee, 2025). Timing-based adjustment, as </w:t>
      </w:r>
      <w:r>
        <w:rPr>
          <w:rFonts w:ascii="Times New Roman" w:hAnsi="Times New Roman" w:cs="Times New Roman"/>
          <w:highlight w:val="yellow"/>
        </w:rPr>
        <w:t xml:space="preserve">shown </w:t>
      </w:r>
      <w:r>
        <w:rPr>
          <w:rFonts w:ascii="Times New Roman" w:hAnsi="Times New Roman" w:cs="Times New Roman"/>
        </w:rPr>
        <w:t>in the table, reduces the</w:t>
      </w:r>
      <w:r>
        <w:rPr>
          <w:rFonts w:ascii="Times New Roman" w:hAnsi="Times New Roman" w:cs="Times New Roman"/>
          <w:highlight w:val="yellow"/>
        </w:rPr>
        <w:t xml:space="preserve"> dose of</w:t>
      </w:r>
      <w:r>
        <w:rPr>
          <w:rFonts w:ascii="Times New Roman" w:hAnsi="Times New Roman" w:cs="Times New Roman"/>
        </w:rPr>
        <w:t xml:space="preserve"> insulin whose peak matches the </w:t>
      </w:r>
      <w:r>
        <w:rPr>
          <w:rFonts w:ascii="Times New Roman" w:hAnsi="Times New Roman" w:cs="Times New Roman"/>
          <w:highlight w:val="yellow"/>
        </w:rPr>
        <w:t>hypoglycaemic</w:t>
      </w:r>
      <w:r>
        <w:rPr>
          <w:rFonts w:ascii="Times New Roman" w:hAnsi="Times New Roman" w:cs="Times New Roman"/>
        </w:rPr>
        <w:t xml:space="preserve"> window.</w:t>
      </w:r>
    </w:p>
    <w:p w14:paraId="296BD4E0"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Learning Points</w:t>
      </w:r>
    </w:p>
    <w:p w14:paraId="28D25A03" w14:textId="77777777" w:rsidR="00C70322" w:rsidRPr="00DC26F6" w:rsidRDefault="00C70322" w:rsidP="00C70322">
      <w:pPr>
        <w:numPr>
          <w:ilvl w:val="0"/>
          <w:numId w:val="2"/>
        </w:numPr>
        <w:rPr>
          <w:rFonts w:ascii="Times New Roman" w:hAnsi="Times New Roman" w:cs="Times New Roman"/>
        </w:rPr>
      </w:pPr>
      <w:r w:rsidRPr="00DC26F6">
        <w:rPr>
          <w:rFonts w:ascii="Times New Roman" w:hAnsi="Times New Roman" w:cs="Times New Roman"/>
        </w:rPr>
        <w:t>Reduce insulin proactively when AKI is identified, rather than after an event.</w:t>
      </w:r>
    </w:p>
    <w:p w14:paraId="28D3E741" w14:textId="77777777" w:rsidR="00C70322" w:rsidRPr="00DC26F6" w:rsidRDefault="00C70322" w:rsidP="00C70322">
      <w:pPr>
        <w:numPr>
          <w:ilvl w:val="0"/>
          <w:numId w:val="2"/>
        </w:numPr>
        <w:rPr>
          <w:rFonts w:ascii="Times New Roman" w:hAnsi="Times New Roman" w:cs="Times New Roman"/>
        </w:rPr>
      </w:pPr>
      <w:r w:rsidRPr="00DC26F6">
        <w:rPr>
          <w:rFonts w:ascii="Times New Roman" w:hAnsi="Times New Roman" w:cs="Times New Roman"/>
        </w:rPr>
        <w:t>Match prandial insulin to intake; give it after the meal when intake is erratic.</w:t>
      </w:r>
    </w:p>
    <w:p w14:paraId="645B6AFF" w14:textId="77777777" w:rsidR="00C70322" w:rsidRPr="00DC26F6" w:rsidRDefault="00C70322" w:rsidP="00C70322">
      <w:pPr>
        <w:numPr>
          <w:ilvl w:val="0"/>
          <w:numId w:val="2"/>
        </w:numPr>
        <w:rPr>
          <w:rFonts w:ascii="Times New Roman" w:hAnsi="Times New Roman" w:cs="Times New Roman"/>
        </w:rPr>
      </w:pPr>
      <w:r w:rsidRPr="00DC26F6">
        <w:rPr>
          <w:rFonts w:ascii="Times New Roman" w:hAnsi="Times New Roman" w:cs="Times New Roman"/>
        </w:rPr>
        <w:t>Check glucose at 02:00–03:00 in patients on evening NPH with renal impairment.</w:t>
      </w:r>
    </w:p>
    <w:p w14:paraId="2224B64B" w14:textId="77777777" w:rsidR="00C70322" w:rsidRPr="00DC26F6" w:rsidRDefault="00C70322" w:rsidP="00C70322">
      <w:pPr>
        <w:numPr>
          <w:ilvl w:val="0"/>
          <w:numId w:val="2"/>
        </w:numPr>
        <w:rPr>
          <w:rFonts w:ascii="Times New Roman" w:hAnsi="Times New Roman" w:cs="Times New Roman"/>
        </w:rPr>
      </w:pPr>
      <w:r>
        <w:rPr>
          <w:rFonts w:ascii="Times New Roman" w:hAnsi="Times New Roman" w:cs="Times New Roman"/>
        </w:rPr>
        <w:t xml:space="preserve">Beta-blockers can mask </w:t>
      </w:r>
      <w:r>
        <w:rPr>
          <w:rFonts w:ascii="Times New Roman" w:hAnsi="Times New Roman" w:cs="Times New Roman"/>
          <w:highlight w:val="yellow"/>
        </w:rPr>
        <w:t>hypoglycaemia.</w:t>
      </w:r>
    </w:p>
    <w:p w14:paraId="7572262C" w14:textId="77777777" w:rsidR="00C70322" w:rsidRPr="00DC26F6" w:rsidRDefault="00C70322" w:rsidP="00C70322">
      <w:pPr>
        <w:numPr>
          <w:ilvl w:val="0"/>
          <w:numId w:val="2"/>
        </w:numPr>
        <w:rPr>
          <w:rFonts w:ascii="Times New Roman" w:hAnsi="Times New Roman" w:cs="Times New Roman"/>
        </w:rPr>
      </w:pPr>
      <w:r>
        <w:rPr>
          <w:rFonts w:ascii="Times New Roman" w:hAnsi="Times New Roman" w:cs="Times New Roman"/>
        </w:rPr>
        <w:t>Treat</w:t>
      </w:r>
      <w:r>
        <w:rPr>
          <w:rFonts w:ascii="Times New Roman" w:hAnsi="Times New Roman" w:cs="Times New Roman"/>
          <w:highlight w:val="yellow"/>
        </w:rPr>
        <w:t xml:space="preserve"> a</w:t>
      </w:r>
      <w:r>
        <w:rPr>
          <w:rFonts w:ascii="Times New Roman" w:hAnsi="Times New Roman" w:cs="Times New Roman"/>
        </w:rPr>
        <w:t xml:space="preserve"> seizure </w:t>
      </w:r>
      <w:r>
        <w:rPr>
          <w:rFonts w:ascii="Times New Roman" w:hAnsi="Times New Roman" w:cs="Times New Roman"/>
          <w:highlight w:val="yellow"/>
        </w:rPr>
        <w:t>caused by</w:t>
      </w:r>
      <w:r>
        <w:rPr>
          <w:rFonts w:ascii="Times New Roman" w:hAnsi="Times New Roman" w:cs="Times New Roman"/>
        </w:rPr>
        <w:t xml:space="preserve"> </w:t>
      </w:r>
      <w:r>
        <w:rPr>
          <w:rFonts w:ascii="Times New Roman" w:hAnsi="Times New Roman" w:cs="Times New Roman"/>
          <w:highlight w:val="yellow"/>
        </w:rPr>
        <w:t>hypoglycaemia</w:t>
      </w:r>
      <w:r>
        <w:rPr>
          <w:rFonts w:ascii="Times New Roman" w:hAnsi="Times New Roman" w:cs="Times New Roman"/>
        </w:rPr>
        <w:t xml:space="preserve"> with IV dextrose </w:t>
      </w:r>
      <w:r>
        <w:rPr>
          <w:rFonts w:ascii="Times New Roman" w:hAnsi="Times New Roman" w:cs="Times New Roman"/>
          <w:highlight w:val="yellow"/>
        </w:rPr>
        <w:t>followed by an</w:t>
      </w:r>
      <w:r>
        <w:rPr>
          <w:rFonts w:ascii="Times New Roman" w:hAnsi="Times New Roman" w:cs="Times New Roman"/>
        </w:rPr>
        <w:t xml:space="preserve"> infusion; use benzodiazepines only if seizures persist.</w:t>
      </w:r>
    </w:p>
    <w:p w14:paraId="372F5867" w14:textId="77777777" w:rsidR="00C70322" w:rsidRPr="00DC26F6" w:rsidRDefault="00C70322" w:rsidP="00C70322">
      <w:pPr>
        <w:numPr>
          <w:ilvl w:val="0"/>
          <w:numId w:val="2"/>
        </w:numPr>
        <w:rPr>
          <w:rFonts w:ascii="Times New Roman" w:hAnsi="Times New Roman" w:cs="Times New Roman"/>
        </w:rPr>
      </w:pPr>
      <w:r>
        <w:rPr>
          <w:rFonts w:ascii="Times New Roman" w:hAnsi="Times New Roman" w:cs="Times New Roman"/>
        </w:rPr>
        <w:t xml:space="preserve">Exclude other causes (electrolytes, uremia, structural lesions) before attributing a seizure to </w:t>
      </w:r>
      <w:r>
        <w:rPr>
          <w:rFonts w:ascii="Times New Roman" w:hAnsi="Times New Roman" w:cs="Times New Roman"/>
          <w:highlight w:val="yellow"/>
        </w:rPr>
        <w:t>hypoglycaemia.</w:t>
      </w:r>
    </w:p>
    <w:p w14:paraId="2E5F28FB" w14:textId="77777777" w:rsidR="00C70322" w:rsidRDefault="00C70322" w:rsidP="00C70322">
      <w:pPr>
        <w:rPr>
          <w:rFonts w:ascii="Times New Roman" w:hAnsi="Times New Roman" w:cs="Times New Roman"/>
          <w:b/>
          <w:bCs/>
        </w:rPr>
      </w:pPr>
      <w:r w:rsidRPr="00DC26F6">
        <w:rPr>
          <w:rFonts w:ascii="Times New Roman" w:hAnsi="Times New Roman" w:cs="Times New Roman"/>
          <w:b/>
          <w:bCs/>
        </w:rPr>
        <w:t>Conclusion</w:t>
      </w:r>
    </w:p>
    <w:p w14:paraId="13B3FC8E" w14:textId="77777777" w:rsidR="00C27CD0" w:rsidRDefault="00C27CD0" w:rsidP="00C70322">
      <w:pPr>
        <w:rPr>
          <w:rFonts w:ascii="Times New Roman" w:hAnsi="Times New Roman" w:cs="Times New Roman"/>
          <w:b/>
          <w:bCs/>
        </w:rPr>
      </w:pPr>
    </w:p>
    <w:p w14:paraId="7AEC7F1E" w14:textId="6FC72757" w:rsidR="00C27CD0" w:rsidRDefault="000D2A4A" w:rsidP="00C70322">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This case describes severe nocturnal </w:t>
      </w:r>
      <w:r>
        <w:rPr>
          <w:rFonts w:ascii="Times New Roman" w:eastAsia="Times New Roman" w:hAnsi="Times New Roman" w:cs="Times New Roman"/>
          <w:sz w:val="24"/>
          <w:szCs w:val="24"/>
          <w:highlight w:val="yellow"/>
          <w:lang w:eastAsia="en-GB"/>
        </w:rPr>
        <w:t>hypoglycaemia</w:t>
      </w:r>
      <w:r>
        <w:rPr>
          <w:rFonts w:ascii="Times New Roman" w:eastAsia="Times New Roman" w:hAnsi="Times New Roman" w:cs="Times New Roman"/>
          <w:sz w:val="24"/>
          <w:szCs w:val="24"/>
          <w:lang w:eastAsia="en-GB"/>
        </w:rPr>
        <w:t xml:space="preserve"> presenting as a </w:t>
      </w:r>
      <w:r>
        <w:rPr>
          <w:rFonts w:ascii="Times New Roman" w:eastAsia="Times New Roman" w:hAnsi="Times New Roman" w:cs="Times New Roman"/>
          <w:sz w:val="24"/>
          <w:szCs w:val="24"/>
          <w:highlight w:val="yellow"/>
          <w:lang w:eastAsia="en-GB"/>
        </w:rPr>
        <w:t>generalised</w:t>
      </w:r>
      <w:r>
        <w:rPr>
          <w:rFonts w:ascii="Times New Roman" w:eastAsia="Times New Roman" w:hAnsi="Times New Roman" w:cs="Times New Roman"/>
          <w:sz w:val="24"/>
          <w:szCs w:val="24"/>
          <w:lang w:eastAsia="en-GB"/>
        </w:rPr>
        <w:t xml:space="preserve"> tonic-clonic seizure in a </w:t>
      </w:r>
      <w:r>
        <w:rPr>
          <w:rFonts w:ascii="Times New Roman" w:eastAsia="Times New Roman" w:hAnsi="Times New Roman" w:cs="Times New Roman"/>
          <w:sz w:val="24"/>
          <w:szCs w:val="24"/>
          <w:highlight w:val="yellow"/>
          <w:lang w:eastAsia="en-GB"/>
        </w:rPr>
        <w:t>hospitalised</w:t>
      </w:r>
      <w:r>
        <w:rPr>
          <w:rFonts w:ascii="Times New Roman" w:eastAsia="Times New Roman" w:hAnsi="Times New Roman" w:cs="Times New Roman"/>
          <w:sz w:val="24"/>
          <w:szCs w:val="24"/>
          <w:lang w:eastAsia="en-GB"/>
        </w:rPr>
        <w:t xml:space="preserve"> patient with type 2 diabetes, renal dysfunction, acute decompensated heart failure, and reduced oral intake. The episode occurred after scheduled evening NPH and regular insulin and resolved following intravenous dextrose administration. No recurrent </w:t>
      </w:r>
      <w:r>
        <w:rPr>
          <w:rFonts w:ascii="Times New Roman" w:eastAsia="Times New Roman" w:hAnsi="Times New Roman" w:cs="Times New Roman"/>
          <w:sz w:val="24"/>
          <w:szCs w:val="24"/>
          <w:highlight w:val="yellow"/>
          <w:lang w:eastAsia="en-GB"/>
        </w:rPr>
        <w:t>hypoglycaemia</w:t>
      </w:r>
      <w:r>
        <w:rPr>
          <w:rFonts w:ascii="Times New Roman" w:eastAsia="Times New Roman" w:hAnsi="Times New Roman" w:cs="Times New Roman"/>
          <w:sz w:val="24"/>
          <w:szCs w:val="24"/>
          <w:lang w:eastAsia="en-GB"/>
        </w:rPr>
        <w:t xml:space="preserve"> or seizure was documented after reduction of the evening insulin doses and closer matching of prandial insulin to food intake. The clinical course supports careful reassessment of insulin requirements when renal function and nutritional intake change during acute illness. Additional glucose monitoring may also be appropriate in selected patients considered </w:t>
      </w:r>
      <w:r>
        <w:rPr>
          <w:rFonts w:ascii="Times New Roman" w:eastAsia="Times New Roman" w:hAnsi="Times New Roman" w:cs="Times New Roman"/>
          <w:sz w:val="24"/>
          <w:szCs w:val="24"/>
          <w:highlight w:val="yellow"/>
          <w:lang w:eastAsia="en-GB"/>
        </w:rPr>
        <w:t xml:space="preserve">to be </w:t>
      </w:r>
      <w:r>
        <w:rPr>
          <w:rFonts w:ascii="Times New Roman" w:eastAsia="Times New Roman" w:hAnsi="Times New Roman" w:cs="Times New Roman"/>
          <w:sz w:val="24"/>
          <w:szCs w:val="24"/>
          <w:lang w:eastAsia="en-GB"/>
        </w:rPr>
        <w:t xml:space="preserve">at increased risk of nocturnal </w:t>
      </w:r>
      <w:r>
        <w:rPr>
          <w:rFonts w:ascii="Times New Roman" w:eastAsia="Times New Roman" w:hAnsi="Times New Roman" w:cs="Times New Roman"/>
          <w:sz w:val="24"/>
          <w:szCs w:val="24"/>
          <w:highlight w:val="yellow"/>
          <w:lang w:eastAsia="en-GB"/>
        </w:rPr>
        <w:t>hypoglycaemia.</w:t>
      </w:r>
      <w:r w:rsidR="00C45133">
        <w:rPr>
          <w:rFonts w:ascii="Times New Roman" w:eastAsia="Times New Roman" w:hAnsi="Times New Roman" w:cs="Times New Roman"/>
          <w:sz w:val="24"/>
          <w:szCs w:val="24"/>
          <w:lang w:eastAsia="en-GB"/>
        </w:rPr>
        <w:t xml:space="preserve">  </w:t>
      </w:r>
    </w:p>
    <w:p w14:paraId="72CDB6B9" w14:textId="66868B62" w:rsidR="00C45133" w:rsidRPr="00C45133" w:rsidRDefault="00C45133" w:rsidP="00C45133">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C45133">
        <w:rPr>
          <w:rFonts w:ascii="Times New Roman" w:eastAsia="Times New Roman" w:hAnsi="Times New Roman" w:cs="Times New Roman"/>
          <w:b/>
          <w:bCs/>
          <w:kern w:val="0"/>
          <w:sz w:val="27"/>
          <w:szCs w:val="27"/>
          <w:lang w:val="en-US"/>
          <w14:ligatures w14:val="none"/>
        </w:rPr>
        <w:t xml:space="preserve">Limitations </w:t>
      </w:r>
    </w:p>
    <w:p w14:paraId="58E7C4D3" w14:textId="77777777" w:rsidR="00C45133" w:rsidRPr="00C45133" w:rsidRDefault="00C45133" w:rsidP="00C45133">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C45133">
        <w:rPr>
          <w:rFonts w:ascii="Times New Roman" w:eastAsia="Times New Roman" w:hAnsi="Times New Roman" w:cs="Times New Roman"/>
          <w:kern w:val="0"/>
          <w:sz w:val="24"/>
          <w:szCs w:val="24"/>
          <w:lang w:val="en-US"/>
          <w14:ligatures w14:val="none"/>
        </w:rPr>
        <w:t xml:space="preserve">This report describes a single patient, limiting </w:t>
      </w:r>
      <w:proofErr w:type="spellStart"/>
      <w:r w:rsidRPr="00C45133">
        <w:rPr>
          <w:rFonts w:ascii="Times New Roman" w:eastAsia="Times New Roman" w:hAnsi="Times New Roman" w:cs="Times New Roman"/>
          <w:kern w:val="0"/>
          <w:sz w:val="24"/>
          <w:szCs w:val="24"/>
          <w:lang w:val="en-US"/>
          <w14:ligatures w14:val="none"/>
        </w:rPr>
        <w:t>generalisability</w:t>
      </w:r>
      <w:proofErr w:type="spellEnd"/>
      <w:r w:rsidRPr="00C45133">
        <w:rPr>
          <w:rFonts w:ascii="Times New Roman" w:eastAsia="Times New Roman" w:hAnsi="Times New Roman" w:cs="Times New Roman"/>
          <w:kern w:val="0"/>
          <w:sz w:val="24"/>
          <w:szCs w:val="24"/>
          <w:lang w:val="en-US"/>
          <w14:ligatures w14:val="none"/>
        </w:rPr>
        <w:t xml:space="preserve"> and preventing causal attribution to individual risk factors. Pre-admission renal function was not documented, restricting assessment of underlying kidney disease and the severity of acute kidney injury. Serial insulin concentrations and continuous glucose monitoring data were unavailable, and no alternative insulin regimen was formally compared. The reported clinical follow-up extended only to one week after discharge. These limitations prevent conclusions about the comparative effectiveness of the insulin adjustments or the longer-term risk of recurrent </w:t>
      </w:r>
      <w:proofErr w:type="spellStart"/>
      <w:r w:rsidRPr="00C45133">
        <w:rPr>
          <w:rFonts w:ascii="Times New Roman" w:eastAsia="Times New Roman" w:hAnsi="Times New Roman" w:cs="Times New Roman"/>
          <w:kern w:val="0"/>
          <w:sz w:val="24"/>
          <w:szCs w:val="24"/>
          <w:lang w:val="en-US"/>
          <w14:ligatures w14:val="none"/>
        </w:rPr>
        <w:t>hypoglycaemia</w:t>
      </w:r>
      <w:proofErr w:type="spellEnd"/>
      <w:r w:rsidRPr="00C45133">
        <w:rPr>
          <w:rFonts w:ascii="Times New Roman" w:eastAsia="Times New Roman" w:hAnsi="Times New Roman" w:cs="Times New Roman"/>
          <w:kern w:val="0"/>
          <w:sz w:val="24"/>
          <w:szCs w:val="24"/>
          <w:lang w:val="en-US"/>
          <w14:ligatures w14:val="none"/>
        </w:rPr>
        <w:t>.</w:t>
      </w:r>
    </w:p>
    <w:p w14:paraId="30687144" w14:textId="77777777" w:rsidR="00C45133" w:rsidRPr="00C45133" w:rsidRDefault="00C45133" w:rsidP="00C70322">
      <w:pPr>
        <w:rPr>
          <w:rFonts w:ascii="Times New Roman" w:hAnsi="Times New Roman" w:cs="Times New Roman"/>
          <w:b/>
          <w:bCs/>
        </w:rPr>
      </w:pPr>
    </w:p>
    <w:p w14:paraId="5DD59031" w14:textId="77777777" w:rsidR="001006A1" w:rsidRPr="00DC26F6" w:rsidRDefault="001006A1" w:rsidP="001006A1">
      <w:pPr>
        <w:spacing w:after="0" w:line="240" w:lineRule="auto"/>
        <w:rPr>
          <w:rFonts w:ascii="Arial" w:eastAsia="Calibri" w:hAnsi="Arial" w:cs="Arial"/>
          <w:b/>
          <w:kern w:val="0"/>
          <w:sz w:val="20"/>
          <w:szCs w:val="20"/>
          <w:lang w:val="en-US"/>
          <w14:ligatures w14:val="none"/>
        </w:rPr>
      </w:pPr>
      <w:bookmarkStart w:id="0" w:name="_Hlk238550938"/>
      <w:bookmarkStart w:id="1" w:name="_Hlk237856463"/>
      <w:r w:rsidRPr="00DC26F6">
        <w:rPr>
          <w:rFonts w:ascii="Arial" w:eastAsia="Calibri" w:hAnsi="Arial" w:cs="Arial"/>
          <w:b/>
          <w:kern w:val="0"/>
          <w:sz w:val="20"/>
          <w:szCs w:val="20"/>
          <w:lang w:val="en-US"/>
          <w14:ligatures w14:val="none"/>
        </w:rPr>
        <w:lastRenderedPageBreak/>
        <w:t>Declaration of AI Use</w:t>
      </w:r>
    </w:p>
    <w:p w14:paraId="65099006" w14:textId="77777777" w:rsidR="001006A1" w:rsidRPr="00DC26F6" w:rsidRDefault="001006A1" w:rsidP="001006A1">
      <w:pPr>
        <w:spacing w:after="0" w:line="240" w:lineRule="auto"/>
        <w:rPr>
          <w:rFonts w:ascii="Arial" w:eastAsia="Calibri" w:hAnsi="Arial" w:cs="Arial"/>
          <w:kern w:val="0"/>
          <w:sz w:val="20"/>
          <w:szCs w:val="20"/>
          <w:lang w:val="en-US"/>
          <w14:ligatures w14:val="none"/>
        </w:rPr>
      </w:pPr>
      <w:bookmarkStart w:id="2" w:name="_Hlk239068730"/>
    </w:p>
    <w:p w14:paraId="3AE7296C" w14:textId="77777777" w:rsidR="001006A1" w:rsidRDefault="001006A1" w:rsidP="001006A1">
      <w:pPr>
        <w:spacing w:after="0" w:line="240" w:lineRule="auto"/>
        <w:rPr>
          <w:rFonts w:ascii="Arial" w:eastAsia="Calibri" w:hAnsi="Arial" w:cs="Arial"/>
          <w:kern w:val="0"/>
          <w:sz w:val="20"/>
          <w:szCs w:val="20"/>
          <w:lang w:val="en-US"/>
          <w14:ligatures w14:val="none"/>
        </w:rPr>
      </w:pPr>
      <w:bookmarkStart w:id="3" w:name="_Hlk237862032"/>
      <w:r w:rsidRPr="00DC26F6">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DC26F6">
        <w:rPr>
          <w:rFonts w:ascii="Arial" w:eastAsia="Calibri" w:hAnsi="Arial" w:cs="Arial"/>
          <w:kern w:val="0"/>
          <w:sz w:val="20"/>
          <w:szCs w:val="20"/>
          <w:lang w:val="en-US"/>
          <w14:ligatures w14:val="none"/>
        </w:rPr>
        <w:t>.</w:t>
      </w:r>
    </w:p>
    <w:p w14:paraId="23DFB054" w14:textId="77777777" w:rsidR="00922DB3" w:rsidRDefault="00922DB3" w:rsidP="001006A1">
      <w:pPr>
        <w:spacing w:after="0" w:line="240" w:lineRule="auto"/>
        <w:rPr>
          <w:rFonts w:ascii="Arial" w:eastAsia="Calibri" w:hAnsi="Arial" w:cs="Arial"/>
          <w:kern w:val="0"/>
          <w:sz w:val="20"/>
          <w:szCs w:val="20"/>
          <w:lang w:val="en-US"/>
          <w14:ligatures w14:val="none"/>
        </w:rPr>
      </w:pPr>
    </w:p>
    <w:p w14:paraId="3136BEEA" w14:textId="77777777" w:rsidR="00922DB3" w:rsidRPr="00922DB3" w:rsidRDefault="00922DB3" w:rsidP="00922DB3">
      <w:pPr>
        <w:spacing w:after="0" w:line="240" w:lineRule="auto"/>
        <w:rPr>
          <w:rFonts w:ascii="Arial" w:eastAsia="Calibri" w:hAnsi="Arial" w:cs="Arial"/>
          <w:b/>
          <w:bCs/>
          <w:kern w:val="0"/>
          <w:sz w:val="20"/>
          <w:szCs w:val="20"/>
          <w:lang w:val="en-US"/>
          <w14:ligatures w14:val="none"/>
        </w:rPr>
      </w:pPr>
      <w:r w:rsidRPr="00922DB3">
        <w:rPr>
          <w:rFonts w:ascii="Arial" w:eastAsia="Calibri" w:hAnsi="Arial" w:cs="Arial"/>
          <w:b/>
          <w:bCs/>
          <w:kern w:val="0"/>
          <w:sz w:val="20"/>
          <w:szCs w:val="20"/>
          <w:lang w:val="en-US"/>
          <w14:ligatures w14:val="none"/>
        </w:rPr>
        <w:t>Ethical Approval:</w:t>
      </w:r>
    </w:p>
    <w:p w14:paraId="1C46E696" w14:textId="77777777" w:rsidR="00922DB3" w:rsidRDefault="00922DB3" w:rsidP="00922DB3">
      <w:pPr>
        <w:spacing w:after="0" w:line="240" w:lineRule="auto"/>
        <w:rPr>
          <w:rFonts w:ascii="Arial" w:eastAsia="Calibri" w:hAnsi="Arial" w:cs="Arial"/>
          <w:kern w:val="0"/>
          <w:sz w:val="20"/>
          <w:szCs w:val="20"/>
          <w:lang w:val="en-US"/>
          <w14:ligatures w14:val="none"/>
        </w:rPr>
      </w:pPr>
      <w:r w:rsidRPr="00922DB3">
        <w:rPr>
          <w:rFonts w:ascii="Arial" w:eastAsia="Calibri" w:hAnsi="Arial" w:cs="Arial"/>
          <w:kern w:val="0"/>
          <w:sz w:val="20"/>
          <w:szCs w:val="20"/>
          <w:lang w:val="en-US"/>
          <w14:ligatures w14:val="none"/>
        </w:rPr>
        <w:t>As per international standards or university standards written ethical approval has been collected and preserved by the author(s).</w:t>
      </w:r>
    </w:p>
    <w:p w14:paraId="138BC1BD" w14:textId="77777777" w:rsidR="00922DB3" w:rsidRPr="00922DB3" w:rsidRDefault="00922DB3" w:rsidP="00922DB3">
      <w:pPr>
        <w:spacing w:after="0" w:line="240" w:lineRule="auto"/>
        <w:rPr>
          <w:rFonts w:ascii="Arial" w:eastAsia="Calibri" w:hAnsi="Arial" w:cs="Arial"/>
          <w:kern w:val="0"/>
          <w:sz w:val="20"/>
          <w:szCs w:val="20"/>
          <w:lang w:val="en-US"/>
          <w14:ligatures w14:val="none"/>
        </w:rPr>
      </w:pPr>
    </w:p>
    <w:p w14:paraId="6708B838" w14:textId="77777777" w:rsidR="00922DB3" w:rsidRPr="00922DB3" w:rsidRDefault="00922DB3" w:rsidP="00922DB3">
      <w:pPr>
        <w:spacing w:after="0" w:line="240" w:lineRule="auto"/>
        <w:rPr>
          <w:rFonts w:ascii="Arial" w:eastAsia="Calibri" w:hAnsi="Arial" w:cs="Arial"/>
          <w:b/>
          <w:bCs/>
          <w:kern w:val="0"/>
          <w:sz w:val="20"/>
          <w:szCs w:val="20"/>
          <w:lang w:val="en-US"/>
          <w14:ligatures w14:val="none"/>
        </w:rPr>
      </w:pPr>
      <w:r w:rsidRPr="00922DB3">
        <w:rPr>
          <w:rFonts w:ascii="Arial" w:eastAsia="Calibri" w:hAnsi="Arial" w:cs="Arial"/>
          <w:b/>
          <w:bCs/>
          <w:kern w:val="0"/>
          <w:sz w:val="20"/>
          <w:szCs w:val="20"/>
          <w:lang w:val="en-US"/>
          <w14:ligatures w14:val="none"/>
        </w:rPr>
        <w:t>Consent:</w:t>
      </w:r>
    </w:p>
    <w:p w14:paraId="040044A2" w14:textId="5490313B" w:rsidR="00922DB3" w:rsidRPr="00DC26F6" w:rsidRDefault="00922DB3" w:rsidP="00922DB3">
      <w:pPr>
        <w:spacing w:after="0" w:line="240" w:lineRule="auto"/>
        <w:rPr>
          <w:rFonts w:ascii="Arial" w:eastAsia="Calibri" w:hAnsi="Arial" w:cs="Arial"/>
          <w:kern w:val="0"/>
          <w:sz w:val="20"/>
          <w:szCs w:val="20"/>
          <w:lang w:val="en-US"/>
          <w14:ligatures w14:val="none"/>
        </w:rPr>
      </w:pPr>
      <w:r w:rsidRPr="00922DB3">
        <w:rPr>
          <w:rFonts w:ascii="Arial" w:eastAsia="Calibri" w:hAnsi="Arial" w:cs="Arial"/>
          <w:kern w:val="0"/>
          <w:sz w:val="20"/>
          <w:szCs w:val="20"/>
          <w:lang w:val="en-US"/>
          <w14:ligatures w14:val="none"/>
        </w:rPr>
        <w:t>As per international standards or university standards, patient(s) written consent has been collected and preserved by the author(s).</w:t>
      </w:r>
    </w:p>
    <w:bookmarkEnd w:id="1"/>
    <w:bookmarkEnd w:id="2"/>
    <w:bookmarkEnd w:id="3"/>
    <w:p w14:paraId="512CD5A5" w14:textId="77777777" w:rsidR="004904AA" w:rsidRDefault="004904AA" w:rsidP="0041065F">
      <w:pPr>
        <w:rPr>
          <w:rFonts w:ascii="Times New Roman" w:hAnsi="Times New Roman" w:cs="Times New Roman"/>
        </w:rPr>
      </w:pPr>
    </w:p>
    <w:p w14:paraId="400D0ABC" w14:textId="77777777" w:rsidR="0041065F" w:rsidRPr="0041065F" w:rsidRDefault="0041065F" w:rsidP="0041065F">
      <w:pPr>
        <w:rPr>
          <w:rFonts w:ascii="Times New Roman" w:hAnsi="Times New Roman" w:cs="Times New Roman"/>
        </w:rPr>
      </w:pPr>
      <w:r w:rsidRPr="0041065F">
        <w:rPr>
          <w:rFonts w:ascii="Times New Roman" w:hAnsi="Times New Roman" w:cs="Times New Roman"/>
        </w:rPr>
        <w:t>COMPETING INTERESTS DISCLAIMER:</w:t>
      </w:r>
    </w:p>
    <w:p w14:paraId="4F61A86F" w14:textId="77777777" w:rsidR="0041065F" w:rsidRPr="0041065F" w:rsidRDefault="0041065F" w:rsidP="0041065F">
      <w:pPr>
        <w:rPr>
          <w:rFonts w:ascii="Times New Roman" w:hAnsi="Times New Roman" w:cs="Times New Roman"/>
        </w:rPr>
      </w:pPr>
      <w:r w:rsidRPr="0041065F">
        <w:rPr>
          <w:rFonts w:ascii="Times New Roman" w:hAnsi="Times New Roman" w:cs="Times New Roman"/>
        </w:rPr>
        <w:t>Authors have declared that they have no known competing financial interests OR non-financial interests OR personal relationships that could have appeared to influence the work reported in this paper.</w:t>
      </w:r>
    </w:p>
    <w:p w14:paraId="708797DE" w14:textId="77777777" w:rsidR="0041065F" w:rsidRPr="0041065F" w:rsidRDefault="0041065F" w:rsidP="0041065F">
      <w:pPr>
        <w:rPr>
          <w:rFonts w:ascii="Times New Roman" w:hAnsi="Times New Roman" w:cs="Times New Roman"/>
        </w:rPr>
      </w:pPr>
    </w:p>
    <w:p w14:paraId="1CDA0EEB" w14:textId="77777777" w:rsidR="001006A1" w:rsidRPr="00DC26F6" w:rsidRDefault="001006A1" w:rsidP="00C70322">
      <w:pPr>
        <w:rPr>
          <w:rFonts w:ascii="Times New Roman" w:hAnsi="Times New Roman" w:cs="Times New Roman"/>
        </w:rPr>
      </w:pPr>
    </w:p>
    <w:p w14:paraId="747B1D2B" w14:textId="77777777" w:rsidR="004904AA" w:rsidRDefault="004904AA" w:rsidP="003A1836">
      <w:pPr>
        <w:tabs>
          <w:tab w:val="num" w:pos="720"/>
        </w:tabs>
        <w:rPr>
          <w:rFonts w:ascii="Times New Roman" w:hAnsi="Times New Roman" w:cs="Times New Roman"/>
          <w:b/>
          <w:bCs/>
        </w:rPr>
      </w:pPr>
    </w:p>
    <w:p w14:paraId="321AE59F" w14:textId="77777777" w:rsidR="004904AA" w:rsidRDefault="004904AA" w:rsidP="003A1836">
      <w:pPr>
        <w:tabs>
          <w:tab w:val="num" w:pos="720"/>
        </w:tabs>
        <w:rPr>
          <w:rFonts w:ascii="Times New Roman" w:hAnsi="Times New Roman" w:cs="Times New Roman"/>
          <w:b/>
          <w:bCs/>
        </w:rPr>
      </w:pPr>
    </w:p>
    <w:p w14:paraId="4CE7C6EC" w14:textId="77777777" w:rsidR="003A1836" w:rsidRDefault="00C70322" w:rsidP="003A1836">
      <w:pPr>
        <w:tabs>
          <w:tab w:val="num" w:pos="720"/>
        </w:tabs>
        <w:rPr>
          <w:rFonts w:ascii="Times New Roman" w:hAnsi="Times New Roman" w:cs="Times New Roman"/>
          <w:b/>
          <w:bCs/>
        </w:rPr>
      </w:pPr>
      <w:r w:rsidRPr="00DC26F6">
        <w:rPr>
          <w:rFonts w:ascii="Times New Roman" w:hAnsi="Times New Roman" w:cs="Times New Roman"/>
          <w:b/>
          <w:bCs/>
        </w:rPr>
        <w:t xml:space="preserve">References </w:t>
      </w:r>
    </w:p>
    <w:p w14:paraId="3027D0D7"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A8332E">
        <w:rPr>
          <w:rFonts w:ascii="Times New Roman" w:eastAsia="Times New Roman" w:hAnsi="Times New Roman" w:cs="Times New Roman"/>
          <w:kern w:val="0"/>
          <w:sz w:val="24"/>
          <w:szCs w:val="24"/>
          <w:lang w:val="en-US"/>
          <w14:ligatures w14:val="none"/>
        </w:rPr>
        <w:t>Abioke</w:t>
      </w:r>
      <w:proofErr w:type="spellEnd"/>
      <w:r w:rsidRPr="00A8332E">
        <w:rPr>
          <w:rFonts w:ascii="Times New Roman" w:eastAsia="Times New Roman" w:hAnsi="Times New Roman" w:cs="Times New Roman"/>
          <w:kern w:val="0"/>
          <w:sz w:val="24"/>
          <w:szCs w:val="24"/>
          <w:lang w:val="en-US"/>
          <w14:ligatures w14:val="none"/>
        </w:rPr>
        <w:t xml:space="preserve">, U. B., Joy, O. O., Egbordi, C. E., &amp; </w:t>
      </w:r>
      <w:proofErr w:type="spellStart"/>
      <w:r w:rsidRPr="00A8332E">
        <w:rPr>
          <w:rFonts w:ascii="Times New Roman" w:eastAsia="Times New Roman" w:hAnsi="Times New Roman" w:cs="Times New Roman"/>
          <w:kern w:val="0"/>
          <w:sz w:val="24"/>
          <w:szCs w:val="24"/>
          <w:lang w:val="en-US"/>
          <w14:ligatures w14:val="none"/>
        </w:rPr>
        <w:t>Enosolease</w:t>
      </w:r>
      <w:proofErr w:type="spellEnd"/>
      <w:r w:rsidRPr="00A8332E">
        <w:rPr>
          <w:rFonts w:ascii="Times New Roman" w:eastAsia="Times New Roman" w:hAnsi="Times New Roman" w:cs="Times New Roman"/>
          <w:kern w:val="0"/>
          <w:sz w:val="24"/>
          <w:szCs w:val="24"/>
          <w:lang w:val="en-US"/>
          <w14:ligatures w14:val="none"/>
        </w:rPr>
        <w:t xml:space="preserve">, O. M. (2026). </w:t>
      </w:r>
      <w:proofErr w:type="spellStart"/>
      <w:r w:rsidRPr="00A8332E">
        <w:rPr>
          <w:rFonts w:ascii="Times New Roman" w:eastAsia="Times New Roman" w:hAnsi="Times New Roman" w:cs="Times New Roman"/>
          <w:kern w:val="0"/>
          <w:sz w:val="24"/>
          <w:szCs w:val="24"/>
          <w:lang w:val="en-US"/>
          <w14:ligatures w14:val="none"/>
        </w:rPr>
        <w:t>Optimising</w:t>
      </w:r>
      <w:proofErr w:type="spellEnd"/>
      <w:r w:rsidRPr="00A8332E">
        <w:rPr>
          <w:rFonts w:ascii="Times New Roman" w:eastAsia="Times New Roman" w:hAnsi="Times New Roman" w:cs="Times New Roman"/>
          <w:kern w:val="0"/>
          <w:sz w:val="24"/>
          <w:szCs w:val="24"/>
          <w:lang w:val="en-US"/>
          <w14:ligatures w14:val="none"/>
        </w:rPr>
        <w:t xml:space="preserve"> insulin therapy in modern type 2 diabetes care: A narrative review. Journal of International Research in Medical and Pharmaceutical Sciences, 21(3), 1–19. </w:t>
      </w:r>
      <w:hyperlink r:id="rId8" w:history="1">
        <w:r w:rsidRPr="00A8332E">
          <w:rPr>
            <w:rFonts w:ascii="Times New Roman" w:eastAsia="Times New Roman" w:hAnsi="Times New Roman" w:cs="Times New Roman"/>
            <w:color w:val="0000FF"/>
            <w:kern w:val="0"/>
            <w:sz w:val="24"/>
            <w:szCs w:val="24"/>
            <w:u w:val="single"/>
            <w:lang w:val="en-US"/>
            <w14:ligatures w14:val="none"/>
          </w:rPr>
          <w:t>https://doi.org/10.56557/jirmeps/2026/v21i310637</w:t>
        </w:r>
      </w:hyperlink>
    </w:p>
    <w:p w14:paraId="0283A026"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Alsahli, M., &amp; Gerich, J. E. (2015). Hypoglycemia in patients with diabetes and renal disease. Journal of Clinical Medicine, 4(5), 948–964. </w:t>
      </w:r>
      <w:hyperlink r:id="rId9" w:history="1">
        <w:r w:rsidRPr="00A8332E">
          <w:rPr>
            <w:rFonts w:ascii="Times New Roman" w:eastAsia="Times New Roman" w:hAnsi="Times New Roman" w:cs="Times New Roman"/>
            <w:color w:val="0000FF"/>
            <w:kern w:val="0"/>
            <w:sz w:val="24"/>
            <w:szCs w:val="24"/>
            <w:u w:val="single"/>
            <w:lang w:val="en-US"/>
            <w14:ligatures w14:val="none"/>
          </w:rPr>
          <w:t>https://doi.org/10.3390/jcm4050948</w:t>
        </w:r>
      </w:hyperlink>
    </w:p>
    <w:p w14:paraId="0EA395B1"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American Diabetes Association Professional Practice Committee. (2025). 16. Diabetes care in the hospital: Standards of care in diabetes—2025. Diabetes Care, 48(Suppl. 1), S321–S334. </w:t>
      </w:r>
      <w:hyperlink r:id="rId10" w:history="1">
        <w:r w:rsidRPr="00A8332E">
          <w:rPr>
            <w:rFonts w:ascii="Times New Roman" w:eastAsia="Times New Roman" w:hAnsi="Times New Roman" w:cs="Times New Roman"/>
            <w:color w:val="0000FF"/>
            <w:kern w:val="0"/>
            <w:sz w:val="24"/>
            <w:szCs w:val="24"/>
            <w:u w:val="single"/>
            <w:lang w:val="en-US"/>
            <w14:ligatures w14:val="none"/>
          </w:rPr>
          <w:t>https://doi.org/10.2337/dc25-S016</w:t>
        </w:r>
      </w:hyperlink>
    </w:p>
    <w:p w14:paraId="34B27082"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Baldwin, D., Zander, J., Munoz, C., Raghu, P., </w:t>
      </w:r>
      <w:proofErr w:type="spellStart"/>
      <w:r w:rsidRPr="00A8332E">
        <w:rPr>
          <w:rFonts w:ascii="Times New Roman" w:eastAsia="Times New Roman" w:hAnsi="Times New Roman" w:cs="Times New Roman"/>
          <w:kern w:val="0"/>
          <w:sz w:val="24"/>
          <w:szCs w:val="24"/>
          <w:lang w:val="en-US"/>
          <w14:ligatures w14:val="none"/>
        </w:rPr>
        <w:t>DeLange</w:t>
      </w:r>
      <w:proofErr w:type="spellEnd"/>
      <w:r w:rsidRPr="00A8332E">
        <w:rPr>
          <w:rFonts w:ascii="Times New Roman" w:eastAsia="Times New Roman" w:hAnsi="Times New Roman" w:cs="Times New Roman"/>
          <w:kern w:val="0"/>
          <w:sz w:val="24"/>
          <w:szCs w:val="24"/>
          <w:lang w:val="en-US"/>
          <w14:ligatures w14:val="none"/>
        </w:rPr>
        <w:t xml:space="preserve">-Hudec, S., Lee, H., Emanuele, M. A., Glossop, V., Smallwood, K., &amp; </w:t>
      </w:r>
      <w:proofErr w:type="spellStart"/>
      <w:r w:rsidRPr="00A8332E">
        <w:rPr>
          <w:rFonts w:ascii="Times New Roman" w:eastAsia="Times New Roman" w:hAnsi="Times New Roman" w:cs="Times New Roman"/>
          <w:kern w:val="0"/>
          <w:sz w:val="24"/>
          <w:szCs w:val="24"/>
          <w:lang w:val="en-US"/>
          <w14:ligatures w14:val="none"/>
        </w:rPr>
        <w:t>Molitch</w:t>
      </w:r>
      <w:proofErr w:type="spellEnd"/>
      <w:r w:rsidRPr="00A8332E">
        <w:rPr>
          <w:rFonts w:ascii="Times New Roman" w:eastAsia="Times New Roman" w:hAnsi="Times New Roman" w:cs="Times New Roman"/>
          <w:kern w:val="0"/>
          <w:sz w:val="24"/>
          <w:szCs w:val="24"/>
          <w:lang w:val="en-US"/>
          <w14:ligatures w14:val="none"/>
        </w:rPr>
        <w:t xml:space="preserve">, M. (2012). A randomized trial of two weight-based doses of insulin glargine and </w:t>
      </w:r>
      <w:proofErr w:type="spellStart"/>
      <w:r w:rsidRPr="00A8332E">
        <w:rPr>
          <w:rFonts w:ascii="Times New Roman" w:eastAsia="Times New Roman" w:hAnsi="Times New Roman" w:cs="Times New Roman"/>
          <w:kern w:val="0"/>
          <w:sz w:val="24"/>
          <w:szCs w:val="24"/>
          <w:lang w:val="en-US"/>
          <w14:ligatures w14:val="none"/>
        </w:rPr>
        <w:t>glulisine</w:t>
      </w:r>
      <w:proofErr w:type="spellEnd"/>
      <w:r w:rsidRPr="00A8332E">
        <w:rPr>
          <w:rFonts w:ascii="Times New Roman" w:eastAsia="Times New Roman" w:hAnsi="Times New Roman" w:cs="Times New Roman"/>
          <w:kern w:val="0"/>
          <w:sz w:val="24"/>
          <w:szCs w:val="24"/>
          <w:lang w:val="en-US"/>
          <w14:ligatures w14:val="none"/>
        </w:rPr>
        <w:t xml:space="preserve"> in hospitalized subjects with type 2 diabetes and renal insufficiency. Diabetes Care, 35(10), 1970–1974. </w:t>
      </w:r>
      <w:hyperlink r:id="rId11" w:history="1">
        <w:r w:rsidRPr="00A8332E">
          <w:rPr>
            <w:rFonts w:ascii="Times New Roman" w:eastAsia="Times New Roman" w:hAnsi="Times New Roman" w:cs="Times New Roman"/>
            <w:color w:val="0000FF"/>
            <w:kern w:val="0"/>
            <w:sz w:val="24"/>
            <w:szCs w:val="24"/>
            <w:u w:val="single"/>
            <w:lang w:val="en-US"/>
            <w14:ligatures w14:val="none"/>
          </w:rPr>
          <w:t>https://doi.org/10.2337/dc12-0578</w:t>
        </w:r>
      </w:hyperlink>
    </w:p>
    <w:p w14:paraId="3C930777"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Chen, J.-J., Chan, M.-J., Fan, P.-C., Tsai, T.-Y., Yen, C.-L., Hsiao, C.-C., Lee, C.-C., Lin, C.-H., Chen, Y.-C., Yang, C.-W., &amp; Chang, C.-H. (2026). Non-recovery acute kidney injury and additional risk factors for short-term and long-term hypoglycemia: A multi-institutional cohort study. Journal of the Formosan Medical Association, 125(2), 147–154. </w:t>
      </w:r>
      <w:hyperlink r:id="rId12" w:history="1">
        <w:r w:rsidRPr="00A8332E">
          <w:rPr>
            <w:rFonts w:ascii="Times New Roman" w:eastAsia="Times New Roman" w:hAnsi="Times New Roman" w:cs="Times New Roman"/>
            <w:color w:val="0000FF"/>
            <w:kern w:val="0"/>
            <w:sz w:val="24"/>
            <w:szCs w:val="24"/>
            <w:u w:val="single"/>
            <w:lang w:val="en-US"/>
            <w14:ligatures w14:val="none"/>
          </w:rPr>
          <w:t>https://doi.org/10.1016/j.jfma.2024.12.007</w:t>
        </w:r>
      </w:hyperlink>
    </w:p>
    <w:p w14:paraId="6F922AB5"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lastRenderedPageBreak/>
        <w:t xml:space="preserve">Chow, E., </w:t>
      </w:r>
      <w:proofErr w:type="spellStart"/>
      <w:r w:rsidRPr="00A8332E">
        <w:rPr>
          <w:rFonts w:ascii="Times New Roman" w:eastAsia="Times New Roman" w:hAnsi="Times New Roman" w:cs="Times New Roman"/>
          <w:kern w:val="0"/>
          <w:sz w:val="24"/>
          <w:szCs w:val="24"/>
          <w:lang w:val="en-US"/>
          <w14:ligatures w14:val="none"/>
        </w:rPr>
        <w:t>Bernjak</w:t>
      </w:r>
      <w:proofErr w:type="spellEnd"/>
      <w:r w:rsidRPr="00A8332E">
        <w:rPr>
          <w:rFonts w:ascii="Times New Roman" w:eastAsia="Times New Roman" w:hAnsi="Times New Roman" w:cs="Times New Roman"/>
          <w:kern w:val="0"/>
          <w:sz w:val="24"/>
          <w:szCs w:val="24"/>
          <w:lang w:val="en-US"/>
          <w14:ligatures w14:val="none"/>
        </w:rPr>
        <w:t xml:space="preserve">, A., Williams, S., </w:t>
      </w:r>
      <w:proofErr w:type="spellStart"/>
      <w:r w:rsidRPr="00A8332E">
        <w:rPr>
          <w:rFonts w:ascii="Times New Roman" w:eastAsia="Times New Roman" w:hAnsi="Times New Roman" w:cs="Times New Roman"/>
          <w:kern w:val="0"/>
          <w:sz w:val="24"/>
          <w:szCs w:val="24"/>
          <w:lang w:val="en-US"/>
          <w14:ligatures w14:val="none"/>
        </w:rPr>
        <w:t>Fawdry</w:t>
      </w:r>
      <w:proofErr w:type="spellEnd"/>
      <w:r w:rsidRPr="00A8332E">
        <w:rPr>
          <w:rFonts w:ascii="Times New Roman" w:eastAsia="Times New Roman" w:hAnsi="Times New Roman" w:cs="Times New Roman"/>
          <w:kern w:val="0"/>
          <w:sz w:val="24"/>
          <w:szCs w:val="24"/>
          <w:lang w:val="en-US"/>
          <w14:ligatures w14:val="none"/>
        </w:rPr>
        <w:t xml:space="preserve">, R. A., Hibbert, S., Freeman, J., Sheridan, P. J., &amp; Heller, S. R. (2014). Risk of cardiac arrhythmias during hypoglycemia in patients with type 2 diabetes and cardiovascular risk. Diabetes, 63(5), 1738–1747. </w:t>
      </w:r>
      <w:hyperlink r:id="rId13" w:history="1">
        <w:r w:rsidRPr="00A8332E">
          <w:rPr>
            <w:rFonts w:ascii="Times New Roman" w:eastAsia="Times New Roman" w:hAnsi="Times New Roman" w:cs="Times New Roman"/>
            <w:color w:val="0000FF"/>
            <w:kern w:val="0"/>
            <w:sz w:val="24"/>
            <w:szCs w:val="24"/>
            <w:u w:val="single"/>
            <w:lang w:val="en-US"/>
            <w14:ligatures w14:val="none"/>
          </w:rPr>
          <w:t>https://doi.org/10.2337/db13-0468</w:t>
        </w:r>
      </w:hyperlink>
    </w:p>
    <w:p w14:paraId="557D50B9"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Cryer, P. E., Axelrod, L., Grossman, A. B., Heller, S. R., Montori, V. M., Seaquist, E. R., &amp; Service, F. J. (2009). Evaluation and management of adult hypoglycemic disorders: An Endocrine Society clinical practice guideline. The Journal of Clinical Endocrinology &amp; Metabolism, 94(3), 709–728. </w:t>
      </w:r>
      <w:hyperlink r:id="rId14" w:history="1">
        <w:r w:rsidRPr="00A8332E">
          <w:rPr>
            <w:rFonts w:ascii="Times New Roman" w:eastAsia="Times New Roman" w:hAnsi="Times New Roman" w:cs="Times New Roman"/>
            <w:color w:val="0000FF"/>
            <w:kern w:val="0"/>
            <w:sz w:val="24"/>
            <w:szCs w:val="24"/>
            <w:u w:val="single"/>
            <w:lang w:val="en-US"/>
            <w14:ligatures w14:val="none"/>
          </w:rPr>
          <w:t>https://doi.org/10.1210/jc.2008-1410</w:t>
        </w:r>
      </w:hyperlink>
    </w:p>
    <w:p w14:paraId="438EA37F"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Frier, B. M., Schernthaner, G., &amp; Heller, S. R. (2011). Hypoglycemia and cardiovascular risks. Diabetes Care, 34(Suppl. 2), S132–S137. </w:t>
      </w:r>
      <w:hyperlink r:id="rId15" w:history="1">
        <w:r w:rsidRPr="00A8332E">
          <w:rPr>
            <w:rFonts w:ascii="Times New Roman" w:eastAsia="Times New Roman" w:hAnsi="Times New Roman" w:cs="Times New Roman"/>
            <w:color w:val="0000FF"/>
            <w:kern w:val="0"/>
            <w:sz w:val="24"/>
            <w:szCs w:val="24"/>
            <w:u w:val="single"/>
            <w:lang w:val="en-US"/>
            <w14:ligatures w14:val="none"/>
          </w:rPr>
          <w:t>https://doi.org/10.2337/dc11-s220</w:t>
        </w:r>
      </w:hyperlink>
    </w:p>
    <w:p w14:paraId="52231441"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Heidenreich, P. A., Lin, S., Gallo, R. J., Sahay, A., Burkhardt, M., Glassman, P., Fang, D., &amp; Moore, V. (2025). Trends and disparities in rates of hypoglycemia among hospitalized patients with type 2 diabetes. Diabetes Care, 48(7), 1218–1224. </w:t>
      </w:r>
      <w:hyperlink r:id="rId16" w:history="1">
        <w:r w:rsidRPr="00A8332E">
          <w:rPr>
            <w:rFonts w:ascii="Times New Roman" w:eastAsia="Times New Roman" w:hAnsi="Times New Roman" w:cs="Times New Roman"/>
            <w:color w:val="0000FF"/>
            <w:kern w:val="0"/>
            <w:sz w:val="24"/>
            <w:szCs w:val="24"/>
            <w:u w:val="single"/>
            <w:lang w:val="en-US"/>
            <w14:ligatures w14:val="none"/>
          </w:rPr>
          <w:t>https://doi.org/10.2337/dc24-1539</w:t>
        </w:r>
      </w:hyperlink>
    </w:p>
    <w:p w14:paraId="26CCE8A4"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Home, P. D., Fritsche, A., Schinzel, S., &amp; Massi-Benedetti, M. (2010). Meta-analysis of individual patient data to assess the risk of </w:t>
      </w:r>
      <w:proofErr w:type="spellStart"/>
      <w:r w:rsidRPr="00A8332E">
        <w:rPr>
          <w:rFonts w:ascii="Times New Roman" w:eastAsia="Times New Roman" w:hAnsi="Times New Roman" w:cs="Times New Roman"/>
          <w:kern w:val="0"/>
          <w:sz w:val="24"/>
          <w:szCs w:val="24"/>
          <w:lang w:val="en-US"/>
          <w14:ligatures w14:val="none"/>
        </w:rPr>
        <w:t>hypoglycaemia</w:t>
      </w:r>
      <w:proofErr w:type="spellEnd"/>
      <w:r w:rsidRPr="00A8332E">
        <w:rPr>
          <w:rFonts w:ascii="Times New Roman" w:eastAsia="Times New Roman" w:hAnsi="Times New Roman" w:cs="Times New Roman"/>
          <w:kern w:val="0"/>
          <w:sz w:val="24"/>
          <w:szCs w:val="24"/>
          <w:lang w:val="en-US"/>
          <w14:ligatures w14:val="none"/>
        </w:rPr>
        <w:t xml:space="preserve"> in people with type 2 diabetes using NPH insulin or insulin glargine. Diabetes, Obesity and Metabolism, 12(9), 772–779. </w:t>
      </w:r>
      <w:hyperlink r:id="rId17" w:history="1">
        <w:r w:rsidRPr="00A8332E">
          <w:rPr>
            <w:rFonts w:ascii="Times New Roman" w:eastAsia="Times New Roman" w:hAnsi="Times New Roman" w:cs="Times New Roman"/>
            <w:color w:val="0000FF"/>
            <w:kern w:val="0"/>
            <w:sz w:val="24"/>
            <w:szCs w:val="24"/>
            <w:u w:val="single"/>
            <w:lang w:val="en-US"/>
            <w14:ligatures w14:val="none"/>
          </w:rPr>
          <w:t>https://doi.org/10.1111/j.1463-1326.2010.01232.x</w:t>
        </w:r>
      </w:hyperlink>
    </w:p>
    <w:p w14:paraId="1E05AC0E"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Hung, A. M., Siew, E. D., Wilson, O. D., Perkins, A. M., Greevy, R. A., Jr., Horner, J., Abdel-Kader, K., Parr, S. K., Roumie, C. L., Griffin, M. R., </w:t>
      </w:r>
      <w:proofErr w:type="spellStart"/>
      <w:r w:rsidRPr="00A8332E">
        <w:rPr>
          <w:rFonts w:ascii="Times New Roman" w:eastAsia="Times New Roman" w:hAnsi="Times New Roman" w:cs="Times New Roman"/>
          <w:kern w:val="0"/>
          <w:sz w:val="24"/>
          <w:szCs w:val="24"/>
          <w:lang w:val="en-US"/>
          <w14:ligatures w14:val="none"/>
        </w:rPr>
        <w:t>Ikizler</w:t>
      </w:r>
      <w:proofErr w:type="spellEnd"/>
      <w:r w:rsidRPr="00A8332E">
        <w:rPr>
          <w:rFonts w:ascii="Times New Roman" w:eastAsia="Times New Roman" w:hAnsi="Times New Roman" w:cs="Times New Roman"/>
          <w:kern w:val="0"/>
          <w:sz w:val="24"/>
          <w:szCs w:val="24"/>
          <w:lang w:val="en-US"/>
          <w14:ligatures w14:val="none"/>
        </w:rPr>
        <w:t xml:space="preserve">, T. A., Speroff, T., &amp; Matheny, M. E. (2018). Risk of hypoglycemia following hospital discharge in patients with diabetes and acute kidney injury. Diabetes Care, 41(3), 503–512. </w:t>
      </w:r>
      <w:hyperlink r:id="rId18" w:history="1">
        <w:r w:rsidRPr="00A8332E">
          <w:rPr>
            <w:rFonts w:ascii="Times New Roman" w:eastAsia="Times New Roman" w:hAnsi="Times New Roman" w:cs="Times New Roman"/>
            <w:color w:val="0000FF"/>
            <w:kern w:val="0"/>
            <w:sz w:val="24"/>
            <w:szCs w:val="24"/>
            <w:u w:val="single"/>
            <w:lang w:val="en-US"/>
            <w14:ligatures w14:val="none"/>
          </w:rPr>
          <w:t>https://doi.org/10.2337/dc17-1237</w:t>
        </w:r>
      </w:hyperlink>
    </w:p>
    <w:p w14:paraId="5AA64BB5"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Kidney Disease: Improving Global Outcomes (KDIGO) Acute Kidney Injury Work Group. (2012). KDIGO clinical practice guideline for acute kidney injury. Kidney International Supplements, 2(1), 1–138. </w:t>
      </w:r>
      <w:hyperlink r:id="rId19" w:history="1">
        <w:r w:rsidRPr="00A8332E">
          <w:rPr>
            <w:rFonts w:ascii="Times New Roman" w:eastAsia="Times New Roman" w:hAnsi="Times New Roman" w:cs="Times New Roman"/>
            <w:color w:val="0000FF"/>
            <w:kern w:val="0"/>
            <w:sz w:val="24"/>
            <w:szCs w:val="24"/>
            <w:u w:val="single"/>
            <w:lang w:val="en-US"/>
            <w14:ligatures w14:val="none"/>
          </w:rPr>
          <w:t>https://doi.org/10.1038/kisup.2012.1</w:t>
        </w:r>
      </w:hyperlink>
    </w:p>
    <w:p w14:paraId="38B3488E"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Olsen, M. T., Nørgaard, K., Jensen, S. H., Rasmussen, L. M., Klarskov, C. K., Lindegaard, B., Andersen, J. A., Gottlieb, H., Lunding, S., Pedersen-Bjergaard, U., Hansen, K. B., Kristensen, P. L., &amp; Brøsen, J. M. B. (2026). Acute kidney injury in </w:t>
      </w:r>
      <w:proofErr w:type="spellStart"/>
      <w:r w:rsidRPr="00A8332E">
        <w:rPr>
          <w:rFonts w:ascii="Times New Roman" w:eastAsia="Times New Roman" w:hAnsi="Times New Roman" w:cs="Times New Roman"/>
          <w:kern w:val="0"/>
          <w:sz w:val="24"/>
          <w:szCs w:val="24"/>
          <w:lang w:val="en-US"/>
          <w14:ligatures w14:val="none"/>
        </w:rPr>
        <w:t>hospitalised</w:t>
      </w:r>
      <w:proofErr w:type="spellEnd"/>
      <w:r w:rsidRPr="00A8332E">
        <w:rPr>
          <w:rFonts w:ascii="Times New Roman" w:eastAsia="Times New Roman" w:hAnsi="Times New Roman" w:cs="Times New Roman"/>
          <w:kern w:val="0"/>
          <w:sz w:val="24"/>
          <w:szCs w:val="24"/>
          <w:lang w:val="en-US"/>
          <w14:ligatures w14:val="none"/>
        </w:rPr>
        <w:t xml:space="preserve"> patients with type 2 diabetes: Associations with continuous glucose monitoring-based glucose levels, mortality, and ICU admission. Diabetic Medicine, 43(6), Article e70321. </w:t>
      </w:r>
      <w:hyperlink r:id="rId20" w:history="1">
        <w:r w:rsidRPr="00A8332E">
          <w:rPr>
            <w:rFonts w:ascii="Times New Roman" w:eastAsia="Times New Roman" w:hAnsi="Times New Roman" w:cs="Times New Roman"/>
            <w:color w:val="0000FF"/>
            <w:kern w:val="0"/>
            <w:sz w:val="24"/>
            <w:szCs w:val="24"/>
            <w:u w:val="single"/>
            <w:lang w:val="en-US"/>
            <w14:ligatures w14:val="none"/>
          </w:rPr>
          <w:t>https://doi.org/10.1111/dme.70321</w:t>
        </w:r>
      </w:hyperlink>
    </w:p>
    <w:p w14:paraId="50F33558"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Snyder, R. W., &amp; Berns, J. S. (2004). Use of insulin and oral hypoglycemic medications in patients with diabetes mellitus and advanced kidney disease. Seminars in Dialysis, 17(5), 365–370. </w:t>
      </w:r>
      <w:hyperlink r:id="rId21" w:history="1">
        <w:r w:rsidRPr="00A8332E">
          <w:rPr>
            <w:rFonts w:ascii="Times New Roman" w:eastAsia="Times New Roman" w:hAnsi="Times New Roman" w:cs="Times New Roman"/>
            <w:color w:val="0000FF"/>
            <w:kern w:val="0"/>
            <w:sz w:val="24"/>
            <w:szCs w:val="24"/>
            <w:u w:val="single"/>
            <w:lang w:val="en-US"/>
            <w14:ligatures w14:val="none"/>
          </w:rPr>
          <w:t>https://doi.org/10.1111/j.0894-0959.2004.17346.x</w:t>
        </w:r>
      </w:hyperlink>
    </w:p>
    <w:p w14:paraId="1D524EEE"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t xml:space="preserve">Sonbul, H. M., Hakami, F. A., </w:t>
      </w:r>
      <w:proofErr w:type="spellStart"/>
      <w:r w:rsidRPr="00A8332E">
        <w:rPr>
          <w:rFonts w:ascii="Times New Roman" w:eastAsia="Times New Roman" w:hAnsi="Times New Roman" w:cs="Times New Roman"/>
          <w:kern w:val="0"/>
          <w:sz w:val="24"/>
          <w:szCs w:val="24"/>
          <w:lang w:val="en-US"/>
          <w14:ligatures w14:val="none"/>
        </w:rPr>
        <w:t>Almathami</w:t>
      </w:r>
      <w:proofErr w:type="spellEnd"/>
      <w:r w:rsidRPr="00A8332E">
        <w:rPr>
          <w:rFonts w:ascii="Times New Roman" w:eastAsia="Times New Roman" w:hAnsi="Times New Roman" w:cs="Times New Roman"/>
          <w:kern w:val="0"/>
          <w:sz w:val="24"/>
          <w:szCs w:val="24"/>
          <w:lang w:val="en-US"/>
          <w14:ligatures w14:val="none"/>
        </w:rPr>
        <w:t xml:space="preserve">, I. A., </w:t>
      </w:r>
      <w:proofErr w:type="spellStart"/>
      <w:r w:rsidRPr="00A8332E">
        <w:rPr>
          <w:rFonts w:ascii="Times New Roman" w:eastAsia="Times New Roman" w:hAnsi="Times New Roman" w:cs="Times New Roman"/>
          <w:kern w:val="0"/>
          <w:sz w:val="24"/>
          <w:szCs w:val="24"/>
          <w:lang w:val="en-US"/>
          <w14:ligatures w14:val="none"/>
        </w:rPr>
        <w:t>Basalamah</w:t>
      </w:r>
      <w:proofErr w:type="spellEnd"/>
      <w:r w:rsidRPr="00A8332E">
        <w:rPr>
          <w:rFonts w:ascii="Times New Roman" w:eastAsia="Times New Roman" w:hAnsi="Times New Roman" w:cs="Times New Roman"/>
          <w:kern w:val="0"/>
          <w:sz w:val="24"/>
          <w:szCs w:val="24"/>
          <w:lang w:val="en-US"/>
          <w14:ligatures w14:val="none"/>
        </w:rPr>
        <w:t xml:space="preserve">, A. Y., </w:t>
      </w:r>
      <w:proofErr w:type="spellStart"/>
      <w:r w:rsidRPr="00A8332E">
        <w:rPr>
          <w:rFonts w:ascii="Times New Roman" w:eastAsia="Times New Roman" w:hAnsi="Times New Roman" w:cs="Times New Roman"/>
          <w:kern w:val="0"/>
          <w:sz w:val="24"/>
          <w:szCs w:val="24"/>
          <w:lang w:val="en-US"/>
          <w14:ligatures w14:val="none"/>
        </w:rPr>
        <w:t>Almasaud</w:t>
      </w:r>
      <w:proofErr w:type="spellEnd"/>
      <w:r w:rsidRPr="00A8332E">
        <w:rPr>
          <w:rFonts w:ascii="Times New Roman" w:eastAsia="Times New Roman" w:hAnsi="Times New Roman" w:cs="Times New Roman"/>
          <w:kern w:val="0"/>
          <w:sz w:val="24"/>
          <w:szCs w:val="24"/>
          <w:lang w:val="en-US"/>
          <w14:ligatures w14:val="none"/>
        </w:rPr>
        <w:t xml:space="preserve">, R. K., </w:t>
      </w:r>
      <w:proofErr w:type="spellStart"/>
      <w:r w:rsidRPr="00A8332E">
        <w:rPr>
          <w:rFonts w:ascii="Times New Roman" w:eastAsia="Times New Roman" w:hAnsi="Times New Roman" w:cs="Times New Roman"/>
          <w:kern w:val="0"/>
          <w:sz w:val="24"/>
          <w:szCs w:val="24"/>
          <w:lang w:val="en-US"/>
          <w14:ligatures w14:val="none"/>
        </w:rPr>
        <w:t>Alabbadi</w:t>
      </w:r>
      <w:proofErr w:type="spellEnd"/>
      <w:r w:rsidRPr="00A8332E">
        <w:rPr>
          <w:rFonts w:ascii="Times New Roman" w:eastAsia="Times New Roman" w:hAnsi="Times New Roman" w:cs="Times New Roman"/>
          <w:kern w:val="0"/>
          <w:sz w:val="24"/>
          <w:szCs w:val="24"/>
          <w:lang w:val="en-US"/>
          <w14:ligatures w14:val="none"/>
        </w:rPr>
        <w:t xml:space="preserve">, H. M., </w:t>
      </w:r>
      <w:proofErr w:type="spellStart"/>
      <w:r w:rsidRPr="00A8332E">
        <w:rPr>
          <w:rFonts w:ascii="Times New Roman" w:eastAsia="Times New Roman" w:hAnsi="Times New Roman" w:cs="Times New Roman"/>
          <w:kern w:val="0"/>
          <w:sz w:val="24"/>
          <w:szCs w:val="24"/>
          <w:lang w:val="en-US"/>
          <w14:ligatures w14:val="none"/>
        </w:rPr>
        <w:t>Alrehaily</w:t>
      </w:r>
      <w:proofErr w:type="spellEnd"/>
      <w:r w:rsidRPr="00A8332E">
        <w:rPr>
          <w:rFonts w:ascii="Times New Roman" w:eastAsia="Times New Roman" w:hAnsi="Times New Roman" w:cs="Times New Roman"/>
          <w:kern w:val="0"/>
          <w:sz w:val="24"/>
          <w:szCs w:val="24"/>
          <w:lang w:val="en-US"/>
          <w14:ligatures w14:val="none"/>
        </w:rPr>
        <w:t xml:space="preserve">, M. A., Edrees, W. M., </w:t>
      </w:r>
      <w:proofErr w:type="spellStart"/>
      <w:r w:rsidRPr="00A8332E">
        <w:rPr>
          <w:rFonts w:ascii="Times New Roman" w:eastAsia="Times New Roman" w:hAnsi="Times New Roman" w:cs="Times New Roman"/>
          <w:kern w:val="0"/>
          <w:sz w:val="24"/>
          <w:szCs w:val="24"/>
          <w:lang w:val="en-US"/>
          <w14:ligatures w14:val="none"/>
        </w:rPr>
        <w:t>AlDhalea</w:t>
      </w:r>
      <w:proofErr w:type="spellEnd"/>
      <w:r w:rsidRPr="00A8332E">
        <w:rPr>
          <w:rFonts w:ascii="Times New Roman" w:eastAsia="Times New Roman" w:hAnsi="Times New Roman" w:cs="Times New Roman"/>
          <w:kern w:val="0"/>
          <w:sz w:val="24"/>
          <w:szCs w:val="24"/>
          <w:lang w:val="en-US"/>
          <w14:ligatures w14:val="none"/>
        </w:rPr>
        <w:t xml:space="preserve">, H. M., Ali, S. M., &amp; Alqahtani, M. A. A. (2021). Acute hypoglycemia in emergency room: A review. Journal of Pharmaceutical Research International, 33(52B), 61–67. </w:t>
      </w:r>
      <w:hyperlink r:id="rId22" w:history="1">
        <w:r w:rsidRPr="00A8332E">
          <w:rPr>
            <w:rFonts w:ascii="Times New Roman" w:eastAsia="Times New Roman" w:hAnsi="Times New Roman" w:cs="Times New Roman"/>
            <w:color w:val="0000FF"/>
            <w:kern w:val="0"/>
            <w:sz w:val="24"/>
            <w:szCs w:val="24"/>
            <w:u w:val="single"/>
            <w:lang w:val="en-US"/>
            <w14:ligatures w14:val="none"/>
          </w:rPr>
          <w:t>https://doi.org/10.9734/jpri/2021/v33i52B33598</w:t>
        </w:r>
      </w:hyperlink>
    </w:p>
    <w:p w14:paraId="79AAD1C1" w14:textId="77777777" w:rsidR="00A8332E" w:rsidRPr="00A8332E" w:rsidRDefault="00A8332E" w:rsidP="00A8332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8332E">
        <w:rPr>
          <w:rFonts w:ascii="Times New Roman" w:eastAsia="Times New Roman" w:hAnsi="Times New Roman" w:cs="Times New Roman"/>
          <w:kern w:val="0"/>
          <w:sz w:val="24"/>
          <w:szCs w:val="24"/>
          <w:lang w:val="en-US"/>
          <w14:ligatures w14:val="none"/>
        </w:rPr>
        <w:lastRenderedPageBreak/>
        <w:t xml:space="preserve">Umpierrez, G. E., Smiley, D., </w:t>
      </w:r>
      <w:proofErr w:type="spellStart"/>
      <w:r w:rsidRPr="00A8332E">
        <w:rPr>
          <w:rFonts w:ascii="Times New Roman" w:eastAsia="Times New Roman" w:hAnsi="Times New Roman" w:cs="Times New Roman"/>
          <w:kern w:val="0"/>
          <w:sz w:val="24"/>
          <w:szCs w:val="24"/>
          <w:lang w:val="en-US"/>
          <w14:ligatures w14:val="none"/>
        </w:rPr>
        <w:t>Hermayer</w:t>
      </w:r>
      <w:proofErr w:type="spellEnd"/>
      <w:r w:rsidRPr="00A8332E">
        <w:rPr>
          <w:rFonts w:ascii="Times New Roman" w:eastAsia="Times New Roman" w:hAnsi="Times New Roman" w:cs="Times New Roman"/>
          <w:kern w:val="0"/>
          <w:sz w:val="24"/>
          <w:szCs w:val="24"/>
          <w:lang w:val="en-US"/>
          <w14:ligatures w14:val="none"/>
        </w:rPr>
        <w:t xml:space="preserve">, K., Khan, A., Olson, D. E., Newton, C., Jacobs, S., Rizzo, M., Peng, L., Reyes, D., Pinzon, I., Fereira, M. E., Hunt, V., Gore, A., Toyoshima, M. T., &amp; Fonseca, V. A. (2013). Randomized study comparing a basal-bolus with a basal plus correction insulin regimen for the hospital management of medical and surgical patients with type 2 diabetes: Basal plus trial. Diabetes Care, 36(8), 2169–2174. </w:t>
      </w:r>
      <w:hyperlink r:id="rId23" w:history="1">
        <w:r w:rsidRPr="00A8332E">
          <w:rPr>
            <w:rFonts w:ascii="Times New Roman" w:eastAsia="Times New Roman" w:hAnsi="Times New Roman" w:cs="Times New Roman"/>
            <w:color w:val="0000FF"/>
            <w:kern w:val="0"/>
            <w:sz w:val="24"/>
            <w:szCs w:val="24"/>
            <w:u w:val="single"/>
            <w:lang w:val="en-US"/>
            <w14:ligatures w14:val="none"/>
          </w:rPr>
          <w:t>https://doi.org/10.2337/dc12-1988</w:t>
        </w:r>
      </w:hyperlink>
    </w:p>
    <w:p w14:paraId="2379101E" w14:textId="77777777" w:rsidR="00A8332E" w:rsidRPr="00DC26F6" w:rsidRDefault="00A8332E" w:rsidP="003A1836">
      <w:pPr>
        <w:tabs>
          <w:tab w:val="num" w:pos="720"/>
        </w:tabs>
        <w:rPr>
          <w:rFonts w:ascii="Times New Roman" w:hAnsi="Times New Roman" w:cs="Times New Roman"/>
          <w:b/>
          <w:bCs/>
        </w:rPr>
      </w:pPr>
    </w:p>
    <w:sectPr w:rsidR="00A8332E" w:rsidRPr="00DC26F6">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F9F6E" w14:textId="77777777" w:rsidR="00B67C39" w:rsidRDefault="00B67C39" w:rsidP="003A1836">
      <w:pPr>
        <w:spacing w:after="0" w:line="240" w:lineRule="auto"/>
      </w:pPr>
      <w:r>
        <w:separator/>
      </w:r>
    </w:p>
  </w:endnote>
  <w:endnote w:type="continuationSeparator" w:id="0">
    <w:p w14:paraId="5BC02510" w14:textId="77777777" w:rsidR="00B67C39" w:rsidRDefault="00B67C39" w:rsidP="003A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451A" w14:textId="77777777" w:rsidR="004904AA" w:rsidRDefault="004904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A2FF0" w14:textId="77777777" w:rsidR="004904AA" w:rsidRDefault="004904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C482E" w14:textId="77777777" w:rsidR="004904AA" w:rsidRDefault="00490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B91D0" w14:textId="77777777" w:rsidR="00B67C39" w:rsidRDefault="00B67C39" w:rsidP="003A1836">
      <w:pPr>
        <w:spacing w:after="0" w:line="240" w:lineRule="auto"/>
      </w:pPr>
      <w:r>
        <w:separator/>
      </w:r>
    </w:p>
  </w:footnote>
  <w:footnote w:type="continuationSeparator" w:id="0">
    <w:p w14:paraId="156A2101" w14:textId="77777777" w:rsidR="00B67C39" w:rsidRDefault="00B67C39" w:rsidP="003A1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4689D" w14:textId="77777777" w:rsidR="004904AA" w:rsidRDefault="00000000">
    <w:pPr>
      <w:pStyle w:val="Header"/>
    </w:pPr>
    <w:r>
      <w:rPr>
        <w:noProof/>
      </w:rPr>
      <w:pict w14:anchorId="510D6B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270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19C6" w14:textId="77777777" w:rsidR="004904AA" w:rsidRDefault="00000000">
    <w:pPr>
      <w:pStyle w:val="Header"/>
    </w:pPr>
    <w:r>
      <w:rPr>
        <w:noProof/>
      </w:rPr>
      <w:pict w14:anchorId="7BCA8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270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4663" w14:textId="77777777" w:rsidR="004904AA" w:rsidRDefault="00000000">
    <w:pPr>
      <w:pStyle w:val="Header"/>
    </w:pPr>
    <w:r>
      <w:rPr>
        <w:noProof/>
      </w:rPr>
      <w:pict w14:anchorId="046CCD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270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42A8F"/>
    <w:multiLevelType w:val="multilevel"/>
    <w:tmpl w:val="B460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7F377C"/>
    <w:multiLevelType w:val="multilevel"/>
    <w:tmpl w:val="A03CA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0478DA"/>
    <w:multiLevelType w:val="multilevel"/>
    <w:tmpl w:val="064CE68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74BB0A90"/>
    <w:multiLevelType w:val="hybridMultilevel"/>
    <w:tmpl w:val="CD42E7A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5E2254B"/>
    <w:multiLevelType w:val="multilevel"/>
    <w:tmpl w:val="A1DE6A1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58574345">
    <w:abstractNumId w:val="1"/>
  </w:num>
  <w:num w:numId="2" w16cid:durableId="1296568977">
    <w:abstractNumId w:val="0"/>
  </w:num>
  <w:num w:numId="3" w16cid:durableId="1933784233">
    <w:abstractNumId w:val="4"/>
  </w:num>
  <w:num w:numId="4" w16cid:durableId="171188668">
    <w:abstractNumId w:val="3"/>
  </w:num>
  <w:num w:numId="5" w16cid:durableId="15694884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2F2"/>
    <w:rsid w:val="000132B9"/>
    <w:rsid w:val="0006610B"/>
    <w:rsid w:val="000D2A4A"/>
    <w:rsid w:val="001006A1"/>
    <w:rsid w:val="00225A4C"/>
    <w:rsid w:val="002E6281"/>
    <w:rsid w:val="00322D76"/>
    <w:rsid w:val="003A1836"/>
    <w:rsid w:val="003E153A"/>
    <w:rsid w:val="0041065F"/>
    <w:rsid w:val="004904AA"/>
    <w:rsid w:val="004914DE"/>
    <w:rsid w:val="00542E83"/>
    <w:rsid w:val="005711EB"/>
    <w:rsid w:val="005C19BC"/>
    <w:rsid w:val="005D1BD8"/>
    <w:rsid w:val="006073AB"/>
    <w:rsid w:val="00672342"/>
    <w:rsid w:val="0077436E"/>
    <w:rsid w:val="0077566B"/>
    <w:rsid w:val="00847A61"/>
    <w:rsid w:val="00922DB3"/>
    <w:rsid w:val="00A8332E"/>
    <w:rsid w:val="00AE4F69"/>
    <w:rsid w:val="00B67C39"/>
    <w:rsid w:val="00BE3204"/>
    <w:rsid w:val="00C27CD0"/>
    <w:rsid w:val="00C45133"/>
    <w:rsid w:val="00C70322"/>
    <w:rsid w:val="00CD4D24"/>
    <w:rsid w:val="00D611AC"/>
    <w:rsid w:val="00DC26F6"/>
    <w:rsid w:val="00DC70EC"/>
    <w:rsid w:val="00E716C6"/>
    <w:rsid w:val="00F012F2"/>
    <w:rsid w:val="00F25A33"/>
    <w:rsid w:val="00F37BAA"/>
    <w:rsid w:val="00FD21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ED9F4"/>
  <w15:chartTrackingRefBased/>
  <w15:docId w15:val="{66F06853-5D3F-409C-B0F8-8A3D4221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2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2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2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2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2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2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2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2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2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2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2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2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2F2"/>
    <w:rPr>
      <w:rFonts w:eastAsiaTheme="majorEastAsia" w:cstheme="majorBidi"/>
      <w:color w:val="272727" w:themeColor="text1" w:themeTint="D8"/>
    </w:rPr>
  </w:style>
  <w:style w:type="paragraph" w:styleId="Title">
    <w:name w:val="Title"/>
    <w:basedOn w:val="Normal"/>
    <w:next w:val="Normal"/>
    <w:link w:val="TitleChar"/>
    <w:uiPriority w:val="10"/>
    <w:qFormat/>
    <w:rsid w:val="00F012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2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2F2"/>
    <w:pPr>
      <w:spacing w:before="160"/>
      <w:jc w:val="center"/>
    </w:pPr>
    <w:rPr>
      <w:i/>
      <w:iCs/>
      <w:color w:val="404040" w:themeColor="text1" w:themeTint="BF"/>
    </w:rPr>
  </w:style>
  <w:style w:type="character" w:customStyle="1" w:styleId="QuoteChar">
    <w:name w:val="Quote Char"/>
    <w:basedOn w:val="DefaultParagraphFont"/>
    <w:link w:val="Quote"/>
    <w:uiPriority w:val="29"/>
    <w:rsid w:val="00F012F2"/>
    <w:rPr>
      <w:i/>
      <w:iCs/>
      <w:color w:val="404040" w:themeColor="text1" w:themeTint="BF"/>
    </w:rPr>
  </w:style>
  <w:style w:type="paragraph" w:styleId="ListParagraph">
    <w:name w:val="List Paragraph"/>
    <w:basedOn w:val="Normal"/>
    <w:uiPriority w:val="34"/>
    <w:qFormat/>
    <w:rsid w:val="00F012F2"/>
    <w:pPr>
      <w:ind w:left="720"/>
      <w:contextualSpacing/>
    </w:pPr>
  </w:style>
  <w:style w:type="character" w:styleId="IntenseEmphasis">
    <w:name w:val="Intense Emphasis"/>
    <w:basedOn w:val="DefaultParagraphFont"/>
    <w:uiPriority w:val="21"/>
    <w:qFormat/>
    <w:rsid w:val="00F012F2"/>
    <w:rPr>
      <w:i/>
      <w:iCs/>
      <w:color w:val="0F4761" w:themeColor="accent1" w:themeShade="BF"/>
    </w:rPr>
  </w:style>
  <w:style w:type="paragraph" w:styleId="IntenseQuote">
    <w:name w:val="Intense Quote"/>
    <w:basedOn w:val="Normal"/>
    <w:next w:val="Normal"/>
    <w:link w:val="IntenseQuoteChar"/>
    <w:uiPriority w:val="30"/>
    <w:qFormat/>
    <w:rsid w:val="00F01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2F2"/>
    <w:rPr>
      <w:i/>
      <w:iCs/>
      <w:color w:val="0F4761" w:themeColor="accent1" w:themeShade="BF"/>
    </w:rPr>
  </w:style>
  <w:style w:type="character" w:styleId="IntenseReference">
    <w:name w:val="Intense Reference"/>
    <w:basedOn w:val="DefaultParagraphFont"/>
    <w:uiPriority w:val="32"/>
    <w:qFormat/>
    <w:rsid w:val="00F012F2"/>
    <w:rPr>
      <w:b/>
      <w:bCs/>
      <w:smallCaps/>
      <w:color w:val="0F4761" w:themeColor="accent1" w:themeShade="BF"/>
      <w:spacing w:val="5"/>
    </w:rPr>
  </w:style>
  <w:style w:type="paragraph" w:styleId="Header">
    <w:name w:val="header"/>
    <w:basedOn w:val="Normal"/>
    <w:link w:val="HeaderChar"/>
    <w:uiPriority w:val="99"/>
    <w:unhideWhenUsed/>
    <w:rsid w:val="003A1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1836"/>
  </w:style>
  <w:style w:type="paragraph" w:styleId="Footer">
    <w:name w:val="footer"/>
    <w:basedOn w:val="Normal"/>
    <w:link w:val="FooterChar"/>
    <w:uiPriority w:val="99"/>
    <w:unhideWhenUsed/>
    <w:rsid w:val="003A18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1836"/>
  </w:style>
  <w:style w:type="character" w:styleId="Hyperlink">
    <w:name w:val="Hyperlink"/>
    <w:basedOn w:val="DefaultParagraphFont"/>
    <w:uiPriority w:val="99"/>
    <w:unhideWhenUsed/>
    <w:rsid w:val="00D611AC"/>
    <w:rPr>
      <w:color w:val="467886" w:themeColor="hyperlink"/>
      <w:u w:val="single"/>
    </w:rPr>
  </w:style>
  <w:style w:type="character" w:styleId="UnresolvedMention">
    <w:name w:val="Unresolved Mention"/>
    <w:basedOn w:val="DefaultParagraphFont"/>
    <w:uiPriority w:val="99"/>
    <w:semiHidden/>
    <w:unhideWhenUsed/>
    <w:rsid w:val="00D611AC"/>
    <w:rPr>
      <w:color w:val="605E5C"/>
      <w:shd w:val="clear" w:color="auto" w:fill="E1DFDD"/>
    </w:rPr>
  </w:style>
  <w:style w:type="paragraph" w:styleId="NormalWeb">
    <w:name w:val="Normal (Web)"/>
    <w:basedOn w:val="Normal"/>
    <w:uiPriority w:val="99"/>
    <w:semiHidden/>
    <w:unhideWhenUsed/>
    <w:rsid w:val="00C4513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C451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6557/jirmeps/2026/v21i310637?utm_source=chatgpt.com" TargetMode="External"/><Relationship Id="rId13" Type="http://schemas.openxmlformats.org/officeDocument/2006/relationships/hyperlink" Target="https://doi.org/10.2337/db13-0468?utm_source=chatgpt.com" TargetMode="External"/><Relationship Id="rId18" Type="http://schemas.openxmlformats.org/officeDocument/2006/relationships/hyperlink" Target="https://doi.org/10.2337/dc17-1237?utm_source=chatgpt.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111/j.0894-0959.2004.17346.x?utm_source=chatgpt.com" TargetMode="External"/><Relationship Id="rId7" Type="http://schemas.openxmlformats.org/officeDocument/2006/relationships/endnotes" Target="endnotes.xml"/><Relationship Id="rId12" Type="http://schemas.openxmlformats.org/officeDocument/2006/relationships/hyperlink" Target="https://doi.org/10.1016/j.jfma.2024.12.007?utm_source=chatgpt.com" TargetMode="External"/><Relationship Id="rId17" Type="http://schemas.openxmlformats.org/officeDocument/2006/relationships/hyperlink" Target="https://doi.org/10.1111/j.1463-1326.2010.01232.x?utm_source=chatgpt.co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2337/dc24-1539?utm_source=chatgpt.com" TargetMode="External"/><Relationship Id="rId20" Type="http://schemas.openxmlformats.org/officeDocument/2006/relationships/hyperlink" Target="https://doi.org/10.1111/dme.70321?utm_source=chatgpt.com"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337/dc12-0578?utm_source=chatgpt.co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2337/dc11-s220?utm_source=chatgpt.com" TargetMode="External"/><Relationship Id="rId23" Type="http://schemas.openxmlformats.org/officeDocument/2006/relationships/hyperlink" Target="https://doi.org/10.2337/dc12-1988?utm_source=chatgpt.com" TargetMode="External"/><Relationship Id="rId28" Type="http://schemas.openxmlformats.org/officeDocument/2006/relationships/header" Target="header3.xml"/><Relationship Id="rId10" Type="http://schemas.openxmlformats.org/officeDocument/2006/relationships/hyperlink" Target="https://doi.org/10.2337/dc25-S016?utm_source=chatgpt.com" TargetMode="External"/><Relationship Id="rId19" Type="http://schemas.openxmlformats.org/officeDocument/2006/relationships/hyperlink" Target="https://doi.org/10.1038/kisup.2012.1?utm_source=chatgpt.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3390/jcm4050948?utm_source=chatgpt.com" TargetMode="External"/><Relationship Id="rId14" Type="http://schemas.openxmlformats.org/officeDocument/2006/relationships/hyperlink" Target="https://doi.org/10.1210/jc.2008-1410?utm_source=chatgpt.com" TargetMode="External"/><Relationship Id="rId22" Type="http://schemas.openxmlformats.org/officeDocument/2006/relationships/hyperlink" Target="https://doi.org/10.9734/jpri/2021/v33i52B33598?utm_source=chatgpt.com"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35324-7C63-4E88-9946-C756B2A95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4128</Words>
  <Characters>23535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anupamasankar .</dc:creator>
  <cp:keywords/>
  <dc:description/>
  <cp:lastModifiedBy>SDI CPU 1117</cp:lastModifiedBy>
  <cp:revision>17</cp:revision>
  <dcterms:created xsi:type="dcterms:W3CDTF">2026-10-12T05:30:00Z</dcterms:created>
  <dcterms:modified xsi:type="dcterms:W3CDTF">2026-10-23T10:45:00Z</dcterms:modified>
</cp:coreProperties>
</file>