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D2A12" w14:textId="77777777" w:rsidR="00B945CB" w:rsidRPr="007B223E" w:rsidRDefault="00000000">
      <w:pPr>
        <w:jc w:val="center"/>
        <w:rPr>
          <w:rFonts w:eastAsia="Times New Roman"/>
          <w:b/>
          <w:szCs w:val="24"/>
        </w:rPr>
      </w:pPr>
      <w:r w:rsidRPr="007B223E">
        <w:rPr>
          <w:rFonts w:eastAsia="Times New Roman"/>
          <w:b/>
          <w:szCs w:val="24"/>
        </w:rPr>
        <w:t>EFFECT OF MOBILE BANKING AND ONLINE BANKING SERVICES ON PERFORMANCE OF</w:t>
      </w:r>
      <w:r w:rsidRPr="007B223E">
        <w:rPr>
          <w:rFonts w:eastAsia="Times New Roman"/>
          <w:b/>
          <w:szCs w:val="24"/>
          <w:shd w:val="clear" w:color="auto" w:fill="FFFFFF"/>
        </w:rPr>
        <w:t xml:space="preserve"> SMALL AND MEDIUM ENTERPRISES IN NAIROBI COUNTY, KENYA</w:t>
      </w:r>
    </w:p>
    <w:p w14:paraId="4033DFB0" w14:textId="77777777" w:rsidR="00B945CB" w:rsidRPr="007B223E" w:rsidRDefault="00B945CB">
      <w:pPr>
        <w:rPr>
          <w:rFonts w:eastAsia="Times New Roman"/>
          <w:b/>
          <w:szCs w:val="24"/>
        </w:rPr>
      </w:pPr>
      <w:bookmarkStart w:id="0" w:name="_Hlk219719777"/>
      <w:bookmarkEnd w:id="0"/>
    </w:p>
    <w:p w14:paraId="2119330A" w14:textId="77777777" w:rsidR="00B945CB" w:rsidRPr="007B223E" w:rsidRDefault="00000000">
      <w:pPr>
        <w:pStyle w:val="Heading1"/>
        <w:spacing w:line="240" w:lineRule="auto"/>
        <w:jc w:val="center"/>
        <w:rPr>
          <w:rFonts w:ascii="Times New Roman" w:hAnsi="Times New Roman"/>
          <w:b/>
          <w:bCs/>
          <w:color w:val="000000"/>
          <w:sz w:val="24"/>
          <w:szCs w:val="24"/>
        </w:rPr>
      </w:pPr>
      <w:bookmarkStart w:id="1" w:name="_Hlk219719873"/>
      <w:bookmarkEnd w:id="1"/>
      <w:r w:rsidRPr="007B223E">
        <w:rPr>
          <w:rFonts w:ascii="Times New Roman" w:hAnsi="Times New Roman"/>
          <w:b/>
          <w:bCs/>
          <w:color w:val="000000"/>
          <w:sz w:val="24"/>
          <w:szCs w:val="24"/>
        </w:rPr>
        <w:t>ABSTRACT</w:t>
      </w:r>
    </w:p>
    <w:p w14:paraId="5EC7C0C7" w14:textId="77777777" w:rsidR="00D64446" w:rsidRPr="007B223E" w:rsidRDefault="00D64446" w:rsidP="00D64446"/>
    <w:p w14:paraId="303B6A56" w14:textId="77777777" w:rsidR="00A30A4A" w:rsidRPr="007B223E" w:rsidRDefault="00A30A4A" w:rsidP="00A30A4A">
      <w:pPr>
        <w:pStyle w:val="NormalWeb"/>
        <w:jc w:val="both"/>
      </w:pPr>
      <w:r w:rsidRPr="007B223E">
        <w:t xml:space="preserve">Small and medium-sized enterprises (SMEs) contribute to employment, entrepreneurship and economic activity in Kenya, yet their performance remains a concern. The expansion of digital financial services has created new opportunities for business transactions and financial management, although greater use of these services does not necessarily correspond to better enterprise outcomes. This study examined the associations of mobile banking and online banking services with SME performance in Nairobi County, Kenya. An explanatory cross-sectional survey design was adopted, with questionnaire data collected from representatives of selected SMEs. The study employed correlation and multiple regression analyses to assess the direction and statistical significance of the relationships between banking services and performance. The regression results indicated a negative but statistically insignificant association between mobile banking services and SME performance (B = −0.044, p = 0.425). In contrast, online banking services demonstrated a positive and statistically significant association with SME performance (B = 0.204, p = 0.023). The reported model explained 17.8% of the variation in the SME performance score, indicating that factors beyond the banking services examined may also be relevant. The findings suggest that online banking services may be associated with more </w:t>
      </w:r>
      <w:proofErr w:type="spellStart"/>
      <w:r w:rsidRPr="007B223E">
        <w:t>favourable</w:t>
      </w:r>
      <w:proofErr w:type="spellEnd"/>
      <w:r w:rsidRPr="007B223E">
        <w:t xml:space="preserve"> performance outcomes, whereas the evidence did not establish a significant relationship for mobile banking. The study recommends that SME owners and managers assess online banking facilities in relation to operational needs, security, reliability and transaction costs, without assuming that adoption alone improves performance.</w:t>
      </w:r>
    </w:p>
    <w:p w14:paraId="726B2920" w14:textId="77777777" w:rsidR="00996192" w:rsidRPr="007B223E" w:rsidRDefault="00000000" w:rsidP="00996192">
      <w:pPr>
        <w:pStyle w:val="NormalWeb"/>
      </w:pPr>
      <w:r w:rsidRPr="007B223E">
        <w:rPr>
          <w:b/>
          <w:bCs/>
        </w:rPr>
        <w:t xml:space="preserve">Keywords: </w:t>
      </w:r>
      <w:r w:rsidR="00996192" w:rsidRPr="007B223E">
        <w:t>Small and medium-sized enterprises; mobile banking; online banking; digital financial services; business performance; financial technology</w:t>
      </w:r>
    </w:p>
    <w:p w14:paraId="1415A032" w14:textId="77777777" w:rsidR="00B945CB" w:rsidRPr="007B223E" w:rsidRDefault="00000000">
      <w:r w:rsidRPr="007B223E">
        <w:rPr>
          <w:b/>
          <w:bCs/>
          <w:szCs w:val="24"/>
        </w:rPr>
        <w:t>1.1 Introduction</w:t>
      </w:r>
    </w:p>
    <w:p w14:paraId="1CAF637A" w14:textId="77777777" w:rsidR="00B945CB" w:rsidRPr="007B223E" w:rsidRDefault="00000000">
      <w:pPr>
        <w:rPr>
          <w:bCs/>
        </w:rPr>
      </w:pPr>
      <w:r w:rsidRPr="007B223E">
        <w:rPr>
          <w:szCs w:val="24"/>
        </w:rPr>
        <w:t>In Africa, mobile money and digital financial services have grown at a fast pace in the last ten years (</w:t>
      </w:r>
      <w:proofErr w:type="spellStart"/>
      <w:r w:rsidRPr="007B223E">
        <w:rPr>
          <w:szCs w:val="24"/>
        </w:rPr>
        <w:t>Demirgüç</w:t>
      </w:r>
      <w:proofErr w:type="spellEnd"/>
      <w:r w:rsidRPr="007B223E">
        <w:rPr>
          <w:szCs w:val="24"/>
        </w:rPr>
        <w:t xml:space="preserve">-Kunt et al., 2022). Mobile money adoption in sub-Saharan Africa has been impressive, with Kenya, Tanzania and Ghana among the countries with the greatest penetration of mobile financial services. Mobile money has been linked to better risk sharing, lower transaction costs and lower poverty in this region. Mobile platforms are considered effective at broadening outreach while strengthening customer participation. This, in turn, makes them </w:t>
      </w:r>
      <w:r w:rsidRPr="007B223E">
        <w:rPr>
          <w:szCs w:val="24"/>
        </w:rPr>
        <w:lastRenderedPageBreak/>
        <w:t xml:space="preserve">critical components for financial inclusion (Naira &amp; </w:t>
      </w:r>
      <w:proofErr w:type="spellStart"/>
      <w:r w:rsidRPr="007B223E">
        <w:rPr>
          <w:szCs w:val="24"/>
        </w:rPr>
        <w:t>Akims</w:t>
      </w:r>
      <w:proofErr w:type="spellEnd"/>
      <w:r w:rsidRPr="007B223E">
        <w:rPr>
          <w:szCs w:val="24"/>
        </w:rPr>
        <w:t xml:space="preserve">, 2026). These services enable instant money transfers and improve financial access for unbanked populations. However, the rate of adoption varies by country and region, as do the advantages of FinTech, which rely on digital literacy, connectivity, fees and regulatory factors (Mbiti &amp; Weil, 2016). For example, adoption in rural areas, among women and low-income groups, is often hindered by low levels of digital skills, high transaction fees, poor network coverage, and other challenges. </w:t>
      </w:r>
      <w:r w:rsidRPr="007B223E">
        <w:rPr>
          <w:b/>
        </w:rPr>
        <w:t xml:space="preserve"> </w:t>
      </w:r>
      <w:r w:rsidRPr="007B223E">
        <w:rPr>
          <w:bCs/>
        </w:rPr>
        <w:t>Research across emerging economies has linked greater access to FinTech financing with improved outcomes among finance-dependent firms, although this evidence does not directly establish the relationship between banking-service use and SME performance in Nairobi (</w:t>
      </w:r>
      <w:proofErr w:type="spellStart"/>
      <w:r w:rsidRPr="007B223E">
        <w:rPr>
          <w:bCs/>
        </w:rPr>
        <w:t>Gaibulloev</w:t>
      </w:r>
      <w:proofErr w:type="spellEnd"/>
      <w:r w:rsidRPr="007B223E">
        <w:rPr>
          <w:bCs/>
        </w:rPr>
        <w:t xml:space="preserve"> et al., 2025; </w:t>
      </w:r>
      <w:proofErr w:type="spellStart"/>
      <w:r w:rsidRPr="007B223E">
        <w:rPr>
          <w:bCs/>
        </w:rPr>
        <w:t>Pyoko</w:t>
      </w:r>
      <w:proofErr w:type="spellEnd"/>
      <w:r w:rsidRPr="007B223E">
        <w:rPr>
          <w:bCs/>
        </w:rPr>
        <w:t xml:space="preserve"> et al., 2023a).</w:t>
      </w:r>
    </w:p>
    <w:p w14:paraId="0F87F379" w14:textId="77777777" w:rsidR="00B945CB" w:rsidRPr="007B223E" w:rsidRDefault="00000000">
      <w:pPr>
        <w:rPr>
          <w:bCs/>
        </w:rPr>
      </w:pPr>
      <w:r w:rsidRPr="007B223E">
        <w:rPr>
          <w:szCs w:val="24"/>
        </w:rPr>
        <w:t xml:space="preserve">Kenya's SME sector contributes greatly to employment and output and is considered vibrant enough to attract special attention (Kenya National Bureau of Statistics, 2022). The 2016 KNBS Micro, Small and Medium Establishments Survey indicates that SMEs make up the bulk of the enterprises in Kenya and that they employ a significant share of the workforce. Since its introduction in 2007, mobile money has transformed access to finance in Kenya, especially M-Pesa. Through M-Pesa, millions of Kenyans can send and receive money, pay bills and secure credit by using their mobile phones. Although the 2021 </w:t>
      </w:r>
      <w:proofErr w:type="spellStart"/>
      <w:r w:rsidRPr="007B223E">
        <w:rPr>
          <w:szCs w:val="24"/>
        </w:rPr>
        <w:t>FinAccess</w:t>
      </w:r>
      <w:proofErr w:type="spellEnd"/>
      <w:r w:rsidRPr="007B223E">
        <w:rPr>
          <w:szCs w:val="24"/>
        </w:rPr>
        <w:t xml:space="preserve"> survey reports widespread mobile money adoption, it also documents gaps in credit, savings and insurance access (Central Bank of Kenya et al., 2021). Mobile money is popular for transactions, while access to formal credit remains limited for some SMEs. </w:t>
      </w:r>
      <w:proofErr w:type="spellStart"/>
      <w:r w:rsidRPr="007B223E">
        <w:rPr>
          <w:szCs w:val="24"/>
        </w:rPr>
        <w:t>Underutilisation</w:t>
      </w:r>
      <w:proofErr w:type="spellEnd"/>
      <w:r w:rsidRPr="007B223E">
        <w:rPr>
          <w:szCs w:val="24"/>
        </w:rPr>
        <w:t xml:space="preserve"> also persists in savings and insurance products, and this makes many SMEs financially vulnerable. However, the association between FinTech adoption and SME performance is not yet clear. High rates of FinTech adoption alongside persistent SME challenges indicate that there is a potential underlying link between the two, possibly related to regulation, firm size, sector, and managerial capability.</w:t>
      </w:r>
      <w:r w:rsidRPr="007B223E">
        <w:rPr>
          <w:b/>
        </w:rPr>
        <w:t xml:space="preserve"> </w:t>
      </w:r>
      <w:r w:rsidRPr="007B223E">
        <w:rPr>
          <w:bCs/>
        </w:rPr>
        <w:t>An analysis of Kenyan businesses found that mobile-money users were more likely to report product and process innovation, but did not demonstrate higher business performance than non-users (</w:t>
      </w:r>
      <w:proofErr w:type="spellStart"/>
      <w:r w:rsidRPr="007B223E">
        <w:rPr>
          <w:bCs/>
        </w:rPr>
        <w:t>Tiwasing</w:t>
      </w:r>
      <w:proofErr w:type="spellEnd"/>
      <w:r w:rsidRPr="007B223E">
        <w:rPr>
          <w:bCs/>
        </w:rPr>
        <w:t xml:space="preserve"> et al., 2024).</w:t>
      </w:r>
    </w:p>
    <w:p w14:paraId="6D942C9D" w14:textId="77777777" w:rsidR="00B945CB" w:rsidRPr="007B223E" w:rsidRDefault="00000000">
      <w:pPr>
        <w:rPr>
          <w:bCs/>
        </w:rPr>
      </w:pPr>
      <w:r w:rsidRPr="007B223E">
        <w:rPr>
          <w:szCs w:val="24"/>
        </w:rPr>
        <w:t xml:space="preserve">Mobile banking technology enables banking transactions through mobile phones. It also uses mobile communication devices to deliver banking-related financial services. Customers can transfer and withdraw money to and from their banks using mobile phones thanks to mobile </w:t>
      </w:r>
      <w:r w:rsidRPr="007B223E">
        <w:rPr>
          <w:szCs w:val="24"/>
        </w:rPr>
        <w:lastRenderedPageBreak/>
        <w:t>banking technologies (</w:t>
      </w:r>
      <w:proofErr w:type="spellStart"/>
      <w:r w:rsidRPr="007B223E">
        <w:rPr>
          <w:szCs w:val="24"/>
        </w:rPr>
        <w:t>Pyoko</w:t>
      </w:r>
      <w:proofErr w:type="spellEnd"/>
      <w:r w:rsidRPr="007B223E">
        <w:rPr>
          <w:szCs w:val="24"/>
        </w:rPr>
        <w:t xml:space="preserve"> et al., 2023c). The use of mobile phones in SME operations has increased due to several factors, including ease of use, flexible prepayment options, the use of local languages, and the deregulation of the telecommunications markets. By enabling instantaneous access to clients, vendors, and employees, mobile banking technology improves information and knowledge management within SMEs, increasing the productivity of small and medium-sized businesses.</w:t>
      </w:r>
      <w:r w:rsidRPr="007B223E">
        <w:rPr>
          <w:b/>
        </w:rPr>
        <w:t xml:space="preserve"> </w:t>
      </w:r>
      <w:r w:rsidRPr="007B223E">
        <w:rPr>
          <w:bCs/>
        </w:rPr>
        <w:t>In a study of SMEs in Ghana, mobile-money transaction activity was positively associated with sales revenue within the sampled municipality (Awuah, 2025).</w:t>
      </w:r>
    </w:p>
    <w:p w14:paraId="6880840F" w14:textId="77777777" w:rsidR="00B945CB" w:rsidRPr="007B223E" w:rsidRDefault="00000000">
      <w:pPr>
        <w:rPr>
          <w:bCs/>
        </w:rPr>
      </w:pPr>
      <w:r w:rsidRPr="007B223E">
        <w:rPr>
          <w:szCs w:val="24"/>
        </w:rPr>
        <w:t>Online banking, also referred to as internet banking or e-banking, is an electronic payment system that enables customers of banks and other financial institutions to conduct financial activities through institutional websites (Rahaman et al., 2022). To accomplish common financial tasks, online banking usually eliminates the need to visit physical banks. Internet banking systems are usually connected to, or form part of, a bank's core banking system, in contrast to branch banking, which is the traditional way that customers obtain financial services (Roberte, 2026). SMEs can manage their finances more efficiently, promptly and securely using online business banking, which goes beyond simple convenience. One promising way to close the gap between SMEs and financial institutions is through the development of online banking systems.  Online banking platforms may support SME financial management and business operations with features like automated financial tracking, real-time transaction processing, and easy access to credit facilities (</w:t>
      </w:r>
      <w:proofErr w:type="spellStart"/>
      <w:r w:rsidRPr="007B223E">
        <w:rPr>
          <w:szCs w:val="24"/>
        </w:rPr>
        <w:t>Djibran</w:t>
      </w:r>
      <w:proofErr w:type="spellEnd"/>
      <w:r w:rsidRPr="007B223E">
        <w:rPr>
          <w:szCs w:val="24"/>
        </w:rPr>
        <w:t>, 2025).</w:t>
      </w:r>
      <w:r w:rsidRPr="007B223E">
        <w:rPr>
          <w:b/>
        </w:rPr>
        <w:t xml:space="preserve"> </w:t>
      </w:r>
      <w:r w:rsidRPr="007B223E">
        <w:rPr>
          <w:bCs/>
        </w:rPr>
        <w:t>Among SMEs in Mogadishu, mobile and internet banking were positively associated with financial inclusion, although that investigation examined an outcome distinct from SME performance (Warsame et al., 2025).</w:t>
      </w:r>
    </w:p>
    <w:p w14:paraId="25572B90" w14:textId="77777777" w:rsidR="00B945CB" w:rsidRPr="007B223E" w:rsidRDefault="00000000">
      <w:pPr>
        <w:rPr>
          <w:b/>
          <w:bCs/>
          <w:szCs w:val="24"/>
        </w:rPr>
      </w:pPr>
      <w:r w:rsidRPr="007B223E">
        <w:rPr>
          <w:b/>
          <w:bCs/>
          <w:szCs w:val="24"/>
        </w:rPr>
        <w:t>1.2 Statement of the Problem</w:t>
      </w:r>
    </w:p>
    <w:p w14:paraId="1C2EED4F" w14:textId="77777777" w:rsidR="00B945CB" w:rsidRPr="007B223E" w:rsidRDefault="00000000">
      <w:r w:rsidRPr="007B223E">
        <w:rPr>
          <w:szCs w:val="24"/>
        </w:rPr>
        <w:t>Small and Medium Enterprises (SMEs) are vital contributors to economic activity, and are therefore important sources of growth, employment and innovation (</w:t>
      </w:r>
      <w:proofErr w:type="spellStart"/>
      <w:r w:rsidRPr="007B223E">
        <w:rPr>
          <w:szCs w:val="24"/>
        </w:rPr>
        <w:t>Pyoko</w:t>
      </w:r>
      <w:proofErr w:type="spellEnd"/>
      <w:r w:rsidRPr="007B223E">
        <w:rPr>
          <w:szCs w:val="24"/>
        </w:rPr>
        <w:t xml:space="preserve"> </w:t>
      </w:r>
      <w:r w:rsidRPr="007B223E">
        <w:rPr>
          <w:i/>
          <w:iCs/>
          <w:szCs w:val="24"/>
        </w:rPr>
        <w:t>et al</w:t>
      </w:r>
      <w:r w:rsidRPr="007B223E">
        <w:rPr>
          <w:szCs w:val="24"/>
        </w:rPr>
        <w:t xml:space="preserve">., 2023c). Small and Medium Enterprises contribute significantly to national economies by stimulating entrepreneurship, generating income, and   supporting   sustainable   development (Marcel &amp; </w:t>
      </w:r>
      <w:proofErr w:type="spellStart"/>
      <w:r w:rsidRPr="007B223E">
        <w:rPr>
          <w:szCs w:val="24"/>
        </w:rPr>
        <w:t>Akims</w:t>
      </w:r>
      <w:proofErr w:type="spellEnd"/>
      <w:r w:rsidRPr="007B223E">
        <w:rPr>
          <w:szCs w:val="24"/>
        </w:rPr>
        <w:t xml:space="preserve">, 2026). Small and medium enterprises in Nairobi County report a continued lack of access to finance, high transaction costs and ongoing performance challenges (Kenya National Bureau of Statistics, 2016; Nairobi City County, 2018). While Kenya has reached comparatively high rates of mobile money penetration, access to formal credit, savings and insurance products is still </w:t>
      </w:r>
      <w:r w:rsidRPr="007B223E">
        <w:rPr>
          <w:szCs w:val="24"/>
        </w:rPr>
        <w:lastRenderedPageBreak/>
        <w:t>low, especially for smaller businesses. Some SMEs have limited working capital and experience slow payment settlements and have difficulty accessing larger markets (Kenya National Bureau of Statistics, 2016; Nairobi City County, 2018). Although FinTech services, including mobile phone technology, agency banking, online banking and digital wallets, have expanded, these challenges remain. These events occurred alongside growing FinTech provision and continued SME performance issues. This suggests that adoption alone may not be sufficient to improve SME performance and that the relationship between FinTech and SME performance may depend on other factors (</w:t>
      </w:r>
      <w:proofErr w:type="spellStart"/>
      <w:r w:rsidRPr="007B223E">
        <w:rPr>
          <w:szCs w:val="24"/>
        </w:rPr>
        <w:t>Demirgüç</w:t>
      </w:r>
      <w:proofErr w:type="spellEnd"/>
      <w:r w:rsidRPr="007B223E">
        <w:rPr>
          <w:szCs w:val="24"/>
        </w:rPr>
        <w:t xml:space="preserve">-Kunt </w:t>
      </w:r>
      <w:r w:rsidRPr="007B223E">
        <w:rPr>
          <w:i/>
          <w:iCs/>
          <w:szCs w:val="24"/>
        </w:rPr>
        <w:t>et al</w:t>
      </w:r>
      <w:r w:rsidRPr="007B223E">
        <w:rPr>
          <w:szCs w:val="24"/>
        </w:rPr>
        <w:t>., 2022). This could be attributed to the potential benefits of FinTech in improving liquidity, payment reliability, customer reach, and transaction efficiency, which may be offset by transaction fees, exposure to fraud, low digital capability, and inappropriate credit terms or regulatory restrictions. Other factors may account for the results, such as management skills, age of the firm, industry shocks, access to other resources, and selection into the adoption of technology.</w:t>
      </w:r>
      <w:r w:rsidRPr="007B223E">
        <w:rPr>
          <w:b/>
        </w:rPr>
        <w:t xml:space="preserve"> </w:t>
      </w:r>
      <w:r w:rsidRPr="007B223E">
        <w:rPr>
          <w:bCs/>
        </w:rPr>
        <w:t>Evidence from Kenyan enterprises further suggests that more extensive mobile-money use may narrow the performance disadvantage associated with financing constraints among women-owned businesses, even where a direct relationship with overall enterprise performance is not evident (Lemma &amp; Mlilo, 2026).</w:t>
      </w:r>
    </w:p>
    <w:p w14:paraId="4F52B9CD" w14:textId="77777777" w:rsidR="00B945CB" w:rsidRPr="007B223E" w:rsidRDefault="00000000">
      <w:r w:rsidRPr="007B223E">
        <w:rPr>
          <w:szCs w:val="24"/>
        </w:rPr>
        <w:t xml:space="preserve">Previous research has focused on a range of contexts of FinTech adoption and SME performance. For instance, </w:t>
      </w:r>
      <w:proofErr w:type="spellStart"/>
      <w:r w:rsidRPr="007B223E">
        <w:rPr>
          <w:szCs w:val="24"/>
        </w:rPr>
        <w:t>Alfzari</w:t>
      </w:r>
      <w:proofErr w:type="spellEnd"/>
      <w:r w:rsidRPr="007B223E">
        <w:rPr>
          <w:szCs w:val="24"/>
        </w:rPr>
        <w:t xml:space="preserve"> and Al-</w:t>
      </w:r>
      <w:proofErr w:type="spellStart"/>
      <w:r w:rsidRPr="007B223E">
        <w:rPr>
          <w:szCs w:val="24"/>
        </w:rPr>
        <w:t>Shboul's</w:t>
      </w:r>
      <w:proofErr w:type="spellEnd"/>
      <w:r w:rsidRPr="007B223E">
        <w:rPr>
          <w:szCs w:val="24"/>
        </w:rPr>
        <w:t xml:space="preserve"> (2025) study focused on the financial performance of the IT industry in the United Arab Emirates, whereas Akande's (2025) study focused on transforming SMEs in Nigeria. The applicability of these findings to Kenyan SMEs is uncertain. Furthermore, studies like Mushi (2024) in Tanzania, </w:t>
      </w:r>
      <w:proofErr w:type="spellStart"/>
      <w:r w:rsidRPr="007B223E">
        <w:rPr>
          <w:szCs w:val="24"/>
        </w:rPr>
        <w:t>Adukpo</w:t>
      </w:r>
      <w:proofErr w:type="spellEnd"/>
      <w:r w:rsidRPr="007B223E">
        <w:rPr>
          <w:szCs w:val="24"/>
        </w:rPr>
        <w:t xml:space="preserve"> and Mensah (2025) in Ghana, </w:t>
      </w:r>
      <w:proofErr w:type="spellStart"/>
      <w:r w:rsidRPr="007B223E">
        <w:rPr>
          <w:szCs w:val="24"/>
        </w:rPr>
        <w:t>Alfzari</w:t>
      </w:r>
      <w:proofErr w:type="spellEnd"/>
      <w:r w:rsidRPr="007B223E">
        <w:rPr>
          <w:szCs w:val="24"/>
        </w:rPr>
        <w:t xml:space="preserve"> and Al-</w:t>
      </w:r>
      <w:proofErr w:type="spellStart"/>
      <w:r w:rsidRPr="007B223E">
        <w:rPr>
          <w:szCs w:val="24"/>
        </w:rPr>
        <w:t>Shboul</w:t>
      </w:r>
      <w:proofErr w:type="spellEnd"/>
      <w:r w:rsidRPr="007B223E">
        <w:rPr>
          <w:szCs w:val="24"/>
        </w:rPr>
        <w:t xml:space="preserve"> (2025) in the UAE, and Ojima (2026) in Nigeria were carried out in places with regulatory and operational environments that differed from the Kenyan context. In addition, several studies have explored mobile phone technology, agency banking, online banking and digital wallets as separate FinTech dimensions (</w:t>
      </w:r>
      <w:proofErr w:type="spellStart"/>
      <w:r w:rsidRPr="007B223E">
        <w:rPr>
          <w:szCs w:val="24"/>
        </w:rPr>
        <w:t>Demirgüç</w:t>
      </w:r>
      <w:proofErr w:type="spellEnd"/>
      <w:r w:rsidRPr="007B223E">
        <w:rPr>
          <w:szCs w:val="24"/>
        </w:rPr>
        <w:t xml:space="preserve">-Kunt et al., 2022). Some studies have examined regulation as a potential driver of FinTech adoption or regulation as a determinant of the performance of FinTech (Mbiti &amp; Weil, 2016; </w:t>
      </w:r>
      <w:proofErr w:type="spellStart"/>
      <w:r w:rsidRPr="007B223E">
        <w:rPr>
          <w:szCs w:val="24"/>
        </w:rPr>
        <w:t>Pyoko</w:t>
      </w:r>
      <w:proofErr w:type="spellEnd"/>
      <w:r w:rsidRPr="007B223E">
        <w:rPr>
          <w:szCs w:val="24"/>
        </w:rPr>
        <w:t xml:space="preserve"> et al., 2023b), but few have tested its association with the strength or direction of the relationship between FinTech and performance. </w:t>
      </w:r>
    </w:p>
    <w:p w14:paraId="33AEDFF7" w14:textId="77777777" w:rsidR="00B945CB" w:rsidRPr="007B223E" w:rsidRDefault="00000000">
      <w:r w:rsidRPr="007B223E">
        <w:rPr>
          <w:szCs w:val="24"/>
        </w:rPr>
        <w:lastRenderedPageBreak/>
        <w:t>Evidence from previous studies is often cross-sectional, and association has sometimes been confused with causation. Because cross-sectional designs do not establish temporal ordering and may be affected by reverse causality, causal inference from such data requires considerable caution. To address these gaps, this study examines the relationships between mobile banking services, online banking services and the performance of SMEs in Nairobi County. The analysis is explicitly associational and does not make causal claims. The study is justified on contextual, conceptual and methodological grounds: it provides evidence specific to the Nairobi context; it examines two dimensions of banking services; and it uses an explanatory cross-sectional survey design and regression analysis to assess their associations with SME performance.</w:t>
      </w:r>
    </w:p>
    <w:p w14:paraId="56D2CF2F" w14:textId="77777777" w:rsidR="00B945CB" w:rsidRPr="007B223E" w:rsidRDefault="00000000">
      <w:pPr>
        <w:pStyle w:val="Heading2"/>
      </w:pPr>
      <w:r w:rsidRPr="007B223E">
        <w:rPr>
          <w:rFonts w:ascii="Times New Roman" w:hAnsi="Times New Roman"/>
          <w:b/>
          <w:bCs/>
          <w:color w:val="000000"/>
          <w:sz w:val="24"/>
          <w:szCs w:val="24"/>
        </w:rPr>
        <w:t>1.3 Research Hypotheses</w:t>
      </w:r>
    </w:p>
    <w:p w14:paraId="706330B6" w14:textId="77777777" w:rsidR="00B945CB" w:rsidRPr="007B223E" w:rsidRDefault="00000000">
      <w:pPr>
        <w:ind w:left="450" w:hanging="450"/>
      </w:pPr>
      <w:r w:rsidRPr="007B223E">
        <w:rPr>
          <w:rFonts w:eastAsia="Times New Roman"/>
          <w:szCs w:val="24"/>
        </w:rPr>
        <w:t>H</w:t>
      </w:r>
      <w:r w:rsidRPr="007B223E">
        <w:rPr>
          <w:rFonts w:eastAsia="Times New Roman"/>
          <w:szCs w:val="24"/>
          <w:vertAlign w:val="subscript"/>
        </w:rPr>
        <w:t>01</w:t>
      </w:r>
      <w:r w:rsidRPr="007B223E">
        <w:rPr>
          <w:rFonts w:eastAsia="Times New Roman"/>
          <w:szCs w:val="24"/>
        </w:rPr>
        <w:t>: Mobile banking service has no statistically significant association with the performance of small and medium-sized enterprises in Nairobi County, Kenya.</w:t>
      </w:r>
    </w:p>
    <w:p w14:paraId="2850B2E0" w14:textId="77777777" w:rsidR="00B945CB" w:rsidRPr="007B223E" w:rsidRDefault="00000000">
      <w:pPr>
        <w:ind w:left="450" w:hanging="450"/>
      </w:pPr>
      <w:r w:rsidRPr="007B223E">
        <w:rPr>
          <w:rFonts w:eastAsia="Times New Roman"/>
          <w:szCs w:val="24"/>
        </w:rPr>
        <w:t>H</w:t>
      </w:r>
      <w:r w:rsidRPr="007B223E">
        <w:rPr>
          <w:rFonts w:eastAsia="Times New Roman"/>
          <w:szCs w:val="24"/>
          <w:vertAlign w:val="subscript"/>
        </w:rPr>
        <w:t>02</w:t>
      </w:r>
      <w:r w:rsidRPr="007B223E">
        <w:rPr>
          <w:rFonts w:eastAsia="Times New Roman"/>
          <w:szCs w:val="24"/>
        </w:rPr>
        <w:t xml:space="preserve">: Online banking service has no statistically significant association with the performance of small and medium-sized enterprises in Nairobi County, Kenya. </w:t>
      </w:r>
    </w:p>
    <w:p w14:paraId="3AEAFF7C" w14:textId="77777777" w:rsidR="00B945CB" w:rsidRPr="007B223E" w:rsidRDefault="00000000">
      <w:pPr>
        <w:pStyle w:val="Heading3"/>
        <w:rPr>
          <w:b/>
          <w:bCs/>
          <w:color w:val="000000"/>
          <w:sz w:val="24"/>
          <w:szCs w:val="24"/>
        </w:rPr>
      </w:pPr>
      <w:r w:rsidRPr="007B223E">
        <w:rPr>
          <w:b/>
          <w:bCs/>
          <w:color w:val="000000"/>
          <w:sz w:val="24"/>
          <w:szCs w:val="24"/>
        </w:rPr>
        <w:t xml:space="preserve">1.4 Objectives of the Study </w:t>
      </w:r>
    </w:p>
    <w:p w14:paraId="64581628" w14:textId="77777777" w:rsidR="00B945CB" w:rsidRPr="007B223E" w:rsidRDefault="00000000">
      <w:pPr>
        <w:numPr>
          <w:ilvl w:val="0"/>
          <w:numId w:val="2"/>
        </w:numPr>
        <w:rPr>
          <w:rFonts w:eastAsia="Times New Roman"/>
          <w:szCs w:val="24"/>
        </w:rPr>
      </w:pPr>
      <w:r w:rsidRPr="007B223E">
        <w:rPr>
          <w:rFonts w:eastAsia="Times New Roman"/>
          <w:szCs w:val="24"/>
        </w:rPr>
        <w:t>To examine the association between mobile banking services and the performance of small and medium-sized enterprises in Nairobi County, Kenya.</w:t>
      </w:r>
    </w:p>
    <w:p w14:paraId="2256DBC4" w14:textId="77777777" w:rsidR="00B945CB" w:rsidRPr="007B223E" w:rsidRDefault="00000000">
      <w:pPr>
        <w:numPr>
          <w:ilvl w:val="0"/>
          <w:numId w:val="2"/>
        </w:numPr>
        <w:rPr>
          <w:rFonts w:eastAsia="Times New Roman"/>
          <w:szCs w:val="24"/>
        </w:rPr>
      </w:pPr>
      <w:r w:rsidRPr="007B223E">
        <w:rPr>
          <w:rFonts w:eastAsia="Times New Roman"/>
          <w:szCs w:val="24"/>
        </w:rPr>
        <w:t>To evaluate the association between online banking services and the performance of small and medium-sized enterprises in Nairobi County, Kenya.</w:t>
      </w:r>
    </w:p>
    <w:p w14:paraId="7939C2DE" w14:textId="77777777" w:rsidR="00B945CB" w:rsidRPr="007B223E" w:rsidRDefault="00000000">
      <w:pPr>
        <w:rPr>
          <w:b/>
          <w:bCs/>
          <w:szCs w:val="24"/>
        </w:rPr>
      </w:pPr>
      <w:r w:rsidRPr="007B223E">
        <w:rPr>
          <w:b/>
          <w:bCs/>
          <w:szCs w:val="24"/>
        </w:rPr>
        <w:t>2.1 Literature Review</w:t>
      </w:r>
    </w:p>
    <w:p w14:paraId="37F5C898" w14:textId="77777777" w:rsidR="00B945CB" w:rsidRPr="007B223E" w:rsidRDefault="00000000">
      <w:r w:rsidRPr="007B223E">
        <w:rPr>
          <w:b/>
          <w:bCs/>
          <w:szCs w:val="24"/>
        </w:rPr>
        <w:t>2.2 Theoretical Review</w:t>
      </w:r>
    </w:p>
    <w:p w14:paraId="6B1D3221" w14:textId="77777777" w:rsidR="00B945CB" w:rsidRPr="007B223E" w:rsidRDefault="00000000">
      <w:r w:rsidRPr="007B223E">
        <w:rPr>
          <w:szCs w:val="24"/>
        </w:rPr>
        <w:t xml:space="preserve">The Technology Acceptance Model (TAM) was developed by Davis (1989). The theory proposes that an individual's adoption and use of technology are influenced primarily by two beliefs: perceived usefulness and perceived ease of use (PEOU). Perceived usefulness is the extent to which an individual believes that using a specific system would improve job performance, and perceived ease of use is the extent to which an individual believes that using a specific system will require little effort (Davis, 1989). These two beliefs affect the attitudes </w:t>
      </w:r>
      <w:r w:rsidRPr="007B223E">
        <w:rPr>
          <w:szCs w:val="24"/>
        </w:rPr>
        <w:lastRenderedPageBreak/>
        <w:t xml:space="preserve">towards the technology, which influence </w:t>
      </w:r>
      <w:proofErr w:type="spellStart"/>
      <w:r w:rsidRPr="007B223E">
        <w:rPr>
          <w:szCs w:val="24"/>
        </w:rPr>
        <w:t>behavioural</w:t>
      </w:r>
      <w:proofErr w:type="spellEnd"/>
      <w:r w:rsidRPr="007B223E">
        <w:rPr>
          <w:szCs w:val="24"/>
        </w:rPr>
        <w:t xml:space="preserve"> intention and actual use. When considering SMEs, TAM means that owner-managers are more likely to use FinTech services when they perceive them as beneficial to enterprise operations and simple to use.</w:t>
      </w:r>
    </w:p>
    <w:p w14:paraId="5A18FDB2" w14:textId="77777777" w:rsidR="00B945CB" w:rsidRPr="007B223E" w:rsidRDefault="00000000">
      <w:pPr>
        <w:rPr>
          <w:szCs w:val="24"/>
        </w:rPr>
      </w:pPr>
      <w:r w:rsidRPr="007B223E">
        <w:rPr>
          <w:szCs w:val="24"/>
        </w:rPr>
        <w:t xml:space="preserve">The Resource-Based View (RBV) draws on the work of Penrose (1959). This research study builds upon the RBV theory to </w:t>
      </w:r>
      <w:proofErr w:type="spellStart"/>
      <w:r w:rsidRPr="007B223E">
        <w:rPr>
          <w:szCs w:val="24"/>
        </w:rPr>
        <w:t>conceptualise</w:t>
      </w:r>
      <w:proofErr w:type="spellEnd"/>
      <w:r w:rsidRPr="007B223E">
        <w:rPr>
          <w:szCs w:val="24"/>
        </w:rPr>
        <w:t xml:space="preserve"> FinTech as a resource that may be linked to SME performance. This supports the inclusion of SME performance as a dependent variable and helps to explain why the relationship between FinTech and performance might be contingent upon other resources, such as managerial capability and firm age. However, RBV alone is insufficient, as it does not cover the institutional and regulatory context in which FinTech resources are used. Therefore, it is complemented by the agency theory which considers regulatory and governance aspects of the FinTech–performance relationship. RBV is considered an adjunct to theory and not as a substitute for it.</w:t>
      </w:r>
    </w:p>
    <w:p w14:paraId="0BC96A1D" w14:textId="77777777" w:rsidR="00B945CB" w:rsidRPr="007B223E" w:rsidRDefault="00000000">
      <w:r w:rsidRPr="007B223E">
        <w:rPr>
          <w:szCs w:val="24"/>
        </w:rPr>
        <w:t xml:space="preserve">Marshall (1890) developed the profit </w:t>
      </w:r>
      <w:proofErr w:type="spellStart"/>
      <w:r w:rsidRPr="007B223E">
        <w:rPr>
          <w:szCs w:val="24"/>
        </w:rPr>
        <w:t>maximisation</w:t>
      </w:r>
      <w:proofErr w:type="spellEnd"/>
      <w:r w:rsidRPr="007B223E">
        <w:rPr>
          <w:szCs w:val="24"/>
        </w:rPr>
        <w:t xml:space="preserve"> theory. According to the principle, a company's primary duty is to </w:t>
      </w:r>
      <w:proofErr w:type="spellStart"/>
      <w:r w:rsidRPr="007B223E">
        <w:rPr>
          <w:szCs w:val="24"/>
        </w:rPr>
        <w:t>maximise</w:t>
      </w:r>
      <w:proofErr w:type="spellEnd"/>
      <w:r w:rsidRPr="007B223E">
        <w:rPr>
          <w:szCs w:val="24"/>
        </w:rPr>
        <w:t xml:space="preserve"> profits for its investors while abiding by the law. As a result, companies make choices and distribute resources only in order to </w:t>
      </w:r>
      <w:proofErr w:type="spellStart"/>
      <w:r w:rsidRPr="007B223E">
        <w:rPr>
          <w:szCs w:val="24"/>
        </w:rPr>
        <w:t>maximise</w:t>
      </w:r>
      <w:proofErr w:type="spellEnd"/>
      <w:r w:rsidRPr="007B223E">
        <w:rPr>
          <w:szCs w:val="24"/>
        </w:rPr>
        <w:t xml:space="preserve"> shareholder wealth. Profit </w:t>
      </w:r>
      <w:proofErr w:type="spellStart"/>
      <w:r w:rsidRPr="007B223E">
        <w:rPr>
          <w:szCs w:val="24"/>
        </w:rPr>
        <w:t>maximisation</w:t>
      </w:r>
      <w:proofErr w:type="spellEnd"/>
      <w:r w:rsidRPr="007B223E">
        <w:rPr>
          <w:szCs w:val="24"/>
        </w:rPr>
        <w:t xml:space="preserve"> theory is predicated on the ideas that there are no externalities or market failures, people behave rationally to </w:t>
      </w:r>
      <w:proofErr w:type="spellStart"/>
      <w:r w:rsidRPr="007B223E">
        <w:rPr>
          <w:szCs w:val="24"/>
        </w:rPr>
        <w:t>maximise</w:t>
      </w:r>
      <w:proofErr w:type="spellEnd"/>
      <w:r w:rsidRPr="007B223E">
        <w:rPr>
          <w:szCs w:val="24"/>
        </w:rPr>
        <w:t xml:space="preserve"> their own interests, and markets are efficient. These presumptions serve as the basis for the claim that </w:t>
      </w:r>
      <w:proofErr w:type="spellStart"/>
      <w:r w:rsidRPr="007B223E">
        <w:rPr>
          <w:szCs w:val="24"/>
        </w:rPr>
        <w:t>maximising</w:t>
      </w:r>
      <w:proofErr w:type="spellEnd"/>
      <w:r w:rsidRPr="007B223E">
        <w:rPr>
          <w:szCs w:val="24"/>
        </w:rPr>
        <w:t xml:space="preserve"> profits is consistent with the more general objective of economic efficiency. A company's capacity to balance expenses and revenues while gaining a competitive edge is reflected in its profitability (Wong, 1975). This theory is therefore relevant to the current study since it helps SMEs determine how to make things at the lowest possible cost in order to </w:t>
      </w:r>
      <w:proofErr w:type="spellStart"/>
      <w:r w:rsidRPr="007B223E">
        <w:rPr>
          <w:szCs w:val="24"/>
        </w:rPr>
        <w:t>maximise</w:t>
      </w:r>
      <w:proofErr w:type="spellEnd"/>
      <w:r w:rsidRPr="007B223E">
        <w:rPr>
          <w:szCs w:val="24"/>
        </w:rPr>
        <w:t xml:space="preserve"> profit. The theory's premise is that all SMEs would want to boost profits. Successful SMEs can accomplish this by cutting production costs, raising the price at which they offer their goods or services, and growing sales. Because they have better access to resources than other </w:t>
      </w:r>
      <w:proofErr w:type="spellStart"/>
      <w:r w:rsidRPr="007B223E">
        <w:rPr>
          <w:szCs w:val="24"/>
        </w:rPr>
        <w:t>organisations</w:t>
      </w:r>
      <w:proofErr w:type="spellEnd"/>
      <w:r w:rsidRPr="007B223E">
        <w:rPr>
          <w:szCs w:val="24"/>
        </w:rPr>
        <w:t>, SMEs may decide to do this. The theory supports the dependent variable (SME performance).</w:t>
      </w:r>
    </w:p>
    <w:p w14:paraId="48F882D9" w14:textId="77777777" w:rsidR="00B945CB" w:rsidRPr="007B223E" w:rsidRDefault="00000000">
      <w:pPr>
        <w:pStyle w:val="Heading2"/>
        <w:rPr>
          <w:rFonts w:ascii="Times New Roman" w:hAnsi="Times New Roman"/>
          <w:b/>
          <w:bCs/>
          <w:color w:val="000000"/>
          <w:sz w:val="24"/>
          <w:szCs w:val="24"/>
        </w:rPr>
      </w:pPr>
      <w:r w:rsidRPr="007B223E">
        <w:rPr>
          <w:rFonts w:ascii="Times New Roman" w:hAnsi="Times New Roman"/>
          <w:b/>
          <w:bCs/>
          <w:color w:val="000000"/>
          <w:sz w:val="24"/>
          <w:szCs w:val="24"/>
        </w:rPr>
        <w:lastRenderedPageBreak/>
        <w:t>2.3 Empirical Review</w:t>
      </w:r>
    </w:p>
    <w:p w14:paraId="00C08E09" w14:textId="77777777" w:rsidR="00B945CB" w:rsidRPr="007B223E" w:rsidRDefault="00000000">
      <w:pPr>
        <w:pStyle w:val="Heading3"/>
      </w:pPr>
      <w:r w:rsidRPr="007B223E">
        <w:rPr>
          <w:b/>
          <w:bCs/>
          <w:color w:val="000000"/>
          <w:sz w:val="24"/>
          <w:szCs w:val="24"/>
        </w:rPr>
        <w:t xml:space="preserve">2.3.1 Mobile Banking Service </w:t>
      </w:r>
      <w:r w:rsidRPr="007B223E">
        <w:rPr>
          <w:b/>
          <w:bCs/>
          <w:color w:val="000000"/>
          <w:kern w:val="2"/>
          <w:sz w:val="24"/>
          <w:szCs w:val="24"/>
        </w:rPr>
        <w:t xml:space="preserve">and </w:t>
      </w:r>
      <w:r w:rsidRPr="007B223E">
        <w:rPr>
          <w:b/>
          <w:bCs/>
          <w:color w:val="000000"/>
          <w:sz w:val="24"/>
          <w:szCs w:val="24"/>
        </w:rPr>
        <w:t>Performance</w:t>
      </w:r>
    </w:p>
    <w:p w14:paraId="7615A284" w14:textId="77777777" w:rsidR="00B945CB" w:rsidRPr="007B223E" w:rsidRDefault="00000000">
      <w:proofErr w:type="spellStart"/>
      <w:r w:rsidRPr="007B223E">
        <w:rPr>
          <w:szCs w:val="24"/>
        </w:rPr>
        <w:t>Mosoti</w:t>
      </w:r>
      <w:proofErr w:type="spellEnd"/>
      <w:r w:rsidRPr="007B223E">
        <w:rPr>
          <w:szCs w:val="24"/>
        </w:rPr>
        <w:t>, Wafula, and Nyangau (2024) examined the relationship between mobile banking technology and Kenyan microfinance institutions' (MFIs) financial results from 2017 to 2022. The study also examined the moderating role of business size. The study collected data from 204 employees of 13 MFIs licensed in Nairobi, Kenya, using a questionnaire and a descriptive research approach. Descriptive and inferential statistics were used to estimate the data. The outcome of the inquiry demonstrated that mobile banking technology had a positive and significant association with MFIs’ financial success. Furthermore, the link amongst the two variables is moderated by business size. The study concluded that one of the key factors influencing business performance is mobile phone technology. The previous study considered Kenyan MFIs between 2017 and 2022, whereas the present study examines SMEs in Nairobi City County through an explanatory cross-sectional survey.</w:t>
      </w:r>
    </w:p>
    <w:p w14:paraId="3708AB73" w14:textId="77777777" w:rsidR="00B945CB" w:rsidRPr="007B223E" w:rsidRDefault="00000000">
      <w:r w:rsidRPr="007B223E">
        <w:rPr>
          <w:szCs w:val="24"/>
        </w:rPr>
        <w:t xml:space="preserve">Similar to the findings in the study conducted by </w:t>
      </w:r>
      <w:proofErr w:type="spellStart"/>
      <w:r w:rsidRPr="007B223E">
        <w:rPr>
          <w:szCs w:val="24"/>
        </w:rPr>
        <w:t>Mosoti</w:t>
      </w:r>
      <w:proofErr w:type="spellEnd"/>
      <w:r w:rsidRPr="007B223E">
        <w:rPr>
          <w:szCs w:val="24"/>
        </w:rPr>
        <w:t xml:space="preserve"> </w:t>
      </w:r>
      <w:r w:rsidRPr="007B223E">
        <w:rPr>
          <w:i/>
          <w:szCs w:val="24"/>
        </w:rPr>
        <w:t>et al</w:t>
      </w:r>
      <w:r w:rsidRPr="007B223E">
        <w:rPr>
          <w:szCs w:val="24"/>
        </w:rPr>
        <w:t xml:space="preserve">. (2024), in Uganda's Mukono Central Division, Akankwasa (2024) found that mobile money notably and </w:t>
      </w:r>
      <w:proofErr w:type="spellStart"/>
      <w:r w:rsidRPr="007B223E">
        <w:rPr>
          <w:szCs w:val="24"/>
        </w:rPr>
        <w:t>favourably</w:t>
      </w:r>
      <w:proofErr w:type="spellEnd"/>
      <w:r w:rsidRPr="007B223E">
        <w:rPr>
          <w:szCs w:val="24"/>
        </w:rPr>
        <w:t xml:space="preserve"> contributes to increased income, improved cash flow management, and overall business development in Uganda. The inquiry evaluated how mobile money technology association the performance of SMEs, using a cross-sectional design combining quantitative and qualitative approaches. The study considered Ugandan SMEs. The data were </w:t>
      </w:r>
      <w:proofErr w:type="spellStart"/>
      <w:r w:rsidRPr="007B223E">
        <w:rPr>
          <w:szCs w:val="24"/>
        </w:rPr>
        <w:t>analysed</w:t>
      </w:r>
      <w:proofErr w:type="spellEnd"/>
      <w:r w:rsidRPr="007B223E">
        <w:rPr>
          <w:szCs w:val="24"/>
        </w:rPr>
        <w:t xml:space="preserve"> using the multiple regression estimation technique. The study inferred that a notable number of SMEs have successfully integrated the use of mobile money into routine business operations, reducing transaction times and raising customer satisfaction. In contrast to the Ugandan study, the present study focuses on SMEs in Nairobi City County, Kenya, and adopts an explanatory cross-sectional survey design.</w:t>
      </w:r>
    </w:p>
    <w:p w14:paraId="62A625C7" w14:textId="77777777" w:rsidR="00B945CB" w:rsidRPr="007B223E" w:rsidRDefault="00000000">
      <w:r w:rsidRPr="007B223E">
        <w:rPr>
          <w:szCs w:val="24"/>
        </w:rPr>
        <w:t xml:space="preserve">In a similar study conducted by Akankwasa (2024), Waris </w:t>
      </w:r>
      <w:r w:rsidRPr="007B223E">
        <w:rPr>
          <w:i/>
          <w:szCs w:val="24"/>
        </w:rPr>
        <w:t>et al</w:t>
      </w:r>
      <w:r w:rsidRPr="007B223E">
        <w:rPr>
          <w:szCs w:val="24"/>
        </w:rPr>
        <w:t xml:space="preserve">. (2024) investigated the association between mobile phone technology and Ghanaian SMEs' access to financial services. Primary data were gathered from a target population of 1000 employees of Ghanaian SMEs using structured questionnaires. Descriptive statistics and the multiple regression estimation approach were used for the analysis. The findings indicated that the performance of many SMEs in Ghana was reported to have improved with the introduction of mobile phone technology. The </w:t>
      </w:r>
      <w:r w:rsidRPr="007B223E">
        <w:rPr>
          <w:szCs w:val="24"/>
        </w:rPr>
        <w:lastRenderedPageBreak/>
        <w:t>study inferred that, every respondent had a thorough comprehension of the fundamental operations of mobile money. However, due to issues with the service's functionality, the majority of respondents expressed doubts about its cost and convenience. In contrast, the present study examines SMEs in Nairobi City County, Kenya, using an explanatory cross-sectional survey design.</w:t>
      </w:r>
    </w:p>
    <w:p w14:paraId="1B043CAE" w14:textId="77777777" w:rsidR="00B945CB" w:rsidRPr="007B223E" w:rsidRDefault="00000000">
      <w:r w:rsidRPr="007B223E">
        <w:rPr>
          <w:szCs w:val="24"/>
        </w:rPr>
        <w:t xml:space="preserve">The relationship between Bangladeshi money deposit banks' financial performance from 2018-2023 and the expansion of mobile banking was examined by Sarker </w:t>
      </w:r>
      <w:r w:rsidRPr="007B223E">
        <w:rPr>
          <w:i/>
          <w:szCs w:val="24"/>
        </w:rPr>
        <w:t>et al.</w:t>
      </w:r>
      <w:r w:rsidRPr="007B223E">
        <w:rPr>
          <w:szCs w:val="24"/>
        </w:rPr>
        <w:t xml:space="preserve"> (2024). A descriptive survey was used as the investigation's methodology. The survey covered all 13 money deposit banks that are registered with Bangladesh Bank. Multiple regression analysis and correlation analysis were used to evaluate the relationships between the variables. The findings indicated that the number of transactions and the number of mobile banking customers are now significant factors in determining the financial performance of Bangladesh's money deposit institutions. Nonetheless, the financial status of Bangladesh's money deposit institutions is mostly unaffected by transaction volume. The study concluded that, mobile banking is critical to enhancing Bangladesh's money deposit banks' financial performance. Whereas the previous study focused on Bangladeshi commercial banks and adopted a descriptive design, the present study uses an explanatory cross-sectional survey design to examine SMEs in Nairobi City County, Kenya.</w:t>
      </w:r>
    </w:p>
    <w:p w14:paraId="0C989C95" w14:textId="77777777" w:rsidR="00B945CB" w:rsidRPr="007B223E" w:rsidRDefault="00000000">
      <w:pPr>
        <w:pStyle w:val="Heading3"/>
      </w:pPr>
      <w:r w:rsidRPr="007B223E">
        <w:rPr>
          <w:b/>
          <w:bCs/>
          <w:color w:val="000000"/>
          <w:sz w:val="24"/>
          <w:szCs w:val="24"/>
        </w:rPr>
        <w:t>2.3.2 Online Banking Service and Performance</w:t>
      </w:r>
    </w:p>
    <w:p w14:paraId="55BBAA8A" w14:textId="77777777" w:rsidR="00B945CB" w:rsidRPr="007B223E" w:rsidRDefault="00000000">
      <w:r w:rsidRPr="007B223E">
        <w:rPr>
          <w:szCs w:val="24"/>
        </w:rPr>
        <w:t xml:space="preserve">Using a descriptive research approach, Ochieng (2022) explored how Kenyan commercial banks' financial performance was affected by online banking. The study examined five Kenyan commercial banks. Questionnaires were used to collect primary data. Chi-square and regression estimation techniques were used to </w:t>
      </w:r>
      <w:proofErr w:type="spellStart"/>
      <w:r w:rsidRPr="007B223E">
        <w:rPr>
          <w:szCs w:val="24"/>
        </w:rPr>
        <w:t>analyse</w:t>
      </w:r>
      <w:proofErr w:type="spellEnd"/>
      <w:r w:rsidRPr="007B223E">
        <w:rPr>
          <w:szCs w:val="24"/>
        </w:rPr>
        <w:t xml:space="preserve"> the data. According to the findings, online banking has had a </w:t>
      </w:r>
      <w:proofErr w:type="spellStart"/>
      <w:r w:rsidRPr="007B223E">
        <w:rPr>
          <w:szCs w:val="24"/>
        </w:rPr>
        <w:t>favourable</w:t>
      </w:r>
      <w:proofErr w:type="spellEnd"/>
      <w:r w:rsidRPr="007B223E">
        <w:rPr>
          <w:szCs w:val="24"/>
        </w:rPr>
        <w:t xml:space="preserve"> and substantial association with the financial performance of Kenyan commercial banks. The study concluded that banks' financial success has improved due to cost savings from more online transactions, decreased traffic to physical branches, and consumer convenience. The previous study focused on Kenya’s money deposit banks for the year 2022. The present study focuses on SMEs in Nairobi City County, Kenya, and adopts an explanatory cross-sectional survey design, rather than the descriptive approach used in the previous study.</w:t>
      </w:r>
    </w:p>
    <w:p w14:paraId="1B8A42A2" w14:textId="77777777" w:rsidR="00B945CB" w:rsidRPr="007B223E" w:rsidRDefault="00000000">
      <w:proofErr w:type="spellStart"/>
      <w:r w:rsidRPr="007B223E">
        <w:rPr>
          <w:szCs w:val="24"/>
        </w:rPr>
        <w:lastRenderedPageBreak/>
        <w:t>Pyoko</w:t>
      </w:r>
      <w:proofErr w:type="spellEnd"/>
      <w:r w:rsidRPr="007B223E">
        <w:rPr>
          <w:szCs w:val="24"/>
        </w:rPr>
        <w:t xml:space="preserve"> </w:t>
      </w:r>
      <w:r w:rsidRPr="007B223E">
        <w:rPr>
          <w:i/>
          <w:szCs w:val="24"/>
        </w:rPr>
        <w:t>et al</w:t>
      </w:r>
      <w:r w:rsidRPr="007B223E">
        <w:rPr>
          <w:szCs w:val="24"/>
        </w:rPr>
        <w:t xml:space="preserve">. (2023c) investigated how Kenyan SMEs' financial inclusion is associated with online banking services. An explanatory research design was used in the inquiry. The target population consisted of the top 100 SMEs in Kenya, and the sample comprised 200 respondents selected through simple random sampling and purposive sampling, with 2 respondents chosen from each SME of interest. Data were </w:t>
      </w:r>
      <w:proofErr w:type="spellStart"/>
      <w:r w:rsidRPr="007B223E">
        <w:rPr>
          <w:szCs w:val="24"/>
        </w:rPr>
        <w:t>analysed</w:t>
      </w:r>
      <w:proofErr w:type="spellEnd"/>
      <w:r w:rsidRPr="007B223E">
        <w:rPr>
          <w:szCs w:val="24"/>
        </w:rPr>
        <w:t xml:space="preserve"> using the multiple regression technique. A questionnaire was used to gather the primary data. According to the findings, online banking services were significantly associated with Kenyan SMEs' financial inclusion. The study inferred that, business managers would enhance their business's success if they fully </w:t>
      </w:r>
      <w:proofErr w:type="spellStart"/>
      <w:r w:rsidRPr="007B223E">
        <w:rPr>
          <w:szCs w:val="24"/>
        </w:rPr>
        <w:t>utilise</w:t>
      </w:r>
      <w:proofErr w:type="spellEnd"/>
      <w:r w:rsidRPr="007B223E">
        <w:rPr>
          <w:szCs w:val="24"/>
        </w:rPr>
        <w:t xml:space="preserve"> and explore the many options offered by internet banking. The present study also examines Kenyan SMEs but focuses on their performance, rather than financial inclusion, using an explanatory cross-sectional survey design.</w:t>
      </w:r>
    </w:p>
    <w:p w14:paraId="222AF3CE" w14:textId="77777777" w:rsidR="00B945CB" w:rsidRPr="007B223E" w:rsidRDefault="00000000">
      <w:r w:rsidRPr="007B223E">
        <w:rPr>
          <w:szCs w:val="24"/>
        </w:rPr>
        <w:t xml:space="preserve">To represent the study population, Adamu, </w:t>
      </w:r>
      <w:proofErr w:type="spellStart"/>
      <w:r w:rsidRPr="007B223E">
        <w:rPr>
          <w:szCs w:val="24"/>
        </w:rPr>
        <w:t>Kawugana</w:t>
      </w:r>
      <w:proofErr w:type="spellEnd"/>
      <w:r w:rsidRPr="007B223E">
        <w:rPr>
          <w:szCs w:val="24"/>
        </w:rPr>
        <w:t>, and Abdullahi (2024) surveyed 250 respondents to evaluate how online banking affects the success of a few chosen SMEs in the state of Bauchi. Secondary data were obtained from online sources, while primary data were collected through a questionnaire. The study employed a descriptive investigation approach. Regression analysis was used to estimate the collected data. The findings indicated that, the success of SMEs in Bauchi state is notably linked with internet banking. The study inferred that in order to boost the performance of SMEs in Bauchi State, all relevant institutions should improve awareness of online banking. Unlike the previous descriptive study in Bauchi State, the present study focuses on SMEs in Nairobi City County, Kenya, using an explanatory cross-sectional survey design.</w:t>
      </w:r>
    </w:p>
    <w:p w14:paraId="64D7ED17" w14:textId="77777777" w:rsidR="00B945CB" w:rsidRPr="007B223E" w:rsidRDefault="00000000">
      <w:r w:rsidRPr="007B223E">
        <w:rPr>
          <w:szCs w:val="24"/>
        </w:rPr>
        <w:t xml:space="preserve">In comparison with Adamu et al. (2024), Ndia and </w:t>
      </w:r>
      <w:proofErr w:type="spellStart"/>
      <w:r w:rsidRPr="007B223E">
        <w:rPr>
          <w:szCs w:val="24"/>
        </w:rPr>
        <w:t>Omagwa</w:t>
      </w:r>
      <w:proofErr w:type="spellEnd"/>
      <w:r w:rsidRPr="007B223E">
        <w:rPr>
          <w:szCs w:val="24"/>
        </w:rPr>
        <w:t xml:space="preserve"> (2025) examined a five-year period (2019-2023) in assessing how financial technology affected the profitability of SMEs in NCC. A sample of 269 SME representatives was selected using the stratified sampling approach. Data were collected using a questionnaire. Multiple regression analysis was used. The findings indicated that, online banking notably increased the profitability of SMEs in NCC, Kenya. The study reported that, SMEs in NCC that use ICT and communicative online support typically record notable SME performance as a result of timely information obtained for quicker and more efficient decision-making. Similarly, the present study also focuses on SMEs in Nairobi City </w:t>
      </w:r>
      <w:r w:rsidRPr="007B223E">
        <w:rPr>
          <w:szCs w:val="24"/>
        </w:rPr>
        <w:lastRenderedPageBreak/>
        <w:t>County, but adopts an explanatory cross-sectional survey design rather than assessing enterprise profitability over a five-year period.</w:t>
      </w:r>
    </w:p>
    <w:p w14:paraId="4AAF8198" w14:textId="77777777" w:rsidR="00B945CB" w:rsidRPr="007B223E" w:rsidRDefault="00000000">
      <w:r w:rsidRPr="007B223E">
        <w:rPr>
          <w:b/>
          <w:bCs/>
          <w:szCs w:val="24"/>
        </w:rPr>
        <w:t>3.1 Methodology</w:t>
      </w:r>
    </w:p>
    <w:p w14:paraId="4A0B6FD2" w14:textId="77777777" w:rsidR="00B945CB" w:rsidRPr="007B223E" w:rsidRDefault="00000000">
      <w:r w:rsidRPr="007B223E">
        <w:t>The study adopted an explanatory cross-sectional survey design to examine associations between mobile banking services, online banking services and the performance of small and medium-sized enterprises (SMEs) operating in Nairobi City County, Kenya. This design was appropriate because information on banking-service use and enterprise performance was obtained at a single point in time (McCusker &amp; Gunaydin, 2015). Its explanatory purpose was to assess variation in the reported SME performance measure in relation to the two banking-service variables. As the study was observational rather than experimental, these relationships were examined as statistical associations and were not interpreted as evidence of causality.</w:t>
      </w:r>
    </w:p>
    <w:p w14:paraId="33CDAFB2" w14:textId="77777777" w:rsidR="005A563C" w:rsidRPr="007B223E" w:rsidRDefault="00000000">
      <w:r w:rsidRPr="007B223E">
        <w:t>The target population comprised SMEs operating in Nairobi City County, Kenya. For this study, an enterprise was classified as small or medium according to the eligibility criteria applied during recruitment. The study reported a sample of 200 SMEs. An owner or manager of each selected SME, or another person familiar with its operations, was requested to complete the questionnaire. The enterprise was the unit of analysis because the outcome of interest was business performance, while respondents provided information about the operations of their respective firms.</w:t>
      </w:r>
    </w:p>
    <w:p w14:paraId="74DA026C" w14:textId="77777777" w:rsidR="005A563C" w:rsidRPr="007B223E" w:rsidRDefault="00000000">
      <w:r w:rsidRPr="007B223E">
        <w:t>Primary data were obtained through questionnaires completed by representatives of the selected SMEs. The analysis focused on three variables consistent with the study objectives: SME performance, mobile banking services and online banking services. SME performance (PER) was specified as the dependent variable. Mobile banking services (MPS) and online banking services (OBS) were the explanatory variables. Mobile banking concerned banking services accessed through mobile phones, whereas online banking concerned banking activities conducted through internet-based facilities. Including the two service dimensions in the same regression model enabled their separate associations with the performance measure to be examined while accounting for the other included service dimension.</w:t>
      </w:r>
    </w:p>
    <w:p w14:paraId="6A9BE35D" w14:textId="77777777" w:rsidR="005A563C" w:rsidRPr="007B223E" w:rsidRDefault="00000000">
      <w:r w:rsidRPr="007B223E">
        <w:t xml:space="preserve">The data were </w:t>
      </w:r>
      <w:proofErr w:type="spellStart"/>
      <w:r w:rsidRPr="007B223E">
        <w:t>analysed</w:t>
      </w:r>
      <w:proofErr w:type="spellEnd"/>
      <w:r w:rsidRPr="007B223E">
        <w:t xml:space="preserve"> using correlation analysis and multiple linear regression. Correlation analysis was used to describe the direction and strength of the relationships between study </w:t>
      </w:r>
      <w:r w:rsidRPr="007B223E">
        <w:lastRenderedPageBreak/>
        <w:t>variables. Multiple regression was used to estimate the coefficients associated with mobile banking and online banking services when both were included in the model. The regression output was interpreted using the reported coefficients, standard errors, t-statistics and significance probabilities, while the model summary and analysis of variance were used to assess the proportion of explained variation and overall model significance. The estimated regression equation was specified as follows:</w:t>
      </w:r>
    </w:p>
    <w:p w14:paraId="796E69FB" w14:textId="77777777" w:rsidR="00B945CB" w:rsidRPr="007B223E" w:rsidRDefault="00000000">
      <w:pPr>
        <w:rPr>
          <w:szCs w:val="24"/>
        </w:rPr>
      </w:pPr>
      <w:r w:rsidRPr="007B223E">
        <w:rPr>
          <w:b/>
          <w:szCs w:val="24"/>
        </w:rPr>
        <w:t>PER = β</w:t>
      </w:r>
      <w:r w:rsidRPr="007B223E">
        <w:rPr>
          <w:b/>
          <w:szCs w:val="24"/>
          <w:vertAlign w:val="subscript"/>
        </w:rPr>
        <w:t>0</w:t>
      </w:r>
      <w:r w:rsidRPr="007B223E">
        <w:rPr>
          <w:b/>
          <w:szCs w:val="24"/>
        </w:rPr>
        <w:t xml:space="preserve"> + </w:t>
      </w:r>
      <w:r w:rsidRPr="007B223E">
        <w:rPr>
          <w:rFonts w:eastAsia="Times New Roman"/>
          <w:b/>
          <w:kern w:val="2"/>
          <w:szCs w:val="24"/>
        </w:rPr>
        <w:t>β</w:t>
      </w:r>
      <w:r w:rsidRPr="007B223E">
        <w:rPr>
          <w:rFonts w:eastAsia="Times New Roman"/>
          <w:b/>
          <w:kern w:val="2"/>
          <w:szCs w:val="24"/>
          <w:vertAlign w:val="subscript"/>
        </w:rPr>
        <w:t>1</w:t>
      </w:r>
      <w:r w:rsidRPr="007B223E">
        <w:rPr>
          <w:rFonts w:eastAsia="Times New Roman"/>
          <w:b/>
          <w:kern w:val="2"/>
          <w:szCs w:val="24"/>
        </w:rPr>
        <w:t>MPS+β</w:t>
      </w:r>
      <w:r w:rsidRPr="007B223E">
        <w:rPr>
          <w:rFonts w:eastAsia="Times New Roman"/>
          <w:b/>
          <w:kern w:val="2"/>
          <w:szCs w:val="24"/>
          <w:vertAlign w:val="subscript"/>
        </w:rPr>
        <w:t>2</w:t>
      </w:r>
      <w:r w:rsidRPr="007B223E">
        <w:rPr>
          <w:rFonts w:eastAsia="Times New Roman"/>
          <w:b/>
          <w:kern w:val="2"/>
          <w:szCs w:val="24"/>
        </w:rPr>
        <w:t>OBS</w:t>
      </w:r>
      <w:r w:rsidRPr="007B223E">
        <w:rPr>
          <w:b/>
          <w:szCs w:val="24"/>
        </w:rPr>
        <w:t xml:space="preserve"> + ε</w:t>
      </w:r>
    </w:p>
    <w:p w14:paraId="1BE4C469" w14:textId="77777777" w:rsidR="00B945CB" w:rsidRPr="007B223E" w:rsidRDefault="00000000">
      <w:pPr>
        <w:rPr>
          <w:szCs w:val="24"/>
        </w:rPr>
      </w:pPr>
      <w:r w:rsidRPr="007B223E">
        <w:rPr>
          <w:szCs w:val="24"/>
        </w:rPr>
        <w:t>Where:</w:t>
      </w:r>
    </w:p>
    <w:p w14:paraId="324FBE4C" w14:textId="77777777" w:rsidR="00B945CB" w:rsidRPr="007B223E" w:rsidRDefault="00000000">
      <w:r w:rsidRPr="007B223E">
        <w:rPr>
          <w:szCs w:val="24"/>
        </w:rPr>
        <w:t>PER = Performance</w:t>
      </w:r>
    </w:p>
    <w:p w14:paraId="38442E65" w14:textId="77777777" w:rsidR="00B945CB" w:rsidRPr="007B223E" w:rsidRDefault="00000000">
      <w:pPr>
        <w:rPr>
          <w:szCs w:val="24"/>
        </w:rPr>
      </w:pPr>
      <w:r w:rsidRPr="007B223E">
        <w:rPr>
          <w:szCs w:val="24"/>
        </w:rPr>
        <w:t xml:space="preserve">MPS= Mobile banking Service </w:t>
      </w:r>
    </w:p>
    <w:p w14:paraId="2AB4A8CB" w14:textId="77777777" w:rsidR="00B945CB" w:rsidRPr="007B223E" w:rsidRDefault="00000000">
      <w:pPr>
        <w:rPr>
          <w:rFonts w:eastAsia="Times New Roman"/>
          <w:szCs w:val="24"/>
        </w:rPr>
      </w:pPr>
      <w:r w:rsidRPr="007B223E">
        <w:rPr>
          <w:szCs w:val="24"/>
        </w:rPr>
        <w:t>OBS = Online Banking</w:t>
      </w:r>
      <w:r w:rsidRPr="007B223E">
        <w:rPr>
          <w:rFonts w:eastAsia="Times New Roman"/>
          <w:szCs w:val="24"/>
        </w:rPr>
        <w:t xml:space="preserve"> Service </w:t>
      </w:r>
    </w:p>
    <w:p w14:paraId="6FBC2DE3" w14:textId="77777777" w:rsidR="00B945CB" w:rsidRPr="007B223E" w:rsidRDefault="00000000">
      <w:r w:rsidRPr="007B223E">
        <w:rPr>
          <w:szCs w:val="24"/>
        </w:rPr>
        <w:t>β</w:t>
      </w:r>
      <w:r w:rsidRPr="007B223E">
        <w:rPr>
          <w:szCs w:val="24"/>
          <w:vertAlign w:val="subscript"/>
        </w:rPr>
        <w:t>0</w:t>
      </w:r>
      <w:r w:rsidRPr="007B223E">
        <w:rPr>
          <w:szCs w:val="24"/>
        </w:rPr>
        <w:t>= Constant Term</w:t>
      </w:r>
    </w:p>
    <w:p w14:paraId="21395BDF" w14:textId="77777777" w:rsidR="00B945CB" w:rsidRPr="007B223E" w:rsidRDefault="00000000">
      <w:r w:rsidRPr="007B223E">
        <w:rPr>
          <w:szCs w:val="24"/>
        </w:rPr>
        <w:t>β</w:t>
      </w:r>
      <w:r w:rsidRPr="007B223E">
        <w:rPr>
          <w:szCs w:val="24"/>
          <w:vertAlign w:val="subscript"/>
        </w:rPr>
        <w:t>1</w:t>
      </w:r>
      <w:r w:rsidRPr="007B223E">
        <w:rPr>
          <w:szCs w:val="24"/>
        </w:rPr>
        <w:t>-β</w:t>
      </w:r>
      <w:r w:rsidRPr="007B223E">
        <w:rPr>
          <w:szCs w:val="24"/>
          <w:vertAlign w:val="subscript"/>
        </w:rPr>
        <w:t>2</w:t>
      </w:r>
      <w:r w:rsidRPr="007B223E">
        <w:rPr>
          <w:szCs w:val="24"/>
        </w:rPr>
        <w:t xml:space="preserve">= Beta Coefficients </w:t>
      </w:r>
    </w:p>
    <w:p w14:paraId="30863DF9" w14:textId="77777777" w:rsidR="00B945CB" w:rsidRPr="007B223E" w:rsidRDefault="00000000">
      <w:r w:rsidRPr="007B223E">
        <w:rPr>
          <w:szCs w:val="24"/>
        </w:rPr>
        <w:t>ε</w:t>
      </w:r>
      <w:r w:rsidRPr="007B223E">
        <w:rPr>
          <w:b/>
          <w:szCs w:val="24"/>
        </w:rPr>
        <w:t xml:space="preserve"> =</w:t>
      </w:r>
      <w:r w:rsidRPr="007B223E">
        <w:rPr>
          <w:szCs w:val="24"/>
        </w:rPr>
        <w:t xml:space="preserve"> Error term</w:t>
      </w:r>
    </w:p>
    <w:p w14:paraId="290449A2" w14:textId="77777777" w:rsidR="005A563C" w:rsidRPr="007B223E" w:rsidRDefault="00000000">
      <w:r w:rsidRPr="007B223E">
        <w:t xml:space="preserve">In this model, the intercept (β₀) represents the fitted value of the performance measure when both predictors are zero; β₁ and β₂ represent the estimated regression coefficients of mobile banking and online banking services, respectively; and ε denotes the error term. Each coefficient describes the estimated association between the corresponding banking-service variable and the SME performance score, holding the other included predictor constant. The reported R-squared and adjusted R-squared statistics </w:t>
      </w:r>
      <w:proofErr w:type="spellStart"/>
      <w:r w:rsidRPr="007B223E">
        <w:t>summarise</w:t>
      </w:r>
      <w:proofErr w:type="spellEnd"/>
      <w:r w:rsidRPr="007B223E">
        <w:t xml:space="preserve"> explained variation, while the ANOVA F-test assesses overall model significance. Given the explanatory cross-sectional survey design, none of these estimates alone establishes a causal effect.</w:t>
      </w:r>
    </w:p>
    <w:p w14:paraId="24898CF7" w14:textId="370B6FA6" w:rsidR="00B945CB" w:rsidRPr="007B223E" w:rsidRDefault="00000000">
      <w:pPr>
        <w:pStyle w:val="Heading1"/>
      </w:pPr>
      <w:r w:rsidRPr="007B223E">
        <w:rPr>
          <w:rFonts w:ascii="Times New Roman" w:hAnsi="Times New Roman"/>
          <w:b/>
          <w:bCs/>
          <w:color w:val="000000"/>
          <w:sz w:val="24"/>
          <w:szCs w:val="24"/>
        </w:rPr>
        <w:lastRenderedPageBreak/>
        <w:t xml:space="preserve">4.1 </w:t>
      </w:r>
      <w:r w:rsidR="00A62B9D">
        <w:rPr>
          <w:rFonts w:ascii="Times New Roman" w:hAnsi="Times New Roman"/>
          <w:b/>
          <w:bCs/>
          <w:color w:val="000000"/>
          <w:sz w:val="24"/>
          <w:szCs w:val="24"/>
        </w:rPr>
        <w:t>Results</w:t>
      </w:r>
      <w:r w:rsidRPr="007B223E">
        <w:rPr>
          <w:rFonts w:ascii="Times New Roman" w:hAnsi="Times New Roman"/>
          <w:b/>
          <w:bCs/>
          <w:color w:val="000000"/>
          <w:sz w:val="24"/>
          <w:szCs w:val="24"/>
        </w:rPr>
        <w:t xml:space="preserve"> and Discussions</w:t>
      </w:r>
    </w:p>
    <w:p w14:paraId="4BF1B3A6" w14:textId="77777777" w:rsidR="00B945CB" w:rsidRPr="007B223E" w:rsidRDefault="00000000">
      <w:pPr>
        <w:pStyle w:val="Heading1"/>
        <w:rPr>
          <w:rFonts w:ascii="Times New Roman" w:hAnsi="Times New Roman"/>
          <w:b/>
          <w:bCs/>
          <w:color w:val="000000"/>
          <w:sz w:val="24"/>
          <w:szCs w:val="24"/>
        </w:rPr>
      </w:pPr>
      <w:r w:rsidRPr="007B223E">
        <w:rPr>
          <w:rFonts w:ascii="Times New Roman" w:hAnsi="Times New Roman"/>
          <w:b/>
          <w:bCs/>
          <w:color w:val="000000"/>
          <w:sz w:val="24"/>
          <w:szCs w:val="24"/>
        </w:rPr>
        <w:t xml:space="preserve">4.2 Regression Analysis </w:t>
      </w:r>
    </w:p>
    <w:p w14:paraId="1285D1EE" w14:textId="77777777" w:rsidR="00B945CB" w:rsidRPr="007B223E" w:rsidRDefault="00000000">
      <w:pPr>
        <w:pStyle w:val="ds-markdown-paragraph"/>
        <w:shd w:val="clear" w:color="auto" w:fill="FFFFFF"/>
        <w:spacing w:before="250" w:after="250" w:line="360" w:lineRule="auto"/>
        <w:jc w:val="both"/>
      </w:pPr>
      <w:r w:rsidRPr="007B223E">
        <w:t>The study sought to examine the association of mobile banking and online banking services with the performance of small and medium-sized enterprises in Nairobi County, Kenya. The results of this assessment are shown in the following subsections.</w:t>
      </w:r>
    </w:p>
    <w:p w14:paraId="32D35D25" w14:textId="77777777" w:rsidR="00B945CB" w:rsidRPr="007B223E" w:rsidRDefault="00000000">
      <w:pPr>
        <w:pStyle w:val="Heading1"/>
      </w:pPr>
      <w:r w:rsidRPr="007B223E">
        <w:rPr>
          <w:rFonts w:ascii="Times New Roman" w:hAnsi="Times New Roman"/>
          <w:b/>
          <w:bCs/>
          <w:color w:val="000000"/>
          <w:sz w:val="24"/>
          <w:szCs w:val="24"/>
        </w:rPr>
        <w:t>4.2.1 Model Summary</w:t>
      </w:r>
    </w:p>
    <w:p w14:paraId="71A92B6E" w14:textId="77777777" w:rsidR="00B945CB" w:rsidRPr="007B223E" w:rsidRDefault="00000000">
      <w:pPr>
        <w:pStyle w:val="ds-markdown-paragraph"/>
        <w:shd w:val="clear" w:color="auto" w:fill="FFFFFF"/>
        <w:spacing w:before="250" w:after="250" w:line="360" w:lineRule="auto"/>
        <w:jc w:val="both"/>
      </w:pPr>
      <w:r w:rsidRPr="007B223E">
        <w:t>The model summary gives an overview of the explanatory power of the regression model, indicating the proportion of variance in the dependent variable being explained by the independent variables. The results are presented in Table 1.</w:t>
      </w:r>
    </w:p>
    <w:p w14:paraId="01F416BF" w14:textId="77777777" w:rsidR="00B945CB" w:rsidRPr="007B223E" w:rsidRDefault="00000000">
      <w:pPr>
        <w:pStyle w:val="Heading1"/>
        <w:spacing w:before="0" w:after="0"/>
      </w:pPr>
      <w:r w:rsidRPr="007B223E">
        <w:t>Table 1: Model Summary</w:t>
      </w:r>
    </w:p>
    <w:tbl>
      <w:tblPr>
        <w:tblW w:w="5000" w:type="pct"/>
        <w:tblLayout w:type="fixed"/>
        <w:tblLook w:val="04A0" w:firstRow="1" w:lastRow="0" w:firstColumn="1" w:lastColumn="0" w:noHBand="0" w:noVBand="1"/>
      </w:tblPr>
      <w:tblGrid>
        <w:gridCol w:w="1301"/>
        <w:gridCol w:w="1680"/>
        <w:gridCol w:w="1781"/>
        <w:gridCol w:w="2407"/>
        <w:gridCol w:w="2407"/>
      </w:tblGrid>
      <w:tr w:rsidR="00B945CB" w:rsidRPr="007B223E" w14:paraId="6485C2BF" w14:textId="77777777">
        <w:tc>
          <w:tcPr>
            <w:tcW w:w="1271" w:type="dxa"/>
            <w:tcBorders>
              <w:top w:val="single" w:sz="8" w:space="0" w:color="000000"/>
              <w:bottom w:val="single" w:sz="8" w:space="0" w:color="000000"/>
            </w:tcBorders>
          </w:tcPr>
          <w:p w14:paraId="0C195390" w14:textId="77777777" w:rsidR="00B945CB" w:rsidRPr="007B223E" w:rsidRDefault="00000000">
            <w:pPr>
              <w:keepNext/>
              <w:autoSpaceDE w:val="0"/>
              <w:spacing w:after="0"/>
              <w:ind w:left="60" w:right="60"/>
              <w:rPr>
                <w:bCs/>
                <w:szCs w:val="24"/>
              </w:rPr>
            </w:pPr>
            <w:r w:rsidRPr="007B223E">
              <w:rPr>
                <w:bCs/>
                <w:szCs w:val="24"/>
              </w:rPr>
              <w:t>Model</w:t>
            </w:r>
          </w:p>
        </w:tc>
        <w:tc>
          <w:tcPr>
            <w:tcW w:w="1642" w:type="dxa"/>
            <w:tcBorders>
              <w:top w:val="single" w:sz="8" w:space="0" w:color="000000"/>
              <w:bottom w:val="single" w:sz="8" w:space="0" w:color="000000"/>
            </w:tcBorders>
          </w:tcPr>
          <w:p w14:paraId="42A77B4E" w14:textId="77777777" w:rsidR="00B945CB" w:rsidRPr="007B223E" w:rsidRDefault="00000000">
            <w:pPr>
              <w:keepNext/>
              <w:autoSpaceDE w:val="0"/>
              <w:spacing w:after="0"/>
              <w:ind w:left="60" w:right="60"/>
              <w:rPr>
                <w:bCs/>
                <w:szCs w:val="24"/>
              </w:rPr>
            </w:pPr>
            <w:r w:rsidRPr="007B223E">
              <w:rPr>
                <w:bCs/>
                <w:szCs w:val="24"/>
              </w:rPr>
              <w:t>R</w:t>
            </w:r>
          </w:p>
        </w:tc>
        <w:tc>
          <w:tcPr>
            <w:tcW w:w="1741" w:type="dxa"/>
            <w:tcBorders>
              <w:top w:val="single" w:sz="8" w:space="0" w:color="000000"/>
              <w:bottom w:val="single" w:sz="8" w:space="0" w:color="000000"/>
            </w:tcBorders>
          </w:tcPr>
          <w:p w14:paraId="2E322E74" w14:textId="77777777" w:rsidR="00B945CB" w:rsidRPr="007B223E" w:rsidRDefault="00000000">
            <w:pPr>
              <w:keepNext/>
              <w:autoSpaceDE w:val="0"/>
              <w:spacing w:after="0"/>
              <w:ind w:left="60" w:right="60"/>
              <w:rPr>
                <w:bCs/>
                <w:szCs w:val="24"/>
              </w:rPr>
            </w:pPr>
            <w:r w:rsidRPr="007B223E">
              <w:rPr>
                <w:bCs/>
                <w:szCs w:val="24"/>
              </w:rPr>
              <w:t>R Square</w:t>
            </w:r>
          </w:p>
        </w:tc>
        <w:tc>
          <w:tcPr>
            <w:tcW w:w="2353" w:type="dxa"/>
            <w:tcBorders>
              <w:top w:val="single" w:sz="8" w:space="0" w:color="000000"/>
              <w:bottom w:val="single" w:sz="8" w:space="0" w:color="000000"/>
            </w:tcBorders>
          </w:tcPr>
          <w:p w14:paraId="562CDB80" w14:textId="77777777" w:rsidR="00B945CB" w:rsidRPr="007B223E" w:rsidRDefault="00000000">
            <w:pPr>
              <w:keepNext/>
              <w:autoSpaceDE w:val="0"/>
              <w:spacing w:after="0"/>
              <w:ind w:left="60" w:right="60"/>
              <w:rPr>
                <w:bCs/>
                <w:szCs w:val="24"/>
              </w:rPr>
            </w:pPr>
            <w:r w:rsidRPr="007B223E">
              <w:rPr>
                <w:bCs/>
                <w:szCs w:val="24"/>
              </w:rPr>
              <w:t>Adjusted R Square</w:t>
            </w:r>
          </w:p>
        </w:tc>
        <w:tc>
          <w:tcPr>
            <w:tcW w:w="2353" w:type="dxa"/>
            <w:tcBorders>
              <w:top w:val="single" w:sz="8" w:space="0" w:color="000000"/>
              <w:bottom w:val="single" w:sz="8" w:space="0" w:color="000000"/>
            </w:tcBorders>
          </w:tcPr>
          <w:p w14:paraId="11EDA2A8" w14:textId="77777777" w:rsidR="00B945CB" w:rsidRPr="007B223E" w:rsidRDefault="00000000">
            <w:pPr>
              <w:keepNext/>
              <w:autoSpaceDE w:val="0"/>
              <w:spacing w:after="0"/>
              <w:ind w:left="60" w:right="60"/>
              <w:rPr>
                <w:bCs/>
                <w:szCs w:val="24"/>
              </w:rPr>
            </w:pPr>
            <w:r w:rsidRPr="007B223E">
              <w:rPr>
                <w:bCs/>
                <w:szCs w:val="24"/>
              </w:rPr>
              <w:t>Std. Error of the Estimate</w:t>
            </w:r>
          </w:p>
        </w:tc>
      </w:tr>
      <w:tr w:rsidR="00B945CB" w:rsidRPr="007B223E" w14:paraId="082CD724" w14:textId="77777777">
        <w:tc>
          <w:tcPr>
            <w:tcW w:w="1271" w:type="dxa"/>
          </w:tcPr>
          <w:p w14:paraId="7A8D10AB" w14:textId="77777777" w:rsidR="00B945CB" w:rsidRPr="007B223E" w:rsidRDefault="00000000">
            <w:pPr>
              <w:keepNext/>
              <w:autoSpaceDE w:val="0"/>
              <w:spacing w:after="0"/>
              <w:ind w:left="60" w:right="60"/>
              <w:rPr>
                <w:bCs/>
                <w:szCs w:val="24"/>
              </w:rPr>
            </w:pPr>
            <w:r w:rsidRPr="007B223E">
              <w:rPr>
                <w:bCs/>
                <w:szCs w:val="24"/>
              </w:rPr>
              <w:t>1</w:t>
            </w:r>
          </w:p>
        </w:tc>
        <w:tc>
          <w:tcPr>
            <w:tcW w:w="1642" w:type="dxa"/>
          </w:tcPr>
          <w:p w14:paraId="10C576EC" w14:textId="77777777" w:rsidR="00B945CB" w:rsidRPr="007B223E" w:rsidRDefault="00000000">
            <w:pPr>
              <w:keepNext/>
              <w:autoSpaceDE w:val="0"/>
              <w:spacing w:after="0"/>
              <w:ind w:left="60" w:right="60"/>
              <w:rPr>
                <w:szCs w:val="24"/>
              </w:rPr>
            </w:pPr>
            <w:r w:rsidRPr="007B223E">
              <w:rPr>
                <w:szCs w:val="24"/>
              </w:rPr>
              <w:t>.422</w:t>
            </w:r>
            <w:r w:rsidRPr="007B223E">
              <w:rPr>
                <w:szCs w:val="24"/>
                <w:vertAlign w:val="superscript"/>
              </w:rPr>
              <w:t>a</w:t>
            </w:r>
          </w:p>
        </w:tc>
        <w:tc>
          <w:tcPr>
            <w:tcW w:w="1741" w:type="dxa"/>
          </w:tcPr>
          <w:p w14:paraId="026FE686" w14:textId="77777777" w:rsidR="00B945CB" w:rsidRPr="007B223E" w:rsidRDefault="00000000">
            <w:pPr>
              <w:keepNext/>
              <w:autoSpaceDE w:val="0"/>
              <w:spacing w:after="0"/>
              <w:ind w:left="60" w:right="60"/>
              <w:rPr>
                <w:szCs w:val="24"/>
              </w:rPr>
            </w:pPr>
            <w:r w:rsidRPr="007B223E">
              <w:rPr>
                <w:szCs w:val="24"/>
              </w:rPr>
              <w:t>.178</w:t>
            </w:r>
          </w:p>
        </w:tc>
        <w:tc>
          <w:tcPr>
            <w:tcW w:w="2353" w:type="dxa"/>
          </w:tcPr>
          <w:p w14:paraId="19EB4B4B" w14:textId="77777777" w:rsidR="00B945CB" w:rsidRPr="007B223E" w:rsidRDefault="00000000">
            <w:pPr>
              <w:keepNext/>
              <w:autoSpaceDE w:val="0"/>
              <w:spacing w:after="0"/>
              <w:ind w:left="60" w:right="60"/>
              <w:rPr>
                <w:szCs w:val="24"/>
              </w:rPr>
            </w:pPr>
            <w:r w:rsidRPr="007B223E">
              <w:rPr>
                <w:szCs w:val="24"/>
              </w:rPr>
              <w:t>.159</w:t>
            </w:r>
          </w:p>
        </w:tc>
        <w:tc>
          <w:tcPr>
            <w:tcW w:w="2353" w:type="dxa"/>
          </w:tcPr>
          <w:p w14:paraId="72B440F4" w14:textId="77777777" w:rsidR="00B945CB" w:rsidRPr="007B223E" w:rsidRDefault="00000000">
            <w:pPr>
              <w:keepNext/>
              <w:autoSpaceDE w:val="0"/>
              <w:spacing w:after="0"/>
              <w:ind w:left="60" w:right="60"/>
              <w:rPr>
                <w:szCs w:val="24"/>
              </w:rPr>
            </w:pPr>
            <w:r w:rsidRPr="007B223E">
              <w:rPr>
                <w:szCs w:val="24"/>
              </w:rPr>
              <w:t>.45568</w:t>
            </w:r>
          </w:p>
        </w:tc>
      </w:tr>
      <w:tr w:rsidR="00B945CB" w:rsidRPr="007B223E" w14:paraId="0F799D28" w14:textId="77777777">
        <w:tc>
          <w:tcPr>
            <w:tcW w:w="9360" w:type="dxa"/>
            <w:gridSpan w:val="5"/>
            <w:tcBorders>
              <w:bottom w:val="single" w:sz="8" w:space="0" w:color="000000"/>
            </w:tcBorders>
          </w:tcPr>
          <w:p w14:paraId="3B46355A" w14:textId="77777777" w:rsidR="00B945CB" w:rsidRPr="007B223E" w:rsidRDefault="00000000">
            <w:pPr>
              <w:autoSpaceDE w:val="0"/>
              <w:spacing w:after="0"/>
              <w:ind w:left="60" w:right="60"/>
              <w:rPr>
                <w:bCs/>
                <w:szCs w:val="24"/>
              </w:rPr>
            </w:pPr>
            <w:r w:rsidRPr="007B223E">
              <w:rPr>
                <w:bCs/>
                <w:szCs w:val="24"/>
              </w:rPr>
              <w:t>a. Predictors: (Constant), MPT, OBT</w:t>
            </w:r>
          </w:p>
        </w:tc>
      </w:tr>
    </w:tbl>
    <w:p w14:paraId="478ECABE" w14:textId="77777777" w:rsidR="00B945CB" w:rsidRPr="007B223E" w:rsidRDefault="00000000">
      <w:pPr>
        <w:autoSpaceDE w:val="0"/>
        <w:spacing w:after="0"/>
        <w:rPr>
          <w:szCs w:val="24"/>
        </w:rPr>
      </w:pPr>
      <w:r w:rsidRPr="007B223E">
        <w:rPr>
          <w:szCs w:val="24"/>
        </w:rPr>
        <w:t>Source: Researcher (2026)</w:t>
      </w:r>
    </w:p>
    <w:p w14:paraId="4C04B23D" w14:textId="77777777" w:rsidR="00B945CB" w:rsidRPr="007B223E" w:rsidRDefault="00000000">
      <w:pPr>
        <w:pStyle w:val="ds-markdown-paragraph"/>
        <w:shd w:val="clear" w:color="auto" w:fill="FFFFFF"/>
        <w:spacing w:before="250" w:after="250" w:line="360" w:lineRule="auto"/>
        <w:jc w:val="both"/>
      </w:pPr>
      <w:r w:rsidRPr="007B223E">
        <w:t xml:space="preserve">The R-squared value in Table 1 is 0.178, showing that 17.8% of the variance in SME performance score is accounted for by the independent variables that were tested in the model (mobile banking and online banking services). The adjusted R-squared value of 0.159 indicates that about 15.9% of the variance in SME performance is accounted for after adjustment for the number of model predictors in the model. The model's R-squared is 0.178, which indicates that the mobile banking and online banking services account for a proportion of the variance in SME performance score. This suggests that additional factors may be associated with SME performance. </w:t>
      </w:r>
    </w:p>
    <w:p w14:paraId="6B36B87B" w14:textId="77777777" w:rsidR="00B945CB" w:rsidRPr="007B223E" w:rsidRDefault="00000000">
      <w:pPr>
        <w:pStyle w:val="Heading1"/>
      </w:pPr>
      <w:r w:rsidRPr="007B223E">
        <w:rPr>
          <w:rFonts w:ascii="Times New Roman" w:hAnsi="Times New Roman"/>
          <w:b/>
          <w:bCs/>
          <w:color w:val="000000"/>
          <w:sz w:val="24"/>
          <w:szCs w:val="24"/>
        </w:rPr>
        <w:lastRenderedPageBreak/>
        <w:t xml:space="preserve">4.2.2 Analysis of Variance </w:t>
      </w:r>
    </w:p>
    <w:p w14:paraId="2D503D39" w14:textId="77777777" w:rsidR="00B945CB" w:rsidRPr="007B223E" w:rsidRDefault="00000000">
      <w:pPr>
        <w:pStyle w:val="ds-markdown-paragraph"/>
        <w:shd w:val="clear" w:color="auto" w:fill="FFFFFF"/>
        <w:spacing w:before="250" w:after="250" w:line="360" w:lineRule="auto"/>
        <w:jc w:val="both"/>
      </w:pPr>
      <w:r w:rsidRPr="007B223E">
        <w:t>The analysis of variance (ANOVA) tests the overall significance of the regression model and the ratio of explained to unexplained variance. Table 2 shows the results.</w:t>
      </w:r>
    </w:p>
    <w:p w14:paraId="7A4974F7" w14:textId="77777777" w:rsidR="00B945CB" w:rsidRPr="007B223E" w:rsidRDefault="00000000">
      <w:pPr>
        <w:pStyle w:val="Heading1"/>
        <w:spacing w:before="0" w:after="0"/>
        <w:rPr>
          <w:rFonts w:ascii="Times New Roman" w:hAnsi="Times New Roman"/>
          <w:b/>
          <w:color w:val="000000"/>
          <w:sz w:val="24"/>
          <w:szCs w:val="24"/>
        </w:rPr>
      </w:pPr>
      <w:r w:rsidRPr="007B223E">
        <w:rPr>
          <w:rFonts w:ascii="Times New Roman" w:hAnsi="Times New Roman"/>
          <w:b/>
          <w:color w:val="000000"/>
          <w:sz w:val="24"/>
          <w:szCs w:val="24"/>
        </w:rPr>
        <w:t xml:space="preserve">Table 2: Analysis of Variance </w:t>
      </w:r>
    </w:p>
    <w:tbl>
      <w:tblPr>
        <w:tblW w:w="5000" w:type="pct"/>
        <w:tblLayout w:type="fixed"/>
        <w:tblLook w:val="04A0" w:firstRow="1" w:lastRow="0" w:firstColumn="1" w:lastColumn="0" w:noHBand="0" w:noVBand="1"/>
      </w:tblPr>
      <w:tblGrid>
        <w:gridCol w:w="882"/>
        <w:gridCol w:w="1546"/>
        <w:gridCol w:w="1764"/>
        <w:gridCol w:w="1231"/>
        <w:gridCol w:w="1691"/>
        <w:gridCol w:w="1231"/>
        <w:gridCol w:w="1231"/>
      </w:tblGrid>
      <w:tr w:rsidR="00B945CB" w:rsidRPr="007B223E" w14:paraId="31FECC4C" w14:textId="77777777">
        <w:tc>
          <w:tcPr>
            <w:tcW w:w="2374" w:type="dxa"/>
            <w:gridSpan w:val="2"/>
            <w:tcBorders>
              <w:top w:val="single" w:sz="8" w:space="0" w:color="000000"/>
              <w:bottom w:val="single" w:sz="8" w:space="0" w:color="000000"/>
            </w:tcBorders>
          </w:tcPr>
          <w:p w14:paraId="6F192FF3" w14:textId="77777777" w:rsidR="00B945CB" w:rsidRPr="007B223E" w:rsidRDefault="00000000">
            <w:pPr>
              <w:autoSpaceDE w:val="0"/>
              <w:spacing w:after="0"/>
              <w:ind w:left="60" w:right="60"/>
              <w:rPr>
                <w:bCs/>
                <w:szCs w:val="24"/>
              </w:rPr>
            </w:pPr>
            <w:r w:rsidRPr="007B223E">
              <w:rPr>
                <w:bCs/>
                <w:szCs w:val="24"/>
              </w:rPr>
              <w:t>Model</w:t>
            </w:r>
          </w:p>
        </w:tc>
        <w:tc>
          <w:tcPr>
            <w:tcW w:w="1724" w:type="dxa"/>
            <w:tcBorders>
              <w:top w:val="single" w:sz="8" w:space="0" w:color="000000"/>
              <w:bottom w:val="single" w:sz="8" w:space="0" w:color="000000"/>
            </w:tcBorders>
          </w:tcPr>
          <w:p w14:paraId="34515FCF" w14:textId="77777777" w:rsidR="00B945CB" w:rsidRPr="007B223E" w:rsidRDefault="00000000">
            <w:pPr>
              <w:autoSpaceDE w:val="0"/>
              <w:spacing w:after="0"/>
              <w:ind w:left="60" w:right="60"/>
              <w:rPr>
                <w:bCs/>
                <w:szCs w:val="24"/>
              </w:rPr>
            </w:pPr>
            <w:r w:rsidRPr="007B223E">
              <w:rPr>
                <w:bCs/>
                <w:szCs w:val="24"/>
              </w:rPr>
              <w:t>Sum of Squares</w:t>
            </w:r>
          </w:p>
        </w:tc>
        <w:tc>
          <w:tcPr>
            <w:tcW w:w="1203" w:type="dxa"/>
            <w:tcBorders>
              <w:top w:val="single" w:sz="8" w:space="0" w:color="000000"/>
              <w:bottom w:val="single" w:sz="8" w:space="0" w:color="000000"/>
            </w:tcBorders>
          </w:tcPr>
          <w:p w14:paraId="30D55CA5" w14:textId="77777777" w:rsidR="00B945CB" w:rsidRPr="007B223E" w:rsidRDefault="00000000">
            <w:pPr>
              <w:autoSpaceDE w:val="0"/>
              <w:spacing w:after="0"/>
              <w:ind w:left="60" w:right="60"/>
              <w:rPr>
                <w:bCs/>
                <w:szCs w:val="24"/>
              </w:rPr>
            </w:pPr>
            <w:proofErr w:type="spellStart"/>
            <w:r w:rsidRPr="007B223E">
              <w:rPr>
                <w:bCs/>
                <w:szCs w:val="24"/>
              </w:rPr>
              <w:t>Df</w:t>
            </w:r>
            <w:proofErr w:type="spellEnd"/>
          </w:p>
        </w:tc>
        <w:tc>
          <w:tcPr>
            <w:tcW w:w="1653" w:type="dxa"/>
            <w:tcBorders>
              <w:top w:val="single" w:sz="8" w:space="0" w:color="000000"/>
              <w:bottom w:val="single" w:sz="8" w:space="0" w:color="000000"/>
            </w:tcBorders>
          </w:tcPr>
          <w:p w14:paraId="044FF49F" w14:textId="77777777" w:rsidR="00B945CB" w:rsidRPr="007B223E" w:rsidRDefault="00000000">
            <w:pPr>
              <w:autoSpaceDE w:val="0"/>
              <w:spacing w:after="0"/>
              <w:ind w:left="60" w:right="60"/>
              <w:rPr>
                <w:bCs/>
                <w:szCs w:val="24"/>
              </w:rPr>
            </w:pPr>
            <w:r w:rsidRPr="007B223E">
              <w:rPr>
                <w:bCs/>
                <w:szCs w:val="24"/>
              </w:rPr>
              <w:t>Mean Square</w:t>
            </w:r>
          </w:p>
        </w:tc>
        <w:tc>
          <w:tcPr>
            <w:tcW w:w="1203" w:type="dxa"/>
            <w:tcBorders>
              <w:top w:val="single" w:sz="8" w:space="0" w:color="000000"/>
              <w:bottom w:val="single" w:sz="8" w:space="0" w:color="000000"/>
            </w:tcBorders>
          </w:tcPr>
          <w:p w14:paraId="0A68209A" w14:textId="77777777" w:rsidR="00B945CB" w:rsidRPr="007B223E" w:rsidRDefault="00000000">
            <w:pPr>
              <w:autoSpaceDE w:val="0"/>
              <w:spacing w:after="0"/>
              <w:ind w:left="60" w:right="60"/>
              <w:rPr>
                <w:bCs/>
                <w:szCs w:val="24"/>
              </w:rPr>
            </w:pPr>
            <w:r w:rsidRPr="007B223E">
              <w:rPr>
                <w:bCs/>
                <w:szCs w:val="24"/>
              </w:rPr>
              <w:t>F</w:t>
            </w:r>
          </w:p>
        </w:tc>
        <w:tc>
          <w:tcPr>
            <w:tcW w:w="1203" w:type="dxa"/>
            <w:tcBorders>
              <w:top w:val="single" w:sz="8" w:space="0" w:color="000000"/>
              <w:bottom w:val="single" w:sz="8" w:space="0" w:color="000000"/>
            </w:tcBorders>
          </w:tcPr>
          <w:p w14:paraId="57B76732" w14:textId="77777777" w:rsidR="00B945CB" w:rsidRPr="007B223E" w:rsidRDefault="00000000">
            <w:pPr>
              <w:autoSpaceDE w:val="0"/>
              <w:spacing w:after="0"/>
              <w:ind w:left="60" w:right="60"/>
              <w:rPr>
                <w:bCs/>
                <w:szCs w:val="24"/>
              </w:rPr>
            </w:pPr>
            <w:r w:rsidRPr="007B223E">
              <w:rPr>
                <w:bCs/>
                <w:szCs w:val="24"/>
              </w:rPr>
              <w:t>Sig.</w:t>
            </w:r>
          </w:p>
        </w:tc>
      </w:tr>
      <w:tr w:rsidR="00B945CB" w:rsidRPr="007B223E" w14:paraId="0B248EFD" w14:textId="77777777">
        <w:tc>
          <w:tcPr>
            <w:tcW w:w="863" w:type="dxa"/>
            <w:vMerge w:val="restart"/>
          </w:tcPr>
          <w:p w14:paraId="16F03F00" w14:textId="77777777" w:rsidR="00B945CB" w:rsidRPr="007B223E" w:rsidRDefault="00000000">
            <w:pPr>
              <w:autoSpaceDE w:val="0"/>
              <w:spacing w:after="0"/>
              <w:ind w:left="60" w:right="60"/>
              <w:rPr>
                <w:bCs/>
                <w:szCs w:val="24"/>
              </w:rPr>
            </w:pPr>
            <w:r w:rsidRPr="007B223E">
              <w:rPr>
                <w:bCs/>
                <w:szCs w:val="24"/>
              </w:rPr>
              <w:t>1</w:t>
            </w:r>
          </w:p>
        </w:tc>
        <w:tc>
          <w:tcPr>
            <w:tcW w:w="1511" w:type="dxa"/>
          </w:tcPr>
          <w:p w14:paraId="19ADB01B" w14:textId="77777777" w:rsidR="00B945CB" w:rsidRPr="007B223E" w:rsidRDefault="00000000">
            <w:pPr>
              <w:autoSpaceDE w:val="0"/>
              <w:spacing w:after="0"/>
              <w:ind w:left="60" w:right="60"/>
            </w:pPr>
            <w:r w:rsidRPr="007B223E">
              <w:rPr>
                <w:szCs w:val="24"/>
              </w:rPr>
              <w:t>Regression</w:t>
            </w:r>
          </w:p>
        </w:tc>
        <w:tc>
          <w:tcPr>
            <w:tcW w:w="1724" w:type="dxa"/>
            <w:vAlign w:val="center"/>
          </w:tcPr>
          <w:p w14:paraId="3749ABC3" w14:textId="77777777" w:rsidR="00B945CB" w:rsidRPr="007B223E" w:rsidRDefault="00000000">
            <w:pPr>
              <w:autoSpaceDE w:val="0"/>
              <w:spacing w:after="0"/>
              <w:ind w:left="60" w:right="60"/>
              <w:rPr>
                <w:szCs w:val="24"/>
              </w:rPr>
            </w:pPr>
            <w:r w:rsidRPr="007B223E">
              <w:rPr>
                <w:szCs w:val="24"/>
              </w:rPr>
              <w:t>7.484</w:t>
            </w:r>
          </w:p>
        </w:tc>
        <w:tc>
          <w:tcPr>
            <w:tcW w:w="1203" w:type="dxa"/>
            <w:vAlign w:val="center"/>
          </w:tcPr>
          <w:p w14:paraId="204F3B46" w14:textId="77777777" w:rsidR="00B945CB" w:rsidRPr="007B223E" w:rsidRDefault="00000000">
            <w:pPr>
              <w:autoSpaceDE w:val="0"/>
              <w:spacing w:after="0"/>
              <w:ind w:left="60" w:right="60"/>
              <w:rPr>
                <w:szCs w:val="24"/>
              </w:rPr>
            </w:pPr>
            <w:r w:rsidRPr="007B223E">
              <w:rPr>
                <w:szCs w:val="24"/>
              </w:rPr>
              <w:t>4</w:t>
            </w:r>
          </w:p>
        </w:tc>
        <w:tc>
          <w:tcPr>
            <w:tcW w:w="1653" w:type="dxa"/>
            <w:vAlign w:val="center"/>
          </w:tcPr>
          <w:p w14:paraId="1AA1A155" w14:textId="77777777" w:rsidR="00B945CB" w:rsidRPr="007B223E" w:rsidRDefault="00000000">
            <w:pPr>
              <w:autoSpaceDE w:val="0"/>
              <w:spacing w:after="0"/>
              <w:ind w:left="60" w:right="60"/>
              <w:rPr>
                <w:szCs w:val="24"/>
              </w:rPr>
            </w:pPr>
            <w:r w:rsidRPr="007B223E">
              <w:rPr>
                <w:szCs w:val="24"/>
              </w:rPr>
              <w:t>1.871</w:t>
            </w:r>
          </w:p>
        </w:tc>
        <w:tc>
          <w:tcPr>
            <w:tcW w:w="1203" w:type="dxa"/>
            <w:vAlign w:val="center"/>
          </w:tcPr>
          <w:p w14:paraId="45B6F67F" w14:textId="77777777" w:rsidR="00B945CB" w:rsidRPr="007B223E" w:rsidRDefault="00000000">
            <w:pPr>
              <w:autoSpaceDE w:val="0"/>
              <w:spacing w:after="0"/>
              <w:ind w:left="60" w:right="60"/>
              <w:rPr>
                <w:szCs w:val="24"/>
              </w:rPr>
            </w:pPr>
            <w:r w:rsidRPr="007B223E">
              <w:rPr>
                <w:szCs w:val="24"/>
              </w:rPr>
              <w:t>9.011</w:t>
            </w:r>
          </w:p>
        </w:tc>
        <w:tc>
          <w:tcPr>
            <w:tcW w:w="1203" w:type="dxa"/>
            <w:vAlign w:val="center"/>
          </w:tcPr>
          <w:p w14:paraId="171B3DF5" w14:textId="77777777" w:rsidR="00B945CB" w:rsidRPr="007B223E" w:rsidRDefault="00000000">
            <w:pPr>
              <w:autoSpaceDE w:val="0"/>
              <w:spacing w:after="0"/>
              <w:ind w:left="60" w:right="60"/>
              <w:rPr>
                <w:szCs w:val="24"/>
              </w:rPr>
            </w:pPr>
            <w:r w:rsidRPr="007B223E">
              <w:rPr>
                <w:szCs w:val="24"/>
              </w:rPr>
              <w:t>.000</w:t>
            </w:r>
            <w:r w:rsidRPr="007B223E">
              <w:rPr>
                <w:szCs w:val="24"/>
                <w:vertAlign w:val="superscript"/>
              </w:rPr>
              <w:t>b</w:t>
            </w:r>
          </w:p>
        </w:tc>
      </w:tr>
      <w:tr w:rsidR="00B945CB" w:rsidRPr="007B223E" w14:paraId="417870E9" w14:textId="77777777">
        <w:tc>
          <w:tcPr>
            <w:tcW w:w="863" w:type="dxa"/>
            <w:vMerge/>
          </w:tcPr>
          <w:p w14:paraId="148E2F1E" w14:textId="77777777" w:rsidR="00B945CB" w:rsidRPr="007B223E" w:rsidRDefault="00B945CB">
            <w:pPr>
              <w:autoSpaceDE w:val="0"/>
              <w:snapToGrid w:val="0"/>
              <w:spacing w:after="0"/>
              <w:rPr>
                <w:bCs/>
                <w:szCs w:val="24"/>
              </w:rPr>
            </w:pPr>
          </w:p>
        </w:tc>
        <w:tc>
          <w:tcPr>
            <w:tcW w:w="1511" w:type="dxa"/>
          </w:tcPr>
          <w:p w14:paraId="2DB25602" w14:textId="77777777" w:rsidR="00B945CB" w:rsidRPr="007B223E" w:rsidRDefault="00000000">
            <w:pPr>
              <w:autoSpaceDE w:val="0"/>
              <w:spacing w:after="0"/>
              <w:ind w:left="60" w:right="60"/>
              <w:rPr>
                <w:szCs w:val="24"/>
              </w:rPr>
            </w:pPr>
            <w:r w:rsidRPr="007B223E">
              <w:rPr>
                <w:szCs w:val="24"/>
              </w:rPr>
              <w:t>Residual</w:t>
            </w:r>
          </w:p>
        </w:tc>
        <w:tc>
          <w:tcPr>
            <w:tcW w:w="1724" w:type="dxa"/>
            <w:vAlign w:val="center"/>
          </w:tcPr>
          <w:p w14:paraId="2D9A68D7" w14:textId="77777777" w:rsidR="00B945CB" w:rsidRPr="007B223E" w:rsidRDefault="00000000">
            <w:pPr>
              <w:autoSpaceDE w:val="0"/>
              <w:spacing w:after="0"/>
              <w:ind w:left="60" w:right="60"/>
              <w:rPr>
                <w:szCs w:val="24"/>
              </w:rPr>
            </w:pPr>
            <w:r w:rsidRPr="007B223E">
              <w:rPr>
                <w:szCs w:val="24"/>
              </w:rPr>
              <w:t>34.469</w:t>
            </w:r>
          </w:p>
        </w:tc>
        <w:tc>
          <w:tcPr>
            <w:tcW w:w="1203" w:type="dxa"/>
            <w:vAlign w:val="center"/>
          </w:tcPr>
          <w:p w14:paraId="17B4B8FB" w14:textId="77777777" w:rsidR="00B945CB" w:rsidRPr="007B223E" w:rsidRDefault="00000000">
            <w:pPr>
              <w:autoSpaceDE w:val="0"/>
              <w:spacing w:after="0"/>
              <w:ind w:left="60" w:right="60"/>
              <w:rPr>
                <w:szCs w:val="24"/>
              </w:rPr>
            </w:pPr>
            <w:r w:rsidRPr="007B223E">
              <w:rPr>
                <w:szCs w:val="24"/>
              </w:rPr>
              <w:t>166</w:t>
            </w:r>
          </w:p>
        </w:tc>
        <w:tc>
          <w:tcPr>
            <w:tcW w:w="1653" w:type="dxa"/>
            <w:vAlign w:val="center"/>
          </w:tcPr>
          <w:p w14:paraId="0B29237E" w14:textId="77777777" w:rsidR="00B945CB" w:rsidRPr="007B223E" w:rsidRDefault="00000000">
            <w:pPr>
              <w:autoSpaceDE w:val="0"/>
              <w:spacing w:after="0"/>
              <w:ind w:left="60" w:right="60"/>
              <w:rPr>
                <w:szCs w:val="24"/>
              </w:rPr>
            </w:pPr>
            <w:r w:rsidRPr="007B223E">
              <w:rPr>
                <w:szCs w:val="24"/>
              </w:rPr>
              <w:t>.208</w:t>
            </w:r>
          </w:p>
        </w:tc>
        <w:tc>
          <w:tcPr>
            <w:tcW w:w="1203" w:type="dxa"/>
            <w:vAlign w:val="center"/>
          </w:tcPr>
          <w:p w14:paraId="444355FD" w14:textId="77777777" w:rsidR="00B945CB" w:rsidRPr="007B223E" w:rsidRDefault="00B945CB">
            <w:pPr>
              <w:autoSpaceDE w:val="0"/>
              <w:snapToGrid w:val="0"/>
              <w:spacing w:after="0"/>
              <w:rPr>
                <w:szCs w:val="24"/>
              </w:rPr>
            </w:pPr>
          </w:p>
        </w:tc>
        <w:tc>
          <w:tcPr>
            <w:tcW w:w="1203" w:type="dxa"/>
            <w:vAlign w:val="center"/>
          </w:tcPr>
          <w:p w14:paraId="6646B41C" w14:textId="77777777" w:rsidR="00B945CB" w:rsidRPr="007B223E" w:rsidRDefault="00B945CB">
            <w:pPr>
              <w:autoSpaceDE w:val="0"/>
              <w:snapToGrid w:val="0"/>
              <w:spacing w:after="0"/>
              <w:rPr>
                <w:szCs w:val="24"/>
              </w:rPr>
            </w:pPr>
          </w:p>
        </w:tc>
      </w:tr>
      <w:tr w:rsidR="00B945CB" w:rsidRPr="007B223E" w14:paraId="2BB183E3" w14:textId="77777777">
        <w:tc>
          <w:tcPr>
            <w:tcW w:w="863" w:type="dxa"/>
            <w:vMerge/>
          </w:tcPr>
          <w:p w14:paraId="44907336" w14:textId="77777777" w:rsidR="00B945CB" w:rsidRPr="007B223E" w:rsidRDefault="00B945CB">
            <w:pPr>
              <w:autoSpaceDE w:val="0"/>
              <w:snapToGrid w:val="0"/>
              <w:spacing w:after="0"/>
              <w:rPr>
                <w:bCs/>
                <w:szCs w:val="24"/>
              </w:rPr>
            </w:pPr>
          </w:p>
        </w:tc>
        <w:tc>
          <w:tcPr>
            <w:tcW w:w="1511" w:type="dxa"/>
            <w:tcBorders>
              <w:bottom w:val="single" w:sz="8" w:space="0" w:color="000000"/>
            </w:tcBorders>
          </w:tcPr>
          <w:p w14:paraId="74A0ACEA" w14:textId="77777777" w:rsidR="00B945CB" w:rsidRPr="007B223E" w:rsidRDefault="00000000">
            <w:pPr>
              <w:autoSpaceDE w:val="0"/>
              <w:spacing w:after="0"/>
              <w:ind w:left="60" w:right="60"/>
              <w:rPr>
                <w:szCs w:val="24"/>
              </w:rPr>
            </w:pPr>
            <w:r w:rsidRPr="007B223E">
              <w:rPr>
                <w:szCs w:val="24"/>
              </w:rPr>
              <w:t>Total</w:t>
            </w:r>
          </w:p>
        </w:tc>
        <w:tc>
          <w:tcPr>
            <w:tcW w:w="1724" w:type="dxa"/>
            <w:tcBorders>
              <w:bottom w:val="single" w:sz="8" w:space="0" w:color="000000"/>
            </w:tcBorders>
            <w:vAlign w:val="center"/>
          </w:tcPr>
          <w:p w14:paraId="53168617" w14:textId="77777777" w:rsidR="00B945CB" w:rsidRPr="007B223E" w:rsidRDefault="00000000">
            <w:pPr>
              <w:autoSpaceDE w:val="0"/>
              <w:spacing w:after="0"/>
              <w:ind w:left="60" w:right="60"/>
              <w:rPr>
                <w:szCs w:val="24"/>
              </w:rPr>
            </w:pPr>
            <w:r w:rsidRPr="007B223E">
              <w:rPr>
                <w:szCs w:val="24"/>
              </w:rPr>
              <w:t>41.954</w:t>
            </w:r>
          </w:p>
        </w:tc>
        <w:tc>
          <w:tcPr>
            <w:tcW w:w="1203" w:type="dxa"/>
            <w:tcBorders>
              <w:bottom w:val="single" w:sz="8" w:space="0" w:color="000000"/>
            </w:tcBorders>
            <w:vAlign w:val="center"/>
          </w:tcPr>
          <w:p w14:paraId="22230E94" w14:textId="77777777" w:rsidR="00B945CB" w:rsidRPr="007B223E" w:rsidRDefault="00000000">
            <w:pPr>
              <w:autoSpaceDE w:val="0"/>
              <w:spacing w:after="0"/>
              <w:ind w:left="60" w:right="60"/>
              <w:rPr>
                <w:szCs w:val="24"/>
              </w:rPr>
            </w:pPr>
            <w:r w:rsidRPr="007B223E">
              <w:rPr>
                <w:szCs w:val="24"/>
              </w:rPr>
              <w:t>170</w:t>
            </w:r>
          </w:p>
        </w:tc>
        <w:tc>
          <w:tcPr>
            <w:tcW w:w="1653" w:type="dxa"/>
            <w:tcBorders>
              <w:bottom w:val="single" w:sz="8" w:space="0" w:color="000000"/>
            </w:tcBorders>
            <w:vAlign w:val="center"/>
          </w:tcPr>
          <w:p w14:paraId="35F2FEA9" w14:textId="77777777" w:rsidR="00B945CB" w:rsidRPr="007B223E" w:rsidRDefault="00B945CB">
            <w:pPr>
              <w:autoSpaceDE w:val="0"/>
              <w:snapToGrid w:val="0"/>
              <w:spacing w:after="0"/>
              <w:rPr>
                <w:szCs w:val="24"/>
              </w:rPr>
            </w:pPr>
          </w:p>
        </w:tc>
        <w:tc>
          <w:tcPr>
            <w:tcW w:w="1203" w:type="dxa"/>
            <w:tcBorders>
              <w:bottom w:val="single" w:sz="8" w:space="0" w:color="000000"/>
            </w:tcBorders>
            <w:vAlign w:val="center"/>
          </w:tcPr>
          <w:p w14:paraId="46206A64" w14:textId="77777777" w:rsidR="00B945CB" w:rsidRPr="007B223E" w:rsidRDefault="00B945CB">
            <w:pPr>
              <w:autoSpaceDE w:val="0"/>
              <w:snapToGrid w:val="0"/>
              <w:spacing w:after="0"/>
              <w:rPr>
                <w:szCs w:val="24"/>
              </w:rPr>
            </w:pPr>
          </w:p>
        </w:tc>
        <w:tc>
          <w:tcPr>
            <w:tcW w:w="1203" w:type="dxa"/>
            <w:tcBorders>
              <w:bottom w:val="single" w:sz="8" w:space="0" w:color="000000"/>
            </w:tcBorders>
            <w:vAlign w:val="center"/>
          </w:tcPr>
          <w:p w14:paraId="649E65BA" w14:textId="77777777" w:rsidR="00B945CB" w:rsidRPr="007B223E" w:rsidRDefault="00B945CB">
            <w:pPr>
              <w:autoSpaceDE w:val="0"/>
              <w:snapToGrid w:val="0"/>
              <w:spacing w:after="0"/>
              <w:rPr>
                <w:szCs w:val="24"/>
              </w:rPr>
            </w:pPr>
          </w:p>
        </w:tc>
      </w:tr>
    </w:tbl>
    <w:p w14:paraId="541D63D8" w14:textId="77777777" w:rsidR="00B945CB" w:rsidRPr="007B223E" w:rsidRDefault="00000000">
      <w:pPr>
        <w:autoSpaceDE w:val="0"/>
        <w:spacing w:after="0"/>
        <w:rPr>
          <w:szCs w:val="24"/>
        </w:rPr>
      </w:pPr>
      <w:r w:rsidRPr="007B223E">
        <w:rPr>
          <w:szCs w:val="24"/>
        </w:rPr>
        <w:t>Source: Researcher (2026)</w:t>
      </w:r>
    </w:p>
    <w:p w14:paraId="068C4125" w14:textId="77777777" w:rsidR="00B945CB" w:rsidRPr="007B223E" w:rsidRDefault="00000000">
      <w:pPr>
        <w:pStyle w:val="ds-markdown-paragraph"/>
        <w:shd w:val="clear" w:color="auto" w:fill="FFFFFF"/>
        <w:spacing w:before="250" w:after="250" w:line="360" w:lineRule="auto"/>
        <w:jc w:val="both"/>
      </w:pPr>
      <w:r w:rsidRPr="007B223E">
        <w:t xml:space="preserve">The ANOVA results are presented in Table 2. The F-statistic is 9.011, and the reported probability of </w:t>
      </w:r>
      <w:r w:rsidRPr="007B223E">
        <w:rPr>
          <w:shd w:val="clear" w:color="auto" w:fill="FFFFFF"/>
        </w:rPr>
        <w:t>p &lt; .001</w:t>
      </w:r>
      <w:r w:rsidRPr="007B223E">
        <w:t xml:space="preserve"> indicates that the overall regression model is statistically significant at the 0.05 level. This indicates that the independent variables are jointly associated with the SME performance score. The F-statistic is significant, suggesting that the model outperforms a model that contains no independent variables and indicating the joint statistical relevance of mobile banking and online banking services for explaining the performance of SMEs.</w:t>
      </w:r>
    </w:p>
    <w:p w14:paraId="4DABDC97" w14:textId="77777777" w:rsidR="00B945CB" w:rsidRPr="007B223E" w:rsidRDefault="00000000">
      <w:pPr>
        <w:pStyle w:val="Heading1"/>
      </w:pPr>
      <w:r w:rsidRPr="007B223E">
        <w:rPr>
          <w:rFonts w:ascii="Times New Roman" w:hAnsi="Times New Roman"/>
          <w:b/>
          <w:bCs/>
          <w:color w:val="000000"/>
          <w:sz w:val="24"/>
          <w:szCs w:val="24"/>
        </w:rPr>
        <w:t>4.2.3 Regression Coefficients</w:t>
      </w:r>
    </w:p>
    <w:p w14:paraId="553A76E1" w14:textId="77777777" w:rsidR="00B945CB" w:rsidRPr="007B223E" w:rsidRDefault="00000000">
      <w:pPr>
        <w:pStyle w:val="ds-markdown-paragraph"/>
        <w:shd w:val="clear" w:color="auto" w:fill="FFFFFF"/>
        <w:spacing w:before="250" w:after="250" w:line="360" w:lineRule="auto"/>
        <w:jc w:val="both"/>
      </w:pPr>
      <w:r w:rsidRPr="007B223E">
        <w:t>The regression results give the coefficient of each independent variable, which indicates the direction, magnitude and significance of the relationship between mobile banking service, online banking service and SME performance. The results are shown in the following table (Table 3).</w:t>
      </w:r>
    </w:p>
    <w:p w14:paraId="3EEF7067" w14:textId="77777777" w:rsidR="00B945CB" w:rsidRPr="007B223E" w:rsidRDefault="00000000">
      <w:pPr>
        <w:pStyle w:val="Heading1"/>
        <w:spacing w:before="0" w:after="0"/>
        <w:rPr>
          <w:rFonts w:ascii="Times New Roman" w:hAnsi="Times New Roman"/>
          <w:color w:val="000000"/>
          <w:sz w:val="24"/>
          <w:szCs w:val="24"/>
        </w:rPr>
      </w:pPr>
      <w:r w:rsidRPr="007B223E">
        <w:rPr>
          <w:rFonts w:ascii="Times New Roman" w:hAnsi="Times New Roman"/>
          <w:bCs/>
          <w:color w:val="000000"/>
          <w:sz w:val="24"/>
          <w:szCs w:val="24"/>
        </w:rPr>
        <w:t>Table 3 Regression Coefficients</w:t>
      </w:r>
    </w:p>
    <w:tbl>
      <w:tblPr>
        <w:tblW w:w="5000" w:type="pct"/>
        <w:tblLayout w:type="fixed"/>
        <w:tblLook w:val="04A0" w:firstRow="1" w:lastRow="0" w:firstColumn="1" w:lastColumn="0" w:noHBand="0" w:noVBand="1"/>
      </w:tblPr>
      <w:tblGrid>
        <w:gridCol w:w="558"/>
        <w:gridCol w:w="2342"/>
        <w:gridCol w:w="940"/>
        <w:gridCol w:w="1576"/>
        <w:gridCol w:w="1739"/>
        <w:gridCol w:w="1214"/>
        <w:gridCol w:w="1207"/>
      </w:tblGrid>
      <w:tr w:rsidR="00B945CB" w:rsidRPr="007B223E" w14:paraId="4C166BD5" w14:textId="77777777">
        <w:tc>
          <w:tcPr>
            <w:tcW w:w="2834" w:type="dxa"/>
            <w:gridSpan w:val="2"/>
            <w:vMerge w:val="restart"/>
            <w:tcBorders>
              <w:top w:val="single" w:sz="8" w:space="0" w:color="000000"/>
              <w:bottom w:val="single" w:sz="8" w:space="0" w:color="000000"/>
            </w:tcBorders>
          </w:tcPr>
          <w:p w14:paraId="02B7F105" w14:textId="77777777" w:rsidR="00B945CB" w:rsidRPr="007B223E" w:rsidRDefault="00000000">
            <w:pPr>
              <w:autoSpaceDE w:val="0"/>
              <w:spacing w:after="0"/>
              <w:ind w:left="60" w:right="60"/>
              <w:rPr>
                <w:bCs/>
                <w:szCs w:val="24"/>
              </w:rPr>
            </w:pPr>
            <w:r w:rsidRPr="007B223E">
              <w:rPr>
                <w:bCs/>
                <w:szCs w:val="24"/>
              </w:rPr>
              <w:t>Model</w:t>
            </w:r>
          </w:p>
        </w:tc>
        <w:tc>
          <w:tcPr>
            <w:tcW w:w="2459" w:type="dxa"/>
            <w:gridSpan w:val="2"/>
            <w:tcBorders>
              <w:top w:val="single" w:sz="8" w:space="0" w:color="000000"/>
              <w:bottom w:val="single" w:sz="8" w:space="0" w:color="000000"/>
            </w:tcBorders>
          </w:tcPr>
          <w:p w14:paraId="65A5F8DF" w14:textId="77777777" w:rsidR="00B945CB" w:rsidRPr="007B223E" w:rsidRDefault="00000000">
            <w:pPr>
              <w:autoSpaceDE w:val="0"/>
              <w:spacing w:after="0"/>
              <w:ind w:left="60" w:right="60"/>
              <w:rPr>
                <w:bCs/>
                <w:szCs w:val="24"/>
              </w:rPr>
            </w:pPr>
            <w:r w:rsidRPr="007B223E">
              <w:rPr>
                <w:bCs/>
                <w:szCs w:val="24"/>
              </w:rPr>
              <w:t>Unstandardized Coefficients</w:t>
            </w:r>
          </w:p>
        </w:tc>
        <w:tc>
          <w:tcPr>
            <w:tcW w:w="1700" w:type="dxa"/>
            <w:tcBorders>
              <w:top w:val="single" w:sz="8" w:space="0" w:color="000000"/>
              <w:bottom w:val="single" w:sz="8" w:space="0" w:color="000000"/>
            </w:tcBorders>
          </w:tcPr>
          <w:p w14:paraId="2B497BBA" w14:textId="77777777" w:rsidR="00B945CB" w:rsidRPr="007B223E" w:rsidRDefault="00000000">
            <w:pPr>
              <w:autoSpaceDE w:val="0"/>
              <w:spacing w:after="0"/>
              <w:ind w:left="60" w:right="60"/>
              <w:rPr>
                <w:bCs/>
                <w:szCs w:val="24"/>
              </w:rPr>
            </w:pPr>
            <w:r w:rsidRPr="007B223E">
              <w:rPr>
                <w:bCs/>
                <w:szCs w:val="24"/>
              </w:rPr>
              <w:t>Standardized Coefficients</w:t>
            </w:r>
          </w:p>
        </w:tc>
        <w:tc>
          <w:tcPr>
            <w:tcW w:w="1187" w:type="dxa"/>
            <w:vMerge w:val="restart"/>
            <w:tcBorders>
              <w:top w:val="single" w:sz="8" w:space="0" w:color="000000"/>
              <w:bottom w:val="single" w:sz="8" w:space="0" w:color="000000"/>
            </w:tcBorders>
          </w:tcPr>
          <w:p w14:paraId="3D1C4A97" w14:textId="77777777" w:rsidR="00B945CB" w:rsidRPr="007B223E" w:rsidRDefault="00000000">
            <w:pPr>
              <w:autoSpaceDE w:val="0"/>
              <w:spacing w:after="0"/>
              <w:ind w:left="60" w:right="60"/>
              <w:rPr>
                <w:bCs/>
                <w:szCs w:val="24"/>
              </w:rPr>
            </w:pPr>
            <w:r w:rsidRPr="007B223E">
              <w:rPr>
                <w:bCs/>
                <w:szCs w:val="24"/>
              </w:rPr>
              <w:t>t</w:t>
            </w:r>
          </w:p>
        </w:tc>
        <w:tc>
          <w:tcPr>
            <w:tcW w:w="1180" w:type="dxa"/>
            <w:vMerge w:val="restart"/>
            <w:tcBorders>
              <w:top w:val="single" w:sz="8" w:space="0" w:color="000000"/>
              <w:bottom w:val="single" w:sz="8" w:space="0" w:color="000000"/>
            </w:tcBorders>
          </w:tcPr>
          <w:p w14:paraId="0166494B" w14:textId="77777777" w:rsidR="00B945CB" w:rsidRPr="007B223E" w:rsidRDefault="00000000">
            <w:pPr>
              <w:autoSpaceDE w:val="0"/>
              <w:spacing w:after="0"/>
              <w:ind w:left="60" w:right="60"/>
              <w:rPr>
                <w:bCs/>
                <w:szCs w:val="24"/>
              </w:rPr>
            </w:pPr>
            <w:r w:rsidRPr="007B223E">
              <w:rPr>
                <w:bCs/>
                <w:szCs w:val="24"/>
              </w:rPr>
              <w:t>Sig.</w:t>
            </w:r>
          </w:p>
        </w:tc>
      </w:tr>
      <w:tr w:rsidR="00B945CB" w:rsidRPr="007B223E" w14:paraId="14A4BF92" w14:textId="77777777">
        <w:tc>
          <w:tcPr>
            <w:tcW w:w="2834" w:type="dxa"/>
            <w:gridSpan w:val="2"/>
            <w:vMerge/>
            <w:tcBorders>
              <w:top w:val="single" w:sz="8" w:space="0" w:color="000000"/>
              <w:bottom w:val="single" w:sz="8" w:space="0" w:color="000000"/>
            </w:tcBorders>
          </w:tcPr>
          <w:p w14:paraId="13339CF4" w14:textId="77777777" w:rsidR="00B945CB" w:rsidRPr="007B223E" w:rsidRDefault="00B945CB">
            <w:pPr>
              <w:autoSpaceDE w:val="0"/>
              <w:snapToGrid w:val="0"/>
              <w:spacing w:after="0"/>
              <w:rPr>
                <w:bCs/>
                <w:szCs w:val="24"/>
              </w:rPr>
            </w:pPr>
          </w:p>
        </w:tc>
        <w:tc>
          <w:tcPr>
            <w:tcW w:w="919" w:type="dxa"/>
          </w:tcPr>
          <w:p w14:paraId="3E190206" w14:textId="77777777" w:rsidR="00B945CB" w:rsidRPr="007B223E" w:rsidRDefault="00000000">
            <w:pPr>
              <w:autoSpaceDE w:val="0"/>
              <w:spacing w:after="0"/>
              <w:ind w:left="60" w:right="60"/>
              <w:rPr>
                <w:szCs w:val="24"/>
              </w:rPr>
            </w:pPr>
            <w:r w:rsidRPr="007B223E">
              <w:rPr>
                <w:szCs w:val="24"/>
              </w:rPr>
              <w:t>B</w:t>
            </w:r>
          </w:p>
        </w:tc>
        <w:tc>
          <w:tcPr>
            <w:tcW w:w="1540" w:type="dxa"/>
          </w:tcPr>
          <w:p w14:paraId="606F81A9" w14:textId="77777777" w:rsidR="00B945CB" w:rsidRPr="007B223E" w:rsidRDefault="00000000">
            <w:pPr>
              <w:autoSpaceDE w:val="0"/>
              <w:spacing w:after="0"/>
              <w:ind w:left="60" w:right="60"/>
              <w:rPr>
                <w:szCs w:val="24"/>
              </w:rPr>
            </w:pPr>
            <w:r w:rsidRPr="007B223E">
              <w:rPr>
                <w:szCs w:val="24"/>
              </w:rPr>
              <w:t>Std. Error</w:t>
            </w:r>
          </w:p>
        </w:tc>
        <w:tc>
          <w:tcPr>
            <w:tcW w:w="1700" w:type="dxa"/>
          </w:tcPr>
          <w:p w14:paraId="30CE164C" w14:textId="77777777" w:rsidR="00B945CB" w:rsidRPr="007B223E" w:rsidRDefault="00000000">
            <w:pPr>
              <w:autoSpaceDE w:val="0"/>
              <w:spacing w:after="0"/>
              <w:ind w:left="60" w:right="60"/>
              <w:rPr>
                <w:szCs w:val="24"/>
              </w:rPr>
            </w:pPr>
            <w:r w:rsidRPr="007B223E">
              <w:rPr>
                <w:szCs w:val="24"/>
              </w:rPr>
              <w:t>Beta</w:t>
            </w:r>
          </w:p>
        </w:tc>
        <w:tc>
          <w:tcPr>
            <w:tcW w:w="1187" w:type="dxa"/>
            <w:vMerge/>
            <w:tcBorders>
              <w:top w:val="single" w:sz="8" w:space="0" w:color="000000"/>
              <w:bottom w:val="single" w:sz="8" w:space="0" w:color="000000"/>
            </w:tcBorders>
          </w:tcPr>
          <w:p w14:paraId="6D3A3CA5" w14:textId="77777777" w:rsidR="00B945CB" w:rsidRPr="007B223E" w:rsidRDefault="00B945CB">
            <w:pPr>
              <w:autoSpaceDE w:val="0"/>
              <w:snapToGrid w:val="0"/>
              <w:spacing w:after="0"/>
              <w:rPr>
                <w:szCs w:val="24"/>
              </w:rPr>
            </w:pPr>
          </w:p>
        </w:tc>
        <w:tc>
          <w:tcPr>
            <w:tcW w:w="1180" w:type="dxa"/>
            <w:vMerge/>
            <w:tcBorders>
              <w:top w:val="single" w:sz="8" w:space="0" w:color="000000"/>
              <w:bottom w:val="single" w:sz="8" w:space="0" w:color="000000"/>
            </w:tcBorders>
          </w:tcPr>
          <w:p w14:paraId="6E357A61" w14:textId="77777777" w:rsidR="00B945CB" w:rsidRPr="007B223E" w:rsidRDefault="00B945CB">
            <w:pPr>
              <w:autoSpaceDE w:val="0"/>
              <w:snapToGrid w:val="0"/>
              <w:spacing w:after="0"/>
              <w:rPr>
                <w:szCs w:val="24"/>
              </w:rPr>
            </w:pPr>
          </w:p>
        </w:tc>
      </w:tr>
      <w:tr w:rsidR="00B945CB" w:rsidRPr="007B223E" w14:paraId="66DBB5FD" w14:textId="77777777">
        <w:tc>
          <w:tcPr>
            <w:tcW w:w="545" w:type="dxa"/>
            <w:vMerge w:val="restart"/>
          </w:tcPr>
          <w:p w14:paraId="0F55FFE9" w14:textId="77777777" w:rsidR="00B945CB" w:rsidRPr="007B223E" w:rsidRDefault="00000000">
            <w:pPr>
              <w:autoSpaceDE w:val="0"/>
              <w:spacing w:after="0"/>
              <w:ind w:left="60" w:right="60"/>
              <w:rPr>
                <w:bCs/>
                <w:szCs w:val="24"/>
              </w:rPr>
            </w:pPr>
            <w:r w:rsidRPr="007B223E">
              <w:rPr>
                <w:bCs/>
                <w:szCs w:val="24"/>
              </w:rPr>
              <w:t>1</w:t>
            </w:r>
          </w:p>
        </w:tc>
        <w:tc>
          <w:tcPr>
            <w:tcW w:w="2289" w:type="dxa"/>
          </w:tcPr>
          <w:p w14:paraId="71474623" w14:textId="77777777" w:rsidR="00B945CB" w:rsidRPr="007B223E" w:rsidRDefault="00000000">
            <w:pPr>
              <w:autoSpaceDE w:val="0"/>
              <w:spacing w:after="0"/>
              <w:ind w:left="60" w:right="60"/>
              <w:rPr>
                <w:szCs w:val="24"/>
              </w:rPr>
            </w:pPr>
            <w:r w:rsidRPr="007B223E">
              <w:rPr>
                <w:szCs w:val="24"/>
              </w:rPr>
              <w:t>(Constant)</w:t>
            </w:r>
          </w:p>
        </w:tc>
        <w:tc>
          <w:tcPr>
            <w:tcW w:w="919" w:type="dxa"/>
            <w:vAlign w:val="center"/>
          </w:tcPr>
          <w:p w14:paraId="565AAB45" w14:textId="77777777" w:rsidR="00B945CB" w:rsidRPr="007B223E" w:rsidRDefault="00000000">
            <w:pPr>
              <w:autoSpaceDE w:val="0"/>
              <w:spacing w:after="0"/>
              <w:ind w:left="60" w:right="60"/>
              <w:rPr>
                <w:szCs w:val="24"/>
              </w:rPr>
            </w:pPr>
            <w:r w:rsidRPr="007B223E">
              <w:rPr>
                <w:szCs w:val="24"/>
              </w:rPr>
              <w:t>2.471</w:t>
            </w:r>
          </w:p>
        </w:tc>
        <w:tc>
          <w:tcPr>
            <w:tcW w:w="1540" w:type="dxa"/>
            <w:vAlign w:val="center"/>
          </w:tcPr>
          <w:p w14:paraId="6F6947F6" w14:textId="77777777" w:rsidR="00B945CB" w:rsidRPr="007B223E" w:rsidRDefault="00000000">
            <w:pPr>
              <w:autoSpaceDE w:val="0"/>
              <w:spacing w:after="0"/>
              <w:ind w:left="60" w:right="60"/>
              <w:rPr>
                <w:szCs w:val="24"/>
              </w:rPr>
            </w:pPr>
            <w:r w:rsidRPr="007B223E">
              <w:rPr>
                <w:szCs w:val="24"/>
              </w:rPr>
              <w:t>.410</w:t>
            </w:r>
          </w:p>
        </w:tc>
        <w:tc>
          <w:tcPr>
            <w:tcW w:w="1700" w:type="dxa"/>
            <w:vAlign w:val="center"/>
          </w:tcPr>
          <w:p w14:paraId="34FA96AA" w14:textId="77777777" w:rsidR="00B945CB" w:rsidRPr="007B223E" w:rsidRDefault="00B945CB">
            <w:pPr>
              <w:autoSpaceDE w:val="0"/>
              <w:snapToGrid w:val="0"/>
              <w:spacing w:after="0"/>
              <w:rPr>
                <w:szCs w:val="24"/>
              </w:rPr>
            </w:pPr>
          </w:p>
        </w:tc>
        <w:tc>
          <w:tcPr>
            <w:tcW w:w="1187" w:type="dxa"/>
            <w:vAlign w:val="center"/>
          </w:tcPr>
          <w:p w14:paraId="0C72B9A0" w14:textId="77777777" w:rsidR="00B945CB" w:rsidRPr="007B223E" w:rsidRDefault="00000000">
            <w:pPr>
              <w:autoSpaceDE w:val="0"/>
              <w:spacing w:after="0"/>
              <w:ind w:left="60" w:right="60"/>
              <w:rPr>
                <w:szCs w:val="24"/>
              </w:rPr>
            </w:pPr>
            <w:r w:rsidRPr="007B223E">
              <w:rPr>
                <w:szCs w:val="24"/>
              </w:rPr>
              <w:t>6.026</w:t>
            </w:r>
          </w:p>
        </w:tc>
        <w:tc>
          <w:tcPr>
            <w:tcW w:w="1180" w:type="dxa"/>
            <w:vAlign w:val="center"/>
          </w:tcPr>
          <w:p w14:paraId="2847D5A4" w14:textId="77777777" w:rsidR="00B945CB" w:rsidRPr="007B223E" w:rsidRDefault="00000000">
            <w:pPr>
              <w:autoSpaceDE w:val="0"/>
              <w:spacing w:after="0"/>
              <w:ind w:left="60" w:right="60"/>
              <w:rPr>
                <w:szCs w:val="24"/>
              </w:rPr>
            </w:pPr>
            <w:r w:rsidRPr="007B223E">
              <w:rPr>
                <w:szCs w:val="24"/>
              </w:rPr>
              <w:t>.000</w:t>
            </w:r>
          </w:p>
        </w:tc>
      </w:tr>
      <w:tr w:rsidR="00B945CB" w:rsidRPr="007B223E" w14:paraId="46583BA0" w14:textId="77777777">
        <w:tc>
          <w:tcPr>
            <w:tcW w:w="545" w:type="dxa"/>
            <w:vMerge/>
          </w:tcPr>
          <w:p w14:paraId="15E19AB5" w14:textId="77777777" w:rsidR="00B945CB" w:rsidRPr="007B223E" w:rsidRDefault="00B945CB">
            <w:pPr>
              <w:autoSpaceDE w:val="0"/>
              <w:snapToGrid w:val="0"/>
              <w:spacing w:after="0"/>
              <w:rPr>
                <w:bCs/>
                <w:szCs w:val="24"/>
              </w:rPr>
            </w:pPr>
          </w:p>
        </w:tc>
        <w:tc>
          <w:tcPr>
            <w:tcW w:w="2289" w:type="dxa"/>
          </w:tcPr>
          <w:p w14:paraId="0AF8C588" w14:textId="77777777" w:rsidR="00B945CB" w:rsidRPr="007B223E" w:rsidRDefault="00000000">
            <w:pPr>
              <w:autoSpaceDE w:val="0"/>
              <w:spacing w:after="0"/>
              <w:ind w:left="60" w:right="60"/>
              <w:rPr>
                <w:szCs w:val="24"/>
              </w:rPr>
            </w:pPr>
            <w:r w:rsidRPr="007B223E">
              <w:rPr>
                <w:szCs w:val="24"/>
              </w:rPr>
              <w:t>Mobile Banking Service</w:t>
            </w:r>
          </w:p>
        </w:tc>
        <w:tc>
          <w:tcPr>
            <w:tcW w:w="919" w:type="dxa"/>
            <w:vAlign w:val="center"/>
          </w:tcPr>
          <w:p w14:paraId="04BEB998" w14:textId="77777777" w:rsidR="00B945CB" w:rsidRPr="007B223E" w:rsidRDefault="00000000">
            <w:pPr>
              <w:autoSpaceDE w:val="0"/>
              <w:spacing w:after="0"/>
              <w:ind w:left="60" w:right="60"/>
              <w:rPr>
                <w:szCs w:val="24"/>
              </w:rPr>
            </w:pPr>
            <w:r w:rsidRPr="007B223E">
              <w:rPr>
                <w:szCs w:val="24"/>
              </w:rPr>
              <w:t>-.044</w:t>
            </w:r>
          </w:p>
        </w:tc>
        <w:tc>
          <w:tcPr>
            <w:tcW w:w="1540" w:type="dxa"/>
            <w:vAlign w:val="center"/>
          </w:tcPr>
          <w:p w14:paraId="23E29EC3" w14:textId="77777777" w:rsidR="00B945CB" w:rsidRPr="007B223E" w:rsidRDefault="00000000">
            <w:pPr>
              <w:autoSpaceDE w:val="0"/>
              <w:spacing w:after="0"/>
              <w:ind w:left="60" w:right="60"/>
              <w:rPr>
                <w:szCs w:val="24"/>
              </w:rPr>
            </w:pPr>
            <w:r w:rsidRPr="007B223E">
              <w:rPr>
                <w:szCs w:val="24"/>
              </w:rPr>
              <w:t>.055</w:t>
            </w:r>
          </w:p>
        </w:tc>
        <w:tc>
          <w:tcPr>
            <w:tcW w:w="1700" w:type="dxa"/>
            <w:vAlign w:val="center"/>
          </w:tcPr>
          <w:p w14:paraId="47F16E90" w14:textId="77777777" w:rsidR="00B945CB" w:rsidRPr="007B223E" w:rsidRDefault="00000000">
            <w:pPr>
              <w:autoSpaceDE w:val="0"/>
              <w:spacing w:after="0"/>
              <w:ind w:left="60" w:right="60"/>
              <w:rPr>
                <w:szCs w:val="24"/>
              </w:rPr>
            </w:pPr>
            <w:r w:rsidRPr="007B223E">
              <w:rPr>
                <w:szCs w:val="24"/>
              </w:rPr>
              <w:t>-.059</w:t>
            </w:r>
          </w:p>
        </w:tc>
        <w:tc>
          <w:tcPr>
            <w:tcW w:w="1187" w:type="dxa"/>
            <w:vAlign w:val="center"/>
          </w:tcPr>
          <w:p w14:paraId="142B6E58" w14:textId="77777777" w:rsidR="00B945CB" w:rsidRPr="007B223E" w:rsidRDefault="00000000">
            <w:pPr>
              <w:autoSpaceDE w:val="0"/>
              <w:spacing w:after="0"/>
              <w:ind w:left="60" w:right="60"/>
              <w:rPr>
                <w:szCs w:val="24"/>
              </w:rPr>
            </w:pPr>
            <w:r w:rsidRPr="007B223E">
              <w:rPr>
                <w:szCs w:val="24"/>
              </w:rPr>
              <w:t>-.799</w:t>
            </w:r>
          </w:p>
        </w:tc>
        <w:tc>
          <w:tcPr>
            <w:tcW w:w="1180" w:type="dxa"/>
            <w:vAlign w:val="center"/>
          </w:tcPr>
          <w:p w14:paraId="6134EC40" w14:textId="77777777" w:rsidR="00B945CB" w:rsidRPr="007B223E" w:rsidRDefault="00000000">
            <w:pPr>
              <w:autoSpaceDE w:val="0"/>
              <w:spacing w:after="0"/>
              <w:ind w:left="60" w:right="60"/>
              <w:rPr>
                <w:szCs w:val="24"/>
              </w:rPr>
            </w:pPr>
            <w:r w:rsidRPr="007B223E">
              <w:rPr>
                <w:szCs w:val="24"/>
              </w:rPr>
              <w:t>.425</w:t>
            </w:r>
          </w:p>
        </w:tc>
      </w:tr>
      <w:tr w:rsidR="00B945CB" w:rsidRPr="007B223E" w14:paraId="56E9DC63" w14:textId="77777777">
        <w:trPr>
          <w:trHeight w:val="414"/>
        </w:trPr>
        <w:tc>
          <w:tcPr>
            <w:tcW w:w="545" w:type="dxa"/>
            <w:vMerge/>
          </w:tcPr>
          <w:p w14:paraId="41F443F0" w14:textId="77777777" w:rsidR="00B945CB" w:rsidRPr="007B223E" w:rsidRDefault="00B945CB">
            <w:pPr>
              <w:autoSpaceDE w:val="0"/>
              <w:snapToGrid w:val="0"/>
              <w:spacing w:after="0"/>
              <w:rPr>
                <w:bCs/>
                <w:szCs w:val="24"/>
              </w:rPr>
            </w:pPr>
          </w:p>
        </w:tc>
        <w:tc>
          <w:tcPr>
            <w:tcW w:w="8815" w:type="dxa"/>
            <w:gridSpan w:val="6"/>
            <w:tcMar>
              <w:left w:w="0" w:type="dxa"/>
              <w:right w:w="0" w:type="dxa"/>
            </w:tcMar>
          </w:tcPr>
          <w:p w14:paraId="52DF2DB8" w14:textId="77777777" w:rsidR="00B945CB" w:rsidRPr="007B223E" w:rsidRDefault="00B945CB">
            <w:pPr>
              <w:snapToGrid w:val="0"/>
              <w:rPr>
                <w:bCs/>
                <w:szCs w:val="24"/>
              </w:rPr>
            </w:pPr>
          </w:p>
        </w:tc>
      </w:tr>
      <w:tr w:rsidR="00B945CB" w:rsidRPr="007B223E" w14:paraId="04F00611" w14:textId="77777777">
        <w:tc>
          <w:tcPr>
            <w:tcW w:w="545" w:type="dxa"/>
            <w:vMerge/>
          </w:tcPr>
          <w:p w14:paraId="64B8950F" w14:textId="77777777" w:rsidR="00B945CB" w:rsidRPr="007B223E" w:rsidRDefault="00B945CB">
            <w:pPr>
              <w:autoSpaceDE w:val="0"/>
              <w:snapToGrid w:val="0"/>
              <w:spacing w:after="0"/>
              <w:rPr>
                <w:bCs/>
                <w:szCs w:val="24"/>
              </w:rPr>
            </w:pPr>
          </w:p>
        </w:tc>
        <w:tc>
          <w:tcPr>
            <w:tcW w:w="2289" w:type="dxa"/>
          </w:tcPr>
          <w:p w14:paraId="183B4B26" w14:textId="77777777" w:rsidR="00B945CB" w:rsidRPr="007B223E" w:rsidRDefault="00000000">
            <w:pPr>
              <w:autoSpaceDE w:val="0"/>
              <w:spacing w:after="0"/>
              <w:ind w:left="60" w:right="60"/>
              <w:rPr>
                <w:szCs w:val="24"/>
              </w:rPr>
            </w:pPr>
            <w:r w:rsidRPr="007B223E">
              <w:rPr>
                <w:szCs w:val="24"/>
              </w:rPr>
              <w:t>Online Banking Service</w:t>
            </w:r>
          </w:p>
        </w:tc>
        <w:tc>
          <w:tcPr>
            <w:tcW w:w="919" w:type="dxa"/>
            <w:vAlign w:val="center"/>
          </w:tcPr>
          <w:p w14:paraId="35BEBD75" w14:textId="77777777" w:rsidR="00B945CB" w:rsidRPr="007B223E" w:rsidRDefault="00000000">
            <w:pPr>
              <w:autoSpaceDE w:val="0"/>
              <w:spacing w:after="0"/>
              <w:ind w:left="60" w:right="60"/>
              <w:rPr>
                <w:szCs w:val="24"/>
              </w:rPr>
            </w:pPr>
            <w:r w:rsidRPr="007B223E">
              <w:rPr>
                <w:szCs w:val="24"/>
              </w:rPr>
              <w:t>.204</w:t>
            </w:r>
          </w:p>
        </w:tc>
        <w:tc>
          <w:tcPr>
            <w:tcW w:w="1540" w:type="dxa"/>
            <w:vAlign w:val="center"/>
          </w:tcPr>
          <w:p w14:paraId="7177045F" w14:textId="77777777" w:rsidR="00B945CB" w:rsidRPr="007B223E" w:rsidRDefault="00000000">
            <w:pPr>
              <w:autoSpaceDE w:val="0"/>
              <w:spacing w:after="0"/>
              <w:ind w:left="60" w:right="60"/>
              <w:rPr>
                <w:szCs w:val="24"/>
              </w:rPr>
            </w:pPr>
            <w:r w:rsidRPr="007B223E">
              <w:rPr>
                <w:szCs w:val="24"/>
              </w:rPr>
              <w:t>.089</w:t>
            </w:r>
          </w:p>
        </w:tc>
        <w:tc>
          <w:tcPr>
            <w:tcW w:w="1700" w:type="dxa"/>
            <w:vAlign w:val="center"/>
          </w:tcPr>
          <w:p w14:paraId="7DEFACAA" w14:textId="77777777" w:rsidR="00B945CB" w:rsidRPr="007B223E" w:rsidRDefault="00000000">
            <w:pPr>
              <w:autoSpaceDE w:val="0"/>
              <w:spacing w:after="0"/>
              <w:ind w:left="60" w:right="60"/>
              <w:rPr>
                <w:szCs w:val="24"/>
              </w:rPr>
            </w:pPr>
            <w:r w:rsidRPr="007B223E">
              <w:rPr>
                <w:szCs w:val="24"/>
              </w:rPr>
              <w:t>.178</w:t>
            </w:r>
          </w:p>
        </w:tc>
        <w:tc>
          <w:tcPr>
            <w:tcW w:w="1187" w:type="dxa"/>
            <w:vAlign w:val="center"/>
          </w:tcPr>
          <w:p w14:paraId="6EBFF535" w14:textId="77777777" w:rsidR="00B945CB" w:rsidRPr="007B223E" w:rsidRDefault="00000000">
            <w:pPr>
              <w:autoSpaceDE w:val="0"/>
              <w:spacing w:after="0"/>
              <w:ind w:left="60" w:right="60"/>
              <w:rPr>
                <w:szCs w:val="24"/>
              </w:rPr>
            </w:pPr>
            <w:r w:rsidRPr="007B223E">
              <w:rPr>
                <w:szCs w:val="24"/>
              </w:rPr>
              <w:t>2.290</w:t>
            </w:r>
          </w:p>
        </w:tc>
        <w:tc>
          <w:tcPr>
            <w:tcW w:w="1180" w:type="dxa"/>
            <w:vAlign w:val="center"/>
          </w:tcPr>
          <w:p w14:paraId="552EF168" w14:textId="77777777" w:rsidR="00B945CB" w:rsidRPr="007B223E" w:rsidRDefault="00000000">
            <w:pPr>
              <w:autoSpaceDE w:val="0"/>
              <w:spacing w:after="0"/>
              <w:ind w:left="60" w:right="60"/>
              <w:rPr>
                <w:szCs w:val="24"/>
              </w:rPr>
            </w:pPr>
            <w:r w:rsidRPr="007B223E">
              <w:rPr>
                <w:szCs w:val="24"/>
              </w:rPr>
              <w:t>.023</w:t>
            </w:r>
          </w:p>
        </w:tc>
      </w:tr>
      <w:tr w:rsidR="00B945CB" w:rsidRPr="007B223E" w14:paraId="181EE6F3" w14:textId="77777777">
        <w:tc>
          <w:tcPr>
            <w:tcW w:w="545" w:type="dxa"/>
            <w:vMerge/>
          </w:tcPr>
          <w:p w14:paraId="07256124" w14:textId="77777777" w:rsidR="00B945CB" w:rsidRPr="007B223E" w:rsidRDefault="00B945CB">
            <w:pPr>
              <w:autoSpaceDE w:val="0"/>
              <w:snapToGrid w:val="0"/>
              <w:spacing w:after="0"/>
              <w:rPr>
                <w:bCs/>
                <w:szCs w:val="24"/>
              </w:rPr>
            </w:pPr>
          </w:p>
        </w:tc>
        <w:tc>
          <w:tcPr>
            <w:tcW w:w="2289" w:type="dxa"/>
            <w:tcBorders>
              <w:bottom w:val="single" w:sz="8" w:space="0" w:color="000000"/>
            </w:tcBorders>
          </w:tcPr>
          <w:p w14:paraId="400C66F0" w14:textId="77777777" w:rsidR="00B945CB" w:rsidRPr="007B223E" w:rsidRDefault="00B945CB">
            <w:pPr>
              <w:autoSpaceDE w:val="0"/>
              <w:snapToGrid w:val="0"/>
              <w:spacing w:after="0"/>
              <w:ind w:left="60" w:right="60"/>
              <w:rPr>
                <w:bCs/>
                <w:szCs w:val="24"/>
              </w:rPr>
            </w:pPr>
          </w:p>
        </w:tc>
        <w:tc>
          <w:tcPr>
            <w:tcW w:w="919" w:type="dxa"/>
            <w:tcBorders>
              <w:bottom w:val="single" w:sz="8" w:space="0" w:color="000000"/>
            </w:tcBorders>
            <w:vAlign w:val="center"/>
          </w:tcPr>
          <w:p w14:paraId="36D5DC41" w14:textId="77777777" w:rsidR="00B945CB" w:rsidRPr="007B223E" w:rsidRDefault="00B945CB">
            <w:pPr>
              <w:autoSpaceDE w:val="0"/>
              <w:snapToGrid w:val="0"/>
              <w:spacing w:after="0"/>
              <w:ind w:left="60" w:right="60"/>
              <w:rPr>
                <w:szCs w:val="24"/>
              </w:rPr>
            </w:pPr>
          </w:p>
        </w:tc>
        <w:tc>
          <w:tcPr>
            <w:tcW w:w="1540" w:type="dxa"/>
            <w:tcBorders>
              <w:bottom w:val="single" w:sz="8" w:space="0" w:color="000000"/>
            </w:tcBorders>
            <w:vAlign w:val="center"/>
          </w:tcPr>
          <w:p w14:paraId="456F8600" w14:textId="77777777" w:rsidR="00B945CB" w:rsidRPr="007B223E" w:rsidRDefault="00B945CB">
            <w:pPr>
              <w:autoSpaceDE w:val="0"/>
              <w:snapToGrid w:val="0"/>
              <w:spacing w:after="0"/>
              <w:ind w:left="60" w:right="60"/>
              <w:rPr>
                <w:szCs w:val="24"/>
              </w:rPr>
            </w:pPr>
          </w:p>
        </w:tc>
        <w:tc>
          <w:tcPr>
            <w:tcW w:w="1700" w:type="dxa"/>
            <w:tcBorders>
              <w:bottom w:val="single" w:sz="8" w:space="0" w:color="000000"/>
            </w:tcBorders>
            <w:vAlign w:val="center"/>
          </w:tcPr>
          <w:p w14:paraId="6274866A" w14:textId="77777777" w:rsidR="00B945CB" w:rsidRPr="007B223E" w:rsidRDefault="00B945CB">
            <w:pPr>
              <w:autoSpaceDE w:val="0"/>
              <w:snapToGrid w:val="0"/>
              <w:spacing w:after="0"/>
              <w:ind w:left="60" w:right="60"/>
              <w:rPr>
                <w:szCs w:val="24"/>
              </w:rPr>
            </w:pPr>
          </w:p>
        </w:tc>
        <w:tc>
          <w:tcPr>
            <w:tcW w:w="1187" w:type="dxa"/>
            <w:tcBorders>
              <w:bottom w:val="single" w:sz="8" w:space="0" w:color="000000"/>
            </w:tcBorders>
            <w:vAlign w:val="center"/>
          </w:tcPr>
          <w:p w14:paraId="2B55773C" w14:textId="77777777" w:rsidR="00B945CB" w:rsidRPr="007B223E" w:rsidRDefault="00B945CB">
            <w:pPr>
              <w:autoSpaceDE w:val="0"/>
              <w:snapToGrid w:val="0"/>
              <w:spacing w:after="0"/>
              <w:ind w:left="60" w:right="60"/>
              <w:rPr>
                <w:szCs w:val="24"/>
              </w:rPr>
            </w:pPr>
          </w:p>
        </w:tc>
        <w:tc>
          <w:tcPr>
            <w:tcW w:w="1180" w:type="dxa"/>
            <w:tcBorders>
              <w:bottom w:val="single" w:sz="8" w:space="0" w:color="000000"/>
            </w:tcBorders>
            <w:vAlign w:val="center"/>
          </w:tcPr>
          <w:p w14:paraId="08CC13C3" w14:textId="77777777" w:rsidR="00B945CB" w:rsidRPr="007B223E" w:rsidRDefault="00B945CB">
            <w:pPr>
              <w:autoSpaceDE w:val="0"/>
              <w:snapToGrid w:val="0"/>
              <w:spacing w:after="0"/>
              <w:ind w:left="60" w:right="60"/>
              <w:rPr>
                <w:szCs w:val="24"/>
              </w:rPr>
            </w:pPr>
          </w:p>
        </w:tc>
      </w:tr>
    </w:tbl>
    <w:p w14:paraId="748EBA36" w14:textId="77777777" w:rsidR="00B945CB" w:rsidRPr="007B223E" w:rsidRDefault="00000000">
      <w:pPr>
        <w:autoSpaceDE w:val="0"/>
        <w:spacing w:after="0"/>
        <w:rPr>
          <w:szCs w:val="24"/>
        </w:rPr>
      </w:pPr>
      <w:r w:rsidRPr="007B223E">
        <w:rPr>
          <w:szCs w:val="24"/>
        </w:rPr>
        <w:t>Source: Researcher (2026)</w:t>
      </w:r>
    </w:p>
    <w:p w14:paraId="228AA3D4" w14:textId="77777777" w:rsidR="00B945CB" w:rsidRPr="007B223E" w:rsidRDefault="00000000">
      <w:pPr>
        <w:pStyle w:val="ds-markdown-paragraph"/>
        <w:shd w:val="clear" w:color="auto" w:fill="FFFFFF"/>
        <w:spacing w:before="250" w:after="250" w:line="360" w:lineRule="auto"/>
        <w:jc w:val="both"/>
      </w:pPr>
      <w:r w:rsidRPr="007B223E">
        <w:t>The regression coefficients indicate the direction, magnitude and significance of the relationship between mobile banking service, online banking service and SME performance. The intercept term has a coefficient of 2.471, which indicates that the intercept is significant at the 0.05 level (p &lt; 0.001). This implies that the fitted model predicts a non-zero performance score when the predictor values are zero.</w:t>
      </w:r>
    </w:p>
    <w:p w14:paraId="3BBBB962" w14:textId="77777777" w:rsidR="00B945CB" w:rsidRPr="007B223E" w:rsidRDefault="00000000">
      <w:pPr>
        <w:pStyle w:val="ds-markdown-paragraph"/>
        <w:shd w:val="clear" w:color="auto" w:fill="FFFFFF"/>
        <w:spacing w:before="250" w:after="250" w:line="360" w:lineRule="auto"/>
        <w:jc w:val="both"/>
      </w:pPr>
      <w:r w:rsidRPr="007B223E">
        <w:t xml:space="preserve">The result showed that the mobile banking service had a negative coefficient (B = −0.044) in relation to the performance of SMEs. However, this association was not statistically significant (p = 0.425). The results indicated a small negative, statistically insignificant association between mobile banking services and the SME performance score. Based on the results, the null hypothesis is not rejected. This provides insufficient evidence of an association between mobile banking services and SME performance. The small coefficient indicates a weak estimated association. The authors suggest that the level of mobile banking adoption in Nairobi County may be relevant to this finding. This finding differs from that obtained by </w:t>
      </w:r>
      <w:proofErr w:type="spellStart"/>
      <w:r w:rsidRPr="007B223E">
        <w:t>Mosoti</w:t>
      </w:r>
      <w:proofErr w:type="spellEnd"/>
      <w:r w:rsidRPr="007B223E">
        <w:t xml:space="preserve"> et al. (2024), who reported that mobile banking technology had a positive and significant association with the financial performance of the microfinance institutions in Kenya. Additionally, Akankwasa (2024) discovered that mobile money significantly and positively influences income generation, cash flow management and business development in Uganda. Differences in the findings may be explained by the different contexts in which the research took place and by the type of enterprises </w:t>
      </w:r>
      <w:proofErr w:type="spellStart"/>
      <w:r w:rsidRPr="007B223E">
        <w:t>analysed</w:t>
      </w:r>
      <w:proofErr w:type="spellEnd"/>
      <w:r w:rsidRPr="007B223E">
        <w:t>.</w:t>
      </w:r>
    </w:p>
    <w:p w14:paraId="2BC3B560" w14:textId="77777777" w:rsidR="00B945CB" w:rsidRPr="007B223E" w:rsidRDefault="00000000">
      <w:pPr>
        <w:pStyle w:val="ds-markdown-paragraph"/>
        <w:shd w:val="clear" w:color="auto" w:fill="FFFFFF"/>
        <w:spacing w:before="250" w:after="250" w:line="360" w:lineRule="auto"/>
        <w:jc w:val="both"/>
      </w:pPr>
      <w:r w:rsidRPr="007B223E">
        <w:t xml:space="preserve">The result showed that online banking service had a positive coefficient (B = 0.204), indicating an association with the performance score of SMEs. Online banking service was found to have a statistically significant association with the performance of SMEs (p = 0.023). Based on these results, the null hypothesis is rejected. This indicates a positive association between online banking services and SME performance, without establishing causality. The positive association </w:t>
      </w:r>
      <w:r w:rsidRPr="007B223E">
        <w:lastRenderedPageBreak/>
        <w:t xml:space="preserve">between online banking services and SME performance is consistent with Ochieng’s (2022) study, which reported that online banking has had a positive and significant association with the financial performance of commercial banks in Kenya. The findings also align with the study of </w:t>
      </w:r>
      <w:proofErr w:type="spellStart"/>
      <w:r w:rsidRPr="007B223E">
        <w:t>Pyoko</w:t>
      </w:r>
      <w:proofErr w:type="spellEnd"/>
      <w:r w:rsidRPr="007B223E">
        <w:t xml:space="preserve"> et al. (2023c), who also revealed that online banking services significantly influenced financial inclusion of Kenyan SMEs. The descriptive statistics also indicate a high level of online banking adoption among SMEs in Nairobi County.</w:t>
      </w:r>
    </w:p>
    <w:p w14:paraId="0E11F660" w14:textId="77777777" w:rsidR="00B945CB" w:rsidRPr="007B223E" w:rsidRDefault="00000000">
      <w:pPr>
        <w:pStyle w:val="Heading1"/>
      </w:pPr>
      <w:r w:rsidRPr="007B223E">
        <w:rPr>
          <w:rFonts w:ascii="Times New Roman" w:hAnsi="Times New Roman"/>
          <w:b/>
          <w:bCs/>
          <w:color w:val="000000"/>
          <w:sz w:val="24"/>
          <w:szCs w:val="24"/>
        </w:rPr>
        <w:t>5.1 Conclusion</w:t>
      </w:r>
    </w:p>
    <w:p w14:paraId="622573D3" w14:textId="77777777" w:rsidR="00B945CB" w:rsidRPr="007B223E" w:rsidRDefault="00000000">
      <w:pPr>
        <w:pStyle w:val="ds-markdown-paragraph"/>
        <w:shd w:val="clear" w:color="auto" w:fill="FFFFFF"/>
        <w:spacing w:before="250" w:after="250" w:line="360" w:lineRule="auto"/>
        <w:jc w:val="both"/>
      </w:pPr>
      <w:r w:rsidRPr="007B223E">
        <w:t xml:space="preserve">The following conclusions are based on the study results and research objectives. The study found no statistically significant association between mobile banking services and SME performance in Nairobi County, Kenya. The use of mobile banking services in Kenya has become widespread, but business use of the technology may not extend beyond using mobile phones for basic transactional functions, such as payments and money transfers. SMEs may not be fully </w:t>
      </w:r>
      <w:proofErr w:type="spellStart"/>
      <w:r w:rsidRPr="007B223E">
        <w:t>utilising</w:t>
      </w:r>
      <w:proofErr w:type="spellEnd"/>
      <w:r w:rsidRPr="007B223E">
        <w:t xml:space="preserve"> the capabilities of mobile banking service in more advanced business functions like inventory control, customer relationship management and data analysis. </w:t>
      </w:r>
      <w:r w:rsidR="008D1874" w:rsidRPr="007B223E">
        <w:t xml:space="preserve"> </w:t>
      </w:r>
      <w:r w:rsidRPr="007B223E">
        <w:t>The study found that the online banking service has a statistically significant positive association with SME performance in Nairobi County, Kenya. Online banking may facilitate financial management, support transaction processing and help SMEs monitor cash flow. Online banking may also provide access to loan facilities, financial monitoring tools and timely transaction processing.</w:t>
      </w:r>
    </w:p>
    <w:p w14:paraId="51D95346" w14:textId="77777777" w:rsidR="00B945CB" w:rsidRPr="007B223E" w:rsidRDefault="00000000">
      <w:pPr>
        <w:pStyle w:val="Heading1"/>
      </w:pPr>
      <w:r w:rsidRPr="007B223E">
        <w:rPr>
          <w:rFonts w:ascii="Times New Roman" w:hAnsi="Times New Roman"/>
          <w:b/>
          <w:bCs/>
          <w:color w:val="000000"/>
          <w:sz w:val="24"/>
          <w:szCs w:val="24"/>
        </w:rPr>
        <w:t>5.2 Recommendations</w:t>
      </w:r>
    </w:p>
    <w:p w14:paraId="195C744E" w14:textId="77777777" w:rsidR="00DA1B84" w:rsidRPr="007B223E" w:rsidRDefault="00DA1B84" w:rsidP="009E003C">
      <w:pPr>
        <w:pStyle w:val="NormalWeb"/>
        <w:jc w:val="both"/>
      </w:pPr>
      <w:r w:rsidRPr="007B223E">
        <w:t>This study examined the relationship between mobile banking services, online banking services and the performance of small and medium-sized enterprises in Nairobi County, Kenya. The findings showed that mobile banking services had a small negative coefficient that was not statistically significant. Accordingly, the study did not establish a significant association between mobile banking use and the reported SME performance score. The findings do not imply that mobile banking is inherently detrimental to enterprises, as its usefulness may vary according to how services are applied in business operations. By contrast, online banking services showed a positive and statistically significant association with SME performance. This result is consistent with the possibility that access to transaction processing, financial records and account information supports business financial management. However, the cross-sectional design does not establish that adopting online banking causes improvements in performance. SME owners and managers may therefore assess digital banking options on the basis of practical needs, service charges, reliabil</w:t>
      </w:r>
      <w:r w:rsidRPr="007B223E">
        <w:lastRenderedPageBreak/>
        <w:t>ity and security. Further investigation of other enterprise and contextual factors would help clarify the associations observed in this setting.</w:t>
      </w:r>
    </w:p>
    <w:p w14:paraId="0AE69FF1" w14:textId="77777777" w:rsidR="00B66397" w:rsidRPr="007B223E" w:rsidRDefault="00B66397">
      <w:pPr>
        <w:pStyle w:val="ds-markdown-paragraph"/>
        <w:shd w:val="clear" w:color="auto" w:fill="FFFFFF"/>
        <w:spacing w:before="250" w:after="250" w:line="360" w:lineRule="auto"/>
        <w:jc w:val="both"/>
        <w:rPr>
          <w:b/>
          <w:bCs/>
        </w:rPr>
      </w:pPr>
      <w:r w:rsidRPr="007B223E">
        <w:rPr>
          <w:b/>
          <w:bCs/>
        </w:rPr>
        <w:t>Limitations</w:t>
      </w:r>
    </w:p>
    <w:p w14:paraId="4C929E97" w14:textId="77777777" w:rsidR="00B66397" w:rsidRDefault="00B66397">
      <w:pPr>
        <w:pStyle w:val="ds-markdown-paragraph"/>
        <w:shd w:val="clear" w:color="auto" w:fill="FFFFFF"/>
        <w:spacing w:before="250" w:after="250" w:line="360" w:lineRule="auto"/>
        <w:jc w:val="both"/>
      </w:pPr>
      <w:r w:rsidRPr="007B223E">
        <w:t>The study used a cross-sectional survey of SMEs in Nairobi County, limiting conclusions about temporal relationships and causality. Its geographical focus may restrict the applicability of the findings to SMEs operating elsewhere. The use of questionnaires may introduce reporting or response bias. Moreover, the reported regression model accounted for only part of the variation in SME performance, suggesting that factors beyond the banking services examined may be relevant. The results should therefore be interpreted as associations within the study setting rather than evidence of causal effects.</w:t>
      </w:r>
    </w:p>
    <w:p w14:paraId="029C7E3C" w14:textId="77777777" w:rsidR="00A62B9D" w:rsidRDefault="00A62B9D">
      <w:pPr>
        <w:pStyle w:val="ds-markdown-paragraph"/>
        <w:shd w:val="clear" w:color="auto" w:fill="FFFFFF"/>
        <w:spacing w:before="250" w:after="250" w:line="360" w:lineRule="auto"/>
        <w:jc w:val="both"/>
      </w:pPr>
    </w:p>
    <w:p w14:paraId="11EC38DC" w14:textId="77777777" w:rsidR="00A62B9D" w:rsidRPr="00A62B9D" w:rsidRDefault="00A62B9D" w:rsidP="00A62B9D">
      <w:pPr>
        <w:suppressAutoHyphens w:val="0"/>
        <w:spacing w:line="276" w:lineRule="auto"/>
        <w:jc w:val="left"/>
        <w:rPr>
          <w:rFonts w:ascii="Calibri" w:hAnsi="Calibri"/>
          <w:b/>
          <w:sz w:val="22"/>
          <w:lang w:eastAsia="en-US"/>
        </w:rPr>
      </w:pPr>
      <w:r w:rsidRPr="00A62B9D">
        <w:rPr>
          <w:rFonts w:ascii="Calibri" w:hAnsi="Calibri"/>
          <w:b/>
          <w:sz w:val="22"/>
          <w:lang w:eastAsia="en-US"/>
        </w:rPr>
        <w:t xml:space="preserve">Consent </w:t>
      </w:r>
    </w:p>
    <w:p w14:paraId="2E4E118F" w14:textId="77777777" w:rsidR="00A62B9D" w:rsidRPr="00A62B9D" w:rsidRDefault="00A62B9D" w:rsidP="00A62B9D">
      <w:pPr>
        <w:suppressAutoHyphens w:val="0"/>
        <w:spacing w:line="276" w:lineRule="auto"/>
        <w:jc w:val="left"/>
        <w:rPr>
          <w:rFonts w:ascii="Calibri" w:hAnsi="Calibri"/>
          <w:sz w:val="22"/>
          <w:lang w:eastAsia="en-US"/>
        </w:rPr>
      </w:pPr>
      <w:r w:rsidRPr="00A62B9D">
        <w:rPr>
          <w:rFonts w:ascii="Calibri" w:hAnsi="Calibri"/>
          <w:sz w:val="22"/>
          <w:lang w:eastAsia="en-US"/>
        </w:rPr>
        <w:t>As per international standards or university standards</w:t>
      </w:r>
      <w:r w:rsidRPr="00A62B9D">
        <w:rPr>
          <w:rFonts w:ascii="Calibri" w:hAnsi="Calibri"/>
          <w:sz w:val="22"/>
          <w:highlight w:val="yellow"/>
          <w:lang w:eastAsia="en-US"/>
        </w:rPr>
        <w:t>, respondents’ written</w:t>
      </w:r>
      <w:r w:rsidRPr="00A62B9D">
        <w:rPr>
          <w:rFonts w:ascii="Calibri" w:hAnsi="Calibri"/>
          <w:sz w:val="22"/>
          <w:lang w:eastAsia="en-US"/>
        </w:rPr>
        <w:t xml:space="preserve"> consent has been collected and preserved by the author(s).</w:t>
      </w:r>
    </w:p>
    <w:p w14:paraId="448AAE6E" w14:textId="77777777" w:rsidR="00A62B9D" w:rsidRPr="007B223E" w:rsidRDefault="00A62B9D">
      <w:pPr>
        <w:pStyle w:val="ds-markdown-paragraph"/>
        <w:shd w:val="clear" w:color="auto" w:fill="FFFFFF"/>
        <w:spacing w:before="250" w:after="250" w:line="360" w:lineRule="auto"/>
        <w:jc w:val="both"/>
      </w:pPr>
    </w:p>
    <w:p w14:paraId="2FDAEFFB" w14:textId="77777777" w:rsidR="00B945CB" w:rsidRPr="007B223E" w:rsidRDefault="00000000">
      <w:pPr>
        <w:spacing w:after="0" w:line="240" w:lineRule="auto"/>
        <w:jc w:val="left"/>
        <w:rPr>
          <w:rFonts w:ascii="Arial" w:hAnsi="Arial" w:cs="Arial"/>
          <w:b/>
          <w:sz w:val="20"/>
          <w:szCs w:val="20"/>
        </w:rPr>
      </w:pPr>
      <w:r w:rsidRPr="007B223E">
        <w:rPr>
          <w:rFonts w:ascii="Arial" w:hAnsi="Arial" w:cs="Arial"/>
          <w:b/>
          <w:sz w:val="20"/>
          <w:szCs w:val="20"/>
        </w:rPr>
        <w:t>Declaration of AI Use</w:t>
      </w:r>
    </w:p>
    <w:p w14:paraId="7D3543F3" w14:textId="77777777" w:rsidR="00B945CB" w:rsidRPr="007B223E" w:rsidRDefault="00B945CB">
      <w:pPr>
        <w:spacing w:after="0" w:line="240" w:lineRule="auto"/>
        <w:jc w:val="left"/>
        <w:rPr>
          <w:rFonts w:ascii="Arial" w:hAnsi="Arial" w:cs="Arial"/>
          <w:b/>
          <w:sz w:val="20"/>
          <w:szCs w:val="20"/>
        </w:rPr>
      </w:pPr>
    </w:p>
    <w:p w14:paraId="7F7CC453" w14:textId="77777777" w:rsidR="00B945CB" w:rsidRDefault="00000000">
      <w:pPr>
        <w:spacing w:after="0" w:line="240" w:lineRule="auto"/>
        <w:jc w:val="left"/>
        <w:rPr>
          <w:rFonts w:ascii="Arial" w:hAnsi="Arial" w:cs="Arial"/>
          <w:sz w:val="20"/>
          <w:szCs w:val="20"/>
        </w:rPr>
      </w:pPr>
      <w:bookmarkStart w:id="2" w:name="_Hlk238550938"/>
      <w:r w:rsidRPr="007B223E">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
      <w:r w:rsidRPr="007B223E">
        <w:rPr>
          <w:rFonts w:ascii="Arial" w:hAnsi="Arial" w:cs="Arial"/>
          <w:sz w:val="20"/>
          <w:szCs w:val="20"/>
        </w:rPr>
        <w:t>.</w:t>
      </w:r>
    </w:p>
    <w:p w14:paraId="477C52B9" w14:textId="77777777" w:rsidR="00A62B9D" w:rsidRDefault="00A62B9D">
      <w:pPr>
        <w:spacing w:after="0" w:line="240" w:lineRule="auto"/>
        <w:jc w:val="left"/>
        <w:rPr>
          <w:rFonts w:ascii="Arial" w:hAnsi="Arial" w:cs="Arial"/>
          <w:sz w:val="20"/>
          <w:szCs w:val="20"/>
        </w:rPr>
      </w:pPr>
    </w:p>
    <w:p w14:paraId="13FE3B78" w14:textId="77777777" w:rsidR="00A62B9D" w:rsidRPr="007B223E" w:rsidRDefault="00A62B9D">
      <w:pPr>
        <w:spacing w:after="0" w:line="240" w:lineRule="auto"/>
        <w:jc w:val="left"/>
        <w:rPr>
          <w:rFonts w:ascii="Arial" w:hAnsi="Arial" w:cs="Arial"/>
          <w:sz w:val="20"/>
          <w:szCs w:val="20"/>
        </w:rPr>
      </w:pPr>
    </w:p>
    <w:p w14:paraId="70849883" w14:textId="77777777" w:rsidR="00B945CB" w:rsidRPr="007B223E" w:rsidRDefault="00B945CB">
      <w:pPr>
        <w:spacing w:line="276" w:lineRule="auto"/>
        <w:outlineLvl w:val="0"/>
        <w:rPr>
          <w:rFonts w:ascii="Arial" w:eastAsia="Times New Roman" w:hAnsi="Arial" w:cs="Arial"/>
          <w:b/>
          <w:bCs/>
          <w:sz w:val="22"/>
          <w:szCs w:val="20"/>
          <w:lang w:val="en-GB" w:eastAsia="en-GB"/>
        </w:rPr>
      </w:pPr>
      <w:bookmarkStart w:id="3" w:name="_Hlk237856463"/>
      <w:bookmarkStart w:id="4" w:name="_Hlk239068730"/>
      <w:bookmarkStart w:id="5" w:name="_Hlk237862032"/>
      <w:bookmarkEnd w:id="3"/>
      <w:bookmarkEnd w:id="4"/>
      <w:bookmarkEnd w:id="5"/>
    </w:p>
    <w:p w14:paraId="29DBDD3E" w14:textId="77777777" w:rsidR="00B945CB" w:rsidRPr="007B223E" w:rsidRDefault="00B945CB">
      <w:pPr>
        <w:spacing w:line="276" w:lineRule="auto"/>
        <w:outlineLvl w:val="0"/>
        <w:rPr>
          <w:rFonts w:ascii="Arial" w:eastAsia="Times New Roman" w:hAnsi="Arial" w:cs="Arial"/>
          <w:b/>
          <w:bCs/>
          <w:sz w:val="22"/>
          <w:lang w:val="en-GB" w:eastAsia="en-GB"/>
        </w:rPr>
      </w:pPr>
    </w:p>
    <w:p w14:paraId="72C34C8B" w14:textId="77777777" w:rsidR="00B945CB" w:rsidRPr="007B223E" w:rsidRDefault="00000000">
      <w:pPr>
        <w:spacing w:line="276" w:lineRule="auto"/>
        <w:outlineLvl w:val="0"/>
        <w:rPr>
          <w:rFonts w:ascii="Arial" w:eastAsia="Times New Roman" w:hAnsi="Arial" w:cs="Arial"/>
          <w:sz w:val="22"/>
          <w:lang w:val="en-GB" w:eastAsia="en-GB"/>
        </w:rPr>
      </w:pPr>
      <w:r w:rsidRPr="007B223E">
        <w:rPr>
          <w:rFonts w:ascii="Arial" w:eastAsia="Times New Roman" w:hAnsi="Arial" w:cs="Arial"/>
          <w:b/>
          <w:bCs/>
          <w:sz w:val="22"/>
          <w:lang w:val="en-GB" w:eastAsia="en-GB"/>
        </w:rPr>
        <w:t>COMPETING INTERESTS DISCLAIMER:</w:t>
      </w:r>
    </w:p>
    <w:p w14:paraId="495C531A" w14:textId="77777777" w:rsidR="00B945CB" w:rsidRPr="007B223E" w:rsidRDefault="00000000">
      <w:pPr>
        <w:spacing w:line="276" w:lineRule="auto"/>
        <w:jc w:val="left"/>
        <w:rPr>
          <w:rFonts w:ascii="Calibri" w:eastAsia="Times New Roman" w:hAnsi="Calibri" w:cs="Calibri"/>
          <w:sz w:val="22"/>
          <w:lang w:val="en-GB" w:eastAsia="en-GB"/>
        </w:rPr>
      </w:pPr>
      <w:r w:rsidRPr="007B223E">
        <w:rPr>
          <w:rFonts w:ascii="Calibri" w:eastAsia="Times New Roman" w:hAnsi="Calibri" w:cs="Calibri"/>
          <w:sz w:val="22"/>
          <w:lang w:val="en-GB" w:eastAsia="en-GB"/>
        </w:rPr>
        <w:t>Authors have declared that they have no known competing financial interests OR non-financial interests OR personal relationships that could have appeared to influence the work reported in this paper.</w:t>
      </w:r>
    </w:p>
    <w:p w14:paraId="75ECE7C8" w14:textId="77777777" w:rsidR="00B945CB" w:rsidRPr="007B223E" w:rsidRDefault="00B945CB">
      <w:pPr>
        <w:spacing w:line="276" w:lineRule="auto"/>
        <w:jc w:val="left"/>
        <w:rPr>
          <w:rFonts w:ascii="Calibri" w:eastAsia="Times New Roman" w:hAnsi="Calibri" w:cs="Calibri"/>
          <w:sz w:val="22"/>
          <w:lang w:val="en-GB" w:eastAsia="en-GB"/>
        </w:rPr>
      </w:pPr>
    </w:p>
    <w:p w14:paraId="1C84CD9B" w14:textId="77777777" w:rsidR="00B945CB" w:rsidRPr="007B223E" w:rsidRDefault="00B945CB">
      <w:pPr>
        <w:spacing w:line="276" w:lineRule="auto"/>
        <w:jc w:val="left"/>
        <w:rPr>
          <w:rFonts w:ascii="Calibri" w:eastAsia="Times New Roman" w:hAnsi="Calibri" w:cs="Calibri"/>
          <w:sz w:val="22"/>
          <w:lang w:val="en-GB" w:eastAsia="en-GB"/>
        </w:rPr>
      </w:pPr>
    </w:p>
    <w:p w14:paraId="2DD08728" w14:textId="77777777" w:rsidR="00B945CB" w:rsidRPr="007B223E" w:rsidRDefault="00B945CB">
      <w:pPr>
        <w:pStyle w:val="ds-markdown-paragraph"/>
        <w:shd w:val="clear" w:color="auto" w:fill="FFFFFF"/>
        <w:spacing w:before="250" w:after="250" w:line="360" w:lineRule="auto"/>
        <w:jc w:val="both"/>
        <w:rPr>
          <w:rFonts w:ascii="Calibri" w:hAnsi="Calibri" w:cs="Calibri"/>
          <w:sz w:val="22"/>
          <w:lang w:val="en-GB" w:eastAsia="en-GB"/>
        </w:rPr>
      </w:pPr>
    </w:p>
    <w:p w14:paraId="33DDC6D3" w14:textId="77777777" w:rsidR="00B945CB" w:rsidRPr="007B223E" w:rsidRDefault="00000000">
      <w:pPr>
        <w:pStyle w:val="Heading1"/>
        <w:rPr>
          <w:rFonts w:ascii="Times New Roman" w:hAnsi="Times New Roman"/>
          <w:b/>
          <w:bCs/>
          <w:color w:val="000000"/>
          <w:sz w:val="24"/>
          <w:szCs w:val="24"/>
        </w:rPr>
      </w:pPr>
      <w:r w:rsidRPr="007B223E">
        <w:rPr>
          <w:rFonts w:ascii="Times New Roman" w:hAnsi="Times New Roman"/>
          <w:b/>
          <w:bCs/>
          <w:color w:val="000000"/>
          <w:sz w:val="24"/>
          <w:szCs w:val="24"/>
        </w:rPr>
        <w:lastRenderedPageBreak/>
        <w:t>REFERENCES</w:t>
      </w:r>
    </w:p>
    <w:p w14:paraId="5E215675" w14:textId="77777777" w:rsidR="00B945CB" w:rsidRPr="007B223E" w:rsidRDefault="00000000">
      <w:pPr>
        <w:keepLines/>
        <w:spacing w:after="80"/>
        <w:ind w:left="720" w:hanging="720"/>
        <w:jc w:val="left"/>
      </w:pPr>
      <w:r>
        <w:t xml:space="preserve">Adamu, Y., Kawugana, A., &amp; Abdullahi, S. S. (2024). The impact of electronic banking on small and medium scale enterprises (SMEs) in some selected SMEs in Bauchi State. </w:t>
      </w:r>
      <w:r>
        <w:rPr>
          <w:i/>
        </w:rPr>
        <w:t>International Journal of Banking and Finance Research, 10</w:t>
      </w:r>
      <w:r>
        <w:t xml:space="preserve">(10), 183–199. </w:t>
      </w:r>
      <w:hyperlink r:id="rId7">
        <w:r w:rsidR="00B945CB">
          <w:rPr>
            <w:color w:val="0563C1"/>
            <w:u w:val="single"/>
          </w:rPr>
          <w:t>https://doi.org/10.56201/ijbfr.v10.no10.2024.pg183.199</w:t>
        </w:r>
      </w:hyperlink>
    </w:p>
    <w:p w14:paraId="3FFE9D1F" w14:textId="77777777" w:rsidR="00B945CB" w:rsidRPr="007B223E" w:rsidRDefault="00000000">
      <w:pPr>
        <w:keepLines/>
        <w:spacing w:after="80"/>
        <w:ind w:left="720" w:hanging="720"/>
        <w:jc w:val="left"/>
      </w:pPr>
      <w:r>
        <w:t xml:space="preserve">Adukpo, T. K., &amp; Mensah, N. (2025). Financial technology and its effects on small and medium-scale enterprises in Ghana: An explanatory research. </w:t>
      </w:r>
      <w:r>
        <w:rPr>
          <w:i/>
        </w:rPr>
        <w:t>Asian Journal of Economics, Business and Accounting, 25</w:t>
      </w:r>
      <w:r>
        <w:t xml:space="preserve">(3), 268–284. </w:t>
      </w:r>
      <w:hyperlink r:id="rId8">
        <w:r w:rsidR="00B945CB">
          <w:rPr>
            <w:color w:val="0563C1"/>
            <w:u w:val="single"/>
          </w:rPr>
          <w:t>https://doi.org/10.9734/ajeba/2025/v25i31709</w:t>
        </w:r>
      </w:hyperlink>
    </w:p>
    <w:p w14:paraId="25DE8734" w14:textId="77777777" w:rsidR="00B945CB" w:rsidRPr="007B223E" w:rsidRDefault="00000000">
      <w:pPr>
        <w:keepLines/>
        <w:spacing w:after="80"/>
        <w:ind w:left="720" w:hanging="720"/>
        <w:jc w:val="left"/>
      </w:pPr>
      <w:r>
        <w:t xml:space="preserve">Akande, J. O. (2025). Exploring the role of financial technology in transforming small and medium enterprises in Nigeria. </w:t>
      </w:r>
      <w:r>
        <w:rPr>
          <w:i/>
        </w:rPr>
        <w:t>Wukari International Studies Journal, 9</w:t>
      </w:r>
      <w:r>
        <w:t xml:space="preserve">(4), 1–16. </w:t>
      </w:r>
      <w:hyperlink r:id="rId9">
        <w:r w:rsidR="00B945CB">
          <w:rPr>
            <w:color w:val="0563C1"/>
            <w:u w:val="single"/>
          </w:rPr>
          <w:t>https://doi.org/10.64633/wissj.v9i4.01</w:t>
        </w:r>
      </w:hyperlink>
    </w:p>
    <w:p w14:paraId="64F5A0AB" w14:textId="77777777" w:rsidR="00B945CB" w:rsidRPr="007B223E" w:rsidRDefault="00000000">
      <w:pPr>
        <w:keepLines/>
        <w:spacing w:after="80"/>
        <w:ind w:left="720" w:hanging="720"/>
        <w:jc w:val="left"/>
      </w:pPr>
      <w:r>
        <w:t xml:space="preserve">Akankwasa, R. (2024). </w:t>
      </w:r>
      <w:r>
        <w:rPr>
          <w:i/>
        </w:rPr>
        <w:t>Effect of mobile money technology on performance of small and medium enterprises in Mukono Central Division</w:t>
      </w:r>
      <w:r>
        <w:t xml:space="preserve"> [Undergraduate dissertation, Uganda Christian University]. </w:t>
      </w:r>
      <w:hyperlink r:id="rId10">
        <w:r w:rsidR="00B945CB">
          <w:rPr>
            <w:color w:val="0563C1"/>
            <w:u w:val="single"/>
          </w:rPr>
          <w:t>https://scholar.ucu.ac.ug/items/dabe3a76-aac2-4438-a4a3-e4d5973daad4</w:t>
        </w:r>
      </w:hyperlink>
    </w:p>
    <w:p w14:paraId="3E21A49A" w14:textId="77777777" w:rsidR="00B945CB" w:rsidRPr="007B223E" w:rsidRDefault="00000000">
      <w:pPr>
        <w:keepLines/>
        <w:spacing w:after="80"/>
        <w:ind w:left="720" w:hanging="720"/>
        <w:jc w:val="left"/>
      </w:pPr>
      <w:r>
        <w:t xml:space="preserve">Alfzari, S., &amp; Al-Shboul, M. (2025). The inflected of fintech solutions on financial performance in SMEs: An analysis of the IT industry in the UAE. </w:t>
      </w:r>
      <w:r>
        <w:rPr>
          <w:i/>
        </w:rPr>
        <w:t>Uncertain Supply Chain Management, 13</w:t>
      </w:r>
      <w:r>
        <w:t xml:space="preserve">(4), 711–720. </w:t>
      </w:r>
      <w:hyperlink r:id="rId11">
        <w:r w:rsidR="00B945CB">
          <w:rPr>
            <w:color w:val="0563C1"/>
            <w:u w:val="single"/>
          </w:rPr>
          <w:t>https://doi.org/10.5267/j.uscm.2024.10.004</w:t>
        </w:r>
      </w:hyperlink>
    </w:p>
    <w:p w14:paraId="2BB471AD" w14:textId="77777777" w:rsidR="00B945CB" w:rsidRPr="007B223E" w:rsidRDefault="00000000">
      <w:pPr>
        <w:keepLines/>
        <w:spacing w:after="80"/>
        <w:ind w:left="720" w:hanging="720"/>
        <w:jc w:val="left"/>
      </w:pPr>
      <w:r>
        <w:t xml:space="preserve">Awuah, E. (2025). Digital financial transactions and business performance: The role of mobile money in Ghana’s SME sector: Evidence from the Sunyani Municipality. </w:t>
      </w:r>
      <w:r>
        <w:rPr>
          <w:i/>
        </w:rPr>
        <w:t>Asian Journal of Economics, Business and Accounting, 25</w:t>
      </w:r>
      <w:r>
        <w:t xml:space="preserve">(1), 362–373. </w:t>
      </w:r>
      <w:hyperlink r:id="rId12">
        <w:r w:rsidR="00B945CB">
          <w:rPr>
            <w:color w:val="0563C1"/>
            <w:u w:val="single"/>
          </w:rPr>
          <w:t>https://doi.org/10.9734/ajeba/2025/v25i11656</w:t>
        </w:r>
      </w:hyperlink>
    </w:p>
    <w:p w14:paraId="4479C97F" w14:textId="77777777" w:rsidR="00B945CB" w:rsidRPr="007B223E" w:rsidRDefault="00000000">
      <w:pPr>
        <w:keepLines/>
        <w:spacing w:after="80"/>
        <w:ind w:left="720" w:hanging="720"/>
        <w:jc w:val="left"/>
      </w:pPr>
      <w:r>
        <w:t xml:space="preserve">Central Bank of Kenya, Kenya National Bureau of Statistics, &amp; Financial Sector Deepening Kenya. (2021). </w:t>
      </w:r>
      <w:r>
        <w:rPr>
          <w:i/>
        </w:rPr>
        <w:t>2021 FinAccess household survey report</w:t>
      </w:r>
      <w:r>
        <w:t xml:space="preserve">. </w:t>
      </w:r>
      <w:hyperlink r:id="rId13">
        <w:r w:rsidR="00B945CB">
          <w:rPr>
            <w:color w:val="0563C1"/>
            <w:u w:val="single"/>
          </w:rPr>
          <w:t>https://www.centralbank.go.ke/wp-content/uploads/2022/08/2021-Finaccesss-Survey-Report.pdf</w:t>
        </w:r>
      </w:hyperlink>
    </w:p>
    <w:p w14:paraId="0F33EA33" w14:textId="77777777" w:rsidR="00B945CB" w:rsidRPr="007B223E" w:rsidRDefault="00000000">
      <w:pPr>
        <w:keepLines/>
        <w:spacing w:after="80"/>
        <w:ind w:left="720" w:hanging="720"/>
        <w:jc w:val="left"/>
      </w:pPr>
      <w:r>
        <w:t xml:space="preserve">Davis, F. D. (1989). Perceived usefulness, perceived ease of use, and user acceptance of information technology. </w:t>
      </w:r>
      <w:r>
        <w:rPr>
          <w:i/>
        </w:rPr>
        <w:t>MIS Quarterly, 13</w:t>
      </w:r>
      <w:r>
        <w:t xml:space="preserve">(3), 319–340. </w:t>
      </w:r>
      <w:hyperlink r:id="rId14">
        <w:r w:rsidR="00B945CB">
          <w:rPr>
            <w:color w:val="0563C1"/>
            <w:u w:val="single"/>
          </w:rPr>
          <w:t>https://doi.org/10.2307/249008</w:t>
        </w:r>
      </w:hyperlink>
    </w:p>
    <w:p w14:paraId="54838733" w14:textId="77777777" w:rsidR="00B945CB" w:rsidRPr="007B223E" w:rsidRDefault="00B945CB">
      <w:pPr>
        <w:keepLines/>
        <w:spacing w:after="80"/>
        <w:ind w:left="720" w:hanging="720"/>
        <w:jc w:val="left"/>
        <w:rPr>
          <w:szCs w:val="24"/>
        </w:rPr>
      </w:pPr>
      <w:r>
        <w:lastRenderedPageBreak/>
        <w:t xml:space="preserve">Demirgüç-Kunt, A., Klapper, L., Singer, D., &amp; Ansar, S. (2022). </w:t>
      </w:r>
      <w:r>
        <w:rPr>
          <w:i/>
        </w:rPr>
        <w:t>The Global Findex Database 2021: Financial inclusion, digital payments, and resilience in the age of COVID-19</w:t>
      </w:r>
      <w:r>
        <w:t xml:space="preserve">. World Bank. </w:t>
      </w:r>
      <w:hyperlink r:id="rId15">
        <w:r>
          <w:rPr>
            <w:color w:val="0563C1"/>
            <w:u w:val="single"/>
          </w:rPr>
          <w:t>https://doi.org/10.1596/978-1-4648-1897-4</w:t>
        </w:r>
      </w:hyperlink>
    </w:p>
    <w:p w14:paraId="55AC70EE" w14:textId="77777777" w:rsidR="00B945CB" w:rsidRPr="007B223E" w:rsidRDefault="00000000">
      <w:pPr>
        <w:keepLines/>
        <w:spacing w:after="80"/>
        <w:ind w:left="720" w:hanging="720"/>
        <w:jc w:val="left"/>
      </w:pPr>
      <w:r>
        <w:t xml:space="preserve">Djibran, F. (2025). Enhancing SME growth through online banking solutions: Opportunities and challenges in the digital era. </w:t>
      </w:r>
      <w:r>
        <w:rPr>
          <w:i/>
        </w:rPr>
        <w:t>Jurnal Riset Multidisiplin Edukasi, 2</w:t>
      </w:r>
      <w:r>
        <w:t xml:space="preserve">(1), 413–426. </w:t>
      </w:r>
      <w:hyperlink r:id="rId16">
        <w:r w:rsidR="00B945CB">
          <w:rPr>
            <w:color w:val="0563C1"/>
            <w:u w:val="single"/>
          </w:rPr>
          <w:t>https://doi.org/10.71282/jurmie.v2i1.69</w:t>
        </w:r>
      </w:hyperlink>
    </w:p>
    <w:p w14:paraId="53754276" w14:textId="77777777" w:rsidR="00B945CB" w:rsidRPr="007B223E" w:rsidRDefault="00000000">
      <w:pPr>
        <w:keepLines/>
        <w:spacing w:after="80"/>
        <w:ind w:left="720" w:hanging="720"/>
        <w:jc w:val="left"/>
      </w:pPr>
      <w:r>
        <w:t xml:space="preserve">Gaibulloev, K., Mirzaei, A., Moore, T., &amp; Saad, M. (2025). The effect of fintech financing on firm performance: Evidence from emerging economies. </w:t>
      </w:r>
      <w:r>
        <w:rPr>
          <w:i/>
        </w:rPr>
        <w:t>Journal of International Financial Markets, Institutions and Money, 103</w:t>
      </w:r>
      <w:r>
        <w:t xml:space="preserve">, 102201. </w:t>
      </w:r>
      <w:hyperlink r:id="rId17">
        <w:r w:rsidR="00B945CB">
          <w:rPr>
            <w:color w:val="0563C1"/>
            <w:u w:val="single"/>
          </w:rPr>
          <w:t>https://doi.org/10.1016/j.intfin.2025.102201</w:t>
        </w:r>
      </w:hyperlink>
    </w:p>
    <w:p w14:paraId="37EDFD4D" w14:textId="77777777" w:rsidR="00B945CB" w:rsidRPr="007B223E" w:rsidRDefault="00000000">
      <w:pPr>
        <w:keepLines/>
        <w:spacing w:after="80"/>
        <w:ind w:left="720" w:hanging="720"/>
        <w:jc w:val="left"/>
      </w:pPr>
      <w:r>
        <w:t xml:space="preserve">Kenya National Bureau of Statistics. (2016). </w:t>
      </w:r>
      <w:r>
        <w:rPr>
          <w:i/>
        </w:rPr>
        <w:t>2016 micro, small and medium enterprises survey basic report</w:t>
      </w:r>
      <w:r>
        <w:t xml:space="preserve">. </w:t>
      </w:r>
      <w:hyperlink r:id="rId18">
        <w:r w:rsidR="00B945CB">
          <w:rPr>
            <w:color w:val="0563C1"/>
            <w:u w:val="single"/>
          </w:rPr>
          <w:t>https://www.knbs.or.ke/2016-micro-small-and-medium-enterprises-msme-survey-basic-report/</w:t>
        </w:r>
      </w:hyperlink>
    </w:p>
    <w:p w14:paraId="401B519B" w14:textId="77777777" w:rsidR="00B945CB" w:rsidRPr="007B223E" w:rsidRDefault="00000000">
      <w:pPr>
        <w:keepLines/>
        <w:spacing w:after="80"/>
        <w:ind w:left="720" w:hanging="720"/>
        <w:jc w:val="left"/>
      </w:pPr>
      <w:r>
        <w:t xml:space="preserve">Kenya National Bureau of Statistics. (2022). </w:t>
      </w:r>
      <w:r>
        <w:rPr>
          <w:i/>
        </w:rPr>
        <w:t>Economic survey 2022</w:t>
      </w:r>
      <w:r>
        <w:t xml:space="preserve">. </w:t>
      </w:r>
      <w:hyperlink r:id="rId19">
        <w:r w:rsidR="00B945CB">
          <w:rPr>
            <w:color w:val="0563C1"/>
            <w:u w:val="single"/>
          </w:rPr>
          <w:t>https://www.knbs.or.ke/wp-content/uploads/2023/09/2022-Economic-Survey.pdf</w:t>
        </w:r>
      </w:hyperlink>
    </w:p>
    <w:p w14:paraId="731690F4" w14:textId="77777777" w:rsidR="00B945CB" w:rsidRPr="007B223E" w:rsidRDefault="00000000">
      <w:pPr>
        <w:keepLines/>
        <w:spacing w:after="80"/>
        <w:ind w:left="720" w:hanging="720"/>
        <w:jc w:val="left"/>
        <w:rPr>
          <w:szCs w:val="24"/>
        </w:rPr>
      </w:pPr>
      <w:r>
        <w:t xml:space="preserve">Lemma, T. T., &amp; Mlilo, M. (2026). Mobile money usage and performance of women-owned enterprises: Evidence from Kenya. </w:t>
      </w:r>
      <w:r>
        <w:rPr>
          <w:i/>
        </w:rPr>
        <w:t>Investment Analysts Journal, 55</w:t>
      </w:r>
      <w:r>
        <w:t xml:space="preserve">(1), 87–107. </w:t>
      </w:r>
      <w:hyperlink r:id="rId20">
        <w:r w:rsidR="00B945CB">
          <w:rPr>
            <w:color w:val="0563C1"/>
            <w:u w:val="single"/>
          </w:rPr>
          <w:t>https://doi.org/10.1080/10293523.2025.2503099</w:t>
        </w:r>
      </w:hyperlink>
    </w:p>
    <w:p w14:paraId="2F219F6E" w14:textId="77777777" w:rsidR="00B945CB" w:rsidRPr="007B223E" w:rsidRDefault="00B945CB">
      <w:pPr>
        <w:keepLines/>
        <w:spacing w:after="80"/>
        <w:ind w:left="720" w:hanging="720"/>
        <w:jc w:val="left"/>
        <w:rPr>
          <w:szCs w:val="24"/>
        </w:rPr>
      </w:pPr>
      <w:r>
        <w:t xml:space="preserve">Marcel, T., &amp; Akims, M. A. (2026). Cashless payment and financial performance of selected small and medium enterprises in Nyarugenge District, Rwanda. </w:t>
      </w:r>
      <w:r>
        <w:rPr>
          <w:i/>
        </w:rPr>
        <w:t>Journal of Finance and Accounting, 10</w:t>
      </w:r>
      <w:r>
        <w:t xml:space="preserve">(5), 17–41. </w:t>
      </w:r>
      <w:hyperlink r:id="rId21">
        <w:r>
          <w:rPr>
            <w:color w:val="0563C1"/>
            <w:u w:val="single"/>
          </w:rPr>
          <w:t>https://doi.org/10.53819/81018102t2589</w:t>
        </w:r>
      </w:hyperlink>
    </w:p>
    <w:p w14:paraId="43C3E530" w14:textId="77777777" w:rsidR="00B945CB" w:rsidRPr="007B223E" w:rsidRDefault="00000000">
      <w:pPr>
        <w:keepLines/>
        <w:spacing w:after="80"/>
        <w:ind w:left="720" w:hanging="720"/>
        <w:jc w:val="left"/>
      </w:pPr>
      <w:r>
        <w:t xml:space="preserve">Marshall, A. (1890). </w:t>
      </w:r>
      <w:r>
        <w:rPr>
          <w:i/>
        </w:rPr>
        <w:t>Principles of economics</w:t>
      </w:r>
      <w:r>
        <w:t xml:space="preserve">. Macmillan. </w:t>
      </w:r>
      <w:hyperlink r:id="rId22">
        <w:r w:rsidR="00B945CB">
          <w:rPr>
            <w:color w:val="0563C1"/>
            <w:u w:val="single"/>
          </w:rPr>
          <w:t>https://www.gutenberg.org/ebooks/5219</w:t>
        </w:r>
      </w:hyperlink>
    </w:p>
    <w:p w14:paraId="4D3C48B7" w14:textId="77777777" w:rsidR="00B945CB" w:rsidRPr="007B223E" w:rsidRDefault="00000000">
      <w:pPr>
        <w:keepLines/>
        <w:spacing w:after="80"/>
        <w:ind w:left="720" w:hanging="720"/>
        <w:jc w:val="left"/>
      </w:pPr>
      <w:r>
        <w:t xml:space="preserve">Mbiti, I., &amp; Weil, D. N. (2016). Mobile banking: The impact of M-Pesa in Kenya. In S. Edwards, S. Johnson, &amp; D. N. Weil (Eds.), </w:t>
      </w:r>
      <w:r>
        <w:rPr>
          <w:i/>
        </w:rPr>
        <w:t>African successes, volume III: Modernization and development</w:t>
      </w:r>
      <w:r>
        <w:t xml:space="preserve"> (pp. 247–294). University of Chicago Press. </w:t>
      </w:r>
      <w:hyperlink r:id="rId23">
        <w:r w:rsidR="00B945CB">
          <w:rPr>
            <w:color w:val="0563C1"/>
            <w:u w:val="single"/>
          </w:rPr>
          <w:t>https://doi.org/10.7208/chicago/9780226315867.003.0007</w:t>
        </w:r>
      </w:hyperlink>
    </w:p>
    <w:p w14:paraId="1CBE6C00" w14:textId="77777777" w:rsidR="00B945CB" w:rsidRPr="007B223E" w:rsidRDefault="00000000">
      <w:pPr>
        <w:keepLines/>
        <w:spacing w:after="80"/>
        <w:ind w:left="720" w:hanging="720"/>
        <w:jc w:val="left"/>
      </w:pPr>
      <w:r>
        <w:lastRenderedPageBreak/>
        <w:t xml:space="preserve">McCusker, K., &amp; Gunaydin, S. (2015). Research using qualitative, quantitative or mixed methods and choice based on the research. </w:t>
      </w:r>
      <w:r>
        <w:rPr>
          <w:i/>
        </w:rPr>
        <w:t>Perfusion, 30</w:t>
      </w:r>
      <w:r>
        <w:t xml:space="preserve">(7), 537–542. </w:t>
      </w:r>
      <w:hyperlink r:id="rId24">
        <w:r w:rsidR="00B945CB">
          <w:rPr>
            <w:color w:val="0563C1"/>
            <w:u w:val="single"/>
          </w:rPr>
          <w:t>https://doi.org/10.1177/0267659114559116</w:t>
        </w:r>
      </w:hyperlink>
    </w:p>
    <w:p w14:paraId="5041F578" w14:textId="77777777" w:rsidR="00B945CB" w:rsidRPr="007B223E" w:rsidRDefault="00000000">
      <w:pPr>
        <w:keepLines/>
        <w:spacing w:after="80"/>
        <w:ind w:left="720" w:hanging="720"/>
        <w:jc w:val="left"/>
      </w:pPr>
      <w:r>
        <w:t xml:space="preserve">Mosoti, J., Wafula, J., &amp; Nyangau, A. (2024). Firm size, mobile banking technology and financial performance of microfinance institutions in Kenya. </w:t>
      </w:r>
      <w:r>
        <w:rPr>
          <w:i/>
        </w:rPr>
        <w:t>International Journal of Economics, Commerce and Management, 12</w:t>
      </w:r>
      <w:r>
        <w:t xml:space="preserve">(8), 144–161. </w:t>
      </w:r>
      <w:hyperlink r:id="rId25">
        <w:r w:rsidR="00B945CB">
          <w:rPr>
            <w:color w:val="0563C1"/>
            <w:u w:val="single"/>
          </w:rPr>
          <w:t>https://ijecm.co.uk/wp-content/uploads/2024/08/1288.pdf</w:t>
        </w:r>
      </w:hyperlink>
    </w:p>
    <w:p w14:paraId="0D72E2A6" w14:textId="77777777" w:rsidR="00B945CB" w:rsidRPr="007B223E" w:rsidRDefault="00000000">
      <w:pPr>
        <w:keepLines/>
        <w:spacing w:after="80"/>
        <w:ind w:left="720" w:hanging="720"/>
        <w:jc w:val="left"/>
      </w:pPr>
      <w:r>
        <w:t xml:space="preserve">Mushi, H. M. (2024). Digital marketing strategies and SMEs performance in Tanzania: Insights, impact, and implications. </w:t>
      </w:r>
      <w:r>
        <w:rPr>
          <w:i/>
        </w:rPr>
        <w:t>Cogent Business &amp; Management, 11</w:t>
      </w:r>
      <w:r>
        <w:t xml:space="preserve">(1), Article 2415533. </w:t>
      </w:r>
      <w:hyperlink r:id="rId26">
        <w:r w:rsidR="00B945CB">
          <w:rPr>
            <w:color w:val="0563C1"/>
            <w:u w:val="single"/>
          </w:rPr>
          <w:t>https://doi.org/10.1080/23311975.2024.2415533</w:t>
        </w:r>
      </w:hyperlink>
    </w:p>
    <w:p w14:paraId="54E6A3AA" w14:textId="77777777" w:rsidR="00B945CB" w:rsidRPr="007B223E" w:rsidRDefault="00B945CB">
      <w:pPr>
        <w:keepLines/>
        <w:spacing w:after="80"/>
        <w:ind w:left="720" w:hanging="720"/>
        <w:jc w:val="left"/>
        <w:rPr>
          <w:szCs w:val="24"/>
        </w:rPr>
      </w:pPr>
      <w:r>
        <w:t xml:space="preserve">Naira, T. T., &amp; Akims, M. A. (2026). Effect of payment services on financial performance of Bank of Kigali PLC. </w:t>
      </w:r>
      <w:r>
        <w:rPr>
          <w:i/>
        </w:rPr>
        <w:t>Journal of Finance and Accounting, 10</w:t>
      </w:r>
      <w:r>
        <w:t xml:space="preserve">(3), 1–22. </w:t>
      </w:r>
      <w:hyperlink r:id="rId27">
        <w:r>
          <w:rPr>
            <w:color w:val="0563C1"/>
            <w:u w:val="single"/>
          </w:rPr>
          <w:t>https://doi.org/10.53819/81018102t2553</w:t>
        </w:r>
      </w:hyperlink>
    </w:p>
    <w:p w14:paraId="0B6DBCEB" w14:textId="77777777" w:rsidR="00B945CB" w:rsidRPr="007B223E" w:rsidRDefault="00000000">
      <w:pPr>
        <w:keepLines/>
        <w:spacing w:after="80"/>
        <w:ind w:left="720" w:hanging="720"/>
        <w:jc w:val="left"/>
      </w:pPr>
      <w:r>
        <w:t xml:space="preserve">Nairobi City County. (2018). </w:t>
      </w:r>
      <w:r>
        <w:rPr>
          <w:i/>
        </w:rPr>
        <w:t>County integrated development plan 2018–2022</w:t>
      </w:r>
      <w:r>
        <w:t xml:space="preserve">. </w:t>
      </w:r>
      <w:hyperlink r:id="rId28">
        <w:r w:rsidR="00B945CB">
          <w:rPr>
            <w:color w:val="0563C1"/>
            <w:u w:val="single"/>
          </w:rPr>
          <w:t>https://devolution.go.ke/sites/default/files/2024-03/Nairobi-CIDP-2018-2022_0.pdf</w:t>
        </w:r>
      </w:hyperlink>
    </w:p>
    <w:p w14:paraId="0BF54935" w14:textId="77777777" w:rsidR="00B945CB" w:rsidRPr="007B223E" w:rsidRDefault="00000000">
      <w:pPr>
        <w:keepLines/>
        <w:spacing w:after="80"/>
        <w:ind w:left="720" w:hanging="720"/>
        <w:jc w:val="left"/>
      </w:pPr>
      <w:r>
        <w:t xml:space="preserve">Ndia, K. K., &amp; Omagwa, J. (2025). Financial technology and profitability of small and medium enterprises in Nairobi City County, Kenya. </w:t>
      </w:r>
      <w:r>
        <w:rPr>
          <w:i/>
        </w:rPr>
        <w:t>International Journal of Management and Commerce Innovations, 13</w:t>
      </w:r>
      <w:r>
        <w:t xml:space="preserve">(1), 20–27. </w:t>
      </w:r>
      <w:hyperlink r:id="rId29">
        <w:r w:rsidR="00B945CB">
          <w:rPr>
            <w:color w:val="0563C1"/>
            <w:u w:val="single"/>
          </w:rPr>
          <w:t>https://doi.org/10.5281/zenodo.15181079</w:t>
        </w:r>
      </w:hyperlink>
    </w:p>
    <w:p w14:paraId="5C0634D1" w14:textId="77777777" w:rsidR="00B945CB" w:rsidRPr="007B223E" w:rsidRDefault="00000000">
      <w:pPr>
        <w:keepLines/>
        <w:spacing w:after="80"/>
        <w:ind w:left="720" w:hanging="720"/>
        <w:jc w:val="left"/>
      </w:pPr>
      <w:r>
        <w:t xml:space="preserve">Ochieng’, K. I. (2022). </w:t>
      </w:r>
      <w:r>
        <w:rPr>
          <w:i/>
        </w:rPr>
        <w:t>Impact of internet banking on financial performance of commercial banks in Kenya</w:t>
      </w:r>
      <w:r>
        <w:t xml:space="preserve"> [Master’s project, United States International University Africa]. </w:t>
      </w:r>
      <w:hyperlink r:id="rId30">
        <w:r w:rsidR="00B945CB">
          <w:rPr>
            <w:color w:val="0563C1"/>
            <w:u w:val="single"/>
          </w:rPr>
          <w:t>https://erepo.usiu.ac.ke/xmlui/handle/11732/7388</w:t>
        </w:r>
      </w:hyperlink>
    </w:p>
    <w:p w14:paraId="75252976" w14:textId="77777777" w:rsidR="00B945CB" w:rsidRPr="007B223E" w:rsidRDefault="00000000">
      <w:pPr>
        <w:keepLines/>
        <w:spacing w:after="80"/>
        <w:ind w:left="720" w:hanging="720"/>
        <w:jc w:val="left"/>
      </w:pPr>
      <w:r>
        <w:t xml:space="preserve">Ojima, N. (2026). Financial technology investment and the performance of small and medium enterprises in Nigeria: A dynamic panel analysis (2015–2024). </w:t>
      </w:r>
      <w:r>
        <w:rPr>
          <w:i/>
        </w:rPr>
        <w:t>World Journal of Finance and Investment Research, 10</w:t>
      </w:r>
      <w:r>
        <w:t xml:space="preserve">(3), 1–19. </w:t>
      </w:r>
      <w:hyperlink r:id="rId31">
        <w:r w:rsidR="00B945CB">
          <w:rPr>
            <w:color w:val="0563C1"/>
            <w:u w:val="single"/>
          </w:rPr>
          <w:t>https://doi.org/10.56201/wjfir.v10.no3.2026.pg1.19</w:t>
        </w:r>
      </w:hyperlink>
    </w:p>
    <w:p w14:paraId="2DB49785" w14:textId="77777777" w:rsidR="00B945CB" w:rsidRPr="007B223E" w:rsidRDefault="00000000">
      <w:pPr>
        <w:keepLines/>
        <w:spacing w:after="80"/>
        <w:ind w:left="720" w:hanging="720"/>
        <w:jc w:val="left"/>
      </w:pPr>
      <w:r>
        <w:t xml:space="preserve">Penrose, E. T. (1959). </w:t>
      </w:r>
      <w:r>
        <w:rPr>
          <w:i/>
        </w:rPr>
        <w:t>The theory of the growth of the firm</w:t>
      </w:r>
      <w:r>
        <w:t xml:space="preserve">. Basil Blackwell. </w:t>
      </w:r>
      <w:hyperlink r:id="rId32">
        <w:r w:rsidR="00B945CB">
          <w:rPr>
            <w:color w:val="0563C1"/>
            <w:u w:val="single"/>
          </w:rPr>
          <w:t>https://library.strathmore.edu/Record/8061</w:t>
        </w:r>
      </w:hyperlink>
    </w:p>
    <w:p w14:paraId="04258257" w14:textId="77777777" w:rsidR="00B945CB" w:rsidRPr="007B223E" w:rsidRDefault="00000000">
      <w:pPr>
        <w:keepLines/>
        <w:spacing w:after="80"/>
        <w:ind w:left="720" w:hanging="720"/>
        <w:jc w:val="left"/>
        <w:rPr>
          <w:szCs w:val="24"/>
        </w:rPr>
      </w:pPr>
      <w:r>
        <w:lastRenderedPageBreak/>
        <w:t xml:space="preserve">Pyoko, O. M., Akims, M. A., Nyachae, S. M., &amp; Mbugua, L. (2023a). Evaluating the nexus between digital transformation and financial inclusion: A fresh insight from small and medium enterprises in Kenya. </w:t>
      </w:r>
      <w:r>
        <w:rPr>
          <w:i/>
        </w:rPr>
        <w:t>Asian Research Journal of Arts &amp; Social Sciences, 21</w:t>
      </w:r>
      <w:r>
        <w:t xml:space="preserve">(4), 64–71. </w:t>
      </w:r>
      <w:hyperlink r:id="rId33">
        <w:r w:rsidR="00B945CB">
          <w:rPr>
            <w:color w:val="0563C1"/>
            <w:u w:val="single"/>
          </w:rPr>
          <w:t>https://doi.org/10.9734/arjass/2023/v21i4493</w:t>
        </w:r>
      </w:hyperlink>
    </w:p>
    <w:p w14:paraId="2E05FFD9" w14:textId="77777777" w:rsidR="00B945CB" w:rsidRPr="007B223E" w:rsidRDefault="00000000">
      <w:pPr>
        <w:keepLines/>
        <w:spacing w:after="80"/>
        <w:ind w:left="720" w:hanging="720"/>
        <w:jc w:val="left"/>
      </w:pPr>
      <w:r>
        <w:t xml:space="preserve">Pyoko, O. M., Akims, M. A., Nyachae, S. M., &amp; Mbugua, L. (2023b). Financial technology and financial inclusion of small and medium enterprises in Kenya: Do government regulations really matter? </w:t>
      </w:r>
      <w:r>
        <w:rPr>
          <w:i/>
        </w:rPr>
        <w:t>Journal of Finance and Accounting, 7</w:t>
      </w:r>
      <w:r>
        <w:t xml:space="preserve">(8), 34–46. </w:t>
      </w:r>
      <w:hyperlink r:id="rId34">
        <w:r w:rsidR="00B945CB">
          <w:rPr>
            <w:color w:val="0563C1"/>
            <w:u w:val="single"/>
          </w:rPr>
          <w:t>https://doi.org/10.53819/81018102t4210</w:t>
        </w:r>
      </w:hyperlink>
    </w:p>
    <w:p w14:paraId="3735032C" w14:textId="77777777" w:rsidR="00B945CB" w:rsidRPr="007B223E" w:rsidRDefault="00000000">
      <w:pPr>
        <w:keepLines/>
        <w:spacing w:after="80"/>
        <w:ind w:left="720" w:hanging="720"/>
        <w:jc w:val="left"/>
        <w:rPr>
          <w:szCs w:val="24"/>
        </w:rPr>
      </w:pPr>
      <w:r>
        <w:t xml:space="preserve">Pyoko, O. M., Akims, M. A., Nyachae, S. M., &amp; Mbugua, L. (2023c). Mobile phone technology, agency banking services, online banking services and financial inclusion of small and medium enterprises in Kenya. </w:t>
      </w:r>
      <w:r>
        <w:rPr>
          <w:i/>
        </w:rPr>
        <w:t>Asian Journal of Economics, Business and Accounting, 23</w:t>
      </w:r>
      <w:r>
        <w:t xml:space="preserve">(22), 422–434. </w:t>
      </w:r>
      <w:hyperlink r:id="rId35">
        <w:r w:rsidR="00B945CB">
          <w:rPr>
            <w:color w:val="0563C1"/>
            <w:u w:val="single"/>
          </w:rPr>
          <w:t>https://doi.org/10.9734/ajeba/2023/v23i221162</w:t>
        </w:r>
      </w:hyperlink>
    </w:p>
    <w:p w14:paraId="07C77293" w14:textId="77777777" w:rsidR="00B945CB" w:rsidRPr="007B223E" w:rsidRDefault="00000000">
      <w:pPr>
        <w:keepLines/>
        <w:spacing w:after="80"/>
        <w:ind w:left="720" w:hanging="720"/>
        <w:jc w:val="left"/>
        <w:rPr>
          <w:szCs w:val="24"/>
        </w:rPr>
      </w:pPr>
      <w:r>
        <w:t xml:space="preserve">Rahaman, M. A., Sarker, M., &amp; Chowdhury, S. (2022). Online banking and bank branding commitment: A structural equation model examines the impact of e-customer operations and perceived usefulness. </w:t>
      </w:r>
      <w:r>
        <w:rPr>
          <w:i/>
        </w:rPr>
        <w:t>International Journal of Innovative Analyses and Emerging Technology, 2</w:t>
      </w:r>
      <w:r>
        <w:t xml:space="preserve">(8), 43–51. </w:t>
      </w:r>
      <w:hyperlink r:id="rId36">
        <w:r w:rsidR="00B945CB">
          <w:rPr>
            <w:color w:val="0563C1"/>
            <w:u w:val="single"/>
          </w:rPr>
          <w:t>https://www.researchgate.net/publication/363116030</w:t>
        </w:r>
      </w:hyperlink>
    </w:p>
    <w:p w14:paraId="09831EBD" w14:textId="77777777" w:rsidR="00B945CB" w:rsidRPr="007B223E" w:rsidRDefault="00000000">
      <w:pPr>
        <w:keepLines/>
        <w:spacing w:after="80"/>
        <w:ind w:left="720" w:hanging="720"/>
        <w:jc w:val="left"/>
      </w:pPr>
      <w:r>
        <w:t xml:space="preserve">Roberte, L. (2026, July 16). What is online banking? Definition and how it works. </w:t>
      </w:r>
      <w:r>
        <w:rPr>
          <w:i/>
        </w:rPr>
        <w:t>Investopedia</w:t>
      </w:r>
      <w:r>
        <w:t xml:space="preserve">. </w:t>
      </w:r>
      <w:hyperlink r:id="rId37">
        <w:r w:rsidR="00B945CB">
          <w:rPr>
            <w:color w:val="0563C1"/>
            <w:u w:val="single"/>
          </w:rPr>
          <w:t>https://www.investopedia.com/terms/o/onlinebanking.asp</w:t>
        </w:r>
      </w:hyperlink>
    </w:p>
    <w:p w14:paraId="063EE805" w14:textId="77777777" w:rsidR="00B945CB" w:rsidRPr="007B223E" w:rsidRDefault="00000000">
      <w:pPr>
        <w:keepLines/>
        <w:spacing w:after="80"/>
        <w:ind w:left="720" w:hanging="720"/>
        <w:jc w:val="left"/>
      </w:pPr>
      <w:r>
        <w:t xml:space="preserve">Sarker, B. K., Sarker, D. K., Shaha, S. R., Saha, D., &amp; Sarker, S. (2024). The effect of mobile banking on the financial performance of commercial banks in Bangladesh. </w:t>
      </w:r>
      <w:r>
        <w:rPr>
          <w:i/>
        </w:rPr>
        <w:t>International Journal of Research and Scientific Innovation, 11</w:t>
      </w:r>
      <w:r>
        <w:t xml:space="preserve">(9), 482–494. </w:t>
      </w:r>
      <w:hyperlink r:id="rId38">
        <w:r w:rsidR="00B945CB">
          <w:rPr>
            <w:color w:val="0563C1"/>
            <w:u w:val="single"/>
          </w:rPr>
          <w:t>https://doi.org/10.51244/IJRSI.2024.1109045</w:t>
        </w:r>
      </w:hyperlink>
    </w:p>
    <w:p w14:paraId="3657B380" w14:textId="77777777" w:rsidR="00B945CB" w:rsidRPr="007B223E" w:rsidRDefault="00000000">
      <w:pPr>
        <w:keepLines/>
        <w:spacing w:after="80"/>
        <w:ind w:left="720" w:hanging="720"/>
        <w:jc w:val="left"/>
      </w:pPr>
      <w:r>
        <w:t xml:space="preserve">Tiwasing, P., Addae, J. A., Naab, F. Z., &amp; Naab, G. Z. (2024). Do mobile money services enhance business performance? An empirical analysis of Kenyan businesses. </w:t>
      </w:r>
      <w:r>
        <w:rPr>
          <w:i/>
        </w:rPr>
        <w:t>The International Journal of Entrepreneurship and Innovation</w:t>
      </w:r>
      <w:r>
        <w:t xml:space="preserve">. Advance online publication. </w:t>
      </w:r>
      <w:hyperlink r:id="rId39">
        <w:r w:rsidR="00B945CB">
          <w:rPr>
            <w:color w:val="0563C1"/>
            <w:u w:val="single"/>
          </w:rPr>
          <w:t>https://doi.org/10.1177/14657503241230946</w:t>
        </w:r>
      </w:hyperlink>
    </w:p>
    <w:p w14:paraId="5D8E0B5E" w14:textId="77777777" w:rsidR="00B945CB" w:rsidRPr="007B223E" w:rsidRDefault="00000000">
      <w:pPr>
        <w:keepLines/>
        <w:spacing w:after="80"/>
        <w:ind w:left="720" w:hanging="720"/>
        <w:jc w:val="left"/>
      </w:pPr>
      <w:r>
        <w:t xml:space="preserve">Waris, A., Nazir, S., Khan, S., Ali, M. Z., &amp; Gorsi, M. S. R. (2024). Effects of mobile money services on the performance of small and medium size enterprises. </w:t>
      </w:r>
      <w:r>
        <w:rPr>
          <w:i/>
        </w:rPr>
        <w:t>American Journal of Industrial and Business Management, 14</w:t>
      </w:r>
      <w:r>
        <w:t xml:space="preserve">(4), 537–552. </w:t>
      </w:r>
      <w:hyperlink r:id="rId40">
        <w:r w:rsidR="00B945CB">
          <w:rPr>
            <w:color w:val="0563C1"/>
            <w:u w:val="single"/>
          </w:rPr>
          <w:t>https://doi.org/10.4236/ajibm.2024.144027</w:t>
        </w:r>
      </w:hyperlink>
    </w:p>
    <w:p w14:paraId="2D56F522" w14:textId="77777777" w:rsidR="00B945CB" w:rsidRPr="007B223E" w:rsidRDefault="00000000">
      <w:pPr>
        <w:keepLines/>
        <w:spacing w:after="80"/>
        <w:ind w:left="720" w:hanging="720"/>
        <w:jc w:val="left"/>
      </w:pPr>
      <w:r>
        <w:lastRenderedPageBreak/>
        <w:t xml:space="preserve">Warsame, A. O., Wamugo, L., &amp; Musau, S. (2025). Electronic banking channels and financial inclusion among small and medium-sized enterprises in Mogadishu, Somalia. </w:t>
      </w:r>
      <w:r>
        <w:rPr>
          <w:i/>
        </w:rPr>
        <w:t>Asian Journal of Economics, Finance and Management, 7</w:t>
      </w:r>
      <w:r>
        <w:t xml:space="preserve">(1), 284–296. </w:t>
      </w:r>
      <w:hyperlink r:id="rId41">
        <w:r w:rsidR="00B945CB">
          <w:rPr>
            <w:color w:val="0563C1"/>
            <w:u w:val="single"/>
          </w:rPr>
          <w:t>https://doi.org/10.56557/ajefm/2025/v7i1273</w:t>
        </w:r>
      </w:hyperlink>
    </w:p>
    <w:p w14:paraId="7C06E6F9" w14:textId="77777777" w:rsidR="00B945CB" w:rsidRDefault="00000000">
      <w:pPr>
        <w:keepLines/>
        <w:spacing w:after="80"/>
        <w:ind w:left="720" w:hanging="720"/>
        <w:jc w:val="left"/>
      </w:pPr>
      <w:r>
        <w:t xml:space="preserve">Wong, R. E. (1975). Profit maximization and alternative theories: A dynamic reconciliation. </w:t>
      </w:r>
      <w:r>
        <w:rPr>
          <w:i/>
        </w:rPr>
        <w:t>The American Economic Review, 65</w:t>
      </w:r>
      <w:r>
        <w:t xml:space="preserve">(4), 689–694. </w:t>
      </w:r>
      <w:hyperlink r:id="rId42">
        <w:r w:rsidR="00B945CB">
          <w:rPr>
            <w:color w:val="0563C1"/>
            <w:u w:val="single"/>
          </w:rPr>
          <w:t>https://www.jstor.org/stable/1806544</w:t>
        </w:r>
      </w:hyperlink>
    </w:p>
    <w:p w14:paraId="2FD7E58E" w14:textId="77777777" w:rsidR="00B945CB" w:rsidRDefault="00B945CB">
      <w:pPr>
        <w:rPr>
          <w:b/>
          <w:bCs/>
          <w:color w:val="EE0000"/>
          <w:szCs w:val="24"/>
        </w:rPr>
      </w:pPr>
    </w:p>
    <w:sectPr w:rsidR="00B945CB">
      <w:headerReference w:type="default" r:id="rId43"/>
      <w:footerReference w:type="default" r:id="rId44"/>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94BE" w14:textId="77777777" w:rsidR="00711F5A" w:rsidRDefault="00711F5A">
      <w:pPr>
        <w:spacing w:after="0" w:line="240" w:lineRule="auto"/>
      </w:pPr>
      <w:r>
        <w:separator/>
      </w:r>
    </w:p>
  </w:endnote>
  <w:endnote w:type="continuationSeparator" w:id="0">
    <w:p w14:paraId="53A4C37D" w14:textId="77777777" w:rsidR="00711F5A" w:rsidRDefault="00711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2E3F" w14:textId="77777777" w:rsidR="00B945CB" w:rsidRDefault="00B94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909F8" w14:textId="77777777" w:rsidR="00711F5A" w:rsidRDefault="00711F5A">
      <w:pPr>
        <w:spacing w:after="0" w:line="240" w:lineRule="auto"/>
      </w:pPr>
      <w:r>
        <w:separator/>
      </w:r>
    </w:p>
  </w:footnote>
  <w:footnote w:type="continuationSeparator" w:id="0">
    <w:p w14:paraId="14D66F6A" w14:textId="77777777" w:rsidR="00711F5A" w:rsidRDefault="00711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F9C5" w14:textId="77777777" w:rsidR="00B945CB" w:rsidRDefault="00000000">
    <w:pPr>
      <w:pStyle w:val="Header"/>
      <w:rPr>
        <w:lang w:eastAsia="en-US"/>
      </w:rPr>
    </w:pPr>
    <w:r>
      <w:rPr>
        <w:lang w:eastAsia="en-US"/>
      </w:rPr>
      <w:pict w14:anchorId="71E54D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82517" o:spid="_x0000_s1025" type="#_x0000_t136" style="position:absolute;left:0;text-align:left;margin-left:0;margin-top:0;width:593.8pt;height:70.8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0CE9"/>
    <w:multiLevelType w:val="multilevel"/>
    <w:tmpl w:val="D640ED6C"/>
    <w:lvl w:ilvl="0">
      <w:start w:val="1"/>
      <w:numFmt w:val="lowerRoman"/>
      <w:lvlText w:val="%1."/>
      <w:lvlJc w:val="righ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B7F3F84"/>
    <w:multiLevelType w:val="multilevel"/>
    <w:tmpl w:val="DC4E60E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661280487">
    <w:abstractNumId w:val="1"/>
  </w:num>
  <w:num w:numId="2" w16cid:durableId="352997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oNotTrackMoves/>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cwMrcwsDAxNjM2MzFW0lEKTi0uzszPAykwrgUA2ncoSywAAAA="/>
  </w:docVars>
  <w:rsids>
    <w:rsidRoot w:val="00B945CB"/>
    <w:rsid w:val="001026C3"/>
    <w:rsid w:val="001E6595"/>
    <w:rsid w:val="00230D44"/>
    <w:rsid w:val="002858A2"/>
    <w:rsid w:val="005A563C"/>
    <w:rsid w:val="006223BB"/>
    <w:rsid w:val="006B65A1"/>
    <w:rsid w:val="00711F5A"/>
    <w:rsid w:val="007B223E"/>
    <w:rsid w:val="00817F65"/>
    <w:rsid w:val="008459C6"/>
    <w:rsid w:val="008942A3"/>
    <w:rsid w:val="008D1874"/>
    <w:rsid w:val="008F67C1"/>
    <w:rsid w:val="0095438C"/>
    <w:rsid w:val="00996192"/>
    <w:rsid w:val="009E003C"/>
    <w:rsid w:val="00A25AAE"/>
    <w:rsid w:val="00A30A4A"/>
    <w:rsid w:val="00A62B9D"/>
    <w:rsid w:val="00AB0772"/>
    <w:rsid w:val="00B66397"/>
    <w:rsid w:val="00B8121E"/>
    <w:rsid w:val="00B945CB"/>
    <w:rsid w:val="00C54148"/>
    <w:rsid w:val="00D64446"/>
    <w:rsid w:val="00DA1B84"/>
    <w:rsid w:val="00E508A4"/>
    <w:rsid w:val="00E73F6E"/>
    <w:rsid w:val="00E75091"/>
    <w:rsid w:val="00EA47BA"/>
    <w:rsid w:val="00F04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A3CF6"/>
  <w15:docId w15:val="{CFC932E0-D93E-428D-8AD4-8B5009BF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360" w:lineRule="auto"/>
      <w:jc w:val="both"/>
    </w:pPr>
    <w:rPr>
      <w:rFonts w:ascii="Times New Roman" w:eastAsia="Calibri" w:hAnsi="Times New Roman" w:cs="Times New Roman"/>
      <w:sz w:val="24"/>
      <w:szCs w:val="22"/>
      <w:lang w:val="en-US" w:eastAsia="zh-C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unhideWhenUsed/>
    <w:qFormat/>
    <w:pPr>
      <w:keepNext/>
      <w:keepLines/>
      <w:numPr>
        <w:ilvl w:val="1"/>
        <w:numId w:val="1"/>
      </w:numPr>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unhideWhenUsed/>
    <w:qFormat/>
    <w:pPr>
      <w:keepNext/>
      <w:keepLines/>
      <w:numPr>
        <w:ilvl w:val="2"/>
        <w:numId w:val="1"/>
      </w:numPr>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Times New Roman"/>
      <w:color w:val="595959"/>
    </w:rPr>
  </w:style>
  <w:style w:type="paragraph" w:styleId="Heading8">
    <w:name w:val="heading 8"/>
    <w:basedOn w:val="Normal"/>
    <w:next w:val="Normal"/>
    <w:qFormat/>
    <w:pPr>
      <w:keepNext/>
      <w:keepLines/>
      <w:numPr>
        <w:ilvl w:val="7"/>
        <w:numId w:val="1"/>
      </w:numPr>
      <w:spacing w:after="0"/>
      <w:outlineLvl w:val="7"/>
    </w:pPr>
    <w:rPr>
      <w:rFonts w:eastAsia="Times New Roman"/>
      <w:i/>
      <w:iCs/>
      <w:color w:val="272727"/>
    </w:rPr>
  </w:style>
  <w:style w:type="paragraph" w:styleId="Heading9">
    <w:name w:val="heading 9"/>
    <w:basedOn w:val="Normal"/>
    <w:next w:val="Normal"/>
    <w:qFormat/>
    <w:pPr>
      <w:keepNext/>
      <w:keepLines/>
      <w:numPr>
        <w:ilvl w:val="8"/>
        <w:numId w:val="1"/>
      </w:numPr>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libri Light" w:eastAsia="Times New Roman" w:hAnsi="Calibri Light" w:cs="Times New Roman"/>
      <w:color w:val="2F5496"/>
      <w:sz w:val="40"/>
      <w:szCs w:val="40"/>
    </w:rPr>
  </w:style>
  <w:style w:type="character" w:customStyle="1" w:styleId="Heading2Char">
    <w:name w:val="Heading 2 Char"/>
    <w:qFormat/>
    <w:rPr>
      <w:rFonts w:ascii="Calibri Light" w:eastAsia="Times New Roman" w:hAnsi="Calibri Light" w:cs="Times New Roman"/>
      <w:color w:val="2F5496"/>
      <w:sz w:val="32"/>
      <w:szCs w:val="32"/>
    </w:rPr>
  </w:style>
  <w:style w:type="character" w:customStyle="1" w:styleId="Heading3Char">
    <w:name w:val="Heading 3 Char"/>
    <w:qFormat/>
    <w:rPr>
      <w:rFonts w:eastAsia="Times New Roman" w:cs="Times New Roman"/>
      <w:color w:val="2F5496"/>
      <w:sz w:val="28"/>
      <w:szCs w:val="28"/>
    </w:rPr>
  </w:style>
  <w:style w:type="character" w:customStyle="1" w:styleId="Heading4Char">
    <w:name w:val="Heading 4 Char"/>
    <w:qFormat/>
    <w:rPr>
      <w:rFonts w:eastAsia="Times New Roman" w:cs="Times New Roman"/>
      <w:i/>
      <w:iCs/>
      <w:color w:val="2F5496"/>
    </w:rPr>
  </w:style>
  <w:style w:type="character" w:customStyle="1" w:styleId="Heading5Char">
    <w:name w:val="Heading 5 Char"/>
    <w:qFormat/>
    <w:rPr>
      <w:rFonts w:eastAsia="Times New Roman" w:cs="Times New Roman"/>
      <w:color w:val="2F5496"/>
    </w:rPr>
  </w:style>
  <w:style w:type="character" w:customStyle="1" w:styleId="Heading6Char">
    <w:name w:val="Heading 6 Char"/>
    <w:qFormat/>
    <w:rPr>
      <w:rFonts w:eastAsia="Times New Roman" w:cs="Times New Roman"/>
      <w:i/>
      <w:iCs/>
      <w:color w:val="595959"/>
    </w:rPr>
  </w:style>
  <w:style w:type="character" w:customStyle="1" w:styleId="Heading7Char">
    <w:name w:val="Heading 7 Char"/>
    <w:qFormat/>
    <w:rPr>
      <w:rFonts w:eastAsia="Times New Roman" w:cs="Times New Roman"/>
      <w:color w:val="595959"/>
    </w:rPr>
  </w:style>
  <w:style w:type="character" w:customStyle="1" w:styleId="Heading8Char">
    <w:name w:val="Heading 8 Char"/>
    <w:qFormat/>
    <w:rPr>
      <w:rFonts w:eastAsia="Times New Roman" w:cs="Times New Roman"/>
      <w:i/>
      <w:iCs/>
      <w:color w:val="272727"/>
    </w:rPr>
  </w:style>
  <w:style w:type="character" w:customStyle="1" w:styleId="Heading9Char">
    <w:name w:val="Heading 9 Char"/>
    <w:qFormat/>
    <w:rPr>
      <w:rFonts w:eastAsia="Times New Roman" w:cs="Times New Roman"/>
      <w:color w:val="272727"/>
    </w:rPr>
  </w:style>
  <w:style w:type="character" w:customStyle="1" w:styleId="TitleChar">
    <w:name w:val="Title Char"/>
    <w:qFormat/>
    <w:rPr>
      <w:rFonts w:ascii="Calibri Light" w:eastAsia="Times New Roman" w:hAnsi="Calibri Light" w:cs="Times New Roman"/>
      <w:spacing w:val="-10"/>
      <w:kern w:val="2"/>
      <w:sz w:val="56"/>
      <w:szCs w:val="56"/>
    </w:rPr>
  </w:style>
  <w:style w:type="character" w:customStyle="1" w:styleId="SubtitleChar">
    <w:name w:val="Subtitle Char"/>
    <w:qFormat/>
    <w:rPr>
      <w:rFonts w:eastAsia="Times New Roman" w:cs="Times New Roman"/>
      <w:color w:val="595959"/>
      <w:spacing w:val="15"/>
      <w:sz w:val="28"/>
      <w:szCs w:val="28"/>
    </w:rPr>
  </w:style>
  <w:style w:type="character" w:customStyle="1" w:styleId="QuoteChar">
    <w:name w:val="Quote Char"/>
    <w:qFormat/>
    <w:rPr>
      <w:i/>
      <w:iCs/>
      <w:color w:val="404040"/>
    </w:rPr>
  </w:style>
  <w:style w:type="character" w:styleId="IntenseEmphasis">
    <w:name w:val="Intense Emphasis"/>
    <w:qFormat/>
    <w:rPr>
      <w:i/>
      <w:iCs/>
      <w:color w:val="2F5496"/>
    </w:rPr>
  </w:style>
  <w:style w:type="character" w:customStyle="1" w:styleId="IntenseQuoteChar">
    <w:name w:val="Intense Quote Char"/>
    <w:qFormat/>
    <w:rPr>
      <w:i/>
      <w:iCs/>
      <w:color w:val="2F5496"/>
    </w:rPr>
  </w:style>
  <w:style w:type="character" w:styleId="IntenseReference">
    <w:name w:val="Intense Reference"/>
    <w:qFormat/>
    <w:rPr>
      <w:b/>
      <w:bCs/>
      <w:smallCaps/>
      <w:color w:val="2F5496"/>
      <w:spacing w:val="5"/>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character" w:customStyle="1" w:styleId="HeaderChar">
    <w:name w:val="Header Char"/>
    <w:qFormat/>
    <w:rPr>
      <w:rFonts w:ascii="Times New Roman" w:hAnsi="Times New Roman" w:cs="Times New Roman"/>
      <w:sz w:val="24"/>
      <w:szCs w:val="22"/>
      <w:lang w:val="en-US"/>
    </w:rPr>
  </w:style>
  <w:style w:type="character" w:customStyle="1" w:styleId="FooterChar">
    <w:name w:val="Footer Char"/>
    <w:qFormat/>
    <w:rPr>
      <w:rFonts w:ascii="Times New Roman" w:hAnsi="Times New Roman" w:cs="Times New Roman"/>
      <w:sz w:val="24"/>
      <w:szCs w:val="22"/>
      <w:lang w:val="en-US"/>
    </w:rPr>
  </w:style>
  <w:style w:type="paragraph" w:customStyle="1" w:styleId="Heading">
    <w:name w:val="Heading"/>
    <w:basedOn w:val="Normal"/>
    <w:next w:val="Normal"/>
    <w:qFormat/>
    <w:pPr>
      <w:spacing w:after="80" w:line="240" w:lineRule="auto"/>
      <w:contextualSpacing/>
    </w:pPr>
    <w:rPr>
      <w:rFonts w:ascii="Calibri Light" w:eastAsia="Times New Roman" w:hAnsi="Calibri Light"/>
      <w:spacing w:val="-10"/>
      <w:kern w:val="2"/>
      <w:sz w:val="56"/>
      <w:szCs w:val="56"/>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Times New Roman"/>
      <w:color w:val="595959"/>
      <w:spacing w:val="15"/>
      <w:sz w:val="28"/>
      <w:szCs w:val="28"/>
    </w:rPr>
  </w:style>
  <w:style w:type="paragraph" w:styleId="Quote">
    <w:name w:val="Quote"/>
    <w:basedOn w:val="Normal"/>
    <w:next w:val="Normal"/>
    <w:qFormat/>
    <w:pPr>
      <w:spacing w:before="160"/>
      <w:jc w:val="center"/>
    </w:pPr>
    <w:rPr>
      <w:i/>
      <w:iCs/>
      <w:color w:val="404040"/>
    </w:rPr>
  </w:style>
  <w:style w:type="paragraph" w:styleId="ListParagraph">
    <w:name w:val="List Paragraph"/>
    <w:basedOn w:val="Normal"/>
    <w:qFormat/>
    <w:pPr>
      <w:ind w:left="720"/>
      <w:contextualSpacing/>
    </w:pPr>
  </w:style>
  <w:style w:type="paragraph" w:styleId="IntenseQuote">
    <w:name w:val="Intense Quote"/>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ds-markdown-paragraph">
    <w:name w:val="ds-markdown-paragraph"/>
    <w:basedOn w:val="Normal"/>
    <w:qFormat/>
    <w:pPr>
      <w:spacing w:before="280" w:after="280" w:line="240" w:lineRule="auto"/>
      <w:jc w:val="left"/>
    </w:pPr>
    <w:rPr>
      <w:rFonts w:eastAsia="Times New Roman"/>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NormalWeb">
    <w:name w:val="Normal (Web)"/>
    <w:basedOn w:val="Normal"/>
    <w:uiPriority w:val="99"/>
    <w:semiHidden/>
    <w:unhideWhenUsed/>
    <w:rsid w:val="00996192"/>
    <w:pPr>
      <w:suppressAutoHyphens w:val="0"/>
      <w:spacing w:before="100" w:beforeAutospacing="1" w:after="100" w:afterAutospacing="1" w:line="240" w:lineRule="auto"/>
      <w:jc w:val="left"/>
    </w:pPr>
    <w:rPr>
      <w:rFonts w:eastAsia="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entralbank.go.ke/wp-content/uploads/2022/08/2021-Finaccesss-Survey-Report.pdf" TargetMode="External"/><Relationship Id="rId18" Type="http://schemas.openxmlformats.org/officeDocument/2006/relationships/hyperlink" Target="https://www.knbs.or.ke/2016-micro-small-and-medium-enterprises-msme-survey-basic-report/" TargetMode="External"/><Relationship Id="rId26" Type="http://schemas.openxmlformats.org/officeDocument/2006/relationships/hyperlink" Target="https://doi.org/10.1080/23311975.2024.2415533" TargetMode="External"/><Relationship Id="rId39" Type="http://schemas.openxmlformats.org/officeDocument/2006/relationships/hyperlink" Target="https://doi.org/10.1177/14657503241230946" TargetMode="External"/><Relationship Id="rId21" Type="http://schemas.openxmlformats.org/officeDocument/2006/relationships/hyperlink" Target="https://doi.org/10.53819/81018102t2589" TargetMode="External"/><Relationship Id="rId34" Type="http://schemas.openxmlformats.org/officeDocument/2006/relationships/hyperlink" Target="https://doi.org/10.53819/81018102t4210" TargetMode="External"/><Relationship Id="rId42" Type="http://schemas.openxmlformats.org/officeDocument/2006/relationships/hyperlink" Target="https://www.jstor.org/stable/1806544" TargetMode="External"/><Relationship Id="rId7" Type="http://schemas.openxmlformats.org/officeDocument/2006/relationships/hyperlink" Target="https://doi.org/10.56201/ijbfr.v10.no10.2024.pg183.199" TargetMode="External"/><Relationship Id="rId2" Type="http://schemas.openxmlformats.org/officeDocument/2006/relationships/styles" Target="styles.xml"/><Relationship Id="rId16" Type="http://schemas.openxmlformats.org/officeDocument/2006/relationships/hyperlink" Target="https://doi.org/10.71282/jurmie.v2i1.69" TargetMode="External"/><Relationship Id="rId29" Type="http://schemas.openxmlformats.org/officeDocument/2006/relationships/hyperlink" Target="https://doi.org/10.5281/zenodo.1518107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67/j.uscm.2024.10.004" TargetMode="External"/><Relationship Id="rId24" Type="http://schemas.openxmlformats.org/officeDocument/2006/relationships/hyperlink" Target="https://doi.org/10.1177/0267659114559116" TargetMode="External"/><Relationship Id="rId32" Type="http://schemas.openxmlformats.org/officeDocument/2006/relationships/hyperlink" Target="https://library.strathmore.edu/Record/8061" TargetMode="External"/><Relationship Id="rId37" Type="http://schemas.openxmlformats.org/officeDocument/2006/relationships/hyperlink" Target="https://www.investopedia.com/terms/o/onlinebanking.asp" TargetMode="External"/><Relationship Id="rId40" Type="http://schemas.openxmlformats.org/officeDocument/2006/relationships/hyperlink" Target="https://doi.org/10.4236/ajibm.2024.144027"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596/978-1-4648-1897-4" TargetMode="External"/><Relationship Id="rId23" Type="http://schemas.openxmlformats.org/officeDocument/2006/relationships/hyperlink" Target="https://doi.org/10.7208/chicago/9780226315867.003.0007" TargetMode="External"/><Relationship Id="rId28" Type="http://schemas.openxmlformats.org/officeDocument/2006/relationships/hyperlink" Target="https://devolution.go.ke/sites/default/files/2024-03/Nairobi-CIDP-2018-2022_0.pdf" TargetMode="External"/><Relationship Id="rId36" Type="http://schemas.openxmlformats.org/officeDocument/2006/relationships/hyperlink" Target="https://www.researchgate.net/publication/363116030" TargetMode="External"/><Relationship Id="rId10" Type="http://schemas.openxmlformats.org/officeDocument/2006/relationships/hyperlink" Target="https://scholar.ucu.ac.ug/items/dabe3a76-aac2-4438-a4a3-e4d5973daad4" TargetMode="External"/><Relationship Id="rId19" Type="http://schemas.openxmlformats.org/officeDocument/2006/relationships/hyperlink" Target="https://www.knbs.or.ke/wp-content/uploads/2023/09/2022-Economic-Survey.pdf" TargetMode="External"/><Relationship Id="rId31" Type="http://schemas.openxmlformats.org/officeDocument/2006/relationships/hyperlink" Target="https://doi.org/10.56201/wjfir.v10.no3.2026.pg1.19"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64633/wissj.v9i4.01" TargetMode="External"/><Relationship Id="rId14" Type="http://schemas.openxmlformats.org/officeDocument/2006/relationships/hyperlink" Target="https://doi.org/10.2307/249008" TargetMode="External"/><Relationship Id="rId22" Type="http://schemas.openxmlformats.org/officeDocument/2006/relationships/hyperlink" Target="https://www.gutenberg.org/ebooks/5219" TargetMode="External"/><Relationship Id="rId27" Type="http://schemas.openxmlformats.org/officeDocument/2006/relationships/hyperlink" Target="https://doi.org/10.53819/81018102t2553" TargetMode="External"/><Relationship Id="rId30" Type="http://schemas.openxmlformats.org/officeDocument/2006/relationships/hyperlink" Target="https://erepo.usiu.ac.ke/xmlui/handle/11732/7388" TargetMode="External"/><Relationship Id="rId35" Type="http://schemas.openxmlformats.org/officeDocument/2006/relationships/hyperlink" Target="https://doi.org/10.9734/ajeba/2023/v23i221162" TargetMode="External"/><Relationship Id="rId43" Type="http://schemas.openxmlformats.org/officeDocument/2006/relationships/header" Target="header1.xml"/><Relationship Id="rId8" Type="http://schemas.openxmlformats.org/officeDocument/2006/relationships/hyperlink" Target="https://doi.org/10.9734/ajeba/2025/v25i31709" TargetMode="External"/><Relationship Id="rId3" Type="http://schemas.openxmlformats.org/officeDocument/2006/relationships/settings" Target="settings.xml"/><Relationship Id="rId12" Type="http://schemas.openxmlformats.org/officeDocument/2006/relationships/hyperlink" Target="https://doi.org/10.9734/ajeba/2025/v25i11656" TargetMode="External"/><Relationship Id="rId17" Type="http://schemas.openxmlformats.org/officeDocument/2006/relationships/hyperlink" Target="https://doi.org/10.1016/j.intfin.2025.102201" TargetMode="External"/><Relationship Id="rId25" Type="http://schemas.openxmlformats.org/officeDocument/2006/relationships/hyperlink" Target="https://ijecm.co.uk/wp-content/uploads/2024/08/1288.pdf" TargetMode="External"/><Relationship Id="rId33" Type="http://schemas.openxmlformats.org/officeDocument/2006/relationships/hyperlink" Target="https://doi.org/10.9734/arjass/2023/v21i4493" TargetMode="External"/><Relationship Id="rId38" Type="http://schemas.openxmlformats.org/officeDocument/2006/relationships/hyperlink" Target="https://doi.org/10.51244/IJRSI.2024.1109045" TargetMode="External"/><Relationship Id="rId46" Type="http://schemas.openxmlformats.org/officeDocument/2006/relationships/theme" Target="theme/theme1.xml"/><Relationship Id="rId20" Type="http://schemas.openxmlformats.org/officeDocument/2006/relationships/hyperlink" Target="https://doi.org/10.1080/10293523.2025.2503099" TargetMode="External"/><Relationship Id="rId41" Type="http://schemas.openxmlformats.org/officeDocument/2006/relationships/hyperlink" Target="https://doi.org/10.56557/ajefm/2025/v7i1273"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1622</TotalTime>
  <Pages>21</Pages>
  <Words>6922</Words>
  <Characters>39458</Characters>
  <Application>Microsoft Office Word</Application>
  <DocSecurity>0</DocSecurity>
  <Lines>328</Lines>
  <Paragraphs>92</Paragraphs>
  <ScaleCrop>false</ScaleCrop>
  <Company/>
  <LinksUpToDate>false</LinksUpToDate>
  <CharactersWithSpaces>46288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Dorcas</dc:creator>
  <cp:keywords/>
  <dc:description/>
  <cp:lastModifiedBy>SDI 1158</cp:lastModifiedBy>
  <cp:revision>63</cp:revision>
  <dcterms:created xsi:type="dcterms:W3CDTF">2026-10-20T12:33:00Z</dcterms:created>
  <dcterms:modified xsi:type="dcterms:W3CDTF">2026-10-31T07:24:00Z</dcterms:modified>
  <dc:language>en-US</dc:language>
</cp:coreProperties>
</file>