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49A49" w14:textId="77777777" w:rsidR="00946C83" w:rsidRDefault="00000000">
      <w:pPr>
        <w:pStyle w:val="NormalWeb"/>
        <w:spacing w:before="0" w:line="360" w:lineRule="auto"/>
        <w:jc w:val="center"/>
      </w:pPr>
      <w:r>
        <w:rPr>
          <w:b/>
        </w:rPr>
        <w:t>TECHNOLOGICAL, HUMAN-CAPACITY, ORGANIZATIONAL AND POLICY FACTORS ON AUTOMATION OF MONITORING AND EVALUATION SYSTEMS IN HEALTH PROJECTS: A CASE STUDY OF NAKURU COUNTY, KENYA</w:t>
      </w:r>
    </w:p>
    <w:p w14:paraId="66FFA906" w14:textId="77777777" w:rsidR="00946C83" w:rsidRDefault="00946C83">
      <w:pPr>
        <w:spacing w:line="360" w:lineRule="auto"/>
        <w:rPr>
          <w:b/>
          <w:szCs w:val="24"/>
        </w:rPr>
      </w:pPr>
    </w:p>
    <w:p w14:paraId="79044875" w14:textId="77777777" w:rsidR="00946C83" w:rsidRDefault="00000000">
      <w:pPr>
        <w:pStyle w:val="Heading1"/>
        <w:spacing w:before="0" w:after="160" w:line="240" w:lineRule="auto"/>
        <w:jc w:val="center"/>
        <w:rPr>
          <w:rFonts w:ascii="Times New Roman" w:hAnsi="Times New Roman"/>
          <w:color w:val="000000"/>
          <w:sz w:val="24"/>
          <w:szCs w:val="24"/>
        </w:rPr>
      </w:pPr>
      <w:r>
        <w:rPr>
          <w:rFonts w:ascii="Times New Roman" w:hAnsi="Times New Roman"/>
          <w:color w:val="000000"/>
          <w:sz w:val="24"/>
          <w:szCs w:val="24"/>
        </w:rPr>
        <w:t>ABSTRACT</w:t>
      </w:r>
    </w:p>
    <w:p w14:paraId="345CA551" w14:textId="77777777" w:rsidR="00946C83" w:rsidRDefault="00000000">
      <w:pPr>
        <w:pStyle w:val="NormalWeb"/>
        <w:jc w:val="both"/>
        <w:rPr>
          <w:sz w:val="2"/>
          <w:szCs w:val="2"/>
        </w:rPr>
      </w:pPr>
      <w:r>
        <w:t xml:space="preserve">This study aims to evaluate how technological infrastructure, human capacity, </w:t>
      </w:r>
      <w:proofErr w:type="spellStart"/>
      <w:r>
        <w:t>organisational</w:t>
      </w:r>
      <w:proofErr w:type="spellEnd"/>
      <w:r>
        <w:t xml:space="preserve"> factors and policy-regulatory frameworks i</w:t>
      </w:r>
      <w:r>
        <w:rPr>
          <w:highlight w:val="yellow"/>
        </w:rPr>
        <w:t>nfluen</w:t>
      </w:r>
      <w:r>
        <w:t>c</w:t>
      </w:r>
      <w:r>
        <w:rPr>
          <w:highlight w:val="yellow"/>
        </w:rPr>
        <w:t>e</w:t>
      </w:r>
      <w:r>
        <w:t xml:space="preserve"> the level of automation of monitoring and evaluation (M&amp;E) systems in health projects in Nakuru County. It e</w:t>
      </w:r>
      <w:r>
        <w:rPr>
          <w:highlight w:val="yellow"/>
        </w:rPr>
        <w:t>xamin</w:t>
      </w:r>
      <w:r>
        <w:t xml:space="preserve">es </w:t>
      </w:r>
      <w:r>
        <w:rPr>
          <w:highlight w:val="yellow"/>
        </w:rPr>
        <w:t>fac</w:t>
      </w:r>
      <w:r>
        <w:t>to</w:t>
      </w:r>
      <w:r>
        <w:rPr>
          <w:highlight w:val="yellow"/>
        </w:rPr>
        <w:t>rs</w:t>
      </w:r>
      <w:r>
        <w:t xml:space="preserve"> </w:t>
      </w:r>
      <w:r>
        <w:rPr>
          <w:highlight w:val="yellow"/>
        </w:rPr>
        <w:t>s</w:t>
      </w:r>
      <w:r>
        <w:t>uc</w:t>
      </w:r>
      <w:r>
        <w:rPr>
          <w:highlight w:val="yellow"/>
        </w:rPr>
        <w:t>h</w:t>
      </w:r>
      <w:r>
        <w:t xml:space="preserve"> as technological infrastructure, workforce</w:t>
      </w:r>
      <w:r>
        <w:rPr>
          <w:highlight w:val="yellow"/>
        </w:rPr>
        <w:t xml:space="preserve"> skills</w:t>
      </w:r>
      <w:r>
        <w:t xml:space="preserve">, </w:t>
      </w:r>
      <w:proofErr w:type="spellStart"/>
      <w:r>
        <w:t>organi</w:t>
      </w:r>
      <w:r>
        <w:rPr>
          <w:highlight w:val="yellow"/>
        </w:rPr>
        <w:t>s</w:t>
      </w:r>
      <w:r>
        <w:t>ational</w:t>
      </w:r>
      <w:proofErr w:type="spellEnd"/>
      <w:r>
        <w:t xml:space="preserve"> readiness, data quality issues, and policy frameworks that influence the deployment and performance of automated systems. The study adopts </w:t>
      </w:r>
      <w:r>
        <w:rPr>
          <w:highlight w:val="yellow"/>
        </w:rPr>
        <w:t xml:space="preserve">a </w:t>
      </w:r>
      <w:r>
        <w:t>descriptive research design, with data collected u</w:t>
      </w:r>
      <w:r>
        <w:rPr>
          <w:highlight w:val="yellow"/>
        </w:rPr>
        <w:t>sin</w:t>
      </w:r>
      <w:r>
        <w:t xml:space="preserve">g structured questionnaires and key informant interviews. Both quantitative and qualitative data </w:t>
      </w:r>
      <w:r>
        <w:rPr>
          <w:highlight w:val="yellow"/>
        </w:rPr>
        <w:t>we</w:t>
      </w:r>
      <w:r>
        <w:t>re collected. The study is guided by the T</w:t>
      </w:r>
      <w:r>
        <w:rPr>
          <w:highlight w:val="yellow"/>
        </w:rPr>
        <w:t>echnology Acceptance Model (T</w:t>
      </w:r>
      <w:r>
        <w:t>AM</w:t>
      </w:r>
      <w:r>
        <w:rPr>
          <w:highlight w:val="yellow"/>
        </w:rPr>
        <w:t>)</w:t>
      </w:r>
      <w:r>
        <w:t xml:space="preserve"> and D</w:t>
      </w:r>
      <w:r>
        <w:rPr>
          <w:highlight w:val="yellow"/>
        </w:rPr>
        <w:t>iffusion of Innovations Theory (D</w:t>
      </w:r>
      <w:r>
        <w:t>IT</w:t>
      </w:r>
      <w:r>
        <w:rPr>
          <w:highlight w:val="yellow"/>
        </w:rPr>
        <w:t>)</w:t>
      </w:r>
      <w:r>
        <w:t xml:space="preserve">, which provide a basis for understanding the perception, adoption and scaling of technological innovations. The </w:t>
      </w:r>
      <w:r>
        <w:rPr>
          <w:highlight w:val="yellow"/>
        </w:rPr>
        <w:t>f</w:t>
      </w:r>
      <w:r>
        <w:t>in</w:t>
      </w:r>
      <w:r>
        <w:rPr>
          <w:highlight w:val="yellow"/>
        </w:rPr>
        <w:t>d</w:t>
      </w:r>
      <w:r>
        <w:t>i</w:t>
      </w:r>
      <w:r>
        <w:rPr>
          <w:highlight w:val="yellow"/>
        </w:rPr>
        <w:t>ng</w:t>
      </w:r>
      <w:r>
        <w:t xml:space="preserve">s </w:t>
      </w:r>
      <w:r>
        <w:rPr>
          <w:highlight w:val="yellow"/>
        </w:rPr>
        <w:t>indicat</w:t>
      </w:r>
      <w:r>
        <w:t>e opportunities t</w:t>
      </w:r>
      <w:r>
        <w:rPr>
          <w:highlight w:val="yellow"/>
        </w:rPr>
        <w:t>o</w:t>
      </w:r>
      <w:r>
        <w:t xml:space="preserve"> improve data reliability and timeliness, </w:t>
      </w:r>
      <w:r>
        <w:rPr>
          <w:highlight w:val="yellow"/>
        </w:rPr>
        <w:t>alongside persisten</w:t>
      </w:r>
      <w:r>
        <w:t xml:space="preserve">t </w:t>
      </w:r>
      <w:r>
        <w:rPr>
          <w:highlight w:val="yellow"/>
        </w:rPr>
        <w:t>ch</w:t>
      </w:r>
      <w:r>
        <w:t>al</w:t>
      </w:r>
      <w:r>
        <w:rPr>
          <w:highlight w:val="yellow"/>
        </w:rPr>
        <w:t>lenges as</w:t>
      </w:r>
      <w:r>
        <w:t>soc</w:t>
      </w:r>
      <w:r>
        <w:rPr>
          <w:highlight w:val="yellow"/>
        </w:rPr>
        <w:t>ia</w:t>
      </w:r>
      <w:r>
        <w:t>te</w:t>
      </w:r>
      <w:r>
        <w:rPr>
          <w:highlight w:val="yellow"/>
        </w:rPr>
        <w:t>d</w:t>
      </w:r>
      <w:r>
        <w:t xml:space="preserve"> with </w:t>
      </w:r>
      <w:r>
        <w:rPr>
          <w:highlight w:val="yellow"/>
        </w:rPr>
        <w:t>in</w:t>
      </w:r>
      <w:r>
        <w:t>a</w:t>
      </w:r>
      <w:r>
        <w:rPr>
          <w:highlight w:val="yellow"/>
        </w:rPr>
        <w:t>dequate</w:t>
      </w:r>
      <w:r>
        <w:t xml:space="preserve"> ICT infrastructure, l</w:t>
      </w:r>
      <w:r>
        <w:rPr>
          <w:highlight w:val="yellow"/>
        </w:rPr>
        <w:t>imited</w:t>
      </w:r>
      <w:r>
        <w:t xml:space="preserve"> technical skills and resistance to change. Th</w:t>
      </w:r>
      <w:r>
        <w:rPr>
          <w:highlight w:val="yellow"/>
        </w:rPr>
        <w:t>e</w:t>
      </w:r>
      <w:r>
        <w:t xml:space="preserve"> study highlights the </w:t>
      </w:r>
      <w:r>
        <w:rPr>
          <w:highlight w:val="yellow"/>
        </w:rPr>
        <w:t>imp</w:t>
      </w:r>
      <w:r>
        <w:t>or</w:t>
      </w:r>
      <w:r>
        <w:rPr>
          <w:highlight w:val="yellow"/>
        </w:rPr>
        <w:t>tance of aligning</w:t>
      </w:r>
      <w:r>
        <w:t xml:space="preserve"> automation </w:t>
      </w:r>
      <w:r>
        <w:rPr>
          <w:highlight w:val="yellow"/>
        </w:rPr>
        <w:t>initiativ</w:t>
      </w:r>
      <w:r>
        <w:t xml:space="preserve">es </w:t>
      </w:r>
      <w:r>
        <w:rPr>
          <w:highlight w:val="yellow"/>
        </w:rPr>
        <w:t>wi</w:t>
      </w:r>
      <w:r>
        <w:t>t</w:t>
      </w:r>
      <w:r>
        <w:rPr>
          <w:highlight w:val="yellow"/>
        </w:rPr>
        <w:t>h</w:t>
      </w:r>
      <w:r>
        <w:t xml:space="preserve"> e</w:t>
      </w:r>
      <w:r>
        <w:rPr>
          <w:highlight w:val="yellow"/>
        </w:rPr>
        <w:t>xi</w:t>
      </w:r>
      <w:r>
        <w:t>s</w:t>
      </w:r>
      <w:r>
        <w:rPr>
          <w:highlight w:val="yellow"/>
        </w:rPr>
        <w:t>t</w:t>
      </w:r>
      <w:r>
        <w:t>in</w:t>
      </w:r>
      <w:r>
        <w:rPr>
          <w:highlight w:val="yellow"/>
        </w:rPr>
        <w:t>g</w:t>
      </w:r>
      <w:r>
        <w:t xml:space="preserve"> institutional frameworks, improving staff skills </w:t>
      </w:r>
      <w:r>
        <w:rPr>
          <w:highlight w:val="yellow"/>
        </w:rPr>
        <w:t>through</w:t>
      </w:r>
      <w:r>
        <w:t xml:space="preserve"> training and </w:t>
      </w:r>
      <w:r>
        <w:rPr>
          <w:highlight w:val="yellow"/>
        </w:rPr>
        <w:t>supp</w:t>
      </w:r>
      <w:r>
        <w:t>o</w:t>
      </w:r>
      <w:r>
        <w:rPr>
          <w:highlight w:val="yellow"/>
        </w:rPr>
        <w:t>r</w:t>
      </w:r>
      <w:r>
        <w:t xml:space="preserve">ting </w:t>
      </w:r>
      <w:r>
        <w:rPr>
          <w:highlight w:val="yellow"/>
        </w:rPr>
        <w:t>appr</w:t>
      </w:r>
      <w:r>
        <w:t>o</w:t>
      </w:r>
      <w:r>
        <w:rPr>
          <w:highlight w:val="yellow"/>
        </w:rPr>
        <w:t>pr</w:t>
      </w:r>
      <w:r>
        <w:t>i</w:t>
      </w:r>
      <w:r>
        <w:rPr>
          <w:highlight w:val="yellow"/>
        </w:rPr>
        <w:t>at</w:t>
      </w:r>
      <w:r>
        <w:t>e polic</w:t>
      </w:r>
      <w:r>
        <w:rPr>
          <w:highlight w:val="yellow"/>
        </w:rPr>
        <w:t>y fram</w:t>
      </w:r>
      <w:r>
        <w:t>e</w:t>
      </w:r>
      <w:r>
        <w:rPr>
          <w:highlight w:val="yellow"/>
        </w:rPr>
        <w:t>work</w:t>
      </w:r>
      <w:r>
        <w:t>s. It</w:t>
      </w:r>
      <w:r>
        <w:rPr>
          <w:highlight w:val="yellow"/>
        </w:rPr>
        <w:t xml:space="preserve"> offer</w:t>
      </w:r>
      <w:r>
        <w:t xml:space="preserve">s practical recommendations for </w:t>
      </w:r>
      <w:r>
        <w:rPr>
          <w:highlight w:val="yellow"/>
        </w:rPr>
        <w:t>st</w:t>
      </w:r>
      <w:r>
        <w:t>a</w:t>
      </w:r>
      <w:r>
        <w:rPr>
          <w:highlight w:val="yellow"/>
        </w:rPr>
        <w:t>keh</w:t>
      </w:r>
      <w:r>
        <w:t>o</w:t>
      </w:r>
      <w:r>
        <w:rPr>
          <w:highlight w:val="yellow"/>
        </w:rPr>
        <w:t>lde</w:t>
      </w:r>
      <w:r>
        <w:t>rs implementing digital M&amp;E systems in health projects</w:t>
      </w:r>
      <w:r>
        <w:rPr>
          <w:highlight w:val="yellow"/>
        </w:rPr>
        <w:t>,</w:t>
      </w:r>
      <w:r>
        <w:t xml:space="preserve"> p</w:t>
      </w:r>
      <w:r>
        <w:rPr>
          <w:highlight w:val="yellow"/>
        </w:rPr>
        <w:t>arti</w:t>
      </w:r>
      <w:r>
        <w:t>c</w:t>
      </w:r>
      <w:r>
        <w:rPr>
          <w:highlight w:val="yellow"/>
        </w:rPr>
        <w:t>ul</w:t>
      </w:r>
      <w:r>
        <w:t>a</w:t>
      </w:r>
      <w:r>
        <w:rPr>
          <w:highlight w:val="yellow"/>
        </w:rPr>
        <w:t>r</w:t>
      </w:r>
      <w:r>
        <w:t>ly in de</w:t>
      </w:r>
      <w:r>
        <w:rPr>
          <w:highlight w:val="yellow"/>
        </w:rPr>
        <w:t>vo</w:t>
      </w:r>
      <w:r>
        <w:t>l</w:t>
      </w:r>
      <w:r>
        <w:rPr>
          <w:highlight w:val="yellow"/>
        </w:rPr>
        <w:t>v</w:t>
      </w:r>
      <w:r>
        <w:t xml:space="preserve">ed government </w:t>
      </w:r>
      <w:r>
        <w:rPr>
          <w:highlight w:val="yellow"/>
        </w:rPr>
        <w:t>s</w:t>
      </w:r>
      <w:r>
        <w:t>e</w:t>
      </w:r>
      <w:r>
        <w:rPr>
          <w:highlight w:val="yellow"/>
        </w:rPr>
        <w:t>tti</w:t>
      </w:r>
      <w:r>
        <w:t>n</w:t>
      </w:r>
      <w:r>
        <w:rPr>
          <w:highlight w:val="yellow"/>
        </w:rPr>
        <w:t>g</w:t>
      </w:r>
      <w:r>
        <w:t xml:space="preserve">s such as Nakuru County. </w:t>
      </w:r>
      <w:r>
        <w:rPr>
          <w:highlight w:val="yellow"/>
        </w:rPr>
        <w:t>T</w:t>
      </w:r>
      <w:r>
        <w:t xml:space="preserve">echnological infrastructure </w:t>
      </w:r>
      <w:r>
        <w:rPr>
          <w:highlight w:val="yellow"/>
        </w:rPr>
        <w:t>showed a positive, statistically significant associati</w:t>
      </w:r>
      <w:r>
        <w:t>on</w:t>
      </w:r>
      <w:r>
        <w:rPr>
          <w:highlight w:val="yellow"/>
        </w:rPr>
        <w:t xml:space="preserve"> with</w:t>
      </w:r>
      <w:r>
        <w:t xml:space="preserve"> the extent of </w:t>
      </w:r>
      <w:r>
        <w:rPr>
          <w:highlight w:val="yellow"/>
        </w:rPr>
        <w:t xml:space="preserve">M&amp;E system </w:t>
      </w:r>
      <w:r>
        <w:t xml:space="preserve">automation (B = 0.479; p = 0.000). </w:t>
      </w:r>
      <w:r>
        <w:rPr>
          <w:highlight w:val="yellow"/>
        </w:rPr>
        <w:t>H</w:t>
      </w:r>
      <w:r>
        <w:t xml:space="preserve">uman capacity had a positive but statistically </w:t>
      </w:r>
      <w:r>
        <w:rPr>
          <w:highlight w:val="yellow"/>
        </w:rPr>
        <w:t>in</w:t>
      </w:r>
      <w:r>
        <w:t>significant</w:t>
      </w:r>
      <w:r>
        <w:rPr>
          <w:highlight w:val="yellow"/>
        </w:rPr>
        <w:t xml:space="preserve"> association with M&amp;E system automation</w:t>
      </w:r>
      <w:r>
        <w:t xml:space="preserve"> (B = 0.055; p = 0.378).  </w:t>
      </w:r>
      <w:proofErr w:type="spellStart"/>
      <w:r>
        <w:t>Organisational</w:t>
      </w:r>
      <w:proofErr w:type="spellEnd"/>
      <w:r>
        <w:t xml:space="preserve"> factors </w:t>
      </w:r>
      <w:r>
        <w:rPr>
          <w:highlight w:val="yellow"/>
        </w:rPr>
        <w:t xml:space="preserve">were </w:t>
      </w:r>
      <w:r>
        <w:t xml:space="preserve">also positively </w:t>
      </w:r>
      <w:r>
        <w:rPr>
          <w:highlight w:val="yellow"/>
        </w:rPr>
        <w:t>assoc</w:t>
      </w:r>
      <w:r>
        <w:t>i</w:t>
      </w:r>
      <w:r>
        <w:rPr>
          <w:highlight w:val="yellow"/>
        </w:rPr>
        <w:t>at</w:t>
      </w:r>
      <w:r>
        <w:t>ed</w:t>
      </w:r>
      <w:r>
        <w:rPr>
          <w:highlight w:val="yellow"/>
        </w:rPr>
        <w:t xml:space="preserve"> with</w:t>
      </w:r>
      <w:r>
        <w:t xml:space="preserve"> the level of automation (B = 0.383; p = 0.000)</w:t>
      </w:r>
      <w:r>
        <w:rPr>
          <w:highlight w:val="yellow"/>
        </w:rPr>
        <w:t>;</w:t>
      </w:r>
      <w:r>
        <w:t xml:space="preserve"> th</w:t>
      </w:r>
      <w:r>
        <w:rPr>
          <w:highlight w:val="yellow"/>
        </w:rPr>
        <w:t>is</w:t>
      </w:r>
      <w:r>
        <w:t xml:space="preserve"> </w:t>
      </w:r>
      <w:r>
        <w:rPr>
          <w:highlight w:val="yellow"/>
        </w:rPr>
        <w:t>asso</w:t>
      </w:r>
      <w:r>
        <w:t>c</w:t>
      </w:r>
      <w:r>
        <w:rPr>
          <w:highlight w:val="yellow"/>
        </w:rPr>
        <w:t>ia</w:t>
      </w:r>
      <w:r>
        <w:t>t</w:t>
      </w:r>
      <w:r>
        <w:rPr>
          <w:highlight w:val="yellow"/>
        </w:rPr>
        <w:t>ion</w:t>
      </w:r>
      <w:r>
        <w:t xml:space="preserve"> was statistically significant. </w:t>
      </w:r>
      <w:r>
        <w:rPr>
          <w:highlight w:val="yellow"/>
        </w:rPr>
        <w:t>The p</w:t>
      </w:r>
      <w:r>
        <w:t xml:space="preserve">olicy-regulatory environment had a positive but statistically insignificant </w:t>
      </w:r>
      <w:r>
        <w:rPr>
          <w:highlight w:val="yellow"/>
        </w:rPr>
        <w:t>asso</w:t>
      </w:r>
      <w:r>
        <w:t>c</w:t>
      </w:r>
      <w:r>
        <w:rPr>
          <w:highlight w:val="yellow"/>
        </w:rPr>
        <w:t>ia</w:t>
      </w:r>
      <w:r>
        <w:t>t</w:t>
      </w:r>
      <w:r>
        <w:rPr>
          <w:highlight w:val="yellow"/>
        </w:rPr>
        <w:t>i</w:t>
      </w:r>
      <w:r>
        <w:t xml:space="preserve">on </w:t>
      </w:r>
      <w:r>
        <w:rPr>
          <w:highlight w:val="yellow"/>
        </w:rPr>
        <w:t>wi</w:t>
      </w:r>
      <w:r>
        <w:t>th</w:t>
      </w:r>
      <w:r>
        <w:rPr>
          <w:highlight w:val="yellow"/>
        </w:rPr>
        <w:t xml:space="preserve"> M&amp;E syst</w:t>
      </w:r>
      <w:r>
        <w:t>e</w:t>
      </w:r>
      <w:r>
        <w:rPr>
          <w:highlight w:val="yellow"/>
        </w:rPr>
        <w:t>m</w:t>
      </w:r>
      <w:r>
        <w:t xml:space="preserve"> automation (B = 0.125; p = 0.165) in health projects in Nakuru County, Kenya. </w:t>
      </w:r>
      <w:r>
        <w:rPr>
          <w:highlight w:val="yellow"/>
        </w:rPr>
        <w:t>The</w:t>
      </w:r>
      <w:r>
        <w:t xml:space="preserve"> s</w:t>
      </w:r>
      <w:r>
        <w:rPr>
          <w:highlight w:val="yellow"/>
        </w:rPr>
        <w:t>t</w:t>
      </w:r>
      <w:r>
        <w:t>u</w:t>
      </w:r>
      <w:r>
        <w:rPr>
          <w:highlight w:val="yellow"/>
        </w:rPr>
        <w:t>dy r</w:t>
      </w:r>
      <w:r>
        <w:t>e</w:t>
      </w:r>
      <w:r>
        <w:rPr>
          <w:highlight w:val="yellow"/>
        </w:rPr>
        <w:t>commend</w:t>
      </w:r>
      <w:r>
        <w:t xml:space="preserve">s that the County Government of Nakuru and development partners invest in </w:t>
      </w:r>
      <w:r>
        <w:rPr>
          <w:highlight w:val="yellow"/>
        </w:rPr>
        <w:t>reli</w:t>
      </w:r>
      <w:r>
        <w:t xml:space="preserve">able hardware and software, high-speed </w:t>
      </w:r>
      <w:r>
        <w:rPr>
          <w:highlight w:val="yellow"/>
        </w:rPr>
        <w:t>i</w:t>
      </w:r>
      <w:r>
        <w:t>nternet connecti</w:t>
      </w:r>
      <w:r>
        <w:rPr>
          <w:highlight w:val="yellow"/>
        </w:rPr>
        <w:t>vity</w:t>
      </w:r>
      <w:r>
        <w:t xml:space="preserve"> (particularly in rural and peri-urban facilities) and interoperability with DHIS2. </w:t>
      </w:r>
      <w:r>
        <w:rPr>
          <w:highlight w:val="yellow"/>
        </w:rPr>
        <w:t>Propos</w:t>
      </w:r>
      <w:r>
        <w:t>e</w:t>
      </w:r>
      <w:r>
        <w:rPr>
          <w:highlight w:val="yellow"/>
        </w:rPr>
        <w:t>d</w:t>
      </w:r>
      <w:r>
        <w:t xml:space="preserve"> </w:t>
      </w:r>
      <w:r>
        <w:rPr>
          <w:highlight w:val="yellow"/>
        </w:rPr>
        <w:t>m</w:t>
      </w:r>
      <w:r>
        <w:t>ea</w:t>
      </w:r>
      <w:r>
        <w:rPr>
          <w:highlight w:val="yellow"/>
        </w:rPr>
        <w:t>sure</w:t>
      </w:r>
      <w:r>
        <w:t>s include allocati</w:t>
      </w:r>
      <w:r>
        <w:rPr>
          <w:highlight w:val="yellow"/>
        </w:rPr>
        <w:t>ng additi</w:t>
      </w:r>
      <w:r>
        <w:t>on</w:t>
      </w:r>
      <w:r>
        <w:rPr>
          <w:highlight w:val="yellow"/>
        </w:rPr>
        <w:t>al fund</w:t>
      </w:r>
      <w:r>
        <w:t xml:space="preserve">s to </w:t>
      </w:r>
      <w:r>
        <w:rPr>
          <w:highlight w:val="yellow"/>
        </w:rPr>
        <w:t>purchas</w:t>
      </w:r>
      <w:r>
        <w:t>e</w:t>
      </w:r>
      <w:r>
        <w:rPr>
          <w:highlight w:val="yellow"/>
        </w:rPr>
        <w:t xml:space="preserve"> and main</w:t>
      </w:r>
      <w:r>
        <w:t>t</w:t>
      </w:r>
      <w:r>
        <w:rPr>
          <w:highlight w:val="yellow"/>
        </w:rPr>
        <w:t>ain</w:t>
      </w:r>
      <w:r>
        <w:t xml:space="preserve"> devices, using solar power to </w:t>
      </w:r>
      <w:r>
        <w:rPr>
          <w:highlight w:val="yellow"/>
        </w:rPr>
        <w:t>add</w:t>
      </w:r>
      <w:r>
        <w:t>re</w:t>
      </w:r>
      <w:r>
        <w:rPr>
          <w:highlight w:val="yellow"/>
        </w:rPr>
        <w:t>ss</w:t>
      </w:r>
      <w:r>
        <w:t xml:space="preserve"> </w:t>
      </w:r>
      <w:r>
        <w:rPr>
          <w:highlight w:val="yellow"/>
        </w:rPr>
        <w:t>un</w:t>
      </w:r>
      <w:r>
        <w:t>re</w:t>
      </w:r>
      <w:r>
        <w:rPr>
          <w:highlight w:val="yellow"/>
        </w:rPr>
        <w:t>l</w:t>
      </w:r>
      <w:r>
        <w:t>iabl</w:t>
      </w:r>
      <w:r>
        <w:rPr>
          <w:highlight w:val="yellow"/>
        </w:rPr>
        <w:t>e</w:t>
      </w:r>
      <w:r>
        <w:t xml:space="preserve"> electricity</w:t>
      </w:r>
      <w:r>
        <w:rPr>
          <w:highlight w:val="yellow"/>
        </w:rPr>
        <w:t xml:space="preserve"> supplies</w:t>
      </w:r>
      <w:r>
        <w:t xml:space="preserve"> and establishing a</w:t>
      </w:r>
      <w:r>
        <w:rPr>
          <w:highlight w:val="yellow"/>
        </w:rPr>
        <w:t xml:space="preserve"> county-level</w:t>
      </w:r>
      <w:r>
        <w:t xml:space="preserve"> technical support </w:t>
      </w:r>
      <w:proofErr w:type="spellStart"/>
      <w:r>
        <w:t>centre</w:t>
      </w:r>
      <w:proofErr w:type="spellEnd"/>
      <w:r>
        <w:t>. Th</w:t>
      </w:r>
      <w:r>
        <w:rPr>
          <w:highlight w:val="yellow"/>
        </w:rPr>
        <w:t>es</w:t>
      </w:r>
      <w:r>
        <w:t xml:space="preserve">e investments </w:t>
      </w:r>
      <w:r>
        <w:rPr>
          <w:highlight w:val="yellow"/>
        </w:rPr>
        <w:t>ma</w:t>
      </w:r>
      <w:r>
        <w:t>y i</w:t>
      </w:r>
      <w:r>
        <w:rPr>
          <w:highlight w:val="yellow"/>
        </w:rPr>
        <w:t>mp</w:t>
      </w:r>
      <w:r>
        <w:t>r</w:t>
      </w:r>
      <w:r>
        <w:rPr>
          <w:highlight w:val="yellow"/>
        </w:rPr>
        <w:t>o</w:t>
      </w:r>
      <w:r>
        <w:t>ve automation</w:t>
      </w:r>
      <w:r>
        <w:rPr>
          <w:highlight w:val="yellow"/>
        </w:rPr>
        <w:t>,</w:t>
      </w:r>
      <w:r>
        <w:t xml:space="preserve"> data accuracy and </w:t>
      </w:r>
      <w:r>
        <w:rPr>
          <w:highlight w:val="yellow"/>
        </w:rPr>
        <w:t xml:space="preserve">reporting </w:t>
      </w:r>
      <w:r>
        <w:t>timeliness.</w:t>
      </w:r>
    </w:p>
    <w:p w14:paraId="613EF528" w14:textId="77777777" w:rsidR="00946C83" w:rsidRDefault="00946C83">
      <w:pPr>
        <w:pStyle w:val="NormalWeb"/>
        <w:jc w:val="both"/>
        <w:rPr>
          <w:sz w:val="2"/>
          <w:szCs w:val="2"/>
        </w:rPr>
      </w:pPr>
    </w:p>
    <w:p w14:paraId="474FEC7A" w14:textId="77777777" w:rsidR="00946C83" w:rsidRDefault="00000000">
      <w:pPr>
        <w:pStyle w:val="NormalWeb"/>
        <w:jc w:val="both"/>
      </w:pPr>
      <w:r>
        <w:rPr>
          <w:b/>
          <w:bCs/>
        </w:rPr>
        <w:t xml:space="preserve">Keywords: Human Capacity, </w:t>
      </w:r>
      <w:proofErr w:type="spellStart"/>
      <w:r>
        <w:rPr>
          <w:b/>
          <w:bCs/>
        </w:rPr>
        <w:t>Organi</w:t>
      </w:r>
      <w:r>
        <w:rPr>
          <w:b/>
          <w:bCs/>
          <w:highlight w:val="yellow"/>
        </w:rPr>
        <w:t>s</w:t>
      </w:r>
      <w:r>
        <w:rPr>
          <w:b/>
          <w:bCs/>
        </w:rPr>
        <w:t>ational</w:t>
      </w:r>
      <w:proofErr w:type="spellEnd"/>
      <w:r>
        <w:rPr>
          <w:b/>
          <w:bCs/>
        </w:rPr>
        <w:t xml:space="preserve"> Factors, Policy-Regulatory Environment, Technological Infrastructure</w:t>
      </w:r>
    </w:p>
    <w:p w14:paraId="602FE234" w14:textId="77777777" w:rsidR="00946C83" w:rsidRDefault="00946C83">
      <w:pPr>
        <w:pStyle w:val="Heading1"/>
        <w:spacing w:before="0" w:after="160" w:line="360" w:lineRule="auto"/>
        <w:rPr>
          <w:rFonts w:ascii="Times New Roman" w:hAnsi="Times New Roman"/>
          <w:b w:val="0"/>
          <w:bCs w:val="0"/>
          <w:color w:val="000000"/>
          <w:sz w:val="24"/>
          <w:szCs w:val="24"/>
        </w:rPr>
      </w:pPr>
    </w:p>
    <w:p w14:paraId="2805D596" w14:textId="77777777" w:rsidR="00946C83" w:rsidRDefault="00000000">
      <w:pPr>
        <w:pStyle w:val="Heading1"/>
        <w:spacing w:before="0" w:after="160" w:line="360" w:lineRule="auto"/>
        <w:rPr>
          <w:rFonts w:ascii="Times New Roman" w:hAnsi="Times New Roman"/>
          <w:color w:val="000000"/>
          <w:sz w:val="24"/>
          <w:szCs w:val="24"/>
        </w:rPr>
      </w:pPr>
      <w:r>
        <w:rPr>
          <w:rFonts w:ascii="Times New Roman" w:hAnsi="Times New Roman"/>
          <w:color w:val="000000"/>
          <w:sz w:val="24"/>
          <w:szCs w:val="24"/>
        </w:rPr>
        <w:t>INTRODUCTION</w:t>
      </w:r>
    </w:p>
    <w:p w14:paraId="02DF962A" w14:textId="77777777" w:rsidR="00946C83" w:rsidRDefault="00000000">
      <w:pPr>
        <w:pStyle w:val="Heading1"/>
        <w:spacing w:before="0" w:after="160" w:line="360" w:lineRule="auto"/>
        <w:rPr>
          <w:rFonts w:ascii="Times New Roman" w:hAnsi="Times New Roman"/>
          <w:color w:val="000000"/>
          <w:sz w:val="24"/>
          <w:szCs w:val="24"/>
        </w:rPr>
      </w:pPr>
      <w:r>
        <w:rPr>
          <w:rFonts w:ascii="Times New Roman" w:hAnsi="Times New Roman"/>
          <w:color w:val="000000"/>
          <w:sz w:val="24"/>
          <w:szCs w:val="24"/>
        </w:rPr>
        <w:t>1.1 Background of the Study</w:t>
      </w:r>
    </w:p>
    <w:p w14:paraId="56908559" w14:textId="77777777" w:rsidR="00946C83" w:rsidRDefault="00000000">
      <w:pPr>
        <w:pStyle w:val="NormalWeb"/>
        <w:spacing w:line="360" w:lineRule="auto"/>
        <w:jc w:val="both"/>
      </w:pPr>
      <w:r>
        <w:t xml:space="preserve">Across the world, digital technologies are changing how health information is gathered, </w:t>
      </w:r>
      <w:proofErr w:type="spellStart"/>
      <w:r>
        <w:t>analysed</w:t>
      </w:r>
      <w:proofErr w:type="spellEnd"/>
      <w:r>
        <w:t xml:space="preserve"> and applied in decision-making. Health projects increasingly use digital platforms and information systems to automate </w:t>
      </w:r>
      <w:r>
        <w:rPr>
          <w:highlight w:val="yellow"/>
        </w:rPr>
        <w:t>m</w:t>
      </w:r>
      <w:r>
        <w:t xml:space="preserve">onitoring and </w:t>
      </w:r>
      <w:r>
        <w:rPr>
          <w:highlight w:val="yellow"/>
        </w:rPr>
        <w:t>e</w:t>
      </w:r>
      <w:r>
        <w:t xml:space="preserve">valuation (M&amp;E), reduce manual work, strengthen data quality and provide timely information for </w:t>
      </w:r>
      <w:proofErr w:type="spellStart"/>
      <w:r>
        <w:t>programme</w:t>
      </w:r>
      <w:proofErr w:type="spellEnd"/>
      <w:r>
        <w:t xml:space="preserve"> management. Global guidance emphasizes that successful digital-health initiatives require coordination of technological, human, organisational and financial resources, supported by systematic monitoring and evaluation (World Health Organization [WHO], 2016, 2021).</w:t>
      </w:r>
    </w:p>
    <w:p w14:paraId="01589B1A" w14:textId="77777777" w:rsidR="00946C83" w:rsidRPr="009E1F6B" w:rsidRDefault="00000000">
      <w:pPr>
        <w:pStyle w:val="NormalWeb"/>
        <w:spacing w:line="360" w:lineRule="auto"/>
        <w:jc w:val="both"/>
      </w:pPr>
      <w:r>
        <w:t xml:space="preserve">Across Africa, governments are also embracing digital technologies to strengthen health systems and advance the management of health </w:t>
      </w:r>
      <w:proofErr w:type="spellStart"/>
      <w:r>
        <w:t>programmes</w:t>
      </w:r>
      <w:proofErr w:type="spellEnd"/>
      <w:r>
        <w:t xml:space="preserve">. Countries such as Rwanda, Ghana, South Africa and Ethiopia have made progress in adopting digital health systems for managing health </w:t>
      </w:r>
      <w:r w:rsidRPr="009E1F6B">
        <w:t xml:space="preserve">information, monitoring </w:t>
      </w:r>
      <w:proofErr w:type="spellStart"/>
      <w:r w:rsidRPr="009E1F6B">
        <w:t>programmes</w:t>
      </w:r>
      <w:proofErr w:type="spellEnd"/>
      <w:r w:rsidRPr="009E1F6B">
        <w:t xml:space="preserve"> and supporting healthcare delivery. </w:t>
      </w:r>
      <w:r w:rsidRPr="009E1F6B">
        <w:rPr>
          <w:highlight w:val="yellow"/>
        </w:rPr>
        <w:t>N</w:t>
      </w:r>
      <w:r w:rsidRPr="009E1F6B">
        <w:t>evertheless</w:t>
      </w:r>
      <w:r w:rsidRPr="009E1F6B">
        <w:rPr>
          <w:highlight w:val="yellow"/>
        </w:rPr>
        <w:t>, the extent of automation</w:t>
      </w:r>
      <w:r w:rsidRPr="009E1F6B">
        <w:t xml:space="preserve"> varies between countries because of inadequate infrastructure, limited technical expertise, insufficient funding and difficulties with system integration (African Development Bank, 2023; WHO, 2021).</w:t>
      </w:r>
      <w:r w:rsidR="009E1F6B" w:rsidRPr="009E1F6B">
        <w:t xml:space="preserve"> </w:t>
      </w:r>
      <w:r w:rsidRPr="009E1F6B">
        <w:rPr>
          <w:highlight w:val="yellow"/>
        </w:rPr>
        <w:t xml:space="preserve">A scoping review of digital health technologies in hospitals in lower- and middle-income countries identified training needs, digital literacy and features of the </w:t>
      </w:r>
      <w:proofErr w:type="spellStart"/>
      <w:r w:rsidRPr="009E1F6B">
        <w:rPr>
          <w:highlight w:val="yellow"/>
        </w:rPr>
        <w:t>organisational</w:t>
      </w:r>
      <w:proofErr w:type="spellEnd"/>
      <w:r w:rsidRPr="009E1F6B">
        <w:rPr>
          <w:highlight w:val="yellow"/>
        </w:rPr>
        <w:t xml:space="preserve"> environment among the considerations affecting implementation (Yew et al., 2025).</w:t>
      </w:r>
    </w:p>
    <w:p w14:paraId="3F42F0EA" w14:textId="77777777" w:rsidR="00946C83" w:rsidRPr="009E1F6B" w:rsidRDefault="00000000">
      <w:pPr>
        <w:pStyle w:val="NormalWeb"/>
        <w:spacing w:line="360" w:lineRule="auto"/>
        <w:jc w:val="both"/>
      </w:pPr>
      <w:r w:rsidRPr="009E1F6B">
        <w:t>In Kenya, digital transformation has become an important priority in the health sector, with the Government promoting the use of digital systems to improve the management and use of health information. The Ministry of Health has reported progress in national digital-health initiatives, including health information exchange, electronic claims and digital facility-management systems (Ministry of Health, 2025).</w:t>
      </w:r>
      <w:r>
        <w:t xml:space="preserve"> In Nakuru County, public and donor-funded health projects require reliable systems for collecting, tracking and reporting project information, making the automation of M&amp;E processes increasingly </w:t>
      </w:r>
      <w:r>
        <w:lastRenderedPageBreak/>
        <w:t>important (Nakuru County Government, 2023)</w:t>
      </w:r>
      <w:r w:rsidRPr="009E1F6B">
        <w:t>.</w:t>
      </w:r>
      <w:r w:rsidR="009E1F6B" w:rsidRPr="009E1F6B">
        <w:t xml:space="preserve"> </w:t>
      </w:r>
      <w:r w:rsidRPr="009E1F6B">
        <w:rPr>
          <w:highlight w:val="yellow"/>
        </w:rPr>
        <w:t xml:space="preserve">A study of electronic community health information system </w:t>
      </w:r>
      <w:proofErr w:type="gramStart"/>
      <w:r w:rsidRPr="009E1F6B">
        <w:rPr>
          <w:highlight w:val="yellow"/>
        </w:rPr>
        <w:t>use</w:t>
      </w:r>
      <w:proofErr w:type="gramEnd"/>
      <w:r w:rsidRPr="009E1F6B">
        <w:rPr>
          <w:highlight w:val="yellow"/>
        </w:rPr>
        <w:t xml:space="preserve"> in Kisumu County reported associations between sociodemographic characteristics, system </w:t>
      </w:r>
      <w:proofErr w:type="spellStart"/>
      <w:r w:rsidRPr="009E1F6B">
        <w:rPr>
          <w:highlight w:val="yellow"/>
        </w:rPr>
        <w:t>utilisation</w:t>
      </w:r>
      <w:proofErr w:type="spellEnd"/>
      <w:r w:rsidRPr="009E1F6B">
        <w:rPr>
          <w:highlight w:val="yellow"/>
        </w:rPr>
        <w:t xml:space="preserve"> and maternal health service uptake (Akani et al., 2025).</w:t>
      </w:r>
    </w:p>
    <w:p w14:paraId="06210AE4" w14:textId="77777777" w:rsidR="00946C83" w:rsidRPr="009E1F6B" w:rsidRDefault="00000000">
      <w:pPr>
        <w:pStyle w:val="NormalWeb"/>
        <w:spacing w:line="360" w:lineRule="auto"/>
        <w:jc w:val="both"/>
      </w:pPr>
      <w:r w:rsidRPr="009E1F6B">
        <w:t>Despite the progress made in adopting digital technologies, the automation of M&amp;E processes is not uniform across all health projects. While some projects may use advanced digital systems, others may still rely on manual or part</w:t>
      </w:r>
      <w:r w:rsidRPr="009E1F6B">
        <w:rPr>
          <w:highlight w:val="yellow"/>
        </w:rPr>
        <w:t>ial</w:t>
      </w:r>
      <w:r w:rsidRPr="009E1F6B">
        <w:t xml:space="preserve">ly digital processes. Challenges related to infrastructure, technical expertise, funding and </w:t>
      </w:r>
      <w:proofErr w:type="spellStart"/>
      <w:r w:rsidRPr="009E1F6B">
        <w:t>organisational</w:t>
      </w:r>
      <w:proofErr w:type="spellEnd"/>
      <w:r w:rsidRPr="009E1F6B">
        <w:t xml:space="preserve"> readiness may also affect the successful</w:t>
      </w:r>
      <w:r>
        <w:t xml:space="preserve"> adoption of automated M&amp;E systems. Automation can nevertheless improve data accuracy, reduce reporting delays and provide timely information for decision-making. The factors that shape the automation of </w:t>
      </w:r>
      <w:r>
        <w:rPr>
          <w:highlight w:val="yellow"/>
        </w:rPr>
        <w:t>m</w:t>
      </w:r>
      <w:r>
        <w:t xml:space="preserve">onitoring and </w:t>
      </w:r>
      <w:r w:rsidRPr="009E1F6B">
        <w:rPr>
          <w:highlight w:val="yellow"/>
        </w:rPr>
        <w:t>e</w:t>
      </w:r>
      <w:r w:rsidRPr="009E1F6B">
        <w:t>valuation processes in health projects in Nakuru County, Kenya, therefore require careful examination.</w:t>
      </w:r>
      <w:r w:rsidR="009E1F6B" w:rsidRPr="009E1F6B">
        <w:t xml:space="preserve"> </w:t>
      </w:r>
      <w:r w:rsidRPr="009E1F6B">
        <w:rPr>
          <w:highlight w:val="yellow"/>
        </w:rPr>
        <w:t>An assessment of health facilities in Homa Bay County identified limited interoperability, unreliable connectivity and fragmented system deployment as challenges to the use of digital health information for decision-making (Chepkirui et al., 2025).</w:t>
      </w:r>
    </w:p>
    <w:p w14:paraId="3CAB8F84" w14:textId="77777777" w:rsidR="00946C83" w:rsidRDefault="00000000">
      <w:pPr>
        <w:spacing w:after="160" w:line="360" w:lineRule="auto"/>
        <w:jc w:val="both"/>
      </w:pPr>
      <w:r w:rsidRPr="009E1F6B">
        <w:rPr>
          <w:szCs w:val="24"/>
        </w:rPr>
        <w:t xml:space="preserve">Nakuru County is among </w:t>
      </w:r>
      <w:r w:rsidRPr="009E1F6B">
        <w:rPr>
          <w:szCs w:val="24"/>
          <w:highlight w:val="yellow"/>
        </w:rPr>
        <w:t>K</w:t>
      </w:r>
      <w:r w:rsidRPr="009E1F6B">
        <w:rPr>
          <w:szCs w:val="24"/>
        </w:rPr>
        <w:t>e</w:t>
      </w:r>
      <w:r w:rsidRPr="009E1F6B">
        <w:rPr>
          <w:szCs w:val="24"/>
          <w:highlight w:val="yellow"/>
        </w:rPr>
        <w:t>nya's</w:t>
      </w:r>
      <w:r w:rsidRPr="009E1F6B">
        <w:rPr>
          <w:szCs w:val="24"/>
        </w:rPr>
        <w:t xml:space="preserve"> most populated counties, is situated in the Rift Valley region and has a dynamic and diverse healthcare landscape.</w:t>
      </w:r>
      <w:r>
        <w:rPr>
          <w:szCs w:val="24"/>
        </w:rPr>
        <w:t xml:space="preserve"> </w:t>
      </w:r>
      <w:r>
        <w:rPr>
          <w:szCs w:val="24"/>
          <w:highlight w:val="yellow"/>
        </w:rPr>
        <w:t>T</w:t>
      </w:r>
      <w:r>
        <w:rPr>
          <w:szCs w:val="24"/>
        </w:rPr>
        <w:t xml:space="preserve">he County Government, in collaboration with development agencies, NGOs and national health </w:t>
      </w:r>
      <w:proofErr w:type="spellStart"/>
      <w:r>
        <w:rPr>
          <w:szCs w:val="24"/>
        </w:rPr>
        <w:t>program</w:t>
      </w:r>
      <w:r>
        <w:rPr>
          <w:szCs w:val="24"/>
          <w:highlight w:val="yellow"/>
        </w:rPr>
        <w:t>me</w:t>
      </w:r>
      <w:r>
        <w:rPr>
          <w:szCs w:val="24"/>
        </w:rPr>
        <w:t>s</w:t>
      </w:r>
      <w:proofErr w:type="spellEnd"/>
      <w:r>
        <w:rPr>
          <w:szCs w:val="24"/>
        </w:rPr>
        <w:t>, has undertaken a broad range of projects and initiatives to bolster maternal and child health, disease prevention and control, health systems strengthening, and access to quality care (Nakuru County Government, 2023).</w:t>
      </w:r>
    </w:p>
    <w:p w14:paraId="1CAD87C2" w14:textId="77777777" w:rsidR="00946C83" w:rsidRDefault="00000000">
      <w:pPr>
        <w:spacing w:after="160" w:line="360" w:lineRule="auto"/>
        <w:jc w:val="both"/>
      </w:pPr>
      <w:r>
        <w:rPr>
          <w:szCs w:val="24"/>
        </w:rPr>
        <w:t xml:space="preserve">These health projects are aligned with Kenya's Universal Health Coverage (UHC) agenda and the Kenya Health Sector Strategic and Investment Plan (KHSSP) 2018 to 2023. </w:t>
      </w:r>
      <w:proofErr w:type="spellStart"/>
      <w:r>
        <w:rPr>
          <w:szCs w:val="24"/>
        </w:rPr>
        <w:t>Immuni</w:t>
      </w:r>
      <w:r>
        <w:rPr>
          <w:szCs w:val="24"/>
          <w:highlight w:val="yellow"/>
        </w:rPr>
        <w:t>s</w:t>
      </w:r>
      <w:r>
        <w:rPr>
          <w:szCs w:val="24"/>
        </w:rPr>
        <w:t>ation</w:t>
      </w:r>
      <w:proofErr w:type="spellEnd"/>
      <w:r>
        <w:rPr>
          <w:szCs w:val="24"/>
        </w:rPr>
        <w:t xml:space="preserve"> </w:t>
      </w:r>
      <w:proofErr w:type="spellStart"/>
      <w:r>
        <w:rPr>
          <w:szCs w:val="24"/>
        </w:rPr>
        <w:t>program</w:t>
      </w:r>
      <w:r>
        <w:rPr>
          <w:szCs w:val="24"/>
          <w:highlight w:val="yellow"/>
        </w:rPr>
        <w:t>me</w:t>
      </w:r>
      <w:r>
        <w:rPr>
          <w:szCs w:val="24"/>
        </w:rPr>
        <w:t>s</w:t>
      </w:r>
      <w:proofErr w:type="spellEnd"/>
      <w:r>
        <w:rPr>
          <w:szCs w:val="24"/>
        </w:rPr>
        <w:t>, reproductive health, HIV/AIDS intervention</w:t>
      </w:r>
      <w:r>
        <w:rPr>
          <w:szCs w:val="24"/>
          <w:highlight w:val="yellow"/>
        </w:rPr>
        <w:t>s</w:t>
      </w:r>
      <w:r>
        <w:rPr>
          <w:szCs w:val="24"/>
        </w:rPr>
        <w:t>, community health and infrastructure projects are major component</w:t>
      </w:r>
      <w:r>
        <w:rPr>
          <w:szCs w:val="24"/>
          <w:highlight w:val="yellow"/>
        </w:rPr>
        <w:t>s</w:t>
      </w:r>
      <w:r>
        <w:rPr>
          <w:szCs w:val="24"/>
        </w:rPr>
        <w:t xml:space="preserve"> of the county's health portfolio. Data-driven decision</w:t>
      </w:r>
      <w:r>
        <w:rPr>
          <w:szCs w:val="24"/>
          <w:highlight w:val="yellow"/>
        </w:rPr>
        <w:t>-</w:t>
      </w:r>
      <w:r>
        <w:rPr>
          <w:szCs w:val="24"/>
        </w:rPr>
        <w:t xml:space="preserve">making </w:t>
      </w:r>
      <w:r>
        <w:rPr>
          <w:szCs w:val="24"/>
          <w:highlight w:val="yellow"/>
        </w:rPr>
        <w:t>can</w:t>
      </w:r>
      <w:r>
        <w:rPr>
          <w:szCs w:val="24"/>
        </w:rPr>
        <w:t xml:space="preserve"> support the</w:t>
      </w:r>
      <w:r>
        <w:rPr>
          <w:szCs w:val="24"/>
          <w:highlight w:val="yellow"/>
        </w:rPr>
        <w:t>se</w:t>
      </w:r>
      <w:r>
        <w:rPr>
          <w:szCs w:val="24"/>
        </w:rPr>
        <w:t xml:space="preserve"> projects</w:t>
      </w:r>
      <w:r>
        <w:rPr>
          <w:szCs w:val="24"/>
          <w:highlight w:val="yellow"/>
        </w:rPr>
        <w:t>,</w:t>
      </w:r>
      <w:r>
        <w:rPr>
          <w:szCs w:val="24"/>
        </w:rPr>
        <w:t xml:space="preserve"> and robust </w:t>
      </w:r>
      <w:r>
        <w:rPr>
          <w:szCs w:val="24"/>
          <w:highlight w:val="yellow"/>
        </w:rPr>
        <w:t>m</w:t>
      </w:r>
      <w:r>
        <w:rPr>
          <w:szCs w:val="24"/>
        </w:rPr>
        <w:t xml:space="preserve">onitoring and </w:t>
      </w:r>
      <w:r>
        <w:rPr>
          <w:szCs w:val="24"/>
          <w:highlight w:val="yellow"/>
        </w:rPr>
        <w:t>e</w:t>
      </w:r>
      <w:r>
        <w:rPr>
          <w:szCs w:val="24"/>
        </w:rPr>
        <w:t>valuation systems are required to monitor progress</w:t>
      </w:r>
      <w:r>
        <w:rPr>
          <w:szCs w:val="24"/>
          <w:highlight w:val="yellow"/>
        </w:rPr>
        <w:t>,</w:t>
      </w:r>
      <w:r>
        <w:rPr>
          <w:szCs w:val="24"/>
        </w:rPr>
        <w:t xml:space="preserve"> assess impact and inform planning (Ministry of Health, 20</w:t>
      </w:r>
      <w:r>
        <w:rPr>
          <w:szCs w:val="24"/>
          <w:highlight w:val="yellow"/>
        </w:rPr>
        <w:t>18</w:t>
      </w:r>
      <w:r>
        <w:rPr>
          <w:szCs w:val="24"/>
        </w:rPr>
        <w:t>).</w:t>
      </w:r>
    </w:p>
    <w:p w14:paraId="483DD7EC" w14:textId="77777777" w:rsidR="00946C83" w:rsidRDefault="00000000">
      <w:pPr>
        <w:spacing w:after="160" w:line="360" w:lineRule="auto"/>
        <w:jc w:val="both"/>
      </w:pPr>
      <w:r>
        <w:rPr>
          <w:szCs w:val="24"/>
        </w:rPr>
        <w:lastRenderedPageBreak/>
        <w:t xml:space="preserve">Despite the progress achieved, health projects in Nakuru County still face difficulties in implementing M&amp;E. The main concerns are inadequate human resources, inconsistent data reporting, delayed feedback and fragmented information systems. </w:t>
      </w:r>
      <w:r>
        <w:rPr>
          <w:szCs w:val="24"/>
          <w:highlight w:val="yellow"/>
        </w:rPr>
        <w:t>Co</w:t>
      </w:r>
      <w:r>
        <w:rPr>
          <w:szCs w:val="24"/>
        </w:rPr>
        <w:t>ns</w:t>
      </w:r>
      <w:r>
        <w:rPr>
          <w:szCs w:val="24"/>
          <w:highlight w:val="yellow"/>
        </w:rPr>
        <w:t>equen</w:t>
      </w:r>
      <w:r>
        <w:rPr>
          <w:szCs w:val="24"/>
        </w:rPr>
        <w:t>t</w:t>
      </w:r>
      <w:r>
        <w:rPr>
          <w:szCs w:val="24"/>
          <w:highlight w:val="yellow"/>
        </w:rPr>
        <w:t>ly,</w:t>
      </w:r>
      <w:r>
        <w:rPr>
          <w:szCs w:val="24"/>
        </w:rPr>
        <w:t xml:space="preserve"> decision-makers </w:t>
      </w:r>
      <w:r>
        <w:rPr>
          <w:szCs w:val="24"/>
          <w:highlight w:val="yellow"/>
        </w:rPr>
        <w:t>m</w:t>
      </w:r>
      <w:r>
        <w:rPr>
          <w:szCs w:val="24"/>
        </w:rPr>
        <w:t>a</w:t>
      </w:r>
      <w:r>
        <w:rPr>
          <w:szCs w:val="24"/>
          <w:highlight w:val="yellow"/>
        </w:rPr>
        <w:t xml:space="preserve">y </w:t>
      </w:r>
      <w:r>
        <w:rPr>
          <w:szCs w:val="24"/>
        </w:rPr>
        <w:t>re</w:t>
      </w:r>
      <w:r>
        <w:rPr>
          <w:szCs w:val="24"/>
          <w:highlight w:val="yellow"/>
        </w:rPr>
        <w:t>ly</w:t>
      </w:r>
      <w:r>
        <w:rPr>
          <w:szCs w:val="24"/>
        </w:rPr>
        <w:t xml:space="preserve"> o</w:t>
      </w:r>
      <w:r>
        <w:rPr>
          <w:szCs w:val="24"/>
          <w:highlight w:val="yellow"/>
        </w:rPr>
        <w:t>n</w:t>
      </w:r>
      <w:r>
        <w:rPr>
          <w:szCs w:val="24"/>
        </w:rPr>
        <w:t xml:space="preserve"> o</w:t>
      </w:r>
      <w:r>
        <w:rPr>
          <w:szCs w:val="24"/>
          <w:highlight w:val="yellow"/>
        </w:rPr>
        <w:t>utdate</w:t>
      </w:r>
      <w:r>
        <w:rPr>
          <w:szCs w:val="24"/>
        </w:rPr>
        <w:t xml:space="preserve">d or incomplete information, </w:t>
      </w:r>
      <w:r>
        <w:rPr>
          <w:szCs w:val="24"/>
          <w:highlight w:val="yellow"/>
        </w:rPr>
        <w:t>potent</w:t>
      </w:r>
      <w:r>
        <w:rPr>
          <w:szCs w:val="24"/>
        </w:rPr>
        <w:t>ia</w:t>
      </w:r>
      <w:r>
        <w:rPr>
          <w:szCs w:val="24"/>
          <w:highlight w:val="yellow"/>
        </w:rPr>
        <w:t>lly</w:t>
      </w:r>
      <w:r>
        <w:rPr>
          <w:szCs w:val="24"/>
        </w:rPr>
        <w:t xml:space="preserve"> a</w:t>
      </w:r>
      <w:r>
        <w:rPr>
          <w:szCs w:val="24"/>
          <w:highlight w:val="yellow"/>
        </w:rPr>
        <w:t>ff</w:t>
      </w:r>
      <w:r>
        <w:rPr>
          <w:szCs w:val="24"/>
        </w:rPr>
        <w:t>e</w:t>
      </w:r>
      <w:r>
        <w:rPr>
          <w:szCs w:val="24"/>
          <w:highlight w:val="yellow"/>
        </w:rPr>
        <w:t>c</w:t>
      </w:r>
      <w:r>
        <w:rPr>
          <w:szCs w:val="24"/>
        </w:rPr>
        <w:t>ti</w:t>
      </w:r>
      <w:r>
        <w:rPr>
          <w:szCs w:val="24"/>
          <w:highlight w:val="yellow"/>
        </w:rPr>
        <w:t>ng r</w:t>
      </w:r>
      <w:r>
        <w:rPr>
          <w:szCs w:val="24"/>
        </w:rPr>
        <w:t>e</w:t>
      </w:r>
      <w:r>
        <w:rPr>
          <w:szCs w:val="24"/>
          <w:highlight w:val="yellow"/>
        </w:rPr>
        <w:t>sour</w:t>
      </w:r>
      <w:r>
        <w:rPr>
          <w:szCs w:val="24"/>
        </w:rPr>
        <w:t>c</w:t>
      </w:r>
      <w:r>
        <w:rPr>
          <w:szCs w:val="24"/>
          <w:highlight w:val="yellow"/>
        </w:rPr>
        <w:t>e</w:t>
      </w:r>
      <w:r>
        <w:rPr>
          <w:szCs w:val="24"/>
        </w:rPr>
        <w:t xml:space="preserve"> allocation and service provision.</w:t>
      </w:r>
    </w:p>
    <w:p w14:paraId="0791464A" w14:textId="77777777" w:rsidR="00946C83" w:rsidRPr="009E1F6B" w:rsidRDefault="00000000">
      <w:pPr>
        <w:spacing w:after="160" w:line="360" w:lineRule="auto"/>
        <w:jc w:val="both"/>
      </w:pPr>
      <w:r>
        <w:rPr>
          <w:szCs w:val="24"/>
        </w:rPr>
        <w:t xml:space="preserve">The growing demand for accurate and timely data has increased interest in automating the county's M&amp;E processes. </w:t>
      </w:r>
      <w:proofErr w:type="spellStart"/>
      <w:r>
        <w:rPr>
          <w:szCs w:val="24"/>
        </w:rPr>
        <w:t>Digitisation</w:t>
      </w:r>
      <w:proofErr w:type="spellEnd"/>
      <w:r>
        <w:rPr>
          <w:szCs w:val="24"/>
        </w:rPr>
        <w:t xml:space="preserve"> is expected to improve data accuracy, enable real-time reporting and </w:t>
      </w:r>
      <w:r>
        <w:rPr>
          <w:szCs w:val="24"/>
          <w:highlight w:val="yellow"/>
        </w:rPr>
        <w:t>imp</w:t>
      </w:r>
      <w:r>
        <w:rPr>
          <w:szCs w:val="24"/>
        </w:rPr>
        <w:t>r</w:t>
      </w:r>
      <w:r>
        <w:rPr>
          <w:szCs w:val="24"/>
          <w:highlight w:val="yellow"/>
        </w:rPr>
        <w:t>ov</w:t>
      </w:r>
      <w:r>
        <w:rPr>
          <w:szCs w:val="24"/>
        </w:rPr>
        <w:t xml:space="preserve">e project efficiency. </w:t>
      </w:r>
      <w:r>
        <w:rPr>
          <w:szCs w:val="24"/>
          <w:highlight w:val="yellow"/>
        </w:rPr>
        <w:t>H</w:t>
      </w:r>
      <w:r>
        <w:rPr>
          <w:szCs w:val="24"/>
        </w:rPr>
        <w:t>o</w:t>
      </w:r>
      <w:r>
        <w:rPr>
          <w:szCs w:val="24"/>
          <w:highlight w:val="yellow"/>
        </w:rPr>
        <w:t>weve</w:t>
      </w:r>
      <w:r>
        <w:rPr>
          <w:szCs w:val="24"/>
        </w:rPr>
        <w:t>r</w:t>
      </w:r>
      <w:r>
        <w:rPr>
          <w:szCs w:val="24"/>
          <w:highlight w:val="yellow"/>
        </w:rPr>
        <w:t>,</w:t>
      </w:r>
      <w:r>
        <w:rPr>
          <w:szCs w:val="24"/>
        </w:rPr>
        <w:t xml:space="preserve"> successful </w:t>
      </w:r>
      <w:r>
        <w:rPr>
          <w:szCs w:val="24"/>
          <w:highlight w:val="yellow"/>
        </w:rPr>
        <w:t>implemen</w:t>
      </w:r>
      <w:r>
        <w:rPr>
          <w:szCs w:val="24"/>
        </w:rPr>
        <w:t>t</w:t>
      </w:r>
      <w:r>
        <w:rPr>
          <w:szCs w:val="24"/>
          <w:highlight w:val="yellow"/>
        </w:rPr>
        <w:t>ati</w:t>
      </w:r>
      <w:r>
        <w:rPr>
          <w:szCs w:val="24"/>
        </w:rPr>
        <w:t>on</w:t>
      </w:r>
      <w:r>
        <w:rPr>
          <w:szCs w:val="24"/>
          <w:highlight w:val="yellow"/>
        </w:rPr>
        <w:t xml:space="preserve"> r</w:t>
      </w:r>
      <w:r>
        <w:rPr>
          <w:szCs w:val="24"/>
        </w:rPr>
        <w:t>e</w:t>
      </w:r>
      <w:r>
        <w:rPr>
          <w:szCs w:val="24"/>
          <w:highlight w:val="yellow"/>
        </w:rPr>
        <w:t>qu</w:t>
      </w:r>
      <w:r>
        <w:rPr>
          <w:szCs w:val="24"/>
        </w:rPr>
        <w:t>i</w:t>
      </w:r>
      <w:r>
        <w:rPr>
          <w:szCs w:val="24"/>
          <w:highlight w:val="yellow"/>
        </w:rPr>
        <w:t>r</w:t>
      </w:r>
      <w:r>
        <w:rPr>
          <w:szCs w:val="24"/>
        </w:rPr>
        <w:t>es consider</w:t>
      </w:r>
      <w:r>
        <w:rPr>
          <w:szCs w:val="24"/>
          <w:highlight w:val="yellow"/>
        </w:rPr>
        <w:t>ation of th</w:t>
      </w:r>
      <w:r>
        <w:rPr>
          <w:szCs w:val="24"/>
        </w:rPr>
        <w:t>e</w:t>
      </w:r>
      <w:r>
        <w:rPr>
          <w:szCs w:val="24"/>
          <w:highlight w:val="yellow"/>
        </w:rPr>
        <w:t xml:space="preserve"> operating context,</w:t>
      </w:r>
      <w:r>
        <w:rPr>
          <w:szCs w:val="24"/>
        </w:rPr>
        <w:t xml:space="preserve"> including ICT infrastructure, staff digital literacy and integration with </w:t>
      </w:r>
      <w:r w:rsidRPr="009E1F6B">
        <w:rPr>
          <w:szCs w:val="24"/>
        </w:rPr>
        <w:t>other health information systems such as DHIS2.</w:t>
      </w:r>
    </w:p>
    <w:p w14:paraId="6B423848" w14:textId="77777777" w:rsidR="00946C83" w:rsidRPr="009E1F6B" w:rsidRDefault="00000000">
      <w:pPr>
        <w:spacing w:after="160" w:line="360" w:lineRule="auto"/>
        <w:jc w:val="both"/>
        <w:rPr>
          <w:szCs w:val="24"/>
        </w:rPr>
      </w:pPr>
      <w:r w:rsidRPr="009E1F6B">
        <w:rPr>
          <w:szCs w:val="24"/>
          <w:highlight w:val="yellow"/>
        </w:rPr>
        <w:t>Understanding t</w:t>
      </w:r>
      <w:r w:rsidRPr="009E1F6B">
        <w:rPr>
          <w:szCs w:val="24"/>
        </w:rPr>
        <w:t xml:space="preserve">he </w:t>
      </w:r>
      <w:r w:rsidRPr="009E1F6B">
        <w:rPr>
          <w:szCs w:val="24"/>
          <w:highlight w:val="yellow"/>
        </w:rPr>
        <w:t>f</w:t>
      </w:r>
      <w:r w:rsidRPr="009E1F6B">
        <w:rPr>
          <w:szCs w:val="24"/>
        </w:rPr>
        <w:t>ac</w:t>
      </w:r>
      <w:r w:rsidRPr="009E1F6B">
        <w:rPr>
          <w:szCs w:val="24"/>
          <w:highlight w:val="yellow"/>
        </w:rPr>
        <w:t>tor</w:t>
      </w:r>
      <w:r w:rsidRPr="009E1F6B">
        <w:rPr>
          <w:szCs w:val="24"/>
        </w:rPr>
        <w:t>s shap</w:t>
      </w:r>
      <w:r w:rsidRPr="009E1F6B">
        <w:rPr>
          <w:szCs w:val="24"/>
          <w:highlight w:val="yellow"/>
        </w:rPr>
        <w:t>ing</w:t>
      </w:r>
      <w:r w:rsidRPr="009E1F6B">
        <w:rPr>
          <w:szCs w:val="24"/>
        </w:rPr>
        <w:t xml:space="preserve"> </w:t>
      </w:r>
      <w:r w:rsidRPr="009E1F6B">
        <w:rPr>
          <w:szCs w:val="24"/>
          <w:highlight w:val="yellow"/>
        </w:rPr>
        <w:t>M&amp;E</w:t>
      </w:r>
      <w:r w:rsidRPr="009E1F6B">
        <w:rPr>
          <w:szCs w:val="24"/>
        </w:rPr>
        <w:t xml:space="preserve"> automation in </w:t>
      </w:r>
      <w:r w:rsidRPr="009E1F6B">
        <w:rPr>
          <w:szCs w:val="24"/>
          <w:highlight w:val="yellow"/>
        </w:rPr>
        <w:t>Nakuru's</w:t>
      </w:r>
      <w:r w:rsidRPr="009E1F6B">
        <w:rPr>
          <w:szCs w:val="24"/>
        </w:rPr>
        <w:t xml:space="preserve"> health sector i</w:t>
      </w:r>
      <w:r w:rsidRPr="009E1F6B">
        <w:rPr>
          <w:szCs w:val="24"/>
          <w:highlight w:val="yellow"/>
        </w:rPr>
        <w:t>s</w:t>
      </w:r>
      <w:r w:rsidRPr="009E1F6B">
        <w:rPr>
          <w:szCs w:val="24"/>
        </w:rPr>
        <w:t xml:space="preserve"> therefore essential to </w:t>
      </w:r>
      <w:r w:rsidRPr="009E1F6B">
        <w:rPr>
          <w:szCs w:val="24"/>
          <w:highlight w:val="yellow"/>
        </w:rPr>
        <w:t>assessi</w:t>
      </w:r>
      <w:r w:rsidRPr="009E1F6B">
        <w:rPr>
          <w:szCs w:val="24"/>
        </w:rPr>
        <w:t>n</w:t>
      </w:r>
      <w:r w:rsidRPr="009E1F6B">
        <w:rPr>
          <w:szCs w:val="24"/>
          <w:highlight w:val="yellow"/>
        </w:rPr>
        <w:t>g</w:t>
      </w:r>
      <w:r w:rsidRPr="009E1F6B">
        <w:rPr>
          <w:szCs w:val="24"/>
        </w:rPr>
        <w:t xml:space="preserve"> </w:t>
      </w:r>
      <w:r w:rsidRPr="009E1F6B">
        <w:rPr>
          <w:szCs w:val="24"/>
          <w:highlight w:val="yellow"/>
        </w:rPr>
        <w:t>how</w:t>
      </w:r>
      <w:r w:rsidRPr="009E1F6B">
        <w:rPr>
          <w:szCs w:val="24"/>
        </w:rPr>
        <w:t xml:space="preserve"> digital investments ma</w:t>
      </w:r>
      <w:r w:rsidRPr="009E1F6B">
        <w:rPr>
          <w:szCs w:val="24"/>
          <w:highlight w:val="yellow"/>
        </w:rPr>
        <w:t>y</w:t>
      </w:r>
      <w:r w:rsidRPr="009E1F6B">
        <w:rPr>
          <w:szCs w:val="24"/>
        </w:rPr>
        <w:t xml:space="preserve"> </w:t>
      </w:r>
      <w:r w:rsidRPr="009E1F6B">
        <w:rPr>
          <w:szCs w:val="24"/>
          <w:highlight w:val="yellow"/>
        </w:rPr>
        <w:t>supp</w:t>
      </w:r>
      <w:r w:rsidRPr="009E1F6B">
        <w:rPr>
          <w:szCs w:val="24"/>
        </w:rPr>
        <w:t>or</w:t>
      </w:r>
      <w:r w:rsidRPr="009E1F6B">
        <w:rPr>
          <w:szCs w:val="24"/>
          <w:highlight w:val="yellow"/>
        </w:rPr>
        <w:t>t</w:t>
      </w:r>
      <w:r w:rsidRPr="009E1F6B">
        <w:rPr>
          <w:szCs w:val="24"/>
        </w:rPr>
        <w:t xml:space="preserve"> </w:t>
      </w:r>
      <w:r w:rsidRPr="009E1F6B">
        <w:rPr>
          <w:szCs w:val="24"/>
          <w:highlight w:val="yellow"/>
        </w:rPr>
        <w:t>improv</w:t>
      </w:r>
      <w:r w:rsidRPr="009E1F6B">
        <w:rPr>
          <w:szCs w:val="24"/>
        </w:rPr>
        <w:t>e</w:t>
      </w:r>
      <w:r w:rsidRPr="009E1F6B">
        <w:rPr>
          <w:szCs w:val="24"/>
          <w:highlight w:val="yellow"/>
        </w:rPr>
        <w:t>d</w:t>
      </w:r>
      <w:r w:rsidRPr="009E1F6B">
        <w:rPr>
          <w:szCs w:val="24"/>
        </w:rPr>
        <w:t xml:space="preserve"> health outcomes.</w:t>
      </w:r>
      <w:r w:rsidR="009E1F6B" w:rsidRPr="009E1F6B">
        <w:rPr>
          <w:szCs w:val="24"/>
        </w:rPr>
        <w:t xml:space="preserve"> </w:t>
      </w:r>
      <w:r w:rsidRPr="009E1F6B">
        <w:rPr>
          <w:szCs w:val="24"/>
          <w:highlight w:val="yellow"/>
        </w:rPr>
        <w:t>A recent review of health data analytics and public health policymaking described infrastructure, workforce capacity and institutional arrangements as interrelated considerations in the translation of data into decisions (</w:t>
      </w:r>
      <w:proofErr w:type="spellStart"/>
      <w:r w:rsidRPr="009E1F6B">
        <w:rPr>
          <w:szCs w:val="24"/>
          <w:highlight w:val="yellow"/>
        </w:rPr>
        <w:t>Oware</w:t>
      </w:r>
      <w:proofErr w:type="spellEnd"/>
      <w:r w:rsidRPr="009E1F6B">
        <w:rPr>
          <w:szCs w:val="24"/>
          <w:highlight w:val="yellow"/>
        </w:rPr>
        <w:t xml:space="preserve"> &amp; Talabi, 2026).</w:t>
      </w:r>
    </w:p>
    <w:p w14:paraId="66761339" w14:textId="77777777" w:rsidR="00946C83" w:rsidRDefault="00000000">
      <w:pPr>
        <w:pStyle w:val="Heading1"/>
        <w:spacing w:before="0" w:after="160" w:line="360" w:lineRule="auto"/>
        <w:rPr>
          <w:rFonts w:ascii="Times New Roman" w:hAnsi="Times New Roman"/>
          <w:color w:val="000000"/>
          <w:sz w:val="24"/>
          <w:szCs w:val="24"/>
        </w:rPr>
      </w:pPr>
      <w:r>
        <w:rPr>
          <w:rFonts w:ascii="Times New Roman" w:hAnsi="Times New Roman"/>
          <w:color w:val="000000"/>
          <w:sz w:val="24"/>
          <w:szCs w:val="24"/>
        </w:rPr>
        <w:t>1.2 Problem Statement</w:t>
      </w:r>
    </w:p>
    <w:p w14:paraId="5ACC4F4B" w14:textId="77777777" w:rsidR="00946C83" w:rsidRDefault="00000000">
      <w:pPr>
        <w:spacing w:after="160" w:line="360" w:lineRule="auto"/>
        <w:jc w:val="both"/>
        <w:rPr>
          <w:szCs w:val="24"/>
        </w:rPr>
      </w:pPr>
      <w:r>
        <w:rPr>
          <w:szCs w:val="24"/>
        </w:rPr>
        <w:t xml:space="preserve">Although national institutions and donors have supported the </w:t>
      </w:r>
      <w:proofErr w:type="spellStart"/>
      <w:r>
        <w:rPr>
          <w:szCs w:val="24"/>
        </w:rPr>
        <w:t>digitisation</w:t>
      </w:r>
      <w:proofErr w:type="spellEnd"/>
      <w:r>
        <w:rPr>
          <w:szCs w:val="24"/>
        </w:rPr>
        <w:t xml:space="preserve"> of Kenya's health information systems, </w:t>
      </w:r>
      <w:r>
        <w:rPr>
          <w:szCs w:val="24"/>
          <w:highlight w:val="yellow"/>
        </w:rPr>
        <w:t>m</w:t>
      </w:r>
      <w:r>
        <w:rPr>
          <w:szCs w:val="24"/>
        </w:rPr>
        <w:t xml:space="preserve">onitoring and </w:t>
      </w:r>
      <w:r>
        <w:rPr>
          <w:szCs w:val="24"/>
          <w:highlight w:val="yellow"/>
        </w:rPr>
        <w:t>e</w:t>
      </w:r>
      <w:r>
        <w:rPr>
          <w:szCs w:val="24"/>
        </w:rPr>
        <w:t xml:space="preserve">valuation (M&amp;E) in many health projects in Nakuru County remains manual or semi-automated. This situation persists even though the Ministry of Health has promoted platforms such as DHIS2 nationally to support real-time data capture, analysis and reporting. </w:t>
      </w:r>
      <w:r>
        <w:rPr>
          <w:szCs w:val="24"/>
          <w:highlight w:val="yellow"/>
        </w:rPr>
        <w:t>Var</w:t>
      </w:r>
      <w:r>
        <w:rPr>
          <w:szCs w:val="24"/>
        </w:rPr>
        <w:t xml:space="preserve">iation </w:t>
      </w:r>
      <w:r>
        <w:rPr>
          <w:szCs w:val="24"/>
          <w:highlight w:val="yellow"/>
        </w:rPr>
        <w:t>in</w:t>
      </w:r>
      <w:r>
        <w:rPr>
          <w:szCs w:val="24"/>
        </w:rPr>
        <w:t xml:space="preserve"> automation </w:t>
      </w:r>
      <w:r>
        <w:rPr>
          <w:szCs w:val="24"/>
          <w:highlight w:val="yellow"/>
        </w:rPr>
        <w:t>across publ</w:t>
      </w:r>
      <w:r>
        <w:rPr>
          <w:szCs w:val="24"/>
        </w:rPr>
        <w:t>i</w:t>
      </w:r>
      <w:r>
        <w:rPr>
          <w:szCs w:val="24"/>
          <w:highlight w:val="yellow"/>
        </w:rPr>
        <w:t>cly fu</w:t>
      </w:r>
      <w:r>
        <w:rPr>
          <w:szCs w:val="24"/>
        </w:rPr>
        <w:t>n</w:t>
      </w:r>
      <w:r>
        <w:rPr>
          <w:szCs w:val="24"/>
          <w:highlight w:val="yellow"/>
        </w:rPr>
        <w:t>ded, NGO-funded</w:t>
      </w:r>
      <w:r>
        <w:rPr>
          <w:szCs w:val="24"/>
        </w:rPr>
        <w:t xml:space="preserve"> a</w:t>
      </w:r>
      <w:r>
        <w:rPr>
          <w:szCs w:val="24"/>
          <w:highlight w:val="yellow"/>
        </w:rPr>
        <w:t>nd</w:t>
      </w:r>
      <w:r>
        <w:rPr>
          <w:szCs w:val="24"/>
        </w:rPr>
        <w:t xml:space="preserve"> </w:t>
      </w:r>
      <w:r>
        <w:rPr>
          <w:szCs w:val="24"/>
          <w:highlight w:val="yellow"/>
        </w:rPr>
        <w:t>dono</w:t>
      </w:r>
      <w:r>
        <w:rPr>
          <w:szCs w:val="24"/>
        </w:rPr>
        <w:t>r</w:t>
      </w:r>
      <w:r>
        <w:rPr>
          <w:szCs w:val="24"/>
          <w:highlight w:val="yellow"/>
        </w:rPr>
        <w:t>-fund</w:t>
      </w:r>
      <w:r>
        <w:rPr>
          <w:szCs w:val="24"/>
        </w:rPr>
        <w:t>e</w:t>
      </w:r>
      <w:r>
        <w:rPr>
          <w:szCs w:val="24"/>
          <w:highlight w:val="yellow"/>
        </w:rPr>
        <w:t>d</w:t>
      </w:r>
      <w:r>
        <w:rPr>
          <w:szCs w:val="24"/>
        </w:rPr>
        <w:t xml:space="preserve"> health facilities </w:t>
      </w:r>
      <w:r>
        <w:rPr>
          <w:szCs w:val="24"/>
          <w:highlight w:val="yellow"/>
        </w:rPr>
        <w:t>may hi</w:t>
      </w:r>
      <w:r>
        <w:rPr>
          <w:szCs w:val="24"/>
        </w:rPr>
        <w:t>nder effective, accura</w:t>
      </w:r>
      <w:r>
        <w:rPr>
          <w:szCs w:val="24"/>
          <w:highlight w:val="yellow"/>
        </w:rPr>
        <w:t>te</w:t>
      </w:r>
      <w:r>
        <w:rPr>
          <w:szCs w:val="24"/>
        </w:rPr>
        <w:t xml:space="preserve"> and responsive project management in a county </w:t>
      </w:r>
      <w:proofErr w:type="spellStart"/>
      <w:r>
        <w:rPr>
          <w:szCs w:val="24"/>
          <w:highlight w:val="yellow"/>
        </w:rPr>
        <w:t>charac</w:t>
      </w:r>
      <w:r>
        <w:rPr>
          <w:szCs w:val="24"/>
        </w:rPr>
        <w:t>t</w:t>
      </w:r>
      <w:r>
        <w:rPr>
          <w:szCs w:val="24"/>
          <w:highlight w:val="yellow"/>
        </w:rPr>
        <w:t>er</w:t>
      </w:r>
      <w:r>
        <w:rPr>
          <w:szCs w:val="24"/>
        </w:rPr>
        <w:t>i</w:t>
      </w:r>
      <w:r>
        <w:rPr>
          <w:szCs w:val="24"/>
          <w:highlight w:val="yellow"/>
        </w:rPr>
        <w:t>s</w:t>
      </w:r>
      <w:r>
        <w:rPr>
          <w:szCs w:val="24"/>
        </w:rPr>
        <w:t>ed</w:t>
      </w:r>
      <w:proofErr w:type="spellEnd"/>
      <w:r>
        <w:rPr>
          <w:szCs w:val="24"/>
        </w:rPr>
        <w:t xml:space="preserve"> by ra</w:t>
      </w:r>
      <w:r>
        <w:rPr>
          <w:szCs w:val="24"/>
          <w:highlight w:val="yellow"/>
        </w:rPr>
        <w:t>pid</w:t>
      </w:r>
      <w:r>
        <w:rPr>
          <w:szCs w:val="24"/>
        </w:rPr>
        <w:t xml:space="preserve"> </w:t>
      </w:r>
      <w:proofErr w:type="spellStart"/>
      <w:r>
        <w:rPr>
          <w:szCs w:val="24"/>
        </w:rPr>
        <w:t>urbanisation</w:t>
      </w:r>
      <w:proofErr w:type="spellEnd"/>
      <w:r>
        <w:rPr>
          <w:szCs w:val="24"/>
        </w:rPr>
        <w:t>, di</w:t>
      </w:r>
      <w:r>
        <w:rPr>
          <w:szCs w:val="24"/>
          <w:highlight w:val="yellow"/>
        </w:rPr>
        <w:t>v</w:t>
      </w:r>
      <w:r>
        <w:rPr>
          <w:szCs w:val="24"/>
        </w:rPr>
        <w:t>er</w:t>
      </w:r>
      <w:r>
        <w:rPr>
          <w:szCs w:val="24"/>
          <w:highlight w:val="yellow"/>
        </w:rPr>
        <w:t>s</w:t>
      </w:r>
      <w:r>
        <w:rPr>
          <w:szCs w:val="24"/>
        </w:rPr>
        <w:t xml:space="preserve">e health </w:t>
      </w:r>
      <w:r>
        <w:rPr>
          <w:szCs w:val="24"/>
          <w:highlight w:val="yellow"/>
        </w:rPr>
        <w:t>n</w:t>
      </w:r>
      <w:r>
        <w:rPr>
          <w:szCs w:val="24"/>
        </w:rPr>
        <w:t>ee</w:t>
      </w:r>
      <w:r>
        <w:rPr>
          <w:szCs w:val="24"/>
          <w:highlight w:val="yellow"/>
        </w:rPr>
        <w:t>d</w:t>
      </w:r>
      <w:r>
        <w:rPr>
          <w:szCs w:val="24"/>
        </w:rPr>
        <w:t>s and devolved governance.</w:t>
      </w:r>
    </w:p>
    <w:p w14:paraId="6B0AC510" w14:textId="77777777" w:rsidR="00946C83" w:rsidRDefault="00000000">
      <w:pPr>
        <w:spacing w:after="160" w:line="360" w:lineRule="auto"/>
        <w:jc w:val="both"/>
      </w:pPr>
      <w:r>
        <w:rPr>
          <w:szCs w:val="24"/>
        </w:rPr>
        <w:t>The effects of l</w:t>
      </w:r>
      <w:r>
        <w:rPr>
          <w:szCs w:val="24"/>
          <w:highlight w:val="yellow"/>
        </w:rPr>
        <w:t>imited</w:t>
      </w:r>
      <w:r>
        <w:rPr>
          <w:szCs w:val="24"/>
        </w:rPr>
        <w:t xml:space="preserve"> automation </w:t>
      </w:r>
      <w:r>
        <w:rPr>
          <w:szCs w:val="24"/>
          <w:highlight w:val="yellow"/>
        </w:rPr>
        <w:t>h</w:t>
      </w:r>
      <w:r>
        <w:rPr>
          <w:szCs w:val="24"/>
        </w:rPr>
        <w:t>a</w:t>
      </w:r>
      <w:r>
        <w:rPr>
          <w:szCs w:val="24"/>
          <w:highlight w:val="yellow"/>
        </w:rPr>
        <w:t>v</w:t>
      </w:r>
      <w:r>
        <w:rPr>
          <w:szCs w:val="24"/>
        </w:rPr>
        <w:t xml:space="preserve">e </w:t>
      </w:r>
      <w:r>
        <w:rPr>
          <w:szCs w:val="24"/>
          <w:highlight w:val="yellow"/>
        </w:rPr>
        <w:t>b</w:t>
      </w:r>
      <w:r>
        <w:rPr>
          <w:szCs w:val="24"/>
        </w:rPr>
        <w:t>ee</w:t>
      </w:r>
      <w:r>
        <w:rPr>
          <w:szCs w:val="24"/>
          <w:highlight w:val="yellow"/>
        </w:rPr>
        <w:t>n d</w:t>
      </w:r>
      <w:r>
        <w:rPr>
          <w:szCs w:val="24"/>
        </w:rPr>
        <w:t>o</w:t>
      </w:r>
      <w:r>
        <w:rPr>
          <w:szCs w:val="24"/>
          <w:highlight w:val="yellow"/>
        </w:rPr>
        <w:t>cumen</w:t>
      </w:r>
      <w:r>
        <w:rPr>
          <w:szCs w:val="24"/>
        </w:rPr>
        <w:t xml:space="preserve">ted </w:t>
      </w:r>
      <w:r>
        <w:rPr>
          <w:szCs w:val="24"/>
          <w:highlight w:val="yellow"/>
        </w:rPr>
        <w:t>i</w:t>
      </w:r>
      <w:r>
        <w:rPr>
          <w:szCs w:val="24"/>
        </w:rPr>
        <w:t xml:space="preserve">n empirical </w:t>
      </w:r>
      <w:r>
        <w:rPr>
          <w:szCs w:val="24"/>
          <w:highlight w:val="yellow"/>
        </w:rPr>
        <w:t>studi</w:t>
      </w:r>
      <w:r>
        <w:rPr>
          <w:szCs w:val="24"/>
        </w:rPr>
        <w:t>e</w:t>
      </w:r>
      <w:r>
        <w:rPr>
          <w:szCs w:val="24"/>
          <w:highlight w:val="yellow"/>
        </w:rPr>
        <w:t>s</w:t>
      </w:r>
      <w:r>
        <w:rPr>
          <w:szCs w:val="24"/>
        </w:rPr>
        <w:t xml:space="preserve">. Manual and paper-based </w:t>
      </w:r>
      <w:r>
        <w:rPr>
          <w:szCs w:val="24"/>
          <w:highlight w:val="yellow"/>
        </w:rPr>
        <w:t>M&amp;E proce</w:t>
      </w:r>
      <w:r>
        <w:rPr>
          <w:szCs w:val="24"/>
        </w:rPr>
        <w:t>s</w:t>
      </w:r>
      <w:r>
        <w:rPr>
          <w:szCs w:val="24"/>
          <w:highlight w:val="yellow"/>
        </w:rPr>
        <w:t>ses</w:t>
      </w:r>
      <w:r>
        <w:rPr>
          <w:szCs w:val="24"/>
        </w:rPr>
        <w:t xml:space="preserve"> c</w:t>
      </w:r>
      <w:r>
        <w:rPr>
          <w:szCs w:val="24"/>
          <w:highlight w:val="yellow"/>
        </w:rPr>
        <w:t>an cont</w:t>
      </w:r>
      <w:r>
        <w:rPr>
          <w:szCs w:val="24"/>
        </w:rPr>
        <w:t>r</w:t>
      </w:r>
      <w:r>
        <w:rPr>
          <w:szCs w:val="24"/>
          <w:highlight w:val="yellow"/>
        </w:rPr>
        <w:t>ibut</w:t>
      </w:r>
      <w:r>
        <w:rPr>
          <w:szCs w:val="24"/>
        </w:rPr>
        <w:t>e</w:t>
      </w:r>
      <w:r>
        <w:rPr>
          <w:szCs w:val="24"/>
          <w:highlight w:val="yellow"/>
        </w:rPr>
        <w:t xml:space="preserve"> to d</w:t>
      </w:r>
      <w:r>
        <w:rPr>
          <w:szCs w:val="24"/>
        </w:rPr>
        <w:t>at</w:t>
      </w:r>
      <w:r>
        <w:rPr>
          <w:szCs w:val="24"/>
          <w:highlight w:val="yellow"/>
        </w:rPr>
        <w:t>a</w:t>
      </w:r>
      <w:r>
        <w:rPr>
          <w:szCs w:val="24"/>
        </w:rPr>
        <w:t xml:space="preserve"> inaccuracies, l</w:t>
      </w:r>
      <w:r>
        <w:rPr>
          <w:szCs w:val="24"/>
          <w:highlight w:val="yellow"/>
        </w:rPr>
        <w:t>e</w:t>
      </w:r>
      <w:r>
        <w:rPr>
          <w:szCs w:val="24"/>
        </w:rPr>
        <w:t>ng</w:t>
      </w:r>
      <w:r>
        <w:rPr>
          <w:szCs w:val="24"/>
          <w:highlight w:val="yellow"/>
        </w:rPr>
        <w:t>thy</w:t>
      </w:r>
      <w:r>
        <w:rPr>
          <w:szCs w:val="24"/>
        </w:rPr>
        <w:t xml:space="preserve"> reporting cycles and </w:t>
      </w:r>
      <w:r>
        <w:rPr>
          <w:szCs w:val="24"/>
          <w:highlight w:val="yellow"/>
        </w:rPr>
        <w:t>fragme</w:t>
      </w:r>
      <w:r>
        <w:rPr>
          <w:szCs w:val="24"/>
        </w:rPr>
        <w:t>nted information flow</w:t>
      </w:r>
      <w:r>
        <w:rPr>
          <w:szCs w:val="24"/>
          <w:highlight w:val="yellow"/>
        </w:rPr>
        <w:t>s</w:t>
      </w:r>
      <w:r>
        <w:rPr>
          <w:szCs w:val="24"/>
        </w:rPr>
        <w:t xml:space="preserve">, resulting in </w:t>
      </w:r>
      <w:r>
        <w:rPr>
          <w:szCs w:val="24"/>
          <w:highlight w:val="yellow"/>
        </w:rPr>
        <w:t>de</w:t>
      </w:r>
      <w:r>
        <w:rPr>
          <w:szCs w:val="24"/>
        </w:rPr>
        <w:t>l</w:t>
      </w:r>
      <w:r>
        <w:rPr>
          <w:szCs w:val="24"/>
          <w:highlight w:val="yellow"/>
        </w:rPr>
        <w:t>ayed</w:t>
      </w:r>
      <w:r>
        <w:rPr>
          <w:szCs w:val="24"/>
        </w:rPr>
        <w:t xml:space="preserve"> or suboptimal decision</w:t>
      </w:r>
      <w:r>
        <w:rPr>
          <w:szCs w:val="24"/>
          <w:highlight w:val="yellow"/>
        </w:rPr>
        <w:t>-</w:t>
      </w:r>
      <w:r>
        <w:rPr>
          <w:szCs w:val="24"/>
        </w:rPr>
        <w:t xml:space="preserve">making. </w:t>
      </w:r>
      <w:r>
        <w:rPr>
          <w:szCs w:val="24"/>
          <w:highlight w:val="yellow"/>
        </w:rPr>
        <w:t xml:space="preserve">For example, a cross-sectional assessment in Homa Bay County identified unreliable internet connectivity, limited interoperability and system downtime as barriers </w:t>
      </w:r>
      <w:r>
        <w:rPr>
          <w:szCs w:val="24"/>
          <w:highlight w:val="yellow"/>
        </w:rPr>
        <w:lastRenderedPageBreak/>
        <w:t>to effective digital-health data use (Chepkirui et al., 2025).</w:t>
      </w:r>
      <w:r>
        <w:rPr>
          <w:szCs w:val="24"/>
        </w:rPr>
        <w:t xml:space="preserve"> </w:t>
      </w:r>
      <w:r>
        <w:rPr>
          <w:szCs w:val="24"/>
          <w:highlight w:val="yellow"/>
        </w:rPr>
        <w:t>Simil</w:t>
      </w:r>
      <w:r>
        <w:rPr>
          <w:szCs w:val="24"/>
        </w:rPr>
        <w:t>a</w:t>
      </w:r>
      <w:r>
        <w:rPr>
          <w:szCs w:val="24"/>
          <w:highlight w:val="yellow"/>
        </w:rPr>
        <w:t>r</w:t>
      </w:r>
      <w:r>
        <w:rPr>
          <w:szCs w:val="24"/>
        </w:rPr>
        <w:t>ly, a qualitative study of 15 Kenyan counties, includ</w:t>
      </w:r>
      <w:r>
        <w:rPr>
          <w:szCs w:val="24"/>
          <w:highlight w:val="yellow"/>
        </w:rPr>
        <w:t>ing</w:t>
      </w:r>
      <w:r>
        <w:rPr>
          <w:szCs w:val="24"/>
        </w:rPr>
        <w:t xml:space="preserve"> Nakuru, </w:t>
      </w:r>
      <w:r>
        <w:rPr>
          <w:szCs w:val="24"/>
          <w:highlight w:val="yellow"/>
        </w:rPr>
        <w:t>id</w:t>
      </w:r>
      <w:r>
        <w:rPr>
          <w:szCs w:val="24"/>
        </w:rPr>
        <w:t>e</w:t>
      </w:r>
      <w:r>
        <w:rPr>
          <w:szCs w:val="24"/>
          <w:highlight w:val="yellow"/>
        </w:rPr>
        <w:t>ntifi</w:t>
      </w:r>
      <w:r>
        <w:rPr>
          <w:szCs w:val="24"/>
        </w:rPr>
        <w:t xml:space="preserve">ed </w:t>
      </w:r>
      <w:r>
        <w:rPr>
          <w:szCs w:val="24"/>
          <w:highlight w:val="yellow"/>
        </w:rPr>
        <w:t>p</w:t>
      </w:r>
      <w:r>
        <w:rPr>
          <w:szCs w:val="24"/>
        </w:rPr>
        <w:t>ersiste</w:t>
      </w:r>
      <w:r>
        <w:rPr>
          <w:szCs w:val="24"/>
          <w:highlight w:val="yellow"/>
        </w:rPr>
        <w:t>nt perception</w:t>
      </w:r>
      <w:r>
        <w:rPr>
          <w:szCs w:val="24"/>
        </w:rPr>
        <w:t xml:space="preserve">s of poor DHIS2 data </w:t>
      </w:r>
      <w:r>
        <w:rPr>
          <w:szCs w:val="24"/>
          <w:highlight w:val="yellow"/>
        </w:rPr>
        <w:t xml:space="preserve">quality </w:t>
      </w:r>
      <w:r>
        <w:rPr>
          <w:szCs w:val="24"/>
        </w:rPr>
        <w:t xml:space="preserve">and underuse of </w:t>
      </w:r>
      <w:r>
        <w:rPr>
          <w:szCs w:val="24"/>
          <w:highlight w:val="yellow"/>
        </w:rPr>
        <w:t>the</w:t>
      </w:r>
      <w:r>
        <w:rPr>
          <w:szCs w:val="24"/>
        </w:rPr>
        <w:t>s</w:t>
      </w:r>
      <w:r>
        <w:rPr>
          <w:szCs w:val="24"/>
          <w:highlight w:val="yellow"/>
        </w:rPr>
        <w:t>e</w:t>
      </w:r>
      <w:r>
        <w:rPr>
          <w:szCs w:val="24"/>
        </w:rPr>
        <w:t xml:space="preserve"> data in decision-making, p</w:t>
      </w:r>
      <w:r>
        <w:rPr>
          <w:szCs w:val="24"/>
          <w:highlight w:val="yellow"/>
        </w:rPr>
        <w:t>arti</w:t>
      </w:r>
      <w:r>
        <w:rPr>
          <w:szCs w:val="24"/>
        </w:rPr>
        <w:t>c</w:t>
      </w:r>
      <w:r>
        <w:rPr>
          <w:szCs w:val="24"/>
          <w:highlight w:val="yellow"/>
        </w:rPr>
        <w:t>ul</w:t>
      </w:r>
      <w:r>
        <w:rPr>
          <w:szCs w:val="24"/>
        </w:rPr>
        <w:t>a</w:t>
      </w:r>
      <w:r>
        <w:rPr>
          <w:szCs w:val="24"/>
          <w:highlight w:val="yellow"/>
        </w:rPr>
        <w:t>r</w:t>
      </w:r>
      <w:r>
        <w:rPr>
          <w:szCs w:val="24"/>
        </w:rPr>
        <w:t xml:space="preserve">ly in primary healthcare and reproductive, maternal, newborn, child and adolescent health </w:t>
      </w:r>
      <w:r>
        <w:rPr>
          <w:szCs w:val="24"/>
          <w:highlight w:val="yellow"/>
        </w:rPr>
        <w:t>and</w:t>
      </w:r>
      <w:r>
        <w:rPr>
          <w:szCs w:val="24"/>
        </w:rPr>
        <w:t xml:space="preserve"> nutrition (RMNCAH+N) </w:t>
      </w:r>
      <w:proofErr w:type="spellStart"/>
      <w:r>
        <w:rPr>
          <w:szCs w:val="24"/>
        </w:rPr>
        <w:t>programmes</w:t>
      </w:r>
      <w:proofErr w:type="spellEnd"/>
      <w:r>
        <w:rPr>
          <w:szCs w:val="24"/>
        </w:rPr>
        <w:t xml:space="preserve"> (</w:t>
      </w:r>
      <w:proofErr w:type="spellStart"/>
      <w:r>
        <w:rPr>
          <w:szCs w:val="24"/>
        </w:rPr>
        <w:t>Oware</w:t>
      </w:r>
      <w:proofErr w:type="spellEnd"/>
      <w:r>
        <w:rPr>
          <w:szCs w:val="24"/>
          <w:highlight w:val="yellow"/>
        </w:rPr>
        <w:t xml:space="preserve"> et al.</w:t>
      </w:r>
      <w:r>
        <w:rPr>
          <w:szCs w:val="24"/>
        </w:rPr>
        <w:t>, 2025). These inefficiencies weaken resource allocation, intervention performance and accountability, thereby limiting progress towards Universal Health Coverage and Sustainable Development Goal 3.</w:t>
      </w:r>
    </w:p>
    <w:p w14:paraId="1736E855" w14:textId="77777777" w:rsidR="00946C83" w:rsidRDefault="00000000">
      <w:pPr>
        <w:spacing w:after="160" w:line="360" w:lineRule="auto"/>
        <w:jc w:val="both"/>
        <w:rPr>
          <w:szCs w:val="24"/>
        </w:rPr>
      </w:pPr>
      <w:r>
        <w:rPr>
          <w:szCs w:val="24"/>
          <w:highlight w:val="yellow"/>
        </w:rPr>
        <w:t>T</w:t>
      </w:r>
      <w:r>
        <w:rPr>
          <w:szCs w:val="24"/>
        </w:rPr>
        <w:t xml:space="preserve">hese </w:t>
      </w:r>
      <w:r>
        <w:rPr>
          <w:szCs w:val="24"/>
          <w:highlight w:val="yellow"/>
        </w:rPr>
        <w:t>chal</w:t>
      </w:r>
      <w:r>
        <w:rPr>
          <w:szCs w:val="24"/>
        </w:rPr>
        <w:t>le</w:t>
      </w:r>
      <w:r>
        <w:rPr>
          <w:szCs w:val="24"/>
          <w:highlight w:val="yellow"/>
        </w:rPr>
        <w:t>nge</w:t>
      </w:r>
      <w:r>
        <w:rPr>
          <w:szCs w:val="24"/>
        </w:rPr>
        <w:t xml:space="preserve">s </w:t>
      </w:r>
      <w:r>
        <w:rPr>
          <w:szCs w:val="24"/>
          <w:highlight w:val="yellow"/>
        </w:rPr>
        <w:t>highligh</w:t>
      </w:r>
      <w:r>
        <w:rPr>
          <w:szCs w:val="24"/>
        </w:rPr>
        <w:t>t the l</w:t>
      </w:r>
      <w:r>
        <w:rPr>
          <w:szCs w:val="24"/>
          <w:highlight w:val="yellow"/>
        </w:rPr>
        <w:t>imi</w:t>
      </w:r>
      <w:r>
        <w:rPr>
          <w:szCs w:val="24"/>
        </w:rPr>
        <w:t>ted county-s</w:t>
      </w:r>
      <w:r>
        <w:rPr>
          <w:szCs w:val="24"/>
          <w:highlight w:val="yellow"/>
        </w:rPr>
        <w:t>p</w:t>
      </w:r>
      <w:r>
        <w:rPr>
          <w:szCs w:val="24"/>
        </w:rPr>
        <w:t>e</w:t>
      </w:r>
      <w:r>
        <w:rPr>
          <w:szCs w:val="24"/>
          <w:highlight w:val="yellow"/>
        </w:rPr>
        <w:t>cific</w:t>
      </w:r>
      <w:r>
        <w:rPr>
          <w:szCs w:val="24"/>
        </w:rPr>
        <w:t xml:space="preserve"> empirical </w:t>
      </w:r>
      <w:r>
        <w:rPr>
          <w:szCs w:val="24"/>
          <w:highlight w:val="yellow"/>
        </w:rPr>
        <w:t>evi</w:t>
      </w:r>
      <w:r>
        <w:rPr>
          <w:szCs w:val="24"/>
        </w:rPr>
        <w:t>d</w:t>
      </w:r>
      <w:r>
        <w:rPr>
          <w:szCs w:val="24"/>
          <w:highlight w:val="yellow"/>
        </w:rPr>
        <w:t>ence</w:t>
      </w:r>
      <w:r>
        <w:rPr>
          <w:szCs w:val="24"/>
        </w:rPr>
        <w:t xml:space="preserve"> o</w:t>
      </w:r>
      <w:r>
        <w:rPr>
          <w:szCs w:val="24"/>
          <w:highlight w:val="yellow"/>
        </w:rPr>
        <w:t>n</w:t>
      </w:r>
      <w:r>
        <w:rPr>
          <w:szCs w:val="24"/>
        </w:rPr>
        <w:t xml:space="preserve"> ho</w:t>
      </w:r>
      <w:r>
        <w:rPr>
          <w:szCs w:val="24"/>
          <w:highlight w:val="yellow"/>
        </w:rPr>
        <w:t>w</w:t>
      </w:r>
      <w:r>
        <w:rPr>
          <w:szCs w:val="24"/>
        </w:rPr>
        <w:t xml:space="preserve"> technolog</w:t>
      </w:r>
      <w:r>
        <w:rPr>
          <w:szCs w:val="24"/>
          <w:highlight w:val="yellow"/>
        </w:rPr>
        <w:t>ical</w:t>
      </w:r>
      <w:r>
        <w:rPr>
          <w:szCs w:val="24"/>
        </w:rPr>
        <w:t xml:space="preserve"> infrastructure, human capa</w:t>
      </w:r>
      <w:r>
        <w:rPr>
          <w:szCs w:val="24"/>
          <w:highlight w:val="yellow"/>
        </w:rPr>
        <w:t>c</w:t>
      </w:r>
      <w:r>
        <w:rPr>
          <w:szCs w:val="24"/>
        </w:rPr>
        <w:t xml:space="preserve">ity, </w:t>
      </w:r>
      <w:proofErr w:type="spellStart"/>
      <w:r>
        <w:rPr>
          <w:szCs w:val="24"/>
        </w:rPr>
        <w:t>organisational</w:t>
      </w:r>
      <w:proofErr w:type="spellEnd"/>
      <w:r>
        <w:rPr>
          <w:szCs w:val="24"/>
        </w:rPr>
        <w:t xml:space="preserve"> f</w:t>
      </w:r>
      <w:r>
        <w:rPr>
          <w:szCs w:val="24"/>
          <w:highlight w:val="yellow"/>
        </w:rPr>
        <w:t>a</w:t>
      </w:r>
      <w:r>
        <w:rPr>
          <w:szCs w:val="24"/>
        </w:rPr>
        <w:t>c</w:t>
      </w:r>
      <w:r>
        <w:rPr>
          <w:szCs w:val="24"/>
          <w:highlight w:val="yellow"/>
        </w:rPr>
        <w:t>tor</w:t>
      </w:r>
      <w:r>
        <w:rPr>
          <w:szCs w:val="24"/>
        </w:rPr>
        <w:t>s and policy-regulato</w:t>
      </w:r>
      <w:r>
        <w:rPr>
          <w:szCs w:val="24"/>
          <w:highlight w:val="yellow"/>
        </w:rPr>
        <w:t>ry</w:t>
      </w:r>
      <w:r>
        <w:rPr>
          <w:szCs w:val="24"/>
        </w:rPr>
        <w:t xml:space="preserve"> </w:t>
      </w:r>
      <w:r>
        <w:rPr>
          <w:szCs w:val="24"/>
          <w:highlight w:val="yellow"/>
        </w:rPr>
        <w:t>framework</w:t>
      </w:r>
      <w:r>
        <w:rPr>
          <w:szCs w:val="24"/>
        </w:rPr>
        <w:t>s</w:t>
      </w:r>
      <w:r>
        <w:rPr>
          <w:szCs w:val="24"/>
          <w:highlight w:val="yellow"/>
        </w:rPr>
        <w:t xml:space="preserve"> rela</w:t>
      </w:r>
      <w:r>
        <w:rPr>
          <w:szCs w:val="24"/>
        </w:rPr>
        <w:t>te t</w:t>
      </w:r>
      <w:r>
        <w:rPr>
          <w:szCs w:val="24"/>
          <w:highlight w:val="yellow"/>
        </w:rPr>
        <w:t>o</w:t>
      </w:r>
      <w:r>
        <w:rPr>
          <w:szCs w:val="24"/>
        </w:rPr>
        <w:t xml:space="preserve"> the e</w:t>
      </w:r>
      <w:r>
        <w:rPr>
          <w:szCs w:val="24"/>
          <w:highlight w:val="yellow"/>
        </w:rPr>
        <w:t>xt</w:t>
      </w:r>
      <w:r>
        <w:rPr>
          <w:szCs w:val="24"/>
        </w:rPr>
        <w:t>e</w:t>
      </w:r>
      <w:r>
        <w:rPr>
          <w:szCs w:val="24"/>
          <w:highlight w:val="yellow"/>
        </w:rPr>
        <w:t>nt</w:t>
      </w:r>
      <w:r>
        <w:rPr>
          <w:szCs w:val="24"/>
        </w:rPr>
        <w:t xml:space="preserve"> of M&amp;E automation. </w:t>
      </w:r>
      <w:r>
        <w:rPr>
          <w:szCs w:val="24"/>
          <w:highlight w:val="yellow"/>
        </w:rPr>
        <w:t>Wi</w:t>
      </w:r>
      <w:r>
        <w:rPr>
          <w:szCs w:val="24"/>
        </w:rPr>
        <w:t>tho</w:t>
      </w:r>
      <w:r>
        <w:rPr>
          <w:szCs w:val="24"/>
          <w:highlight w:val="yellow"/>
        </w:rPr>
        <w:t>ut</w:t>
      </w:r>
      <w:r>
        <w:rPr>
          <w:szCs w:val="24"/>
        </w:rPr>
        <w:t xml:space="preserve"> such evidence, fragmented </w:t>
      </w:r>
      <w:proofErr w:type="spellStart"/>
      <w:r>
        <w:rPr>
          <w:szCs w:val="24"/>
        </w:rPr>
        <w:t>digitisation</w:t>
      </w:r>
      <w:proofErr w:type="spellEnd"/>
      <w:r>
        <w:rPr>
          <w:szCs w:val="24"/>
        </w:rPr>
        <w:t xml:space="preserve"> efforts </w:t>
      </w:r>
      <w:r>
        <w:rPr>
          <w:szCs w:val="24"/>
          <w:highlight w:val="yellow"/>
        </w:rPr>
        <w:t>m</w:t>
      </w:r>
      <w:r>
        <w:rPr>
          <w:szCs w:val="24"/>
        </w:rPr>
        <w:t>a</w:t>
      </w:r>
      <w:r>
        <w:rPr>
          <w:szCs w:val="24"/>
          <w:highlight w:val="yellow"/>
        </w:rPr>
        <w:t>y b</w:t>
      </w:r>
      <w:r>
        <w:rPr>
          <w:szCs w:val="24"/>
        </w:rPr>
        <w:t xml:space="preserve">e </w:t>
      </w:r>
      <w:r>
        <w:rPr>
          <w:szCs w:val="24"/>
          <w:highlight w:val="yellow"/>
        </w:rPr>
        <w:t>difficu</w:t>
      </w:r>
      <w:r>
        <w:rPr>
          <w:szCs w:val="24"/>
        </w:rPr>
        <w:t>l</w:t>
      </w:r>
      <w:r>
        <w:rPr>
          <w:szCs w:val="24"/>
          <w:highlight w:val="yellow"/>
        </w:rPr>
        <w:t>t</w:t>
      </w:r>
      <w:r>
        <w:rPr>
          <w:szCs w:val="24"/>
        </w:rPr>
        <w:t xml:space="preserve"> to sustain. This </w:t>
      </w:r>
      <w:r>
        <w:rPr>
          <w:szCs w:val="24"/>
          <w:highlight w:val="yellow"/>
        </w:rPr>
        <w:t>study</w:t>
      </w:r>
      <w:r>
        <w:rPr>
          <w:szCs w:val="24"/>
        </w:rPr>
        <w:t xml:space="preserve"> th</w:t>
      </w:r>
      <w:r>
        <w:rPr>
          <w:szCs w:val="24"/>
          <w:highlight w:val="yellow"/>
        </w:rPr>
        <w:t>e</w:t>
      </w:r>
      <w:r>
        <w:rPr>
          <w:szCs w:val="24"/>
        </w:rPr>
        <w:t>r</w:t>
      </w:r>
      <w:r>
        <w:rPr>
          <w:szCs w:val="24"/>
          <w:highlight w:val="yellow"/>
        </w:rPr>
        <w:t>efore</w:t>
      </w:r>
      <w:r>
        <w:rPr>
          <w:szCs w:val="24"/>
        </w:rPr>
        <w:t xml:space="preserve"> e</w:t>
      </w:r>
      <w:r>
        <w:rPr>
          <w:szCs w:val="24"/>
          <w:highlight w:val="yellow"/>
        </w:rPr>
        <w:t>x</w:t>
      </w:r>
      <w:r>
        <w:rPr>
          <w:szCs w:val="24"/>
        </w:rPr>
        <w:t>a</w:t>
      </w:r>
      <w:r>
        <w:rPr>
          <w:szCs w:val="24"/>
          <w:highlight w:val="yellow"/>
        </w:rPr>
        <w:t>min</w:t>
      </w:r>
      <w:r>
        <w:rPr>
          <w:szCs w:val="24"/>
        </w:rPr>
        <w:t xml:space="preserve">es how these four interrelated </w:t>
      </w:r>
      <w:r>
        <w:rPr>
          <w:szCs w:val="24"/>
          <w:highlight w:val="yellow"/>
        </w:rPr>
        <w:t>fa</w:t>
      </w:r>
      <w:r>
        <w:rPr>
          <w:szCs w:val="24"/>
        </w:rPr>
        <w:t>c</w:t>
      </w:r>
      <w:r>
        <w:rPr>
          <w:szCs w:val="24"/>
          <w:highlight w:val="yellow"/>
        </w:rPr>
        <w:t>tors</w:t>
      </w:r>
      <w:r>
        <w:rPr>
          <w:szCs w:val="24"/>
        </w:rPr>
        <w:t xml:space="preserve"> a</w:t>
      </w:r>
      <w:r>
        <w:rPr>
          <w:szCs w:val="24"/>
          <w:highlight w:val="yellow"/>
        </w:rPr>
        <w:t>r</w:t>
      </w:r>
      <w:r>
        <w:rPr>
          <w:szCs w:val="24"/>
        </w:rPr>
        <w:t>e</w:t>
      </w:r>
      <w:r>
        <w:rPr>
          <w:szCs w:val="24"/>
          <w:highlight w:val="yellow"/>
        </w:rPr>
        <w:t xml:space="preserve"> asso</w:t>
      </w:r>
      <w:r>
        <w:rPr>
          <w:szCs w:val="24"/>
        </w:rPr>
        <w:t>c</w:t>
      </w:r>
      <w:r>
        <w:rPr>
          <w:szCs w:val="24"/>
          <w:highlight w:val="yellow"/>
        </w:rPr>
        <w:t>ia</w:t>
      </w:r>
      <w:r>
        <w:rPr>
          <w:szCs w:val="24"/>
        </w:rPr>
        <w:t>t</w:t>
      </w:r>
      <w:r>
        <w:rPr>
          <w:szCs w:val="24"/>
          <w:highlight w:val="yellow"/>
        </w:rPr>
        <w:t>ed</w:t>
      </w:r>
      <w:r>
        <w:rPr>
          <w:szCs w:val="24"/>
        </w:rPr>
        <w:t xml:space="preserve"> </w:t>
      </w:r>
      <w:r>
        <w:rPr>
          <w:szCs w:val="24"/>
          <w:highlight w:val="yellow"/>
        </w:rPr>
        <w:t>wi</w:t>
      </w:r>
      <w:r>
        <w:rPr>
          <w:szCs w:val="24"/>
        </w:rPr>
        <w:t xml:space="preserve">th </w:t>
      </w:r>
      <w:r>
        <w:rPr>
          <w:szCs w:val="24"/>
          <w:highlight w:val="yellow"/>
        </w:rPr>
        <w:t>M&amp;E sys</w:t>
      </w:r>
      <w:r>
        <w:rPr>
          <w:szCs w:val="24"/>
        </w:rPr>
        <w:t>te</w:t>
      </w:r>
      <w:r>
        <w:rPr>
          <w:szCs w:val="24"/>
          <w:highlight w:val="yellow"/>
        </w:rPr>
        <w:t>m</w:t>
      </w:r>
      <w:r>
        <w:rPr>
          <w:szCs w:val="24"/>
        </w:rPr>
        <w:t xml:space="preserve"> automation </w:t>
      </w:r>
      <w:r>
        <w:rPr>
          <w:szCs w:val="24"/>
          <w:highlight w:val="yellow"/>
        </w:rPr>
        <w:t>in health pr</w:t>
      </w:r>
      <w:r>
        <w:rPr>
          <w:szCs w:val="24"/>
        </w:rPr>
        <w:t>o</w:t>
      </w:r>
      <w:r>
        <w:rPr>
          <w:szCs w:val="24"/>
          <w:highlight w:val="yellow"/>
        </w:rPr>
        <w:t>jec</w:t>
      </w:r>
      <w:r>
        <w:rPr>
          <w:szCs w:val="24"/>
        </w:rPr>
        <w:t>ts in Nakuru County</w:t>
      </w:r>
      <w:r>
        <w:rPr>
          <w:szCs w:val="24"/>
          <w:highlight w:val="yellow"/>
        </w:rPr>
        <w:t>,</w:t>
      </w:r>
      <w:r>
        <w:rPr>
          <w:szCs w:val="24"/>
        </w:rPr>
        <w:t xml:space="preserve"> a</w:t>
      </w:r>
      <w:r>
        <w:rPr>
          <w:szCs w:val="24"/>
          <w:highlight w:val="yellow"/>
        </w:rPr>
        <w:t>ddressi</w:t>
      </w:r>
      <w:r>
        <w:rPr>
          <w:szCs w:val="24"/>
        </w:rPr>
        <w:t>n</w:t>
      </w:r>
      <w:r>
        <w:rPr>
          <w:szCs w:val="24"/>
          <w:highlight w:val="yellow"/>
        </w:rPr>
        <w:t>g</w:t>
      </w:r>
      <w:r>
        <w:rPr>
          <w:szCs w:val="24"/>
        </w:rPr>
        <w:t xml:space="preserve"> the</w:t>
      </w:r>
      <w:r>
        <w:rPr>
          <w:szCs w:val="24"/>
          <w:highlight w:val="yellow"/>
        </w:rPr>
        <w:t xml:space="preserve"> id</w:t>
      </w:r>
      <w:r>
        <w:rPr>
          <w:szCs w:val="24"/>
        </w:rPr>
        <w:t>e</w:t>
      </w:r>
      <w:r>
        <w:rPr>
          <w:szCs w:val="24"/>
          <w:highlight w:val="yellow"/>
        </w:rPr>
        <w:t>nti</w:t>
      </w:r>
      <w:r>
        <w:rPr>
          <w:szCs w:val="24"/>
        </w:rPr>
        <w:t>fied</w:t>
      </w:r>
      <w:r>
        <w:rPr>
          <w:szCs w:val="24"/>
          <w:highlight w:val="yellow"/>
        </w:rPr>
        <w:t xml:space="preserve"> evidenc</w:t>
      </w:r>
      <w:r>
        <w:rPr>
          <w:szCs w:val="24"/>
        </w:rPr>
        <w:t xml:space="preserve">e gap and </w:t>
      </w:r>
      <w:r>
        <w:rPr>
          <w:szCs w:val="24"/>
          <w:highlight w:val="yellow"/>
        </w:rPr>
        <w:t>info</w:t>
      </w:r>
      <w:r>
        <w:rPr>
          <w:szCs w:val="24"/>
        </w:rPr>
        <w:t>r</w:t>
      </w:r>
      <w:r>
        <w:rPr>
          <w:szCs w:val="24"/>
          <w:highlight w:val="yellow"/>
        </w:rPr>
        <w:t>m</w:t>
      </w:r>
      <w:r>
        <w:rPr>
          <w:szCs w:val="24"/>
        </w:rPr>
        <w:t>i</w:t>
      </w:r>
      <w:r>
        <w:rPr>
          <w:szCs w:val="24"/>
          <w:highlight w:val="yellow"/>
        </w:rPr>
        <w:t>ng</w:t>
      </w:r>
      <w:r>
        <w:rPr>
          <w:szCs w:val="24"/>
        </w:rPr>
        <w:t xml:space="preserve"> practical recommendations </w:t>
      </w:r>
      <w:r>
        <w:rPr>
          <w:szCs w:val="24"/>
          <w:highlight w:val="yellow"/>
        </w:rPr>
        <w:t>f</w:t>
      </w:r>
      <w:r>
        <w:rPr>
          <w:szCs w:val="24"/>
        </w:rPr>
        <w:t>o</w:t>
      </w:r>
      <w:r>
        <w:rPr>
          <w:szCs w:val="24"/>
          <w:highlight w:val="yellow"/>
        </w:rPr>
        <w:t>r</w:t>
      </w:r>
      <w:r>
        <w:rPr>
          <w:szCs w:val="24"/>
        </w:rPr>
        <w:t xml:space="preserve"> stakeholders.</w:t>
      </w:r>
    </w:p>
    <w:p w14:paraId="307BBF8D" w14:textId="77777777" w:rsidR="00946C83" w:rsidRDefault="00000000">
      <w:pPr>
        <w:pStyle w:val="Heading1"/>
        <w:spacing w:before="0" w:after="160" w:line="360" w:lineRule="auto"/>
        <w:rPr>
          <w:rFonts w:ascii="Times New Roman" w:hAnsi="Times New Roman"/>
          <w:color w:val="000000"/>
          <w:sz w:val="24"/>
          <w:szCs w:val="24"/>
        </w:rPr>
      </w:pPr>
      <w:r>
        <w:rPr>
          <w:rFonts w:ascii="Times New Roman" w:hAnsi="Times New Roman"/>
          <w:color w:val="000000"/>
          <w:sz w:val="24"/>
          <w:szCs w:val="24"/>
          <w:highlight w:val="yellow"/>
        </w:rPr>
        <w:t>1.3 Research Questions</w:t>
      </w:r>
    </w:p>
    <w:p w14:paraId="16704051" w14:textId="77777777" w:rsidR="00946C83" w:rsidRDefault="00000000">
      <w:pPr>
        <w:spacing w:after="160" w:line="360" w:lineRule="auto"/>
        <w:jc w:val="both"/>
        <w:rPr>
          <w:szCs w:val="24"/>
        </w:rPr>
      </w:pPr>
      <w:proofErr w:type="spellStart"/>
      <w:r>
        <w:rPr>
          <w:szCs w:val="24"/>
        </w:rPr>
        <w:t>i</w:t>
      </w:r>
      <w:proofErr w:type="spellEnd"/>
      <w:r>
        <w:rPr>
          <w:szCs w:val="24"/>
        </w:rPr>
        <w:t>. What is the level of technological preparedness among health institutions in Nakuru County?</w:t>
      </w:r>
      <w:r>
        <w:rPr>
          <w:szCs w:val="24"/>
        </w:rPr>
        <w:br/>
        <w:t xml:space="preserve">ii. How do </w:t>
      </w:r>
      <w:proofErr w:type="spellStart"/>
      <w:r>
        <w:rPr>
          <w:szCs w:val="24"/>
        </w:rPr>
        <w:t>organi</w:t>
      </w:r>
      <w:r>
        <w:rPr>
          <w:szCs w:val="24"/>
          <w:highlight w:val="yellow"/>
        </w:rPr>
        <w:t>s</w:t>
      </w:r>
      <w:r>
        <w:rPr>
          <w:szCs w:val="24"/>
        </w:rPr>
        <w:t>ational</w:t>
      </w:r>
      <w:proofErr w:type="spellEnd"/>
      <w:r>
        <w:rPr>
          <w:szCs w:val="24"/>
        </w:rPr>
        <w:t xml:space="preserve"> structures and cultures affect the implementation of automated M&amp;E?</w:t>
      </w:r>
      <w:r>
        <w:rPr>
          <w:szCs w:val="24"/>
        </w:rPr>
        <w:br/>
        <w:t>iii. What role do policy and regulatory frameworks play in shaping M&amp;E automation?</w:t>
      </w:r>
      <w:r>
        <w:rPr>
          <w:szCs w:val="24"/>
        </w:rPr>
        <w:br/>
        <w:t>iv. What are the perceptions and attitudes of stakeholders toward automated M&amp;E systems?</w:t>
      </w:r>
    </w:p>
    <w:p w14:paraId="6B6030D3" w14:textId="77777777" w:rsidR="00946C83" w:rsidRDefault="00000000">
      <w:pPr>
        <w:pStyle w:val="Heading1"/>
        <w:spacing w:before="0" w:after="160" w:line="360" w:lineRule="auto"/>
        <w:rPr>
          <w:rFonts w:ascii="Times New Roman" w:hAnsi="Times New Roman"/>
          <w:color w:val="000000"/>
          <w:sz w:val="24"/>
          <w:szCs w:val="24"/>
        </w:rPr>
      </w:pPr>
      <w:r>
        <w:rPr>
          <w:rFonts w:ascii="Times New Roman" w:hAnsi="Times New Roman"/>
          <w:color w:val="000000"/>
          <w:sz w:val="24"/>
          <w:szCs w:val="24"/>
          <w:highlight w:val="yellow"/>
        </w:rPr>
        <w:t>1.4 Objectives of the Study</w:t>
      </w:r>
    </w:p>
    <w:p w14:paraId="643E00D7" w14:textId="77777777" w:rsidR="00946C83" w:rsidRDefault="00000000">
      <w:pPr>
        <w:pStyle w:val="Heading1"/>
        <w:spacing w:before="0" w:after="160" w:line="360" w:lineRule="auto"/>
        <w:rPr>
          <w:color w:val="000000"/>
        </w:rPr>
      </w:pPr>
      <w:r>
        <w:rPr>
          <w:rFonts w:ascii="Times New Roman" w:hAnsi="Times New Roman"/>
          <w:color w:val="000000"/>
          <w:sz w:val="24"/>
          <w:szCs w:val="24"/>
          <w:highlight w:val="yellow"/>
        </w:rPr>
        <w:t>1.4.1 General Objective</w:t>
      </w:r>
    </w:p>
    <w:p w14:paraId="39B3316A" w14:textId="77777777" w:rsidR="00946C83" w:rsidRDefault="00000000">
      <w:pPr>
        <w:spacing w:after="160" w:line="360" w:lineRule="auto"/>
        <w:jc w:val="both"/>
        <w:rPr>
          <w:szCs w:val="24"/>
        </w:rPr>
      </w:pPr>
      <w:r>
        <w:rPr>
          <w:szCs w:val="24"/>
        </w:rPr>
        <w:t>The main objective was to examine the factors that influence the automation of monitoring and evaluation in health projects in Nakuru County.</w:t>
      </w:r>
    </w:p>
    <w:p w14:paraId="2A7B8C45" w14:textId="77777777" w:rsidR="00946C83" w:rsidRDefault="00000000">
      <w:pPr>
        <w:pStyle w:val="Heading1"/>
        <w:spacing w:before="0" w:after="160" w:line="360" w:lineRule="auto"/>
        <w:rPr>
          <w:rFonts w:ascii="Times New Roman" w:hAnsi="Times New Roman"/>
          <w:color w:val="000000"/>
          <w:sz w:val="24"/>
          <w:szCs w:val="24"/>
        </w:rPr>
      </w:pPr>
      <w:r>
        <w:rPr>
          <w:rFonts w:ascii="Times New Roman" w:hAnsi="Times New Roman"/>
          <w:color w:val="000000"/>
          <w:sz w:val="24"/>
          <w:szCs w:val="24"/>
          <w:highlight w:val="yellow"/>
        </w:rPr>
        <w:lastRenderedPageBreak/>
        <w:t>1.4.2 Specific Objectives</w:t>
      </w:r>
    </w:p>
    <w:p w14:paraId="60C107F5" w14:textId="77777777" w:rsidR="00946C83" w:rsidRDefault="00000000">
      <w:pPr>
        <w:spacing w:after="160" w:line="360" w:lineRule="auto"/>
        <w:jc w:val="both"/>
        <w:rPr>
          <w:szCs w:val="24"/>
        </w:rPr>
      </w:pPr>
      <w:proofErr w:type="spellStart"/>
      <w:r>
        <w:rPr>
          <w:szCs w:val="24"/>
        </w:rPr>
        <w:t>i</w:t>
      </w:r>
      <w:proofErr w:type="spellEnd"/>
      <w:r>
        <w:rPr>
          <w:szCs w:val="24"/>
        </w:rPr>
        <w:t>. To examine the technological preparedness of health institutions in Nakuru County to implement automated M&amp;E systems.</w:t>
      </w:r>
      <w:r>
        <w:rPr>
          <w:szCs w:val="24"/>
        </w:rPr>
        <w:br/>
        <w:t xml:space="preserve">ii. To assess the </w:t>
      </w:r>
      <w:proofErr w:type="spellStart"/>
      <w:r>
        <w:rPr>
          <w:szCs w:val="24"/>
        </w:rPr>
        <w:t>organi</w:t>
      </w:r>
      <w:r>
        <w:rPr>
          <w:szCs w:val="24"/>
          <w:highlight w:val="yellow"/>
        </w:rPr>
        <w:t>s</w:t>
      </w:r>
      <w:r>
        <w:rPr>
          <w:szCs w:val="24"/>
        </w:rPr>
        <w:t>ational</w:t>
      </w:r>
      <w:proofErr w:type="spellEnd"/>
      <w:r>
        <w:rPr>
          <w:szCs w:val="24"/>
        </w:rPr>
        <w:t xml:space="preserve"> structures and cultures that facilitate or hinder M&amp;E automation.</w:t>
      </w:r>
      <w:r>
        <w:rPr>
          <w:szCs w:val="24"/>
        </w:rPr>
        <w:br/>
        <w:t>iii. To evaluate the influence of policy and regulatory frameworks on M&amp;E automation.</w:t>
      </w:r>
      <w:r>
        <w:rPr>
          <w:szCs w:val="24"/>
        </w:rPr>
        <w:br/>
        <w:t>iv. To explore stakeholders’ perceptions and attitudes toward automated M&amp;E systems.</w:t>
      </w:r>
    </w:p>
    <w:p w14:paraId="685B3A7D" w14:textId="77777777" w:rsidR="00946C83" w:rsidRDefault="00000000">
      <w:pPr>
        <w:pStyle w:val="Heading1"/>
        <w:spacing w:before="0" w:after="160" w:line="360" w:lineRule="auto"/>
        <w:rPr>
          <w:rFonts w:ascii="Times New Roman" w:hAnsi="Times New Roman"/>
          <w:color w:val="000000"/>
          <w:sz w:val="24"/>
          <w:szCs w:val="24"/>
        </w:rPr>
      </w:pPr>
      <w:r>
        <w:rPr>
          <w:rFonts w:ascii="Times New Roman" w:hAnsi="Times New Roman"/>
          <w:color w:val="000000"/>
          <w:sz w:val="24"/>
          <w:szCs w:val="24"/>
        </w:rPr>
        <w:t>2.1 Literature Review</w:t>
      </w:r>
    </w:p>
    <w:p w14:paraId="0EDFAA40" w14:textId="77777777" w:rsidR="00946C83" w:rsidRDefault="00000000">
      <w:pPr>
        <w:pStyle w:val="Heading1"/>
        <w:spacing w:before="0" w:after="160" w:line="360" w:lineRule="auto"/>
        <w:rPr>
          <w:rFonts w:ascii="Times New Roman" w:hAnsi="Times New Roman"/>
          <w:color w:val="000000"/>
          <w:sz w:val="24"/>
          <w:szCs w:val="24"/>
        </w:rPr>
      </w:pPr>
      <w:r>
        <w:rPr>
          <w:rFonts w:ascii="Times New Roman" w:hAnsi="Times New Roman"/>
          <w:color w:val="000000"/>
          <w:sz w:val="24"/>
          <w:szCs w:val="24"/>
        </w:rPr>
        <w:t>2.2 Theoretical Framework</w:t>
      </w:r>
    </w:p>
    <w:p w14:paraId="35930EC0" w14:textId="77777777" w:rsidR="00946C83" w:rsidRDefault="00000000">
      <w:pPr>
        <w:spacing w:after="160" w:line="360" w:lineRule="auto"/>
        <w:jc w:val="both"/>
      </w:pPr>
      <w:r>
        <w:rPr>
          <w:szCs w:val="24"/>
        </w:rPr>
        <w:t>Two theories guide the explanation of how automated M&amp;E systems are implemented and adopted: the T</w:t>
      </w:r>
      <w:r>
        <w:rPr>
          <w:szCs w:val="24"/>
          <w:highlight w:val="yellow"/>
        </w:rPr>
        <w:t>echnology Acceptance Model (T</w:t>
      </w:r>
      <w:r>
        <w:rPr>
          <w:szCs w:val="24"/>
        </w:rPr>
        <w:t>AM</w:t>
      </w:r>
      <w:r>
        <w:rPr>
          <w:szCs w:val="24"/>
          <w:highlight w:val="yellow"/>
        </w:rPr>
        <w:t>)</w:t>
      </w:r>
      <w:r>
        <w:rPr>
          <w:szCs w:val="24"/>
        </w:rPr>
        <w:t xml:space="preserve"> and the Diffusion of Innovations Theory</w:t>
      </w:r>
      <w:r>
        <w:rPr>
          <w:szCs w:val="24"/>
          <w:highlight w:val="yellow"/>
        </w:rPr>
        <w:t xml:space="preserve"> (DIT)</w:t>
      </w:r>
      <w:r>
        <w:rPr>
          <w:szCs w:val="24"/>
        </w:rPr>
        <w:t xml:space="preserve">. According to </w:t>
      </w:r>
      <w:proofErr w:type="spellStart"/>
      <w:r>
        <w:rPr>
          <w:szCs w:val="24"/>
        </w:rPr>
        <w:t>Davis'</w:t>
      </w:r>
      <w:proofErr w:type="spellEnd"/>
      <w:r>
        <w:rPr>
          <w:szCs w:val="24"/>
        </w:rPr>
        <w:t xml:space="preserve"> (1989) TAM, acceptance of new technology is primarily shaped by </w:t>
      </w:r>
      <w:r>
        <w:rPr>
          <w:szCs w:val="24"/>
          <w:highlight w:val="yellow"/>
        </w:rPr>
        <w:t>p</w:t>
      </w:r>
      <w:r>
        <w:rPr>
          <w:szCs w:val="24"/>
        </w:rPr>
        <w:t xml:space="preserve">erceived </w:t>
      </w:r>
      <w:r>
        <w:rPr>
          <w:szCs w:val="24"/>
          <w:highlight w:val="yellow"/>
        </w:rPr>
        <w:t>u</w:t>
      </w:r>
      <w:r>
        <w:rPr>
          <w:szCs w:val="24"/>
        </w:rPr>
        <w:t xml:space="preserve">sefulness (PU) and </w:t>
      </w:r>
      <w:r>
        <w:rPr>
          <w:szCs w:val="24"/>
          <w:highlight w:val="yellow"/>
        </w:rPr>
        <w:t>p</w:t>
      </w:r>
      <w:r>
        <w:rPr>
          <w:szCs w:val="24"/>
        </w:rPr>
        <w:t xml:space="preserve">erceived </w:t>
      </w:r>
      <w:r>
        <w:rPr>
          <w:szCs w:val="24"/>
          <w:highlight w:val="yellow"/>
        </w:rPr>
        <w:t>e</w:t>
      </w:r>
      <w:r>
        <w:rPr>
          <w:szCs w:val="24"/>
        </w:rPr>
        <w:t xml:space="preserve">ase of </w:t>
      </w:r>
      <w:r>
        <w:rPr>
          <w:szCs w:val="24"/>
          <w:highlight w:val="yellow"/>
        </w:rPr>
        <w:t>u</w:t>
      </w:r>
      <w:r>
        <w:rPr>
          <w:szCs w:val="24"/>
        </w:rPr>
        <w:t>se (PEOU). In the context of M&amp;E automation, TAM helps assess whether users consider automation tools beneficial and easy to incorporate into health-system work processes.</w:t>
      </w:r>
    </w:p>
    <w:p w14:paraId="65A9A9C0" w14:textId="77777777" w:rsidR="00946C83" w:rsidRDefault="00000000">
      <w:pPr>
        <w:spacing w:after="160" w:line="360" w:lineRule="auto"/>
        <w:jc w:val="both"/>
        <w:rPr>
          <w:szCs w:val="24"/>
        </w:rPr>
      </w:pPr>
      <w:r>
        <w:rPr>
          <w:szCs w:val="24"/>
        </w:rPr>
        <w:t>Rogers' (2003) DIT</w:t>
      </w:r>
      <w:r>
        <w:rPr>
          <w:szCs w:val="24"/>
          <w:highlight w:val="yellow"/>
        </w:rPr>
        <w:t xml:space="preserve"> </w:t>
      </w:r>
      <w:r>
        <w:rPr>
          <w:szCs w:val="24"/>
        </w:rPr>
        <w:t xml:space="preserve">explains how new technologies spread through social systems. The theory identifies </w:t>
      </w:r>
      <w:r>
        <w:rPr>
          <w:szCs w:val="24"/>
          <w:highlight w:val="yellow"/>
        </w:rPr>
        <w:t>five</w:t>
      </w:r>
      <w:r>
        <w:rPr>
          <w:szCs w:val="24"/>
        </w:rPr>
        <w:t xml:space="preserve"> attributes that influence adoption: relative advantage, compatibility, complexity, trialability and observability. The</w:t>
      </w:r>
      <w:r>
        <w:rPr>
          <w:szCs w:val="24"/>
          <w:highlight w:val="yellow"/>
        </w:rPr>
        <w:t>se</w:t>
      </w:r>
      <w:r>
        <w:rPr>
          <w:szCs w:val="24"/>
        </w:rPr>
        <w:t xml:space="preserve"> principles can be a</w:t>
      </w:r>
      <w:r>
        <w:rPr>
          <w:szCs w:val="24"/>
          <w:highlight w:val="yellow"/>
        </w:rPr>
        <w:t>ppli</w:t>
      </w:r>
      <w:r>
        <w:rPr>
          <w:szCs w:val="24"/>
        </w:rPr>
        <w:t>ed to the a</w:t>
      </w:r>
      <w:r>
        <w:rPr>
          <w:szCs w:val="24"/>
          <w:highlight w:val="yellow"/>
        </w:rPr>
        <w:t>do</w:t>
      </w:r>
      <w:r>
        <w:rPr>
          <w:szCs w:val="24"/>
        </w:rPr>
        <w:t>p</w:t>
      </w:r>
      <w:r>
        <w:rPr>
          <w:szCs w:val="24"/>
          <w:highlight w:val="yellow"/>
        </w:rPr>
        <w:t>ti</w:t>
      </w:r>
      <w:r>
        <w:rPr>
          <w:szCs w:val="24"/>
        </w:rPr>
        <w:t>o</w:t>
      </w:r>
      <w:r>
        <w:rPr>
          <w:szCs w:val="24"/>
          <w:highlight w:val="yellow"/>
        </w:rPr>
        <w:t>n</w:t>
      </w:r>
      <w:r>
        <w:rPr>
          <w:szCs w:val="24"/>
        </w:rPr>
        <w:t xml:space="preserve"> of automated M&amp;E practices in various health institutions in Nakuru County.</w:t>
      </w:r>
    </w:p>
    <w:p w14:paraId="38E207F6" w14:textId="77777777" w:rsidR="00946C83" w:rsidRDefault="00000000">
      <w:pPr>
        <w:pStyle w:val="Heading1"/>
        <w:spacing w:before="0" w:after="160" w:line="360" w:lineRule="auto"/>
        <w:rPr>
          <w:rFonts w:ascii="Times New Roman" w:hAnsi="Times New Roman"/>
          <w:color w:val="000000"/>
          <w:sz w:val="24"/>
          <w:szCs w:val="24"/>
        </w:rPr>
      </w:pPr>
      <w:r>
        <w:rPr>
          <w:rFonts w:ascii="Times New Roman" w:hAnsi="Times New Roman"/>
          <w:color w:val="000000"/>
          <w:sz w:val="24"/>
          <w:szCs w:val="24"/>
        </w:rPr>
        <w:t>2.3 Review of Empirical Studies</w:t>
      </w:r>
    </w:p>
    <w:p w14:paraId="525840B5" w14:textId="77777777" w:rsidR="00946C83" w:rsidRDefault="00000000">
      <w:pPr>
        <w:pStyle w:val="Heading1"/>
        <w:spacing w:before="0" w:after="160" w:line="360" w:lineRule="auto"/>
        <w:rPr>
          <w:color w:val="000000"/>
        </w:rPr>
      </w:pPr>
      <w:r>
        <w:rPr>
          <w:rFonts w:ascii="Times New Roman" w:hAnsi="Times New Roman"/>
          <w:color w:val="000000"/>
          <w:sz w:val="24"/>
          <w:szCs w:val="24"/>
        </w:rPr>
        <w:t>2.3.1 Global Perspective on M&amp;E Automation</w:t>
      </w:r>
    </w:p>
    <w:p w14:paraId="1EB73F84" w14:textId="77777777" w:rsidR="00946C83" w:rsidRDefault="00000000">
      <w:pPr>
        <w:spacing w:after="160" w:line="360" w:lineRule="auto"/>
        <w:jc w:val="both"/>
        <w:rPr>
          <w:szCs w:val="24"/>
        </w:rPr>
      </w:pPr>
      <w:r>
        <w:rPr>
          <w:szCs w:val="24"/>
          <w:highlight w:val="yellow"/>
        </w:rPr>
        <w:t>M&amp;E</w:t>
      </w:r>
      <w:r>
        <w:rPr>
          <w:szCs w:val="24"/>
        </w:rPr>
        <w:t xml:space="preserve"> automation has </w:t>
      </w:r>
      <w:r>
        <w:rPr>
          <w:szCs w:val="24"/>
          <w:highlight w:val="yellow"/>
        </w:rPr>
        <w:t>gain</w:t>
      </w:r>
      <w:r>
        <w:rPr>
          <w:szCs w:val="24"/>
        </w:rPr>
        <w:t>e</w:t>
      </w:r>
      <w:r>
        <w:rPr>
          <w:szCs w:val="24"/>
          <w:highlight w:val="yellow"/>
        </w:rPr>
        <w:t>d promi</w:t>
      </w:r>
      <w:r>
        <w:rPr>
          <w:szCs w:val="24"/>
        </w:rPr>
        <w:t>n</w:t>
      </w:r>
      <w:r>
        <w:rPr>
          <w:szCs w:val="24"/>
          <w:highlight w:val="yellow"/>
        </w:rPr>
        <w:t>enc</w:t>
      </w:r>
      <w:r>
        <w:rPr>
          <w:szCs w:val="24"/>
        </w:rPr>
        <w:t xml:space="preserve">e </w:t>
      </w:r>
      <w:r>
        <w:rPr>
          <w:szCs w:val="24"/>
          <w:highlight w:val="yellow"/>
        </w:rPr>
        <w:t>gl</w:t>
      </w:r>
      <w:r>
        <w:rPr>
          <w:szCs w:val="24"/>
        </w:rPr>
        <w:t>o</w:t>
      </w:r>
      <w:r>
        <w:rPr>
          <w:szCs w:val="24"/>
          <w:highlight w:val="yellow"/>
        </w:rPr>
        <w:t>ba</w:t>
      </w:r>
      <w:r>
        <w:rPr>
          <w:szCs w:val="24"/>
        </w:rPr>
        <w:t>ll</w:t>
      </w:r>
      <w:r>
        <w:rPr>
          <w:szCs w:val="24"/>
          <w:highlight w:val="yellow"/>
        </w:rPr>
        <w:t>y</w:t>
      </w:r>
      <w:r>
        <w:rPr>
          <w:szCs w:val="24"/>
        </w:rPr>
        <w:t xml:space="preserve"> as </w:t>
      </w:r>
      <w:proofErr w:type="spellStart"/>
      <w:r>
        <w:rPr>
          <w:szCs w:val="24"/>
        </w:rPr>
        <w:t>organisations</w:t>
      </w:r>
      <w:proofErr w:type="spellEnd"/>
      <w:r>
        <w:rPr>
          <w:szCs w:val="24"/>
        </w:rPr>
        <w:t xml:space="preserve"> se</w:t>
      </w:r>
      <w:r>
        <w:rPr>
          <w:szCs w:val="24"/>
          <w:highlight w:val="yellow"/>
        </w:rPr>
        <w:t>ek</w:t>
      </w:r>
      <w:r>
        <w:rPr>
          <w:szCs w:val="24"/>
        </w:rPr>
        <w:t xml:space="preserve"> to </w:t>
      </w:r>
      <w:r>
        <w:rPr>
          <w:szCs w:val="24"/>
          <w:highlight w:val="yellow"/>
        </w:rPr>
        <w:t>improv</w:t>
      </w:r>
      <w:r>
        <w:rPr>
          <w:szCs w:val="24"/>
        </w:rPr>
        <w:t xml:space="preserve">e </w:t>
      </w:r>
      <w:r>
        <w:rPr>
          <w:szCs w:val="24"/>
          <w:highlight w:val="yellow"/>
        </w:rPr>
        <w:t>da</w:t>
      </w:r>
      <w:r>
        <w:rPr>
          <w:szCs w:val="24"/>
        </w:rPr>
        <w:t>t</w:t>
      </w:r>
      <w:r>
        <w:rPr>
          <w:szCs w:val="24"/>
          <w:highlight w:val="yellow"/>
        </w:rPr>
        <w:t>a</w:t>
      </w:r>
      <w:r>
        <w:rPr>
          <w:szCs w:val="24"/>
        </w:rPr>
        <w:t xml:space="preserve"> collection, reporting and </w:t>
      </w:r>
      <w:proofErr w:type="spellStart"/>
      <w:r>
        <w:rPr>
          <w:szCs w:val="24"/>
        </w:rPr>
        <w:t>program</w:t>
      </w:r>
      <w:r>
        <w:rPr>
          <w:szCs w:val="24"/>
          <w:highlight w:val="yellow"/>
        </w:rPr>
        <w:t>me</w:t>
      </w:r>
      <w:proofErr w:type="spellEnd"/>
      <w:r>
        <w:rPr>
          <w:szCs w:val="24"/>
        </w:rPr>
        <w:t xml:space="preserve"> learning. Digital M&amp;E platforms </w:t>
      </w:r>
      <w:r>
        <w:rPr>
          <w:szCs w:val="24"/>
          <w:highlight w:val="yellow"/>
        </w:rPr>
        <w:t>m</w:t>
      </w:r>
      <w:r>
        <w:rPr>
          <w:szCs w:val="24"/>
        </w:rPr>
        <w:t>a</w:t>
      </w:r>
      <w:r>
        <w:rPr>
          <w:szCs w:val="24"/>
          <w:highlight w:val="yellow"/>
        </w:rPr>
        <w:t>y str</w:t>
      </w:r>
      <w:r>
        <w:rPr>
          <w:szCs w:val="24"/>
        </w:rPr>
        <w:t>e</w:t>
      </w:r>
      <w:r>
        <w:rPr>
          <w:szCs w:val="24"/>
          <w:highlight w:val="yellow"/>
        </w:rPr>
        <w:t>ngt</w:t>
      </w:r>
      <w:r>
        <w:rPr>
          <w:szCs w:val="24"/>
        </w:rPr>
        <w:t>he</w:t>
      </w:r>
      <w:r>
        <w:rPr>
          <w:szCs w:val="24"/>
          <w:highlight w:val="yellow"/>
        </w:rPr>
        <w:t>n</w:t>
      </w:r>
      <w:r>
        <w:rPr>
          <w:szCs w:val="24"/>
        </w:rPr>
        <w:t xml:space="preserve"> transparency and accountability in development projects </w:t>
      </w:r>
      <w:r>
        <w:rPr>
          <w:szCs w:val="24"/>
          <w:highlight w:val="yellow"/>
        </w:rPr>
        <w:t>(United N</w:t>
      </w:r>
      <w:r>
        <w:rPr>
          <w:szCs w:val="24"/>
        </w:rPr>
        <w:t>a</w:t>
      </w:r>
      <w:r>
        <w:rPr>
          <w:szCs w:val="24"/>
          <w:highlight w:val="yellow"/>
        </w:rPr>
        <w:t>ti</w:t>
      </w:r>
      <w:r>
        <w:rPr>
          <w:szCs w:val="24"/>
        </w:rPr>
        <w:t>o</w:t>
      </w:r>
      <w:r>
        <w:rPr>
          <w:szCs w:val="24"/>
          <w:highlight w:val="yellow"/>
        </w:rPr>
        <w:t xml:space="preserve">ns Development </w:t>
      </w:r>
      <w:proofErr w:type="spellStart"/>
      <w:r>
        <w:rPr>
          <w:szCs w:val="24"/>
          <w:highlight w:val="yellow"/>
        </w:rPr>
        <w:t>P</w:t>
      </w:r>
      <w:r>
        <w:rPr>
          <w:szCs w:val="24"/>
        </w:rPr>
        <w:t>r</w:t>
      </w:r>
      <w:r>
        <w:rPr>
          <w:szCs w:val="24"/>
          <w:highlight w:val="yellow"/>
        </w:rPr>
        <w:t>o</w:t>
      </w:r>
      <w:r>
        <w:rPr>
          <w:szCs w:val="24"/>
        </w:rPr>
        <w:t>g</w:t>
      </w:r>
      <w:r>
        <w:rPr>
          <w:szCs w:val="24"/>
          <w:highlight w:val="yellow"/>
        </w:rPr>
        <w:t>ramme</w:t>
      </w:r>
      <w:proofErr w:type="spellEnd"/>
      <w:r>
        <w:rPr>
          <w:szCs w:val="24"/>
        </w:rPr>
        <w:t xml:space="preserve"> </w:t>
      </w:r>
      <w:r>
        <w:rPr>
          <w:szCs w:val="24"/>
          <w:highlight w:val="yellow"/>
        </w:rPr>
        <w:t>[</w:t>
      </w:r>
      <w:r>
        <w:rPr>
          <w:szCs w:val="24"/>
        </w:rPr>
        <w:t>UNDP</w:t>
      </w:r>
      <w:r>
        <w:rPr>
          <w:szCs w:val="24"/>
          <w:highlight w:val="yellow"/>
        </w:rPr>
        <w:t>],</w:t>
      </w:r>
      <w:r>
        <w:rPr>
          <w:szCs w:val="24"/>
        </w:rPr>
        <w:t xml:space="preserve"> 2021). Studies of digital-health implementation in lower- and middle-income countries identify organisational readiness, ongoing training and sustainable infrastructure as important implementation considerations (Yew et al., 2025).</w:t>
      </w:r>
    </w:p>
    <w:p w14:paraId="770C63AC" w14:textId="77777777" w:rsidR="00946C83" w:rsidRDefault="00000000">
      <w:pPr>
        <w:pStyle w:val="Heading1"/>
        <w:spacing w:before="0" w:after="160" w:line="360" w:lineRule="auto"/>
        <w:rPr>
          <w:rFonts w:ascii="Times New Roman" w:hAnsi="Times New Roman"/>
          <w:color w:val="000000"/>
          <w:sz w:val="24"/>
          <w:szCs w:val="24"/>
        </w:rPr>
      </w:pPr>
      <w:r>
        <w:rPr>
          <w:rFonts w:ascii="Times New Roman" w:hAnsi="Times New Roman"/>
          <w:color w:val="000000"/>
          <w:sz w:val="24"/>
          <w:szCs w:val="24"/>
        </w:rPr>
        <w:lastRenderedPageBreak/>
        <w:t>2.3.2 Regional Trends in Sub-Saharan Africa</w:t>
      </w:r>
    </w:p>
    <w:p w14:paraId="3158AA95" w14:textId="77777777" w:rsidR="00946C83" w:rsidRDefault="00000000">
      <w:pPr>
        <w:spacing w:after="160" w:line="360" w:lineRule="auto"/>
        <w:jc w:val="both"/>
        <w:rPr>
          <w:szCs w:val="24"/>
        </w:rPr>
      </w:pPr>
      <w:r>
        <w:rPr>
          <w:szCs w:val="24"/>
        </w:rPr>
        <w:t xml:space="preserve">Countries across </w:t>
      </w:r>
      <w:r>
        <w:rPr>
          <w:szCs w:val="24"/>
          <w:highlight w:val="yellow"/>
        </w:rPr>
        <w:t>s</w:t>
      </w:r>
      <w:r>
        <w:rPr>
          <w:szCs w:val="24"/>
        </w:rPr>
        <w:t>ub-Saharan Africa have applied different digital approaches to strengthen monitoring and evaluation within their health systems. A systematic review documented the use of information technology for monitoring and evaluating healthcare training in African and other lower-resource settings (Oyedele et al., 2025). Earlier research on health information systems in Mozambique found that integrating disease-specific programmes involved organisational as well as technical challenges (</w:t>
      </w:r>
      <w:proofErr w:type="spellStart"/>
      <w:r>
        <w:rPr>
          <w:szCs w:val="24"/>
        </w:rPr>
        <w:t>Chilundo</w:t>
      </w:r>
      <w:proofErr w:type="spellEnd"/>
      <w:r>
        <w:rPr>
          <w:szCs w:val="24"/>
        </w:rPr>
        <w:t xml:space="preserve"> &amp; Aanestad, 2004).</w:t>
      </w:r>
    </w:p>
    <w:p w14:paraId="3194DB97" w14:textId="77777777" w:rsidR="00946C83" w:rsidRDefault="00000000">
      <w:pPr>
        <w:pStyle w:val="Heading1"/>
        <w:spacing w:before="0" w:after="160" w:line="360" w:lineRule="auto"/>
        <w:rPr>
          <w:rFonts w:ascii="Times New Roman" w:hAnsi="Times New Roman"/>
          <w:color w:val="000000"/>
          <w:sz w:val="24"/>
          <w:szCs w:val="24"/>
        </w:rPr>
      </w:pPr>
      <w:r>
        <w:rPr>
          <w:rFonts w:ascii="Times New Roman" w:hAnsi="Times New Roman"/>
          <w:color w:val="000000"/>
          <w:sz w:val="24"/>
          <w:szCs w:val="24"/>
        </w:rPr>
        <w:t>2.3.3 The Kenyan Context</w:t>
      </w:r>
    </w:p>
    <w:p w14:paraId="36B8F1F1" w14:textId="77777777" w:rsidR="00946C83" w:rsidRDefault="00000000">
      <w:pPr>
        <w:spacing w:after="160" w:line="360" w:lineRule="auto"/>
        <w:jc w:val="both"/>
        <w:rPr>
          <w:szCs w:val="24"/>
        </w:rPr>
      </w:pPr>
      <w:r>
        <w:rPr>
          <w:szCs w:val="24"/>
        </w:rPr>
        <w:t xml:space="preserve">DHIS2 has been identified as </w:t>
      </w:r>
      <w:r>
        <w:rPr>
          <w:szCs w:val="24"/>
          <w:highlight w:val="yellow"/>
        </w:rPr>
        <w:t>a</w:t>
      </w:r>
      <w:r>
        <w:rPr>
          <w:szCs w:val="24"/>
        </w:rPr>
        <w:t xml:space="preserve"> </w:t>
      </w:r>
      <w:r>
        <w:rPr>
          <w:szCs w:val="24"/>
          <w:highlight w:val="yellow"/>
        </w:rPr>
        <w:t>n</w:t>
      </w:r>
      <w:r>
        <w:rPr>
          <w:szCs w:val="24"/>
        </w:rPr>
        <w:t xml:space="preserve">ational </w:t>
      </w:r>
      <w:r>
        <w:rPr>
          <w:szCs w:val="24"/>
          <w:highlight w:val="yellow"/>
        </w:rPr>
        <w:t>h</w:t>
      </w:r>
      <w:r>
        <w:rPr>
          <w:szCs w:val="24"/>
        </w:rPr>
        <w:t xml:space="preserve">ealth </w:t>
      </w:r>
      <w:r>
        <w:rPr>
          <w:szCs w:val="24"/>
          <w:highlight w:val="yellow"/>
        </w:rPr>
        <w:t>i</w:t>
      </w:r>
      <w:r>
        <w:rPr>
          <w:szCs w:val="24"/>
        </w:rPr>
        <w:t xml:space="preserve">nformation </w:t>
      </w:r>
      <w:r>
        <w:rPr>
          <w:szCs w:val="24"/>
          <w:highlight w:val="yellow"/>
        </w:rPr>
        <w:t>s</w:t>
      </w:r>
      <w:r>
        <w:rPr>
          <w:szCs w:val="24"/>
        </w:rPr>
        <w:t xml:space="preserve">ystem (NHIS) for Kenya. The national rollout has </w:t>
      </w:r>
      <w:r>
        <w:rPr>
          <w:szCs w:val="24"/>
          <w:highlight w:val="yellow"/>
        </w:rPr>
        <w:t>prov</w:t>
      </w:r>
      <w:r>
        <w:rPr>
          <w:szCs w:val="24"/>
        </w:rPr>
        <w:t>i</w:t>
      </w:r>
      <w:r>
        <w:rPr>
          <w:szCs w:val="24"/>
          <w:highlight w:val="yellow"/>
        </w:rPr>
        <w:t>d</w:t>
      </w:r>
      <w:r>
        <w:rPr>
          <w:szCs w:val="24"/>
        </w:rPr>
        <w:t>e</w:t>
      </w:r>
      <w:r>
        <w:rPr>
          <w:szCs w:val="24"/>
          <w:highlight w:val="yellow"/>
        </w:rPr>
        <w:t>d</w:t>
      </w:r>
      <w:r>
        <w:rPr>
          <w:szCs w:val="24"/>
        </w:rPr>
        <w:t xml:space="preserve"> a framework </w:t>
      </w:r>
      <w:r>
        <w:rPr>
          <w:szCs w:val="24"/>
          <w:highlight w:val="yellow"/>
        </w:rPr>
        <w:t>f</w:t>
      </w:r>
      <w:r>
        <w:rPr>
          <w:szCs w:val="24"/>
        </w:rPr>
        <w:t>o</w:t>
      </w:r>
      <w:r>
        <w:rPr>
          <w:szCs w:val="24"/>
          <w:highlight w:val="yellow"/>
        </w:rPr>
        <w:t>r</w:t>
      </w:r>
      <w:r>
        <w:rPr>
          <w:szCs w:val="24"/>
        </w:rPr>
        <w:t xml:space="preserve"> report</w:t>
      </w:r>
      <w:r>
        <w:rPr>
          <w:szCs w:val="24"/>
          <w:highlight w:val="yellow"/>
        </w:rPr>
        <w:t>ing</w:t>
      </w:r>
      <w:r>
        <w:rPr>
          <w:szCs w:val="24"/>
        </w:rPr>
        <w:t xml:space="preserve"> real-time data, but at the county level, this implementation has been inconsistent. Staff resistance, poor internet connectivity in remote facilities and </w:t>
      </w:r>
      <w:r>
        <w:rPr>
          <w:szCs w:val="24"/>
          <w:highlight w:val="yellow"/>
        </w:rPr>
        <w:t>limited</w:t>
      </w:r>
      <w:r>
        <w:rPr>
          <w:szCs w:val="24"/>
        </w:rPr>
        <w:t xml:space="preserve"> system interoperability re</w:t>
      </w:r>
      <w:r>
        <w:rPr>
          <w:szCs w:val="24"/>
          <w:highlight w:val="yellow"/>
        </w:rPr>
        <w:t>main reported</w:t>
      </w:r>
      <w:r>
        <w:rPr>
          <w:szCs w:val="24"/>
        </w:rPr>
        <w:t xml:space="preserve"> challenges </w:t>
      </w:r>
      <w:r>
        <w:rPr>
          <w:szCs w:val="24"/>
          <w:highlight w:val="yellow"/>
        </w:rPr>
        <w:t>(Chepk</w:t>
      </w:r>
      <w:r>
        <w:rPr>
          <w:szCs w:val="24"/>
        </w:rPr>
        <w:t>i</w:t>
      </w:r>
      <w:r>
        <w:rPr>
          <w:szCs w:val="24"/>
          <w:highlight w:val="yellow"/>
        </w:rPr>
        <w:t>rui e</w:t>
      </w:r>
      <w:r>
        <w:rPr>
          <w:szCs w:val="24"/>
        </w:rPr>
        <w:t>t</w:t>
      </w:r>
      <w:r>
        <w:rPr>
          <w:szCs w:val="24"/>
          <w:highlight w:val="yellow"/>
        </w:rPr>
        <w:t xml:space="preserve"> al., 2025). A study in Homa Bay County found several digital-health systems operating alongside one another, with fragmented implementation and challenges in system interoperability and data use (Chepkirui et al., 2025).</w:t>
      </w:r>
    </w:p>
    <w:p w14:paraId="70268C54" w14:textId="77777777" w:rsidR="00946C83" w:rsidRDefault="00000000">
      <w:pPr>
        <w:pStyle w:val="Heading1"/>
        <w:spacing w:before="0" w:after="160" w:line="360" w:lineRule="auto"/>
        <w:rPr>
          <w:rFonts w:ascii="Times New Roman" w:hAnsi="Times New Roman"/>
          <w:color w:val="000000"/>
          <w:sz w:val="24"/>
          <w:szCs w:val="24"/>
        </w:rPr>
      </w:pPr>
      <w:r>
        <w:rPr>
          <w:rFonts w:ascii="Times New Roman" w:hAnsi="Times New Roman"/>
          <w:color w:val="000000"/>
          <w:sz w:val="24"/>
          <w:szCs w:val="24"/>
        </w:rPr>
        <w:t>2.3.4 Technological Readiness</w:t>
      </w:r>
    </w:p>
    <w:p w14:paraId="11E2744B" w14:textId="77777777" w:rsidR="00946C83" w:rsidRDefault="00000000">
      <w:pPr>
        <w:spacing w:after="160" w:line="360" w:lineRule="auto"/>
        <w:jc w:val="both"/>
      </w:pPr>
      <w:r>
        <w:rPr>
          <w:szCs w:val="24"/>
          <w:highlight w:val="yellow"/>
        </w:rPr>
        <w:t>Technological readiness is a</w:t>
      </w:r>
      <w:r>
        <w:rPr>
          <w:szCs w:val="24"/>
        </w:rPr>
        <w:t xml:space="preserve">n important factor in </w:t>
      </w:r>
      <w:r>
        <w:rPr>
          <w:szCs w:val="24"/>
          <w:highlight w:val="yellow"/>
        </w:rPr>
        <w:t>M&amp;E</w:t>
      </w:r>
      <w:r>
        <w:rPr>
          <w:szCs w:val="24"/>
        </w:rPr>
        <w:t xml:space="preserve"> automation. It </w:t>
      </w:r>
      <w:r>
        <w:rPr>
          <w:szCs w:val="24"/>
          <w:highlight w:val="yellow"/>
        </w:rPr>
        <w:t>e</w:t>
      </w:r>
      <w:r>
        <w:rPr>
          <w:szCs w:val="24"/>
        </w:rPr>
        <w:t>nco</w:t>
      </w:r>
      <w:r>
        <w:rPr>
          <w:szCs w:val="24"/>
          <w:highlight w:val="yellow"/>
        </w:rPr>
        <w:t>m</w:t>
      </w:r>
      <w:r>
        <w:rPr>
          <w:szCs w:val="24"/>
        </w:rPr>
        <w:t>pa</w:t>
      </w:r>
      <w:r>
        <w:rPr>
          <w:szCs w:val="24"/>
          <w:highlight w:val="yellow"/>
        </w:rPr>
        <w:t>ss</w:t>
      </w:r>
      <w:r>
        <w:rPr>
          <w:szCs w:val="24"/>
        </w:rPr>
        <w:t xml:space="preserve">es hardware resources (computers, tablets), </w:t>
      </w:r>
      <w:r>
        <w:rPr>
          <w:szCs w:val="24"/>
          <w:highlight w:val="yellow"/>
        </w:rPr>
        <w:t>i</w:t>
      </w:r>
      <w:r>
        <w:rPr>
          <w:szCs w:val="24"/>
        </w:rPr>
        <w:t xml:space="preserve">nternet </w:t>
      </w:r>
      <w:r>
        <w:rPr>
          <w:szCs w:val="24"/>
          <w:highlight w:val="yellow"/>
        </w:rPr>
        <w:t>co</w:t>
      </w:r>
      <w:r>
        <w:rPr>
          <w:szCs w:val="24"/>
        </w:rPr>
        <w:t>n</w:t>
      </w:r>
      <w:r>
        <w:rPr>
          <w:szCs w:val="24"/>
          <w:highlight w:val="yellow"/>
        </w:rPr>
        <w:t>ne</w:t>
      </w:r>
      <w:r>
        <w:rPr>
          <w:szCs w:val="24"/>
        </w:rPr>
        <w:t>ct</w:t>
      </w:r>
      <w:r>
        <w:rPr>
          <w:szCs w:val="24"/>
          <w:highlight w:val="yellow"/>
        </w:rPr>
        <w:t>ivity</w:t>
      </w:r>
      <w:r>
        <w:rPr>
          <w:szCs w:val="24"/>
        </w:rPr>
        <w:t>, electricity and data security systems. A major African broadband report emphasised persistent connectivity gaps and the need for expanded digital infrastructure (Broadband Commission for Sustainable Development, 2019). In Kenya, fragmented digital-health deployments and capacity constraints may also hinder coordinated technology adoption (Mburu &amp; Kamau, 2018).</w:t>
      </w:r>
    </w:p>
    <w:p w14:paraId="37942BCD" w14:textId="77777777" w:rsidR="00946C83" w:rsidRDefault="00000000">
      <w:pPr>
        <w:pStyle w:val="Heading1"/>
        <w:spacing w:before="0" w:after="160" w:line="360" w:lineRule="auto"/>
        <w:rPr>
          <w:rFonts w:ascii="Times New Roman" w:hAnsi="Times New Roman"/>
          <w:color w:val="000000"/>
          <w:sz w:val="24"/>
          <w:szCs w:val="24"/>
        </w:rPr>
      </w:pPr>
      <w:r>
        <w:rPr>
          <w:rFonts w:ascii="Times New Roman" w:hAnsi="Times New Roman"/>
          <w:color w:val="000000"/>
          <w:sz w:val="24"/>
          <w:szCs w:val="24"/>
        </w:rPr>
        <w:t>2.3.5 Organizational Capacity and Culture</w:t>
      </w:r>
    </w:p>
    <w:p w14:paraId="4A61270C" w14:textId="77777777" w:rsidR="00946C83" w:rsidRDefault="00000000">
      <w:pPr>
        <w:spacing w:after="160" w:line="360" w:lineRule="auto"/>
        <w:jc w:val="both"/>
        <w:rPr>
          <w:szCs w:val="24"/>
        </w:rPr>
      </w:pPr>
      <w:proofErr w:type="spellStart"/>
      <w:r>
        <w:rPr>
          <w:szCs w:val="24"/>
        </w:rPr>
        <w:t>Organi</w:t>
      </w:r>
      <w:r>
        <w:rPr>
          <w:szCs w:val="24"/>
          <w:highlight w:val="yellow"/>
        </w:rPr>
        <w:t>s</w:t>
      </w:r>
      <w:r>
        <w:rPr>
          <w:szCs w:val="24"/>
        </w:rPr>
        <w:t>ational</w:t>
      </w:r>
      <w:proofErr w:type="spellEnd"/>
      <w:r>
        <w:rPr>
          <w:szCs w:val="24"/>
        </w:rPr>
        <w:t xml:space="preserve"> capacity involves leadership commitment, </w:t>
      </w:r>
      <w:r>
        <w:rPr>
          <w:szCs w:val="24"/>
          <w:highlight w:val="yellow"/>
        </w:rPr>
        <w:t xml:space="preserve">the </w:t>
      </w:r>
      <w:r>
        <w:rPr>
          <w:szCs w:val="24"/>
        </w:rPr>
        <w:t xml:space="preserve">availability of trained personnel and internal data governance. </w:t>
      </w:r>
      <w:proofErr w:type="spellStart"/>
      <w:r>
        <w:rPr>
          <w:szCs w:val="24"/>
          <w:highlight w:val="yellow"/>
        </w:rPr>
        <w:t>Organisational</w:t>
      </w:r>
      <w:proofErr w:type="spellEnd"/>
      <w:r>
        <w:rPr>
          <w:szCs w:val="24"/>
          <w:highlight w:val="yellow"/>
        </w:rPr>
        <w:t xml:space="preserve"> cultur</w:t>
      </w:r>
      <w:r>
        <w:rPr>
          <w:szCs w:val="24"/>
        </w:rPr>
        <w:t xml:space="preserve">e </w:t>
      </w:r>
      <w:r>
        <w:rPr>
          <w:szCs w:val="24"/>
          <w:highlight w:val="yellow"/>
        </w:rPr>
        <w:t>c</w:t>
      </w:r>
      <w:r>
        <w:rPr>
          <w:szCs w:val="24"/>
        </w:rPr>
        <w:t>a</w:t>
      </w:r>
      <w:r>
        <w:rPr>
          <w:szCs w:val="24"/>
          <w:highlight w:val="yellow"/>
        </w:rPr>
        <w:t xml:space="preserve">n </w:t>
      </w:r>
      <w:r>
        <w:rPr>
          <w:szCs w:val="24"/>
        </w:rPr>
        <w:t>i</w:t>
      </w:r>
      <w:r>
        <w:rPr>
          <w:szCs w:val="24"/>
          <w:highlight w:val="yellow"/>
        </w:rPr>
        <w:t>nfl</w:t>
      </w:r>
      <w:r>
        <w:rPr>
          <w:szCs w:val="24"/>
        </w:rPr>
        <w:t>ue</w:t>
      </w:r>
      <w:r>
        <w:rPr>
          <w:szCs w:val="24"/>
          <w:highlight w:val="yellow"/>
        </w:rPr>
        <w:t>nce</w:t>
      </w:r>
      <w:r>
        <w:rPr>
          <w:szCs w:val="24"/>
        </w:rPr>
        <w:t xml:space="preserve"> employees</w:t>
      </w:r>
      <w:r>
        <w:rPr>
          <w:szCs w:val="24"/>
          <w:highlight w:val="yellow"/>
        </w:rPr>
        <w:t>' attitudes</w:t>
      </w:r>
      <w:r>
        <w:rPr>
          <w:szCs w:val="24"/>
        </w:rPr>
        <w:t xml:space="preserve"> to</w:t>
      </w:r>
      <w:r>
        <w:rPr>
          <w:szCs w:val="24"/>
          <w:highlight w:val="yellow"/>
        </w:rPr>
        <w:t>wards</w:t>
      </w:r>
      <w:r>
        <w:rPr>
          <w:szCs w:val="24"/>
        </w:rPr>
        <w:t xml:space="preserve"> innovation. A review of digital-health implementation identified </w:t>
      </w:r>
      <w:r>
        <w:rPr>
          <w:szCs w:val="24"/>
        </w:rPr>
        <w:lastRenderedPageBreak/>
        <w:t xml:space="preserve">organisational characteristics, staff engagement and resource availability as important influences on adoption (Yew et al., 2025). </w:t>
      </w:r>
      <w:r>
        <w:rPr>
          <w:szCs w:val="24"/>
          <w:highlight w:val="yellow"/>
        </w:rPr>
        <w:t>P</w:t>
      </w:r>
      <w:r>
        <w:rPr>
          <w:szCs w:val="24"/>
        </w:rPr>
        <w:t>articipatory approach</w:t>
      </w:r>
      <w:r>
        <w:rPr>
          <w:szCs w:val="24"/>
          <w:highlight w:val="yellow"/>
        </w:rPr>
        <w:t>es</w:t>
      </w:r>
      <w:r>
        <w:rPr>
          <w:szCs w:val="24"/>
        </w:rPr>
        <w:t xml:space="preserve"> combined with capacity</w:t>
      </w:r>
      <w:r>
        <w:rPr>
          <w:szCs w:val="24"/>
          <w:highlight w:val="yellow"/>
        </w:rPr>
        <w:t>-</w:t>
      </w:r>
      <w:r>
        <w:rPr>
          <w:szCs w:val="24"/>
        </w:rPr>
        <w:t xml:space="preserve">building </w:t>
      </w:r>
      <w:r>
        <w:rPr>
          <w:szCs w:val="24"/>
          <w:highlight w:val="yellow"/>
        </w:rPr>
        <w:t>act</w:t>
      </w:r>
      <w:r>
        <w:rPr>
          <w:szCs w:val="24"/>
        </w:rPr>
        <w:t>i</w:t>
      </w:r>
      <w:r>
        <w:rPr>
          <w:szCs w:val="24"/>
          <w:highlight w:val="yellow"/>
        </w:rPr>
        <w:t>vitie</w:t>
      </w:r>
      <w:r>
        <w:rPr>
          <w:szCs w:val="24"/>
        </w:rPr>
        <w:t>s</w:t>
      </w:r>
      <w:r>
        <w:rPr>
          <w:szCs w:val="24"/>
          <w:highlight w:val="yellow"/>
        </w:rPr>
        <w:t xml:space="preserve"> may be</w:t>
      </w:r>
      <w:r>
        <w:rPr>
          <w:szCs w:val="24"/>
        </w:rPr>
        <w:t xml:space="preserve"> more conducive to automation.</w:t>
      </w:r>
    </w:p>
    <w:p w14:paraId="0C23CD75" w14:textId="77777777" w:rsidR="00946C83" w:rsidRDefault="00000000">
      <w:pPr>
        <w:pStyle w:val="Heading1"/>
        <w:spacing w:before="0" w:after="160" w:line="360" w:lineRule="auto"/>
        <w:rPr>
          <w:rFonts w:ascii="Times New Roman" w:hAnsi="Times New Roman"/>
          <w:color w:val="000000"/>
          <w:sz w:val="24"/>
          <w:szCs w:val="24"/>
        </w:rPr>
      </w:pPr>
      <w:r>
        <w:rPr>
          <w:rFonts w:ascii="Times New Roman" w:hAnsi="Times New Roman"/>
          <w:color w:val="000000"/>
          <w:sz w:val="24"/>
          <w:szCs w:val="24"/>
        </w:rPr>
        <w:t>2.3.6 Policy and Regulatory Environment</w:t>
      </w:r>
    </w:p>
    <w:p w14:paraId="548DA9AA" w14:textId="77777777" w:rsidR="00946C83" w:rsidRDefault="00000000">
      <w:pPr>
        <w:spacing w:after="160" w:line="360" w:lineRule="auto"/>
        <w:jc w:val="both"/>
      </w:pPr>
      <w:r>
        <w:rPr>
          <w:szCs w:val="24"/>
        </w:rPr>
        <w:t>National policy strongly shapes the automation of the health sector. Kenya’s eHealth Policy (2016–2030) provides a framework for digital transformation, although fragmented implementation and policy-coordination challenges have been documented (Mburu &amp; Kamau, 2018). Donor</w:t>
      </w:r>
      <w:r>
        <w:rPr>
          <w:szCs w:val="24"/>
          <w:highlight w:val="yellow"/>
        </w:rPr>
        <w:t>-</w:t>
      </w:r>
      <w:r>
        <w:rPr>
          <w:szCs w:val="24"/>
        </w:rPr>
        <w:t xml:space="preserve">driven policies can also </w:t>
      </w:r>
      <w:r>
        <w:rPr>
          <w:szCs w:val="24"/>
          <w:highlight w:val="yellow"/>
        </w:rPr>
        <w:t>in</w:t>
      </w:r>
      <w:r>
        <w:rPr>
          <w:szCs w:val="24"/>
        </w:rPr>
        <w:t>f</w:t>
      </w:r>
      <w:r>
        <w:rPr>
          <w:szCs w:val="24"/>
          <w:highlight w:val="yellow"/>
        </w:rPr>
        <w:t>lu</w:t>
      </w:r>
      <w:r>
        <w:rPr>
          <w:szCs w:val="24"/>
        </w:rPr>
        <w:t>e</w:t>
      </w:r>
      <w:r>
        <w:rPr>
          <w:szCs w:val="24"/>
          <w:highlight w:val="yellow"/>
        </w:rPr>
        <w:t>n</w:t>
      </w:r>
      <w:r>
        <w:rPr>
          <w:szCs w:val="24"/>
        </w:rPr>
        <w:t>c</w:t>
      </w:r>
      <w:r>
        <w:rPr>
          <w:szCs w:val="24"/>
          <w:highlight w:val="yellow"/>
        </w:rPr>
        <w:t>e</w:t>
      </w:r>
      <w:r>
        <w:rPr>
          <w:szCs w:val="24"/>
        </w:rPr>
        <w:t xml:space="preserve"> priorities</w:t>
      </w:r>
      <w:r>
        <w:rPr>
          <w:szCs w:val="24"/>
          <w:highlight w:val="yellow"/>
        </w:rPr>
        <w:t>;</w:t>
      </w:r>
      <w:r>
        <w:rPr>
          <w:szCs w:val="24"/>
        </w:rPr>
        <w:t xml:space="preserve"> however, these policies </w:t>
      </w:r>
      <w:r>
        <w:rPr>
          <w:szCs w:val="24"/>
          <w:highlight w:val="yellow"/>
        </w:rPr>
        <w:t>m</w:t>
      </w:r>
      <w:r>
        <w:rPr>
          <w:szCs w:val="24"/>
        </w:rPr>
        <w:t>a</w:t>
      </w:r>
      <w:r>
        <w:rPr>
          <w:szCs w:val="24"/>
          <w:highlight w:val="yellow"/>
        </w:rPr>
        <w:t>y som</w:t>
      </w:r>
      <w:r>
        <w:rPr>
          <w:szCs w:val="24"/>
        </w:rPr>
        <w:t>e</w:t>
      </w:r>
      <w:r>
        <w:rPr>
          <w:szCs w:val="24"/>
          <w:highlight w:val="yellow"/>
        </w:rPr>
        <w:t>times</w:t>
      </w:r>
      <w:r>
        <w:rPr>
          <w:szCs w:val="24"/>
        </w:rPr>
        <w:t xml:space="preserve"> </w:t>
      </w:r>
      <w:r>
        <w:rPr>
          <w:szCs w:val="24"/>
          <w:highlight w:val="yellow"/>
        </w:rPr>
        <w:t>c</w:t>
      </w:r>
      <w:r>
        <w:rPr>
          <w:szCs w:val="24"/>
        </w:rPr>
        <w:t>o</w:t>
      </w:r>
      <w:r>
        <w:rPr>
          <w:szCs w:val="24"/>
          <w:highlight w:val="yellow"/>
        </w:rPr>
        <w:t>nflict</w:t>
      </w:r>
      <w:r>
        <w:rPr>
          <w:szCs w:val="24"/>
        </w:rPr>
        <w:t xml:space="preserve"> </w:t>
      </w:r>
      <w:r>
        <w:rPr>
          <w:szCs w:val="24"/>
          <w:highlight w:val="yellow"/>
        </w:rPr>
        <w:t>wi</w:t>
      </w:r>
      <w:r>
        <w:rPr>
          <w:szCs w:val="24"/>
        </w:rPr>
        <w:t>t</w:t>
      </w:r>
      <w:r>
        <w:rPr>
          <w:szCs w:val="24"/>
          <w:highlight w:val="yellow"/>
        </w:rPr>
        <w:t>h</w:t>
      </w:r>
      <w:r>
        <w:rPr>
          <w:szCs w:val="24"/>
        </w:rPr>
        <w:t xml:space="preserve"> national policies (Mburu &amp; Kamau, 2018). </w:t>
      </w:r>
      <w:r>
        <w:rPr>
          <w:szCs w:val="24"/>
          <w:highlight w:val="yellow"/>
        </w:rPr>
        <w:t>Coordination between n</w:t>
      </w:r>
      <w:r>
        <w:rPr>
          <w:szCs w:val="24"/>
        </w:rPr>
        <w:t>ational and county government</w:t>
      </w:r>
      <w:r>
        <w:rPr>
          <w:szCs w:val="24"/>
          <w:highlight w:val="yellow"/>
        </w:rPr>
        <w:t>s</w:t>
      </w:r>
      <w:r>
        <w:rPr>
          <w:szCs w:val="24"/>
        </w:rPr>
        <w:t xml:space="preserve"> </w:t>
      </w:r>
      <w:r>
        <w:rPr>
          <w:szCs w:val="24"/>
          <w:highlight w:val="yellow"/>
        </w:rPr>
        <w:t>remains imp</w:t>
      </w:r>
      <w:r>
        <w:rPr>
          <w:szCs w:val="24"/>
        </w:rPr>
        <w:t>or</w:t>
      </w:r>
      <w:r>
        <w:rPr>
          <w:szCs w:val="24"/>
          <w:highlight w:val="yellow"/>
        </w:rPr>
        <w:t>ta</w:t>
      </w:r>
      <w:r>
        <w:rPr>
          <w:szCs w:val="24"/>
        </w:rPr>
        <w:t>nt</w:t>
      </w:r>
      <w:r>
        <w:rPr>
          <w:szCs w:val="24"/>
          <w:highlight w:val="yellow"/>
        </w:rPr>
        <w:t xml:space="preserve"> f</w:t>
      </w:r>
      <w:r>
        <w:rPr>
          <w:szCs w:val="24"/>
        </w:rPr>
        <w:t xml:space="preserve">or effective </w:t>
      </w:r>
      <w:r>
        <w:rPr>
          <w:szCs w:val="24"/>
          <w:highlight w:val="yellow"/>
        </w:rPr>
        <w:t xml:space="preserve">M&amp;E </w:t>
      </w:r>
      <w:r>
        <w:rPr>
          <w:szCs w:val="24"/>
        </w:rPr>
        <w:t>automation.</w:t>
      </w:r>
    </w:p>
    <w:p w14:paraId="59B2C662" w14:textId="77777777" w:rsidR="00946C83" w:rsidRDefault="00000000">
      <w:pPr>
        <w:spacing w:after="160" w:line="360" w:lineRule="auto"/>
        <w:jc w:val="both"/>
        <w:rPr>
          <w:szCs w:val="24"/>
        </w:rPr>
      </w:pPr>
      <w:r>
        <w:rPr>
          <w:szCs w:val="24"/>
          <w:highlight w:val="yellow"/>
        </w:rPr>
        <w:t>Stake</w:t>
      </w:r>
      <w:r>
        <w:rPr>
          <w:szCs w:val="24"/>
        </w:rPr>
        <w:t>h</w:t>
      </w:r>
      <w:r>
        <w:rPr>
          <w:szCs w:val="24"/>
          <w:highlight w:val="yellow"/>
        </w:rPr>
        <w:t>old</w:t>
      </w:r>
      <w:r>
        <w:rPr>
          <w:szCs w:val="24"/>
        </w:rPr>
        <w:t>e</w:t>
      </w:r>
      <w:r>
        <w:rPr>
          <w:szCs w:val="24"/>
          <w:highlight w:val="yellow"/>
        </w:rPr>
        <w:t>r</w:t>
      </w:r>
      <w:r>
        <w:rPr>
          <w:szCs w:val="24"/>
        </w:rPr>
        <w:t xml:space="preserve"> perceptions and attitudes are </w:t>
      </w:r>
      <w:r>
        <w:rPr>
          <w:szCs w:val="24"/>
          <w:highlight w:val="yellow"/>
        </w:rPr>
        <w:t>consid</w:t>
      </w:r>
      <w:r>
        <w:rPr>
          <w:szCs w:val="24"/>
        </w:rPr>
        <w:t>e</w:t>
      </w:r>
      <w:r>
        <w:rPr>
          <w:szCs w:val="24"/>
          <w:highlight w:val="yellow"/>
        </w:rPr>
        <w:t>r</w:t>
      </w:r>
      <w:r>
        <w:rPr>
          <w:szCs w:val="24"/>
        </w:rPr>
        <w:t xml:space="preserve">ed in the </w:t>
      </w:r>
      <w:r>
        <w:rPr>
          <w:szCs w:val="24"/>
          <w:highlight w:val="yellow"/>
        </w:rPr>
        <w:t xml:space="preserve">following </w:t>
      </w:r>
      <w:r>
        <w:rPr>
          <w:szCs w:val="24"/>
        </w:rPr>
        <w:t>section.</w:t>
      </w:r>
    </w:p>
    <w:p w14:paraId="3A717F75" w14:textId="77777777" w:rsidR="00946C83" w:rsidRDefault="00000000">
      <w:pPr>
        <w:spacing w:after="160" w:line="360" w:lineRule="auto"/>
        <w:jc w:val="both"/>
        <w:rPr>
          <w:szCs w:val="24"/>
        </w:rPr>
      </w:pPr>
      <w:proofErr w:type="spellStart"/>
      <w:r>
        <w:rPr>
          <w:szCs w:val="24"/>
        </w:rPr>
        <w:t>Behavio</w:t>
      </w:r>
      <w:r>
        <w:rPr>
          <w:szCs w:val="24"/>
          <w:highlight w:val="yellow"/>
        </w:rPr>
        <w:t>u</w:t>
      </w:r>
      <w:r>
        <w:rPr>
          <w:szCs w:val="24"/>
        </w:rPr>
        <w:t>ral</w:t>
      </w:r>
      <w:proofErr w:type="spellEnd"/>
      <w:r>
        <w:rPr>
          <w:szCs w:val="24"/>
        </w:rPr>
        <w:t xml:space="preserve"> change of staff and stakeholders is often a part of M&amp;E automation. A scoping review identified favourable user experiences, awareness and access to training among the factors associated with digital-health implementation (Yew et al., 2025).</w:t>
      </w:r>
      <w:r>
        <w:rPr>
          <w:szCs w:val="24"/>
          <w:highlight w:val="yellow"/>
        </w:rPr>
        <w:t xml:space="preserve"> Conversely</w:t>
      </w:r>
      <w:r>
        <w:rPr>
          <w:szCs w:val="24"/>
        </w:rPr>
        <w:t>, concerns over job loss, complexity of technology, or l</w:t>
      </w:r>
      <w:r>
        <w:rPr>
          <w:szCs w:val="24"/>
          <w:highlight w:val="yellow"/>
        </w:rPr>
        <w:t>imited</w:t>
      </w:r>
      <w:r>
        <w:rPr>
          <w:szCs w:val="24"/>
        </w:rPr>
        <w:t xml:space="preserve"> skills </w:t>
      </w:r>
      <w:r>
        <w:rPr>
          <w:szCs w:val="24"/>
          <w:highlight w:val="yellow"/>
        </w:rPr>
        <w:t xml:space="preserve">may </w:t>
      </w:r>
      <w:r>
        <w:rPr>
          <w:szCs w:val="24"/>
        </w:rPr>
        <w:t>c</w:t>
      </w:r>
      <w:r>
        <w:rPr>
          <w:szCs w:val="24"/>
          <w:highlight w:val="yellow"/>
        </w:rPr>
        <w:t>o</w:t>
      </w:r>
      <w:r>
        <w:rPr>
          <w:szCs w:val="24"/>
        </w:rPr>
        <w:t>n</w:t>
      </w:r>
      <w:r>
        <w:rPr>
          <w:szCs w:val="24"/>
          <w:highlight w:val="yellow"/>
        </w:rPr>
        <w:t>tribut</w:t>
      </w:r>
      <w:r>
        <w:rPr>
          <w:szCs w:val="24"/>
        </w:rPr>
        <w:t xml:space="preserve">e to resistance. Training and </w:t>
      </w:r>
      <w:proofErr w:type="spellStart"/>
      <w:r>
        <w:rPr>
          <w:szCs w:val="24"/>
        </w:rPr>
        <w:t>sensiti</w:t>
      </w:r>
      <w:r>
        <w:rPr>
          <w:szCs w:val="24"/>
          <w:highlight w:val="yellow"/>
        </w:rPr>
        <w:t>s</w:t>
      </w:r>
      <w:r>
        <w:rPr>
          <w:szCs w:val="24"/>
        </w:rPr>
        <w:t>ation</w:t>
      </w:r>
      <w:proofErr w:type="spellEnd"/>
      <w:r>
        <w:rPr>
          <w:szCs w:val="24"/>
        </w:rPr>
        <w:t xml:space="preserve"> </w:t>
      </w:r>
      <w:proofErr w:type="spellStart"/>
      <w:r>
        <w:rPr>
          <w:szCs w:val="24"/>
        </w:rPr>
        <w:t>programmes</w:t>
      </w:r>
      <w:proofErr w:type="spellEnd"/>
      <w:r>
        <w:rPr>
          <w:szCs w:val="24"/>
        </w:rPr>
        <w:t xml:space="preserve"> are important tools for changing mindsets.</w:t>
      </w:r>
    </w:p>
    <w:p w14:paraId="2F338DE3" w14:textId="77777777" w:rsidR="00946C83" w:rsidRDefault="00000000">
      <w:pPr>
        <w:pStyle w:val="Heading1"/>
        <w:spacing w:before="0" w:after="160" w:line="360" w:lineRule="auto"/>
        <w:rPr>
          <w:rFonts w:ascii="Times New Roman" w:hAnsi="Times New Roman"/>
          <w:color w:val="000000"/>
          <w:sz w:val="24"/>
          <w:szCs w:val="24"/>
        </w:rPr>
      </w:pPr>
      <w:r>
        <w:rPr>
          <w:rFonts w:ascii="Times New Roman" w:hAnsi="Times New Roman"/>
          <w:color w:val="000000"/>
          <w:sz w:val="24"/>
          <w:szCs w:val="24"/>
        </w:rPr>
        <w:t>2.3.7 Stakeholder Perceptions and Attitudes</w:t>
      </w:r>
    </w:p>
    <w:p w14:paraId="67D703E5" w14:textId="77777777" w:rsidR="00946C83" w:rsidRDefault="00000000">
      <w:pPr>
        <w:spacing w:after="160" w:line="360" w:lineRule="auto"/>
        <w:jc w:val="both"/>
        <w:rPr>
          <w:szCs w:val="24"/>
        </w:rPr>
      </w:pPr>
      <w:r>
        <w:rPr>
          <w:szCs w:val="24"/>
        </w:rPr>
        <w:t xml:space="preserve">M&amp;E automation often requires </w:t>
      </w:r>
      <w:proofErr w:type="spellStart"/>
      <w:r>
        <w:rPr>
          <w:szCs w:val="24"/>
        </w:rPr>
        <w:t>behavio</w:t>
      </w:r>
      <w:r>
        <w:rPr>
          <w:szCs w:val="24"/>
          <w:highlight w:val="yellow"/>
        </w:rPr>
        <w:t>u</w:t>
      </w:r>
      <w:r>
        <w:rPr>
          <w:szCs w:val="24"/>
        </w:rPr>
        <w:t>ral</w:t>
      </w:r>
      <w:proofErr w:type="spellEnd"/>
      <w:r>
        <w:rPr>
          <w:szCs w:val="24"/>
        </w:rPr>
        <w:t xml:space="preserve"> change among staff and stakeholders. Yew et al. (2025) identified prior positive experience, digital literacy and training as relevant facilitators of digital-health implementation. Conversely, fears of job loss, technological complexity, or lack of skills may result in resistance. Training and </w:t>
      </w:r>
      <w:proofErr w:type="spellStart"/>
      <w:r>
        <w:rPr>
          <w:szCs w:val="24"/>
        </w:rPr>
        <w:t>sensiti</w:t>
      </w:r>
      <w:r>
        <w:rPr>
          <w:szCs w:val="24"/>
          <w:highlight w:val="yellow"/>
        </w:rPr>
        <w:t>s</w:t>
      </w:r>
      <w:r>
        <w:rPr>
          <w:szCs w:val="24"/>
        </w:rPr>
        <w:t>ation</w:t>
      </w:r>
      <w:proofErr w:type="spellEnd"/>
      <w:r>
        <w:rPr>
          <w:szCs w:val="24"/>
        </w:rPr>
        <w:t xml:space="preserve"> </w:t>
      </w:r>
      <w:proofErr w:type="spellStart"/>
      <w:r>
        <w:rPr>
          <w:szCs w:val="24"/>
        </w:rPr>
        <w:t>program</w:t>
      </w:r>
      <w:r>
        <w:rPr>
          <w:szCs w:val="24"/>
          <w:highlight w:val="yellow"/>
        </w:rPr>
        <w:t>me</w:t>
      </w:r>
      <w:r>
        <w:rPr>
          <w:szCs w:val="24"/>
        </w:rPr>
        <w:t>s</w:t>
      </w:r>
      <w:proofErr w:type="spellEnd"/>
      <w:r>
        <w:rPr>
          <w:szCs w:val="24"/>
        </w:rPr>
        <w:t xml:space="preserve"> </w:t>
      </w:r>
      <w:r>
        <w:rPr>
          <w:szCs w:val="24"/>
          <w:highlight w:val="yellow"/>
        </w:rPr>
        <w:t>m</w:t>
      </w:r>
      <w:r>
        <w:rPr>
          <w:szCs w:val="24"/>
        </w:rPr>
        <w:t xml:space="preserve">ay </w:t>
      </w:r>
      <w:r>
        <w:rPr>
          <w:szCs w:val="24"/>
          <w:highlight w:val="yellow"/>
        </w:rPr>
        <w:t xml:space="preserve">help to </w:t>
      </w:r>
      <w:r>
        <w:rPr>
          <w:szCs w:val="24"/>
        </w:rPr>
        <w:t>a</w:t>
      </w:r>
      <w:r>
        <w:rPr>
          <w:szCs w:val="24"/>
          <w:highlight w:val="yellow"/>
        </w:rPr>
        <w:t>dd</w:t>
      </w:r>
      <w:r>
        <w:rPr>
          <w:szCs w:val="24"/>
        </w:rPr>
        <w:t>r</w:t>
      </w:r>
      <w:r>
        <w:rPr>
          <w:szCs w:val="24"/>
          <w:highlight w:val="yellow"/>
        </w:rPr>
        <w:t>ess</w:t>
      </w:r>
      <w:r>
        <w:rPr>
          <w:szCs w:val="24"/>
        </w:rPr>
        <w:t xml:space="preserve"> re</w:t>
      </w:r>
      <w:r>
        <w:rPr>
          <w:szCs w:val="24"/>
          <w:highlight w:val="yellow"/>
        </w:rPr>
        <w:t>s</w:t>
      </w:r>
      <w:r>
        <w:rPr>
          <w:szCs w:val="24"/>
        </w:rPr>
        <w:t>i</w:t>
      </w:r>
      <w:r>
        <w:rPr>
          <w:szCs w:val="24"/>
          <w:highlight w:val="yellow"/>
        </w:rPr>
        <w:t>sta</w:t>
      </w:r>
      <w:r>
        <w:rPr>
          <w:szCs w:val="24"/>
        </w:rPr>
        <w:t>n</w:t>
      </w:r>
      <w:r>
        <w:rPr>
          <w:szCs w:val="24"/>
          <w:highlight w:val="yellow"/>
        </w:rPr>
        <w:t>c</w:t>
      </w:r>
      <w:r>
        <w:rPr>
          <w:szCs w:val="24"/>
        </w:rPr>
        <w:t>e.</w:t>
      </w:r>
    </w:p>
    <w:p w14:paraId="3EBD5E81" w14:textId="47A08A98" w:rsidR="00946C83" w:rsidRDefault="00000000">
      <w:pPr>
        <w:pStyle w:val="Heading1"/>
        <w:spacing w:before="0" w:after="160" w:line="360" w:lineRule="auto"/>
        <w:rPr>
          <w:rFonts w:ascii="Times New Roman" w:hAnsi="Times New Roman"/>
          <w:color w:val="000000"/>
          <w:sz w:val="24"/>
          <w:szCs w:val="24"/>
        </w:rPr>
      </w:pPr>
      <w:r>
        <w:rPr>
          <w:rFonts w:ascii="Times New Roman" w:hAnsi="Times New Roman"/>
          <w:color w:val="000000"/>
          <w:sz w:val="24"/>
          <w:szCs w:val="24"/>
        </w:rPr>
        <w:lastRenderedPageBreak/>
        <w:t>3.1 Methodology</w:t>
      </w:r>
    </w:p>
    <w:p w14:paraId="01DF4D70" w14:textId="77777777" w:rsidR="00946C83" w:rsidRDefault="00000000">
      <w:pPr>
        <w:pStyle w:val="Heading1"/>
        <w:spacing w:before="0" w:after="160" w:line="360" w:lineRule="auto"/>
        <w:rPr>
          <w:rFonts w:ascii="Times New Roman" w:hAnsi="Times New Roman"/>
          <w:color w:val="000000"/>
          <w:sz w:val="24"/>
          <w:szCs w:val="24"/>
        </w:rPr>
      </w:pPr>
      <w:r>
        <w:rPr>
          <w:rFonts w:ascii="Times New Roman" w:hAnsi="Times New Roman"/>
          <w:color w:val="000000"/>
          <w:sz w:val="24"/>
          <w:szCs w:val="24"/>
        </w:rPr>
        <w:t>3.2 Research Design</w:t>
      </w:r>
    </w:p>
    <w:p w14:paraId="6EAA7B9B" w14:textId="77777777" w:rsidR="00946C83" w:rsidRDefault="00000000">
      <w:pPr>
        <w:spacing w:before="240" w:after="240" w:line="360" w:lineRule="auto"/>
        <w:jc w:val="both"/>
        <w:rPr>
          <w:szCs w:val="24"/>
        </w:rPr>
      </w:pPr>
      <w:r>
        <w:rPr>
          <w:szCs w:val="24"/>
        </w:rPr>
        <w:t xml:space="preserve">A research design serves as the overall blueprint that guides how a study gathers and interprets its data (Creswell, 2014). For this study, a descriptive research design was chosen to assess the extent to which monitoring and evaluation of health projects in Nakuru, Kenya, has been automated. This design fits well because the goal is to </w:t>
      </w:r>
      <w:r>
        <w:rPr>
          <w:szCs w:val="24"/>
          <w:highlight w:val="yellow"/>
        </w:rPr>
        <w:t>descr</w:t>
      </w:r>
      <w:r>
        <w:rPr>
          <w:szCs w:val="24"/>
        </w:rPr>
        <w:t>i</w:t>
      </w:r>
      <w:r>
        <w:rPr>
          <w:szCs w:val="24"/>
          <w:highlight w:val="yellow"/>
        </w:rPr>
        <w:t>b</w:t>
      </w:r>
      <w:r>
        <w:rPr>
          <w:szCs w:val="24"/>
        </w:rPr>
        <w:t xml:space="preserve">e the current state of M&amp;E automation and to assess how four theoretically derived factors influence it, without manipulating </w:t>
      </w:r>
      <w:r>
        <w:rPr>
          <w:szCs w:val="24"/>
          <w:highlight w:val="yellow"/>
        </w:rPr>
        <w:t>the</w:t>
      </w:r>
      <w:r>
        <w:rPr>
          <w:szCs w:val="24"/>
        </w:rPr>
        <w:t xml:space="preserve"> variables (Creswell </w:t>
      </w:r>
      <w:r>
        <w:rPr>
          <w:szCs w:val="24"/>
          <w:highlight w:val="yellow"/>
        </w:rPr>
        <w:t>&amp;</w:t>
      </w:r>
      <w:r>
        <w:rPr>
          <w:szCs w:val="24"/>
        </w:rPr>
        <w:t xml:space="preserve"> Creswell, 2023; Kothari</w:t>
      </w:r>
      <w:r>
        <w:rPr>
          <w:szCs w:val="24"/>
          <w:highlight w:val="yellow"/>
        </w:rPr>
        <w:t xml:space="preserve"> &amp; Garg</w:t>
      </w:r>
      <w:r>
        <w:rPr>
          <w:szCs w:val="24"/>
        </w:rPr>
        <w:t xml:space="preserve">, 2022). </w:t>
      </w:r>
    </w:p>
    <w:p w14:paraId="1D54D2D0" w14:textId="77777777" w:rsidR="00946C83" w:rsidRDefault="00000000">
      <w:pPr>
        <w:pStyle w:val="Heading1"/>
        <w:spacing w:before="0" w:after="160" w:line="360" w:lineRule="auto"/>
        <w:rPr>
          <w:rFonts w:ascii="Times New Roman" w:hAnsi="Times New Roman"/>
          <w:color w:val="000000"/>
          <w:sz w:val="24"/>
          <w:szCs w:val="24"/>
        </w:rPr>
      </w:pPr>
      <w:r>
        <w:rPr>
          <w:rFonts w:ascii="Times New Roman" w:hAnsi="Times New Roman"/>
          <w:color w:val="000000"/>
          <w:sz w:val="24"/>
          <w:szCs w:val="24"/>
        </w:rPr>
        <w:t>3.3 Target Population</w:t>
      </w:r>
    </w:p>
    <w:p w14:paraId="5A283686" w14:textId="77777777" w:rsidR="00946C83" w:rsidRDefault="00000000">
      <w:pPr>
        <w:spacing w:before="240" w:after="240" w:line="360" w:lineRule="auto"/>
        <w:jc w:val="both"/>
        <w:rPr>
          <w:szCs w:val="24"/>
        </w:rPr>
      </w:pPr>
      <w:r>
        <w:rPr>
          <w:szCs w:val="24"/>
        </w:rPr>
        <w:t xml:space="preserve">A target population comprises </w:t>
      </w:r>
      <w:r>
        <w:rPr>
          <w:szCs w:val="24"/>
          <w:highlight w:val="yellow"/>
        </w:rPr>
        <w:t>the</w:t>
      </w:r>
      <w:r>
        <w:rPr>
          <w:szCs w:val="24"/>
        </w:rPr>
        <w:t xml:space="preserve"> individuals or elements </w:t>
      </w:r>
      <w:r>
        <w:rPr>
          <w:szCs w:val="24"/>
          <w:highlight w:val="yellow"/>
        </w:rPr>
        <w:t>from w</w:t>
      </w:r>
      <w:r>
        <w:rPr>
          <w:szCs w:val="24"/>
        </w:rPr>
        <w:t>h</w:t>
      </w:r>
      <w:r>
        <w:rPr>
          <w:szCs w:val="24"/>
          <w:highlight w:val="yellow"/>
        </w:rPr>
        <w:t>ich</w:t>
      </w:r>
      <w:r>
        <w:rPr>
          <w:szCs w:val="24"/>
        </w:rPr>
        <w:t xml:space="preserve"> a researcher </w:t>
      </w:r>
      <w:r>
        <w:rPr>
          <w:szCs w:val="24"/>
          <w:highlight w:val="yellow"/>
        </w:rPr>
        <w:t>int</w:t>
      </w:r>
      <w:r>
        <w:rPr>
          <w:szCs w:val="24"/>
        </w:rPr>
        <w:t>e</w:t>
      </w:r>
      <w:r>
        <w:rPr>
          <w:szCs w:val="24"/>
          <w:highlight w:val="yellow"/>
        </w:rPr>
        <w:t>nd</w:t>
      </w:r>
      <w:r>
        <w:rPr>
          <w:szCs w:val="24"/>
        </w:rPr>
        <w:t xml:space="preserve">s to </w:t>
      </w:r>
      <w:r>
        <w:rPr>
          <w:szCs w:val="24"/>
          <w:highlight w:val="yellow"/>
        </w:rPr>
        <w:t>coll</w:t>
      </w:r>
      <w:r>
        <w:rPr>
          <w:szCs w:val="24"/>
        </w:rPr>
        <w:t>e</w:t>
      </w:r>
      <w:r>
        <w:rPr>
          <w:szCs w:val="24"/>
          <w:highlight w:val="yellow"/>
        </w:rPr>
        <w:t>c</w:t>
      </w:r>
      <w:r>
        <w:rPr>
          <w:szCs w:val="24"/>
        </w:rPr>
        <w:t xml:space="preserve">t data. The study's target population comprised key stakeholders engaged in monitoring and evaluation of health projects in Nakuru County, Kenya. Specifically, the study targeted health project managers, monitoring and evaluation officers, data analysts, health information officers, representatives from non-governmental </w:t>
      </w:r>
      <w:proofErr w:type="spellStart"/>
      <w:r>
        <w:rPr>
          <w:szCs w:val="24"/>
        </w:rPr>
        <w:t>organi</w:t>
      </w:r>
      <w:r>
        <w:rPr>
          <w:szCs w:val="24"/>
          <w:highlight w:val="yellow"/>
        </w:rPr>
        <w:t>s</w:t>
      </w:r>
      <w:r>
        <w:rPr>
          <w:szCs w:val="24"/>
        </w:rPr>
        <w:t>ations</w:t>
      </w:r>
      <w:proofErr w:type="spellEnd"/>
      <w:r>
        <w:rPr>
          <w:szCs w:val="24"/>
        </w:rPr>
        <w:t xml:space="preserve"> (NGOs), and healthcare professionals who are directly engaged in data collection, analysis and reporting within health projects. </w:t>
      </w:r>
      <w:r>
        <w:rPr>
          <w:szCs w:val="24"/>
          <w:highlight w:val="yellow"/>
        </w:rPr>
        <w:t>T</w:t>
      </w:r>
      <w:r>
        <w:rPr>
          <w:szCs w:val="24"/>
        </w:rPr>
        <w:t xml:space="preserve">he </w:t>
      </w:r>
      <w:r>
        <w:rPr>
          <w:szCs w:val="24"/>
          <w:highlight w:val="yellow"/>
        </w:rPr>
        <w:t>study's st</w:t>
      </w:r>
      <w:r>
        <w:rPr>
          <w:szCs w:val="24"/>
        </w:rPr>
        <w:t>a</w:t>
      </w:r>
      <w:r>
        <w:rPr>
          <w:szCs w:val="24"/>
          <w:highlight w:val="yellow"/>
        </w:rPr>
        <w:t>ted</w:t>
      </w:r>
      <w:r>
        <w:rPr>
          <w:szCs w:val="24"/>
        </w:rPr>
        <w:t xml:space="preserve"> tar</w:t>
      </w:r>
      <w:r>
        <w:rPr>
          <w:szCs w:val="24"/>
          <w:highlight w:val="yellow"/>
        </w:rPr>
        <w:t>g</w:t>
      </w:r>
      <w:r>
        <w:rPr>
          <w:szCs w:val="24"/>
        </w:rPr>
        <w:t>et po</w:t>
      </w:r>
      <w:r>
        <w:rPr>
          <w:szCs w:val="24"/>
          <w:highlight w:val="yellow"/>
        </w:rPr>
        <w:t>pula</w:t>
      </w:r>
      <w:r>
        <w:rPr>
          <w:szCs w:val="24"/>
        </w:rPr>
        <w:t>t</w:t>
      </w:r>
      <w:r>
        <w:rPr>
          <w:szCs w:val="24"/>
          <w:highlight w:val="yellow"/>
        </w:rPr>
        <w:t>ion</w:t>
      </w:r>
      <w:r>
        <w:rPr>
          <w:szCs w:val="24"/>
        </w:rPr>
        <w:t xml:space="preserve"> </w:t>
      </w:r>
      <w:r>
        <w:rPr>
          <w:szCs w:val="24"/>
          <w:highlight w:val="yellow"/>
        </w:rPr>
        <w:t>includ</w:t>
      </w:r>
      <w:r>
        <w:rPr>
          <w:szCs w:val="24"/>
        </w:rPr>
        <w:t>e</w:t>
      </w:r>
      <w:r>
        <w:rPr>
          <w:szCs w:val="24"/>
          <w:highlight w:val="yellow"/>
        </w:rPr>
        <w:t>d</w:t>
      </w:r>
      <w:r>
        <w:rPr>
          <w:szCs w:val="24"/>
        </w:rPr>
        <w:t xml:space="preserve"> 15 health project managers, 20 monitoring and evaluation officers, 15 data analysts, 10 health information officers, 20 NGO representatives involved in health projects, and about 20 healthcare professionals participating in data-related activities.  </w:t>
      </w:r>
    </w:p>
    <w:p w14:paraId="53C09F06" w14:textId="77777777" w:rsidR="00946C83" w:rsidRDefault="00000000">
      <w:pPr>
        <w:pStyle w:val="Heading1"/>
        <w:spacing w:before="0" w:after="160" w:line="360" w:lineRule="auto"/>
        <w:rPr>
          <w:rFonts w:ascii="Times New Roman" w:hAnsi="Times New Roman"/>
          <w:color w:val="000000"/>
          <w:sz w:val="24"/>
          <w:szCs w:val="24"/>
        </w:rPr>
      </w:pPr>
      <w:r>
        <w:rPr>
          <w:rFonts w:ascii="Times New Roman" w:hAnsi="Times New Roman"/>
          <w:color w:val="000000"/>
          <w:sz w:val="24"/>
          <w:szCs w:val="24"/>
        </w:rPr>
        <w:t>Table 1: Target Population</w:t>
      </w:r>
    </w:p>
    <w:tbl>
      <w:tblPr>
        <w:tblW w:w="8639" w:type="dxa"/>
        <w:tblLayout w:type="fixed"/>
        <w:tblLook w:val="04A0" w:firstRow="1" w:lastRow="0" w:firstColumn="1" w:lastColumn="0" w:noHBand="0" w:noVBand="1"/>
      </w:tblPr>
      <w:tblGrid>
        <w:gridCol w:w="5072"/>
        <w:gridCol w:w="3567"/>
      </w:tblGrid>
      <w:tr w:rsidR="00946C83" w14:paraId="22F84448" w14:textId="77777777">
        <w:trPr>
          <w:trHeight w:val="559"/>
        </w:trPr>
        <w:tc>
          <w:tcPr>
            <w:tcW w:w="5072" w:type="dxa"/>
            <w:tcBorders>
              <w:top w:val="single" w:sz="4" w:space="0" w:color="000000"/>
              <w:left w:val="single" w:sz="4" w:space="0" w:color="000000"/>
              <w:bottom w:val="single" w:sz="4" w:space="0" w:color="000000"/>
              <w:right w:val="single" w:sz="4" w:space="0" w:color="000000"/>
            </w:tcBorders>
          </w:tcPr>
          <w:p w14:paraId="1FA19C0C" w14:textId="77777777" w:rsidR="00946C83" w:rsidRDefault="00000000">
            <w:pPr>
              <w:spacing w:before="240" w:line="360" w:lineRule="auto"/>
              <w:jc w:val="both"/>
              <w:rPr>
                <w:b/>
                <w:szCs w:val="24"/>
              </w:rPr>
            </w:pPr>
            <w:r>
              <w:rPr>
                <w:b/>
                <w:szCs w:val="24"/>
              </w:rPr>
              <w:t>Category</w:t>
            </w:r>
          </w:p>
        </w:tc>
        <w:tc>
          <w:tcPr>
            <w:tcW w:w="3567" w:type="dxa"/>
            <w:tcBorders>
              <w:top w:val="single" w:sz="4" w:space="0" w:color="000000"/>
              <w:left w:val="single" w:sz="4" w:space="0" w:color="000000"/>
              <w:bottom w:val="single" w:sz="4" w:space="0" w:color="000000"/>
              <w:right w:val="single" w:sz="4" w:space="0" w:color="000000"/>
            </w:tcBorders>
          </w:tcPr>
          <w:p w14:paraId="15EC3D4C" w14:textId="77777777" w:rsidR="00946C83" w:rsidRDefault="00000000">
            <w:pPr>
              <w:spacing w:before="240" w:line="360" w:lineRule="auto"/>
              <w:rPr>
                <w:b/>
                <w:szCs w:val="24"/>
              </w:rPr>
            </w:pPr>
            <w:r>
              <w:rPr>
                <w:b/>
                <w:szCs w:val="24"/>
              </w:rPr>
              <w:t>Population</w:t>
            </w:r>
          </w:p>
        </w:tc>
      </w:tr>
      <w:tr w:rsidR="00946C83" w14:paraId="09EB3763" w14:textId="77777777">
        <w:trPr>
          <w:trHeight w:val="531"/>
        </w:trPr>
        <w:tc>
          <w:tcPr>
            <w:tcW w:w="5072" w:type="dxa"/>
            <w:tcBorders>
              <w:top w:val="single" w:sz="4" w:space="0" w:color="000000"/>
              <w:left w:val="single" w:sz="4" w:space="0" w:color="000000"/>
              <w:bottom w:val="single" w:sz="4" w:space="0" w:color="000000"/>
              <w:right w:val="single" w:sz="4" w:space="0" w:color="000000"/>
            </w:tcBorders>
          </w:tcPr>
          <w:p w14:paraId="2960566C" w14:textId="77777777" w:rsidR="00946C83" w:rsidRDefault="00000000">
            <w:pPr>
              <w:spacing w:before="240" w:line="360" w:lineRule="auto"/>
              <w:jc w:val="both"/>
              <w:rPr>
                <w:szCs w:val="24"/>
              </w:rPr>
            </w:pPr>
            <w:r>
              <w:rPr>
                <w:szCs w:val="24"/>
              </w:rPr>
              <w:t>Health Project Managers</w:t>
            </w:r>
          </w:p>
        </w:tc>
        <w:tc>
          <w:tcPr>
            <w:tcW w:w="3567" w:type="dxa"/>
            <w:tcBorders>
              <w:top w:val="single" w:sz="4" w:space="0" w:color="000000"/>
              <w:left w:val="single" w:sz="4" w:space="0" w:color="000000"/>
              <w:bottom w:val="single" w:sz="4" w:space="0" w:color="000000"/>
              <w:right w:val="single" w:sz="4" w:space="0" w:color="000000"/>
            </w:tcBorders>
          </w:tcPr>
          <w:p w14:paraId="6FE04606" w14:textId="77777777" w:rsidR="00946C83" w:rsidRDefault="00000000">
            <w:pPr>
              <w:spacing w:before="240" w:line="360" w:lineRule="auto"/>
              <w:jc w:val="both"/>
              <w:rPr>
                <w:szCs w:val="24"/>
              </w:rPr>
            </w:pPr>
            <w:r>
              <w:rPr>
                <w:szCs w:val="24"/>
              </w:rPr>
              <w:t>15</w:t>
            </w:r>
          </w:p>
        </w:tc>
      </w:tr>
      <w:tr w:rsidR="00946C83" w14:paraId="0A1B330C" w14:textId="77777777">
        <w:trPr>
          <w:trHeight w:val="531"/>
        </w:trPr>
        <w:tc>
          <w:tcPr>
            <w:tcW w:w="5072" w:type="dxa"/>
            <w:tcBorders>
              <w:top w:val="single" w:sz="4" w:space="0" w:color="000000"/>
              <w:left w:val="single" w:sz="4" w:space="0" w:color="000000"/>
              <w:bottom w:val="single" w:sz="4" w:space="0" w:color="000000"/>
              <w:right w:val="single" w:sz="4" w:space="0" w:color="000000"/>
            </w:tcBorders>
          </w:tcPr>
          <w:p w14:paraId="1FB89753" w14:textId="77777777" w:rsidR="00946C83" w:rsidRDefault="00000000">
            <w:pPr>
              <w:spacing w:before="240" w:line="360" w:lineRule="auto"/>
              <w:jc w:val="both"/>
              <w:rPr>
                <w:szCs w:val="24"/>
              </w:rPr>
            </w:pPr>
            <w:r>
              <w:rPr>
                <w:szCs w:val="24"/>
              </w:rPr>
              <w:lastRenderedPageBreak/>
              <w:t>Monitoring and Evaluation Officers</w:t>
            </w:r>
          </w:p>
        </w:tc>
        <w:tc>
          <w:tcPr>
            <w:tcW w:w="3567" w:type="dxa"/>
            <w:tcBorders>
              <w:top w:val="single" w:sz="4" w:space="0" w:color="000000"/>
              <w:left w:val="single" w:sz="4" w:space="0" w:color="000000"/>
              <w:bottom w:val="single" w:sz="4" w:space="0" w:color="000000"/>
              <w:right w:val="single" w:sz="4" w:space="0" w:color="000000"/>
            </w:tcBorders>
          </w:tcPr>
          <w:p w14:paraId="07921423" w14:textId="77777777" w:rsidR="00946C83" w:rsidRDefault="00000000">
            <w:pPr>
              <w:spacing w:before="240" w:line="360" w:lineRule="auto"/>
              <w:jc w:val="both"/>
              <w:rPr>
                <w:szCs w:val="24"/>
              </w:rPr>
            </w:pPr>
            <w:r>
              <w:rPr>
                <w:szCs w:val="24"/>
              </w:rPr>
              <w:t>20</w:t>
            </w:r>
          </w:p>
        </w:tc>
      </w:tr>
      <w:tr w:rsidR="00946C83" w14:paraId="36E96A0B" w14:textId="77777777">
        <w:trPr>
          <w:trHeight w:val="531"/>
        </w:trPr>
        <w:tc>
          <w:tcPr>
            <w:tcW w:w="5072" w:type="dxa"/>
            <w:tcBorders>
              <w:top w:val="single" w:sz="4" w:space="0" w:color="000000"/>
              <w:left w:val="single" w:sz="4" w:space="0" w:color="000000"/>
              <w:bottom w:val="single" w:sz="4" w:space="0" w:color="000000"/>
              <w:right w:val="single" w:sz="4" w:space="0" w:color="000000"/>
            </w:tcBorders>
          </w:tcPr>
          <w:p w14:paraId="50820CE7" w14:textId="77777777" w:rsidR="00946C83" w:rsidRDefault="00000000">
            <w:pPr>
              <w:spacing w:before="240" w:line="360" w:lineRule="auto"/>
              <w:jc w:val="both"/>
              <w:rPr>
                <w:szCs w:val="24"/>
              </w:rPr>
            </w:pPr>
            <w:r>
              <w:rPr>
                <w:szCs w:val="24"/>
              </w:rPr>
              <w:t>Data Analysts</w:t>
            </w:r>
          </w:p>
        </w:tc>
        <w:tc>
          <w:tcPr>
            <w:tcW w:w="3567" w:type="dxa"/>
            <w:tcBorders>
              <w:top w:val="single" w:sz="4" w:space="0" w:color="000000"/>
              <w:left w:val="single" w:sz="4" w:space="0" w:color="000000"/>
              <w:bottom w:val="single" w:sz="4" w:space="0" w:color="000000"/>
              <w:right w:val="single" w:sz="4" w:space="0" w:color="000000"/>
            </w:tcBorders>
          </w:tcPr>
          <w:p w14:paraId="2835E6F1" w14:textId="77777777" w:rsidR="00946C83" w:rsidRDefault="00000000">
            <w:pPr>
              <w:spacing w:before="240" w:line="360" w:lineRule="auto"/>
              <w:jc w:val="both"/>
              <w:rPr>
                <w:szCs w:val="24"/>
              </w:rPr>
            </w:pPr>
            <w:r>
              <w:rPr>
                <w:szCs w:val="24"/>
              </w:rPr>
              <w:t>15</w:t>
            </w:r>
          </w:p>
        </w:tc>
      </w:tr>
      <w:tr w:rsidR="00946C83" w14:paraId="46909C8B" w14:textId="77777777">
        <w:trPr>
          <w:trHeight w:val="531"/>
        </w:trPr>
        <w:tc>
          <w:tcPr>
            <w:tcW w:w="5072" w:type="dxa"/>
            <w:tcBorders>
              <w:top w:val="single" w:sz="4" w:space="0" w:color="000000"/>
              <w:left w:val="single" w:sz="4" w:space="0" w:color="000000"/>
              <w:bottom w:val="single" w:sz="4" w:space="0" w:color="000000"/>
              <w:right w:val="single" w:sz="4" w:space="0" w:color="000000"/>
            </w:tcBorders>
          </w:tcPr>
          <w:p w14:paraId="3395EE34" w14:textId="77777777" w:rsidR="00946C83" w:rsidRDefault="00000000">
            <w:pPr>
              <w:spacing w:before="240" w:line="360" w:lineRule="auto"/>
              <w:jc w:val="both"/>
              <w:rPr>
                <w:szCs w:val="24"/>
              </w:rPr>
            </w:pPr>
            <w:r>
              <w:rPr>
                <w:szCs w:val="24"/>
              </w:rPr>
              <w:t>Health Information Officers</w:t>
            </w:r>
          </w:p>
        </w:tc>
        <w:tc>
          <w:tcPr>
            <w:tcW w:w="3567" w:type="dxa"/>
            <w:tcBorders>
              <w:top w:val="single" w:sz="4" w:space="0" w:color="000000"/>
              <w:left w:val="single" w:sz="4" w:space="0" w:color="000000"/>
              <w:bottom w:val="single" w:sz="4" w:space="0" w:color="000000"/>
              <w:right w:val="single" w:sz="4" w:space="0" w:color="000000"/>
            </w:tcBorders>
          </w:tcPr>
          <w:p w14:paraId="19E0224D" w14:textId="77777777" w:rsidR="00946C83" w:rsidRDefault="00000000">
            <w:pPr>
              <w:spacing w:before="240" w:line="360" w:lineRule="auto"/>
              <w:jc w:val="both"/>
              <w:rPr>
                <w:szCs w:val="24"/>
              </w:rPr>
            </w:pPr>
            <w:r>
              <w:rPr>
                <w:szCs w:val="24"/>
              </w:rPr>
              <w:t>10</w:t>
            </w:r>
          </w:p>
        </w:tc>
      </w:tr>
      <w:tr w:rsidR="00946C83" w14:paraId="456056A2" w14:textId="77777777">
        <w:trPr>
          <w:trHeight w:val="531"/>
        </w:trPr>
        <w:tc>
          <w:tcPr>
            <w:tcW w:w="5072" w:type="dxa"/>
            <w:tcBorders>
              <w:top w:val="single" w:sz="4" w:space="0" w:color="000000"/>
              <w:left w:val="single" w:sz="4" w:space="0" w:color="000000"/>
              <w:bottom w:val="single" w:sz="4" w:space="0" w:color="000000"/>
              <w:right w:val="single" w:sz="4" w:space="0" w:color="000000"/>
            </w:tcBorders>
          </w:tcPr>
          <w:p w14:paraId="34D25FA8" w14:textId="77777777" w:rsidR="00946C83" w:rsidRDefault="00000000">
            <w:pPr>
              <w:spacing w:before="240" w:line="360" w:lineRule="auto"/>
              <w:jc w:val="both"/>
              <w:rPr>
                <w:szCs w:val="24"/>
              </w:rPr>
            </w:pPr>
            <w:r>
              <w:rPr>
                <w:szCs w:val="24"/>
              </w:rPr>
              <w:t>NGO Representatives</w:t>
            </w:r>
          </w:p>
        </w:tc>
        <w:tc>
          <w:tcPr>
            <w:tcW w:w="3567" w:type="dxa"/>
            <w:tcBorders>
              <w:top w:val="single" w:sz="4" w:space="0" w:color="000000"/>
              <w:left w:val="single" w:sz="4" w:space="0" w:color="000000"/>
              <w:bottom w:val="single" w:sz="4" w:space="0" w:color="000000"/>
              <w:right w:val="single" w:sz="4" w:space="0" w:color="000000"/>
            </w:tcBorders>
          </w:tcPr>
          <w:p w14:paraId="05AC7DBC" w14:textId="77777777" w:rsidR="00946C83" w:rsidRDefault="00000000">
            <w:pPr>
              <w:spacing w:before="240" w:line="360" w:lineRule="auto"/>
              <w:jc w:val="both"/>
              <w:rPr>
                <w:szCs w:val="24"/>
              </w:rPr>
            </w:pPr>
            <w:r>
              <w:rPr>
                <w:szCs w:val="24"/>
              </w:rPr>
              <w:t>20</w:t>
            </w:r>
          </w:p>
        </w:tc>
      </w:tr>
      <w:tr w:rsidR="00946C83" w14:paraId="0F414CFB" w14:textId="77777777">
        <w:trPr>
          <w:trHeight w:val="531"/>
        </w:trPr>
        <w:tc>
          <w:tcPr>
            <w:tcW w:w="5072" w:type="dxa"/>
            <w:tcBorders>
              <w:top w:val="single" w:sz="4" w:space="0" w:color="000000"/>
              <w:left w:val="single" w:sz="4" w:space="0" w:color="000000"/>
              <w:bottom w:val="single" w:sz="4" w:space="0" w:color="000000"/>
              <w:right w:val="single" w:sz="4" w:space="0" w:color="000000"/>
            </w:tcBorders>
          </w:tcPr>
          <w:p w14:paraId="1BE86DAE" w14:textId="77777777" w:rsidR="00946C83" w:rsidRDefault="00000000">
            <w:pPr>
              <w:spacing w:before="240" w:line="360" w:lineRule="auto"/>
              <w:jc w:val="both"/>
              <w:rPr>
                <w:szCs w:val="24"/>
              </w:rPr>
            </w:pPr>
            <w:r>
              <w:rPr>
                <w:szCs w:val="24"/>
              </w:rPr>
              <w:t>Healthcare Professionals</w:t>
            </w:r>
          </w:p>
        </w:tc>
        <w:tc>
          <w:tcPr>
            <w:tcW w:w="3567" w:type="dxa"/>
            <w:tcBorders>
              <w:top w:val="single" w:sz="4" w:space="0" w:color="000000"/>
              <w:left w:val="single" w:sz="4" w:space="0" w:color="000000"/>
              <w:bottom w:val="single" w:sz="4" w:space="0" w:color="000000"/>
              <w:right w:val="single" w:sz="4" w:space="0" w:color="000000"/>
            </w:tcBorders>
          </w:tcPr>
          <w:p w14:paraId="3EC4641C" w14:textId="77777777" w:rsidR="00946C83" w:rsidRDefault="00000000">
            <w:pPr>
              <w:spacing w:before="240" w:line="360" w:lineRule="auto"/>
              <w:jc w:val="both"/>
              <w:rPr>
                <w:szCs w:val="24"/>
              </w:rPr>
            </w:pPr>
            <w:r>
              <w:rPr>
                <w:szCs w:val="24"/>
              </w:rPr>
              <w:t>20</w:t>
            </w:r>
          </w:p>
        </w:tc>
      </w:tr>
      <w:tr w:rsidR="00946C83" w14:paraId="3637E028" w14:textId="77777777">
        <w:trPr>
          <w:trHeight w:val="293"/>
        </w:trPr>
        <w:tc>
          <w:tcPr>
            <w:tcW w:w="5072" w:type="dxa"/>
            <w:tcBorders>
              <w:top w:val="single" w:sz="4" w:space="0" w:color="000000"/>
              <w:left w:val="single" w:sz="4" w:space="0" w:color="000000"/>
              <w:bottom w:val="single" w:sz="4" w:space="0" w:color="000000"/>
              <w:right w:val="single" w:sz="4" w:space="0" w:color="000000"/>
            </w:tcBorders>
          </w:tcPr>
          <w:p w14:paraId="5733059C" w14:textId="77777777" w:rsidR="00946C83" w:rsidRDefault="00000000">
            <w:pPr>
              <w:spacing w:before="240" w:line="360" w:lineRule="auto"/>
              <w:jc w:val="both"/>
              <w:rPr>
                <w:b/>
                <w:szCs w:val="24"/>
              </w:rPr>
            </w:pPr>
            <w:r>
              <w:rPr>
                <w:b/>
                <w:szCs w:val="24"/>
              </w:rPr>
              <w:t>Total</w:t>
            </w:r>
          </w:p>
        </w:tc>
        <w:tc>
          <w:tcPr>
            <w:tcW w:w="3567" w:type="dxa"/>
            <w:tcBorders>
              <w:top w:val="single" w:sz="4" w:space="0" w:color="000000"/>
              <w:left w:val="single" w:sz="4" w:space="0" w:color="000000"/>
              <w:bottom w:val="single" w:sz="4" w:space="0" w:color="000000"/>
              <w:right w:val="single" w:sz="4" w:space="0" w:color="000000"/>
            </w:tcBorders>
          </w:tcPr>
          <w:p w14:paraId="5B6B1600" w14:textId="77777777" w:rsidR="00946C83" w:rsidRDefault="00000000">
            <w:pPr>
              <w:spacing w:before="240" w:line="360" w:lineRule="auto"/>
              <w:jc w:val="both"/>
              <w:rPr>
                <w:b/>
                <w:szCs w:val="24"/>
              </w:rPr>
            </w:pPr>
            <w:r>
              <w:rPr>
                <w:b/>
                <w:szCs w:val="24"/>
              </w:rPr>
              <w:t>100</w:t>
            </w:r>
          </w:p>
        </w:tc>
      </w:tr>
    </w:tbl>
    <w:p w14:paraId="189F366D" w14:textId="77777777" w:rsidR="00946C83" w:rsidRDefault="00000000">
      <w:pPr>
        <w:spacing w:before="240" w:after="240" w:line="360" w:lineRule="auto"/>
        <w:jc w:val="both"/>
        <w:rPr>
          <w:szCs w:val="24"/>
        </w:rPr>
      </w:pPr>
      <w:r>
        <w:rPr>
          <w:szCs w:val="24"/>
        </w:rPr>
        <w:t>Source: Researcher (2025)</w:t>
      </w:r>
    </w:p>
    <w:p w14:paraId="2EF7A98C" w14:textId="77777777" w:rsidR="00946C83" w:rsidRDefault="00000000">
      <w:pPr>
        <w:pStyle w:val="Heading1"/>
        <w:spacing w:before="0" w:after="160" w:line="360" w:lineRule="auto"/>
        <w:rPr>
          <w:rFonts w:ascii="Times New Roman" w:hAnsi="Times New Roman"/>
          <w:color w:val="000000"/>
          <w:sz w:val="24"/>
          <w:szCs w:val="24"/>
        </w:rPr>
      </w:pPr>
      <w:r>
        <w:rPr>
          <w:rFonts w:ascii="Times New Roman" w:hAnsi="Times New Roman"/>
          <w:color w:val="000000"/>
          <w:sz w:val="24"/>
          <w:szCs w:val="24"/>
        </w:rPr>
        <w:t>3.4 Sampling Technique and Sample Size</w:t>
      </w:r>
    </w:p>
    <w:p w14:paraId="6E30314E" w14:textId="77777777" w:rsidR="00946C83" w:rsidRDefault="00000000">
      <w:pPr>
        <w:spacing w:before="240" w:after="240" w:line="360" w:lineRule="auto"/>
        <w:jc w:val="both"/>
        <w:rPr>
          <w:szCs w:val="24"/>
        </w:rPr>
      </w:pPr>
      <w:r>
        <w:rPr>
          <w:szCs w:val="24"/>
        </w:rPr>
        <w:t xml:space="preserve">The census included all 100 individuals in the target population. </w:t>
      </w:r>
      <w:r>
        <w:rPr>
          <w:szCs w:val="24"/>
          <w:highlight w:val="yellow"/>
        </w:rPr>
        <w:t>A c</w:t>
      </w:r>
      <w:r>
        <w:rPr>
          <w:szCs w:val="24"/>
        </w:rPr>
        <w:t xml:space="preserve">ensus </w:t>
      </w:r>
      <w:r>
        <w:rPr>
          <w:szCs w:val="24"/>
          <w:highlight w:val="yellow"/>
        </w:rPr>
        <w:t>co</w:t>
      </w:r>
      <w:r>
        <w:rPr>
          <w:szCs w:val="24"/>
        </w:rPr>
        <w:t>l</w:t>
      </w:r>
      <w:r>
        <w:rPr>
          <w:szCs w:val="24"/>
          <w:highlight w:val="yellow"/>
        </w:rPr>
        <w:t>lec</w:t>
      </w:r>
      <w:r>
        <w:rPr>
          <w:szCs w:val="24"/>
        </w:rPr>
        <w:t xml:space="preserve">ts information from every member of a sufficiently small and manageable </w:t>
      </w:r>
      <w:r>
        <w:rPr>
          <w:szCs w:val="24"/>
          <w:highlight w:val="yellow"/>
        </w:rPr>
        <w:t>target pop</w:t>
      </w:r>
      <w:r>
        <w:rPr>
          <w:szCs w:val="24"/>
        </w:rPr>
        <w:t>u</w:t>
      </w:r>
      <w:r>
        <w:rPr>
          <w:szCs w:val="24"/>
          <w:highlight w:val="yellow"/>
        </w:rPr>
        <w:t>la</w:t>
      </w:r>
      <w:r>
        <w:rPr>
          <w:szCs w:val="24"/>
        </w:rPr>
        <w:t>ti</w:t>
      </w:r>
      <w:r>
        <w:rPr>
          <w:szCs w:val="24"/>
          <w:highlight w:val="yellow"/>
        </w:rPr>
        <w:t>o</w:t>
      </w:r>
      <w:r>
        <w:rPr>
          <w:szCs w:val="24"/>
        </w:rPr>
        <w:t>n. This a</w:t>
      </w:r>
      <w:r>
        <w:rPr>
          <w:szCs w:val="24"/>
          <w:highlight w:val="yellow"/>
        </w:rPr>
        <w:t>pproach aims</w:t>
      </w:r>
      <w:r>
        <w:rPr>
          <w:szCs w:val="24"/>
        </w:rPr>
        <w:t xml:space="preserve"> t</w:t>
      </w:r>
      <w:r>
        <w:rPr>
          <w:szCs w:val="24"/>
          <w:highlight w:val="yellow"/>
        </w:rPr>
        <w:t>o</w:t>
      </w:r>
      <w:r>
        <w:rPr>
          <w:szCs w:val="24"/>
        </w:rPr>
        <w:t xml:space="preserve"> inclu</w:t>
      </w:r>
      <w:r>
        <w:rPr>
          <w:szCs w:val="24"/>
          <w:highlight w:val="yellow"/>
        </w:rPr>
        <w:t>de all eligible member</w:t>
      </w:r>
      <w:r>
        <w:rPr>
          <w:szCs w:val="24"/>
        </w:rPr>
        <w:t xml:space="preserve">s of the </w:t>
      </w:r>
      <w:r>
        <w:rPr>
          <w:szCs w:val="24"/>
          <w:highlight w:val="yellow"/>
        </w:rPr>
        <w:t>t</w:t>
      </w:r>
      <w:r>
        <w:rPr>
          <w:szCs w:val="24"/>
        </w:rPr>
        <w:t>ar</w:t>
      </w:r>
      <w:r>
        <w:rPr>
          <w:szCs w:val="24"/>
          <w:highlight w:val="yellow"/>
        </w:rPr>
        <w:t>get population. Becaus</w:t>
      </w:r>
      <w:r>
        <w:rPr>
          <w:szCs w:val="24"/>
        </w:rPr>
        <w:t xml:space="preserve">e </w:t>
      </w:r>
      <w:r>
        <w:rPr>
          <w:szCs w:val="24"/>
          <w:highlight w:val="yellow"/>
        </w:rPr>
        <w:t>the target p</w:t>
      </w:r>
      <w:r>
        <w:rPr>
          <w:szCs w:val="24"/>
        </w:rPr>
        <w:t>o</w:t>
      </w:r>
      <w:r>
        <w:rPr>
          <w:szCs w:val="24"/>
          <w:highlight w:val="yellow"/>
        </w:rPr>
        <w:t>pulation</w:t>
      </w:r>
      <w:r>
        <w:rPr>
          <w:szCs w:val="24"/>
        </w:rPr>
        <w:t xml:space="preserve"> compr</w:t>
      </w:r>
      <w:r>
        <w:rPr>
          <w:szCs w:val="24"/>
          <w:highlight w:val="yellow"/>
        </w:rPr>
        <w:t>is</w:t>
      </w:r>
      <w:r>
        <w:rPr>
          <w:szCs w:val="24"/>
        </w:rPr>
        <w:t>e</w:t>
      </w:r>
      <w:r>
        <w:rPr>
          <w:szCs w:val="24"/>
          <w:highlight w:val="yellow"/>
        </w:rPr>
        <w:t>d</w:t>
      </w:r>
      <w:r>
        <w:rPr>
          <w:szCs w:val="24"/>
        </w:rPr>
        <w:t xml:space="preserve"> 100 stakeholders involved in monitoring and evaluation of health projects in Nakuru County, a census was selected. Because the target population was limited and accessible, the census covered all 100 key stakeholders directly involved in M&amp;E for health projects in Nakuru County, as shown in Table 1. For a small and manageable population, this technique is statistically appropriate because it avoids sampling error </w:t>
      </w:r>
      <w:r>
        <w:rPr>
          <w:szCs w:val="24"/>
          <w:highlight w:val="yellow"/>
        </w:rPr>
        <w:t>fo</w:t>
      </w:r>
      <w:r>
        <w:rPr>
          <w:szCs w:val="24"/>
        </w:rPr>
        <w:t xml:space="preserve">r the </w:t>
      </w:r>
      <w:r>
        <w:rPr>
          <w:szCs w:val="24"/>
          <w:highlight w:val="yellow"/>
        </w:rPr>
        <w:t>d</w:t>
      </w:r>
      <w:r>
        <w:rPr>
          <w:szCs w:val="24"/>
        </w:rPr>
        <w:t>e</w:t>
      </w:r>
      <w:r>
        <w:rPr>
          <w:szCs w:val="24"/>
          <w:highlight w:val="yellow"/>
        </w:rPr>
        <w:t>fined</w:t>
      </w:r>
      <w:r>
        <w:rPr>
          <w:szCs w:val="24"/>
        </w:rPr>
        <w:t xml:space="preserve"> population (Mugenda </w:t>
      </w:r>
      <w:r>
        <w:rPr>
          <w:szCs w:val="24"/>
          <w:highlight w:val="yellow"/>
        </w:rPr>
        <w:t>&amp;</w:t>
      </w:r>
      <w:r>
        <w:rPr>
          <w:szCs w:val="24"/>
        </w:rPr>
        <w:t xml:space="preserve"> Mugenda, 20</w:t>
      </w:r>
      <w:r>
        <w:rPr>
          <w:szCs w:val="24"/>
          <w:highlight w:val="yellow"/>
        </w:rPr>
        <w:t>19</w:t>
      </w:r>
      <w:r>
        <w:rPr>
          <w:szCs w:val="24"/>
        </w:rPr>
        <w:t xml:space="preserve">). </w:t>
      </w:r>
      <w:r>
        <w:rPr>
          <w:szCs w:val="24"/>
          <w:highlight w:val="yellow"/>
        </w:rPr>
        <w:t>A c</w:t>
      </w:r>
      <w:r>
        <w:rPr>
          <w:szCs w:val="24"/>
        </w:rPr>
        <w:t xml:space="preserve">ensus </w:t>
      </w:r>
      <w:r>
        <w:rPr>
          <w:szCs w:val="24"/>
          <w:highlight w:val="yellow"/>
        </w:rPr>
        <w:t xml:space="preserve">may </w:t>
      </w:r>
      <w:r>
        <w:rPr>
          <w:szCs w:val="24"/>
        </w:rPr>
        <w:t>s</w:t>
      </w:r>
      <w:r>
        <w:rPr>
          <w:szCs w:val="24"/>
          <w:highlight w:val="yellow"/>
        </w:rPr>
        <w:t>u</w:t>
      </w:r>
      <w:r>
        <w:rPr>
          <w:szCs w:val="24"/>
        </w:rPr>
        <w:t>p</w:t>
      </w:r>
      <w:r>
        <w:rPr>
          <w:szCs w:val="24"/>
          <w:highlight w:val="yellow"/>
        </w:rPr>
        <w:t>port</w:t>
      </w:r>
      <w:r>
        <w:rPr>
          <w:szCs w:val="24"/>
        </w:rPr>
        <w:t xml:space="preserve"> </w:t>
      </w:r>
      <w:r>
        <w:rPr>
          <w:szCs w:val="24"/>
          <w:highlight w:val="yellow"/>
        </w:rPr>
        <w:t>c</w:t>
      </w:r>
      <w:r>
        <w:rPr>
          <w:szCs w:val="24"/>
        </w:rPr>
        <w:t>o</w:t>
      </w:r>
      <w:r>
        <w:rPr>
          <w:szCs w:val="24"/>
          <w:highlight w:val="yellow"/>
        </w:rPr>
        <w:t>v</w:t>
      </w:r>
      <w:r>
        <w:rPr>
          <w:szCs w:val="24"/>
        </w:rPr>
        <w:t>era</w:t>
      </w:r>
      <w:r>
        <w:rPr>
          <w:szCs w:val="24"/>
          <w:highlight w:val="yellow"/>
        </w:rPr>
        <w:t>ge</w:t>
      </w:r>
      <w:r>
        <w:rPr>
          <w:szCs w:val="24"/>
        </w:rPr>
        <w:t xml:space="preserve"> of the </w:t>
      </w:r>
      <w:r>
        <w:rPr>
          <w:szCs w:val="24"/>
          <w:highlight w:val="yellow"/>
        </w:rPr>
        <w:t>d</w:t>
      </w:r>
      <w:r>
        <w:rPr>
          <w:szCs w:val="24"/>
        </w:rPr>
        <w:t>e</w:t>
      </w:r>
      <w:r>
        <w:rPr>
          <w:szCs w:val="24"/>
          <w:highlight w:val="yellow"/>
        </w:rPr>
        <w:t xml:space="preserve">fined </w:t>
      </w:r>
      <w:r>
        <w:rPr>
          <w:szCs w:val="24"/>
        </w:rPr>
        <w:t>s</w:t>
      </w:r>
      <w:r>
        <w:rPr>
          <w:szCs w:val="24"/>
          <w:highlight w:val="yellow"/>
        </w:rPr>
        <w:t>tudy pop</w:t>
      </w:r>
      <w:r>
        <w:rPr>
          <w:szCs w:val="24"/>
        </w:rPr>
        <w:t>ul</w:t>
      </w:r>
      <w:r>
        <w:rPr>
          <w:szCs w:val="24"/>
          <w:highlight w:val="yellow"/>
        </w:rPr>
        <w:t>a</w:t>
      </w:r>
      <w:r>
        <w:rPr>
          <w:szCs w:val="24"/>
        </w:rPr>
        <w:t>ti</w:t>
      </w:r>
      <w:r>
        <w:rPr>
          <w:szCs w:val="24"/>
          <w:highlight w:val="yellow"/>
        </w:rPr>
        <w:t>o</w:t>
      </w:r>
      <w:r>
        <w:rPr>
          <w:szCs w:val="24"/>
        </w:rPr>
        <w:t>n.</w:t>
      </w:r>
    </w:p>
    <w:p w14:paraId="49E0682F" w14:textId="77777777" w:rsidR="00946C83" w:rsidRDefault="00000000">
      <w:pPr>
        <w:pStyle w:val="Heading1"/>
        <w:spacing w:before="0" w:line="360" w:lineRule="auto"/>
        <w:rPr>
          <w:rFonts w:ascii="Times New Roman" w:hAnsi="Times New Roman"/>
          <w:color w:val="000000"/>
          <w:sz w:val="24"/>
          <w:szCs w:val="24"/>
        </w:rPr>
      </w:pPr>
      <w:r>
        <w:rPr>
          <w:rFonts w:ascii="Times New Roman" w:hAnsi="Times New Roman"/>
          <w:color w:val="000000"/>
          <w:sz w:val="24"/>
          <w:szCs w:val="24"/>
        </w:rPr>
        <w:t>3.5 Data Analysis and Presentation</w:t>
      </w:r>
    </w:p>
    <w:p w14:paraId="4109ADD0" w14:textId="77777777" w:rsidR="00946C83" w:rsidRDefault="00000000">
      <w:pPr>
        <w:pStyle w:val="NormalWeb"/>
        <w:spacing w:before="0" w:after="0" w:line="360" w:lineRule="auto"/>
        <w:jc w:val="both"/>
      </w:pPr>
      <w:r>
        <w:t>The</w:t>
      </w:r>
      <w:r>
        <w:rPr>
          <w:highlight w:val="yellow"/>
        </w:rPr>
        <w:t xml:space="preserve"> collected</w:t>
      </w:r>
      <w:r>
        <w:t xml:space="preserve"> data </w:t>
      </w:r>
      <w:r>
        <w:rPr>
          <w:highlight w:val="yellow"/>
        </w:rPr>
        <w:t>w</w:t>
      </w:r>
      <w:r>
        <w:t xml:space="preserve">ere sorted, reviewed and interpreted to identify the factors affecting the automation of systems used in monitoring and evaluation in health projects within Nakuru County, Kenya. </w:t>
      </w:r>
      <w:r>
        <w:rPr>
          <w:highlight w:val="yellow"/>
        </w:rPr>
        <w:t>Respo</w:t>
      </w:r>
      <w:r>
        <w:t xml:space="preserve">nses </w:t>
      </w:r>
      <w:r>
        <w:rPr>
          <w:highlight w:val="yellow"/>
        </w:rPr>
        <w:t>t</w:t>
      </w:r>
      <w:r>
        <w:t xml:space="preserve">o the structured questionnaires were coded and </w:t>
      </w:r>
      <w:r>
        <w:rPr>
          <w:highlight w:val="yellow"/>
        </w:rPr>
        <w:lastRenderedPageBreak/>
        <w:t>enter</w:t>
      </w:r>
      <w:r>
        <w:t xml:space="preserve">ed into SPSS and STATA </w:t>
      </w:r>
      <w:r>
        <w:rPr>
          <w:highlight w:val="yellow"/>
        </w:rPr>
        <w:t>fo</w:t>
      </w:r>
      <w:r>
        <w:t xml:space="preserve">r statistical analysis. To </w:t>
      </w:r>
      <w:r>
        <w:rPr>
          <w:highlight w:val="yellow"/>
        </w:rPr>
        <w:t>descr</w:t>
      </w:r>
      <w:r>
        <w:t>i</w:t>
      </w:r>
      <w:r>
        <w:rPr>
          <w:highlight w:val="yellow"/>
        </w:rPr>
        <w:t>b</w:t>
      </w:r>
      <w:r>
        <w:t xml:space="preserve">e the respondents' demographic </w:t>
      </w:r>
      <w:r>
        <w:rPr>
          <w:highlight w:val="yellow"/>
        </w:rPr>
        <w:t>cha</w:t>
      </w:r>
      <w:r>
        <w:t>r</w:t>
      </w:r>
      <w:r>
        <w:rPr>
          <w:highlight w:val="yellow"/>
        </w:rPr>
        <w:t>acter</w:t>
      </w:r>
      <w:r>
        <w:t>i</w:t>
      </w:r>
      <w:r>
        <w:rPr>
          <w:highlight w:val="yellow"/>
        </w:rPr>
        <w:t>stic</w:t>
      </w:r>
      <w:r>
        <w:t xml:space="preserve">s and general </w:t>
      </w:r>
      <w:r>
        <w:rPr>
          <w:highlight w:val="yellow"/>
        </w:rPr>
        <w:t>pa</w:t>
      </w:r>
      <w:r>
        <w:t>t</w:t>
      </w:r>
      <w:r>
        <w:rPr>
          <w:highlight w:val="yellow"/>
        </w:rPr>
        <w:t>te</w:t>
      </w:r>
      <w:r>
        <w:t>rns in the data, frequencies, percentages, means and standard deviations were c</w:t>
      </w:r>
      <w:r>
        <w:rPr>
          <w:highlight w:val="yellow"/>
        </w:rPr>
        <w:t>alc</w:t>
      </w:r>
      <w:r>
        <w:t>u</w:t>
      </w:r>
      <w:r>
        <w:rPr>
          <w:highlight w:val="yellow"/>
        </w:rPr>
        <w:t>la</w:t>
      </w:r>
      <w:r>
        <w:t xml:space="preserve">ted. </w:t>
      </w:r>
      <w:r>
        <w:rPr>
          <w:highlight w:val="yellow"/>
        </w:rPr>
        <w:t>I</w:t>
      </w:r>
      <w:r>
        <w:t xml:space="preserve">nferential statistical methods were </w:t>
      </w:r>
      <w:r>
        <w:rPr>
          <w:highlight w:val="yellow"/>
        </w:rPr>
        <w:t>th</w:t>
      </w:r>
      <w:r>
        <w:t>e</w:t>
      </w:r>
      <w:r>
        <w:rPr>
          <w:highlight w:val="yellow"/>
        </w:rPr>
        <w:t>n us</w:t>
      </w:r>
      <w:r>
        <w:t>ed to test the relationships between variables and a</w:t>
      </w:r>
      <w:r>
        <w:rPr>
          <w:highlight w:val="yellow"/>
        </w:rPr>
        <w:t>ss</w:t>
      </w:r>
      <w:r>
        <w:t>e</w:t>
      </w:r>
      <w:r>
        <w:rPr>
          <w:highlight w:val="yellow"/>
        </w:rPr>
        <w:t>ss</w:t>
      </w:r>
      <w:r>
        <w:t xml:space="preserve"> </w:t>
      </w:r>
      <w:r>
        <w:rPr>
          <w:highlight w:val="yellow"/>
        </w:rPr>
        <w:t>t</w:t>
      </w:r>
      <w:r>
        <w:t>h</w:t>
      </w:r>
      <w:r>
        <w:rPr>
          <w:highlight w:val="yellow"/>
        </w:rPr>
        <w:t>e</w:t>
      </w:r>
      <w:r>
        <w:t xml:space="preserve"> str</w:t>
      </w:r>
      <w:r>
        <w:rPr>
          <w:highlight w:val="yellow"/>
        </w:rPr>
        <w:t>e</w:t>
      </w:r>
      <w:r>
        <w:t>ng</w:t>
      </w:r>
      <w:r>
        <w:rPr>
          <w:highlight w:val="yellow"/>
        </w:rPr>
        <w:t>th</w:t>
      </w:r>
      <w:r>
        <w:t xml:space="preserve"> and direction</w:t>
      </w:r>
      <w:r>
        <w:rPr>
          <w:highlight w:val="yellow"/>
        </w:rPr>
        <w:t xml:space="preserve"> of</w:t>
      </w:r>
      <w:r>
        <w:t xml:space="preserve"> these relationships. Specifically, multiple linear regression was applied to assess </w:t>
      </w:r>
      <w:r>
        <w:rPr>
          <w:highlight w:val="yellow"/>
        </w:rPr>
        <w:t>t</w:t>
      </w:r>
      <w:r>
        <w:t>h</w:t>
      </w:r>
      <w:r>
        <w:rPr>
          <w:highlight w:val="yellow"/>
        </w:rPr>
        <w:t>e relati</w:t>
      </w:r>
      <w:r>
        <w:t>o</w:t>
      </w:r>
      <w:r>
        <w:rPr>
          <w:highlight w:val="yellow"/>
        </w:rPr>
        <w:t>nships bet</w:t>
      </w:r>
      <w:r>
        <w:t>w</w:t>
      </w:r>
      <w:r>
        <w:rPr>
          <w:highlight w:val="yellow"/>
        </w:rPr>
        <w:t>een</w:t>
      </w:r>
      <w:r>
        <w:t xml:space="preserve"> the four independent variables a</w:t>
      </w:r>
      <w:r>
        <w:rPr>
          <w:highlight w:val="yellow"/>
        </w:rPr>
        <w:t>n</w:t>
      </w:r>
      <w:r>
        <w:t>d the extent of M&amp;E system automation. The model is specified as:</w:t>
      </w:r>
    </w:p>
    <w:p w14:paraId="2B5DDD21" w14:textId="77777777" w:rsidR="00946C83" w:rsidRDefault="00000000">
      <w:pPr>
        <w:spacing w:before="240" w:after="240" w:line="360" w:lineRule="auto"/>
        <w:jc w:val="both"/>
        <w:rPr>
          <w:b/>
          <w:bCs/>
          <w:szCs w:val="24"/>
        </w:rPr>
      </w:pPr>
      <w:r>
        <w:rPr>
          <w:b/>
          <w:bCs/>
          <w:szCs w:val="24"/>
        </w:rPr>
        <w:t>Y=β0​+β1​X1​+β2​X2​+β3​X3​+β4​X4​+ϵ</w:t>
      </w:r>
    </w:p>
    <w:p w14:paraId="4AF9094A" w14:textId="77777777" w:rsidR="00946C83" w:rsidRDefault="00000000">
      <w:pPr>
        <w:spacing w:before="240" w:after="240" w:line="360" w:lineRule="auto"/>
        <w:jc w:val="both"/>
        <w:rPr>
          <w:szCs w:val="24"/>
        </w:rPr>
      </w:pPr>
      <w:r>
        <w:rPr>
          <w:szCs w:val="24"/>
        </w:rPr>
        <w:t>Where:</w:t>
      </w:r>
    </w:p>
    <w:p w14:paraId="4EE62E9A" w14:textId="77777777" w:rsidR="00946C83" w:rsidRDefault="00000000">
      <w:pPr>
        <w:spacing w:after="0" w:line="360" w:lineRule="auto"/>
        <w:rPr>
          <w:szCs w:val="24"/>
        </w:rPr>
      </w:pPr>
      <w:r>
        <w:rPr>
          <w:szCs w:val="24"/>
        </w:rPr>
        <w:t>Y = Level of automation of M&amp;E systems</w:t>
      </w:r>
    </w:p>
    <w:p w14:paraId="6F96B82A" w14:textId="77777777" w:rsidR="00946C83" w:rsidRDefault="00000000">
      <w:pPr>
        <w:spacing w:after="0" w:line="360" w:lineRule="auto"/>
        <w:rPr>
          <w:szCs w:val="24"/>
        </w:rPr>
      </w:pPr>
      <w:r>
        <w:rPr>
          <w:szCs w:val="24"/>
        </w:rPr>
        <w:t>β0​ = Intercept (constant term)</w:t>
      </w:r>
    </w:p>
    <w:p w14:paraId="04240485" w14:textId="77777777" w:rsidR="00946C83" w:rsidRDefault="00000000">
      <w:pPr>
        <w:spacing w:after="0" w:line="360" w:lineRule="auto"/>
        <w:rPr>
          <w:rStyle w:val="katex-mathml"/>
          <w:szCs w:val="24"/>
        </w:rPr>
      </w:pPr>
      <w:r>
        <w:rPr>
          <w:szCs w:val="24"/>
        </w:rPr>
        <w:t xml:space="preserve">X1​ = Technological Infrastructure, </w:t>
      </w:r>
    </w:p>
    <w:p w14:paraId="74CE0D19" w14:textId="77777777" w:rsidR="00946C83" w:rsidRDefault="00000000">
      <w:pPr>
        <w:spacing w:after="0" w:line="360" w:lineRule="auto"/>
      </w:pPr>
      <w:r>
        <w:rPr>
          <w:rStyle w:val="mord"/>
          <w:szCs w:val="24"/>
        </w:rPr>
        <w:t>X2</w:t>
      </w:r>
      <w:r>
        <w:rPr>
          <w:rStyle w:val="vlist-s"/>
          <w:szCs w:val="24"/>
        </w:rPr>
        <w:t>​</w:t>
      </w:r>
      <w:r>
        <w:rPr>
          <w:szCs w:val="24"/>
        </w:rPr>
        <w:t xml:space="preserve"> = Human Capacity,</w:t>
      </w:r>
    </w:p>
    <w:p w14:paraId="1FD96D6C" w14:textId="77777777" w:rsidR="00946C83" w:rsidRDefault="00000000">
      <w:pPr>
        <w:spacing w:after="0" w:line="360" w:lineRule="auto"/>
      </w:pPr>
      <w:r>
        <w:rPr>
          <w:rStyle w:val="mord"/>
          <w:szCs w:val="24"/>
        </w:rPr>
        <w:t>X3</w:t>
      </w:r>
      <w:r>
        <w:rPr>
          <w:rStyle w:val="vlist-s"/>
          <w:szCs w:val="24"/>
        </w:rPr>
        <w:t>​</w:t>
      </w:r>
      <w:r>
        <w:rPr>
          <w:szCs w:val="24"/>
        </w:rPr>
        <w:t xml:space="preserve"> = Organizational Factors, </w:t>
      </w:r>
    </w:p>
    <w:p w14:paraId="73478D17" w14:textId="77777777" w:rsidR="00946C83" w:rsidRDefault="00000000">
      <w:pPr>
        <w:spacing w:after="0" w:line="360" w:lineRule="auto"/>
        <w:rPr>
          <w:szCs w:val="24"/>
        </w:rPr>
      </w:pPr>
      <w:r>
        <w:rPr>
          <w:rStyle w:val="mord"/>
          <w:szCs w:val="24"/>
        </w:rPr>
        <w:t>X4</w:t>
      </w:r>
      <w:r>
        <w:rPr>
          <w:rStyle w:val="vlist-s"/>
          <w:szCs w:val="24"/>
        </w:rPr>
        <w:t>​</w:t>
      </w:r>
      <w:r>
        <w:rPr>
          <w:szCs w:val="24"/>
        </w:rPr>
        <w:t xml:space="preserve"> = Policy-Regulatory Environment</w:t>
      </w:r>
    </w:p>
    <w:p w14:paraId="1AFCA8CA" w14:textId="77777777" w:rsidR="00946C83" w:rsidRDefault="00000000">
      <w:pPr>
        <w:spacing w:after="0" w:line="360" w:lineRule="auto"/>
        <w:rPr>
          <w:szCs w:val="24"/>
        </w:rPr>
      </w:pPr>
      <w:r>
        <w:rPr>
          <w:szCs w:val="24"/>
        </w:rPr>
        <w:t xml:space="preserve">β1, β2, β3, β4​ = Regression coefficients </w:t>
      </w:r>
    </w:p>
    <w:p w14:paraId="69E4038E" w14:textId="77777777" w:rsidR="00946C83" w:rsidRDefault="00000000">
      <w:pPr>
        <w:spacing w:after="0" w:line="360" w:lineRule="auto"/>
        <w:rPr>
          <w:szCs w:val="24"/>
        </w:rPr>
      </w:pPr>
      <w:r>
        <w:rPr>
          <w:szCs w:val="24"/>
        </w:rPr>
        <w:t>ϵ = Error term representing unexplained variation</w:t>
      </w:r>
    </w:p>
    <w:p w14:paraId="6B6944F0" w14:textId="77777777" w:rsidR="00946C83" w:rsidRDefault="00946C83">
      <w:pPr>
        <w:pStyle w:val="Heading1"/>
        <w:spacing w:before="0" w:after="160" w:line="360" w:lineRule="auto"/>
        <w:rPr>
          <w:rFonts w:ascii="Times New Roman" w:hAnsi="Times New Roman"/>
          <w:color w:val="000000"/>
          <w:sz w:val="24"/>
          <w:szCs w:val="24"/>
        </w:rPr>
      </w:pPr>
    </w:p>
    <w:p w14:paraId="408689AC" w14:textId="77777777" w:rsidR="00946C83" w:rsidRDefault="00946C83">
      <w:pPr>
        <w:pStyle w:val="Heading1"/>
        <w:spacing w:before="0" w:after="160" w:line="360" w:lineRule="auto"/>
        <w:rPr>
          <w:rFonts w:ascii="Times New Roman" w:hAnsi="Times New Roman"/>
          <w:color w:val="000000"/>
          <w:sz w:val="24"/>
          <w:szCs w:val="24"/>
        </w:rPr>
      </w:pPr>
    </w:p>
    <w:p w14:paraId="045C6747" w14:textId="77777777" w:rsidR="00946C83" w:rsidRDefault="00000000">
      <w:pPr>
        <w:pStyle w:val="Heading1"/>
        <w:spacing w:before="0" w:after="160" w:line="360" w:lineRule="auto"/>
        <w:rPr>
          <w:rFonts w:ascii="Times New Roman" w:hAnsi="Times New Roman"/>
          <w:color w:val="000000"/>
          <w:sz w:val="24"/>
          <w:szCs w:val="24"/>
        </w:rPr>
      </w:pPr>
      <w:r>
        <w:rPr>
          <w:rFonts w:ascii="Times New Roman" w:hAnsi="Times New Roman"/>
          <w:color w:val="000000"/>
          <w:sz w:val="24"/>
          <w:szCs w:val="24"/>
        </w:rPr>
        <w:t>4.1 Research Findings and Discussion</w:t>
      </w:r>
    </w:p>
    <w:p w14:paraId="67F2AF76" w14:textId="77777777" w:rsidR="00946C83" w:rsidRDefault="00000000">
      <w:pPr>
        <w:pStyle w:val="Heading1"/>
        <w:spacing w:before="0" w:after="160" w:line="360" w:lineRule="auto"/>
      </w:pPr>
      <w:r>
        <w:rPr>
          <w:rFonts w:ascii="Times New Roman" w:hAnsi="Times New Roman"/>
          <w:color w:val="000000"/>
          <w:sz w:val="24"/>
          <w:szCs w:val="24"/>
        </w:rPr>
        <w:t>4.2 Correlation Analysis</w:t>
      </w:r>
    </w:p>
    <w:p w14:paraId="64422332" w14:textId="77777777" w:rsidR="00946C83" w:rsidRDefault="00000000">
      <w:pPr>
        <w:pStyle w:val="NormalWeb"/>
        <w:spacing w:before="0" w:after="160" w:line="360" w:lineRule="auto"/>
        <w:jc w:val="both"/>
      </w:pPr>
      <w:r>
        <w:t xml:space="preserve">Correlation analysis is a form of inferential statistics that assesses how strongly and in which direction two variables are linearly related. </w:t>
      </w:r>
      <w:r>
        <w:rPr>
          <w:highlight w:val="yellow"/>
        </w:rPr>
        <w:t>In this study</w:t>
      </w:r>
      <w:r>
        <w:t xml:space="preserve">, it was used to examine how technological infrastructure, human capacity, </w:t>
      </w:r>
      <w:proofErr w:type="spellStart"/>
      <w:r>
        <w:t>organisational</w:t>
      </w:r>
      <w:proofErr w:type="spellEnd"/>
      <w:r>
        <w:t xml:space="preserve"> factors and policy-regulatory structures relate to the level of M&amp;E system automation in health projects. The a</w:t>
      </w:r>
      <w:r>
        <w:rPr>
          <w:highlight w:val="yellow"/>
        </w:rPr>
        <w:t>n</w:t>
      </w:r>
      <w:r>
        <w:t>a</w:t>
      </w:r>
      <w:r>
        <w:rPr>
          <w:highlight w:val="yellow"/>
        </w:rPr>
        <w:t>lysis</w:t>
      </w:r>
      <w:r>
        <w:t xml:space="preserve"> therefore </w:t>
      </w:r>
      <w:r>
        <w:rPr>
          <w:highlight w:val="yellow"/>
        </w:rPr>
        <w:t>indicate</w:t>
      </w:r>
      <w:r>
        <w:t>s the s</w:t>
      </w:r>
      <w:r>
        <w:rPr>
          <w:highlight w:val="yellow"/>
        </w:rPr>
        <w:t>tr</w:t>
      </w:r>
      <w:r>
        <w:t>e</w:t>
      </w:r>
      <w:r>
        <w:rPr>
          <w:highlight w:val="yellow"/>
        </w:rPr>
        <w:t>ngth</w:t>
      </w:r>
      <w:r>
        <w:t xml:space="preserve"> and direction of these relationships among health projects in Nakuru County, Kenya. Table 2 shows the results of the correlation analysis.</w:t>
      </w:r>
    </w:p>
    <w:p w14:paraId="584D337E" w14:textId="77777777" w:rsidR="00946C83" w:rsidRDefault="00000000">
      <w:pPr>
        <w:pStyle w:val="Heading1"/>
        <w:spacing w:line="360" w:lineRule="auto"/>
      </w:pPr>
      <w:r>
        <w:rPr>
          <w:rFonts w:ascii="Times New Roman" w:hAnsi="Times New Roman"/>
          <w:color w:val="000000"/>
          <w:sz w:val="24"/>
          <w:szCs w:val="24"/>
        </w:rPr>
        <w:lastRenderedPageBreak/>
        <w:t>Table 2</w:t>
      </w:r>
      <w:r>
        <w:t xml:space="preserve"> Correlation results</w:t>
      </w:r>
    </w:p>
    <w:tbl>
      <w:tblPr>
        <w:tblW w:w="5000" w:type="pct"/>
        <w:tblLayout w:type="fixed"/>
        <w:tblLook w:val="04A0" w:firstRow="1" w:lastRow="0" w:firstColumn="1" w:lastColumn="0" w:noHBand="0" w:noVBand="1"/>
      </w:tblPr>
      <w:tblGrid>
        <w:gridCol w:w="1334"/>
        <w:gridCol w:w="1178"/>
        <w:gridCol w:w="1220"/>
        <w:gridCol w:w="1399"/>
        <w:gridCol w:w="988"/>
        <w:gridCol w:w="1431"/>
        <w:gridCol w:w="1306"/>
      </w:tblGrid>
      <w:tr w:rsidR="00946C83" w14:paraId="30C280D2" w14:textId="77777777">
        <w:tc>
          <w:tcPr>
            <w:tcW w:w="2451" w:type="dxa"/>
            <w:gridSpan w:val="2"/>
            <w:tcBorders>
              <w:top w:val="single" w:sz="4" w:space="0" w:color="000000"/>
              <w:left w:val="single" w:sz="4" w:space="0" w:color="000000"/>
              <w:bottom w:val="single" w:sz="4" w:space="0" w:color="000000"/>
              <w:right w:val="single" w:sz="4" w:space="0" w:color="000000"/>
            </w:tcBorders>
          </w:tcPr>
          <w:p w14:paraId="24BD4C0E" w14:textId="77777777" w:rsidR="00946C83" w:rsidRDefault="00946C83">
            <w:pPr>
              <w:autoSpaceDE w:val="0"/>
              <w:snapToGrid w:val="0"/>
              <w:spacing w:line="360" w:lineRule="auto"/>
              <w:rPr>
                <w:b/>
                <w:szCs w:val="24"/>
              </w:rPr>
            </w:pPr>
          </w:p>
        </w:tc>
        <w:tc>
          <w:tcPr>
            <w:tcW w:w="1190" w:type="dxa"/>
            <w:tcBorders>
              <w:top w:val="single" w:sz="4" w:space="0" w:color="000000"/>
              <w:left w:val="single" w:sz="4" w:space="0" w:color="000000"/>
              <w:bottom w:val="single" w:sz="4" w:space="0" w:color="000000"/>
              <w:right w:val="single" w:sz="4" w:space="0" w:color="000000"/>
            </w:tcBorders>
          </w:tcPr>
          <w:p w14:paraId="0D1B826A" w14:textId="77777777" w:rsidR="00946C83" w:rsidRDefault="00000000">
            <w:pPr>
              <w:autoSpaceDE w:val="0"/>
              <w:spacing w:line="360" w:lineRule="auto"/>
              <w:ind w:left="60" w:right="60"/>
              <w:jc w:val="center"/>
              <w:rPr>
                <w:b/>
                <w:szCs w:val="24"/>
              </w:rPr>
            </w:pPr>
            <w:r>
              <w:rPr>
                <w:szCs w:val="24"/>
              </w:rPr>
              <w:t>Automation of Monitoring and Evaluation</w:t>
            </w:r>
          </w:p>
        </w:tc>
        <w:tc>
          <w:tcPr>
            <w:tcW w:w="1365" w:type="dxa"/>
            <w:tcBorders>
              <w:top w:val="single" w:sz="4" w:space="0" w:color="000000"/>
              <w:left w:val="single" w:sz="4" w:space="0" w:color="000000"/>
              <w:bottom w:val="single" w:sz="4" w:space="0" w:color="000000"/>
              <w:right w:val="single" w:sz="4" w:space="0" w:color="000000"/>
            </w:tcBorders>
          </w:tcPr>
          <w:p w14:paraId="7366E15D" w14:textId="77777777" w:rsidR="00946C83" w:rsidRDefault="00000000">
            <w:pPr>
              <w:autoSpaceDE w:val="0"/>
              <w:spacing w:line="360" w:lineRule="auto"/>
              <w:ind w:left="60" w:right="60"/>
              <w:jc w:val="center"/>
              <w:rPr>
                <w:b/>
                <w:szCs w:val="24"/>
              </w:rPr>
            </w:pPr>
            <w:r>
              <w:rPr>
                <w:szCs w:val="24"/>
              </w:rPr>
              <w:t>Technological Infrastructure</w:t>
            </w:r>
          </w:p>
        </w:tc>
        <w:tc>
          <w:tcPr>
            <w:tcW w:w="964" w:type="dxa"/>
            <w:tcBorders>
              <w:top w:val="single" w:sz="4" w:space="0" w:color="000000"/>
              <w:left w:val="single" w:sz="4" w:space="0" w:color="000000"/>
              <w:bottom w:val="single" w:sz="4" w:space="0" w:color="000000"/>
              <w:right w:val="single" w:sz="4" w:space="0" w:color="000000"/>
            </w:tcBorders>
          </w:tcPr>
          <w:p w14:paraId="4CE0AA37" w14:textId="77777777" w:rsidR="00946C83" w:rsidRDefault="00000000">
            <w:pPr>
              <w:autoSpaceDE w:val="0"/>
              <w:spacing w:line="360" w:lineRule="auto"/>
              <w:ind w:left="60" w:right="60"/>
              <w:jc w:val="center"/>
              <w:rPr>
                <w:b/>
                <w:szCs w:val="24"/>
              </w:rPr>
            </w:pPr>
            <w:r>
              <w:rPr>
                <w:szCs w:val="24"/>
              </w:rPr>
              <w:t>Human Capacity</w:t>
            </w:r>
          </w:p>
        </w:tc>
        <w:tc>
          <w:tcPr>
            <w:tcW w:w="1396" w:type="dxa"/>
            <w:tcBorders>
              <w:top w:val="single" w:sz="4" w:space="0" w:color="000000"/>
              <w:left w:val="single" w:sz="4" w:space="0" w:color="000000"/>
              <w:bottom w:val="single" w:sz="4" w:space="0" w:color="000000"/>
              <w:right w:val="single" w:sz="4" w:space="0" w:color="000000"/>
            </w:tcBorders>
          </w:tcPr>
          <w:p w14:paraId="61EEDC84" w14:textId="77777777" w:rsidR="00946C83" w:rsidRDefault="00000000">
            <w:pPr>
              <w:autoSpaceDE w:val="0"/>
              <w:spacing w:line="360" w:lineRule="auto"/>
              <w:ind w:left="60" w:right="60"/>
              <w:jc w:val="center"/>
              <w:rPr>
                <w:b/>
                <w:szCs w:val="24"/>
              </w:rPr>
            </w:pPr>
            <w:proofErr w:type="spellStart"/>
            <w:r>
              <w:rPr>
                <w:szCs w:val="24"/>
              </w:rPr>
              <w:t>Organisational</w:t>
            </w:r>
            <w:proofErr w:type="spellEnd"/>
            <w:r>
              <w:rPr>
                <w:szCs w:val="24"/>
              </w:rPr>
              <w:t xml:space="preserve"> Factors</w:t>
            </w:r>
          </w:p>
        </w:tc>
        <w:tc>
          <w:tcPr>
            <w:tcW w:w="1274" w:type="dxa"/>
            <w:tcBorders>
              <w:top w:val="single" w:sz="4" w:space="0" w:color="000000"/>
              <w:left w:val="single" w:sz="4" w:space="0" w:color="000000"/>
              <w:bottom w:val="single" w:sz="4" w:space="0" w:color="000000"/>
              <w:right w:val="single" w:sz="4" w:space="0" w:color="000000"/>
            </w:tcBorders>
          </w:tcPr>
          <w:p w14:paraId="238E9A4F" w14:textId="77777777" w:rsidR="00946C83" w:rsidRDefault="00000000">
            <w:pPr>
              <w:autoSpaceDE w:val="0"/>
              <w:spacing w:line="360" w:lineRule="auto"/>
              <w:ind w:left="60" w:right="60"/>
              <w:jc w:val="center"/>
              <w:rPr>
                <w:b/>
                <w:szCs w:val="24"/>
              </w:rPr>
            </w:pPr>
            <w:r>
              <w:rPr>
                <w:szCs w:val="24"/>
              </w:rPr>
              <w:t>Policy-Regulatory Environment</w:t>
            </w:r>
          </w:p>
        </w:tc>
      </w:tr>
      <w:tr w:rsidR="00946C83" w14:paraId="46D37B35" w14:textId="77777777">
        <w:tc>
          <w:tcPr>
            <w:tcW w:w="1302" w:type="dxa"/>
            <w:vMerge w:val="restart"/>
            <w:tcBorders>
              <w:top w:val="single" w:sz="4" w:space="0" w:color="000000"/>
              <w:left w:val="single" w:sz="4" w:space="0" w:color="000000"/>
              <w:bottom w:val="single" w:sz="4" w:space="0" w:color="000000"/>
              <w:right w:val="single" w:sz="4" w:space="0" w:color="000000"/>
            </w:tcBorders>
          </w:tcPr>
          <w:p w14:paraId="30D4D401" w14:textId="77777777" w:rsidR="00946C83" w:rsidRDefault="00000000">
            <w:pPr>
              <w:spacing w:after="160" w:line="360" w:lineRule="auto"/>
              <w:ind w:left="60" w:right="60"/>
              <w:rPr>
                <w:b/>
                <w:bCs/>
                <w:szCs w:val="24"/>
              </w:rPr>
            </w:pPr>
            <w:r>
              <w:rPr>
                <w:szCs w:val="24"/>
              </w:rPr>
              <w:t>Automation of Monitoring and Evaluation</w:t>
            </w:r>
          </w:p>
        </w:tc>
        <w:tc>
          <w:tcPr>
            <w:tcW w:w="1149" w:type="dxa"/>
            <w:tcBorders>
              <w:top w:val="single" w:sz="4" w:space="0" w:color="000000"/>
              <w:left w:val="single" w:sz="4" w:space="0" w:color="000000"/>
              <w:bottom w:val="single" w:sz="4" w:space="0" w:color="000000"/>
              <w:right w:val="single" w:sz="4" w:space="0" w:color="000000"/>
            </w:tcBorders>
          </w:tcPr>
          <w:p w14:paraId="6FD5EA6D" w14:textId="77777777" w:rsidR="00946C83" w:rsidRDefault="00000000">
            <w:pPr>
              <w:autoSpaceDE w:val="0"/>
              <w:spacing w:line="360" w:lineRule="auto"/>
              <w:ind w:left="60" w:right="60"/>
              <w:rPr>
                <w:szCs w:val="24"/>
              </w:rPr>
            </w:pPr>
            <w:r>
              <w:rPr>
                <w:szCs w:val="24"/>
              </w:rPr>
              <w:t>Pearson Correlation</w:t>
            </w:r>
          </w:p>
        </w:tc>
        <w:tc>
          <w:tcPr>
            <w:tcW w:w="1190" w:type="dxa"/>
            <w:tcBorders>
              <w:top w:val="single" w:sz="4" w:space="0" w:color="000000"/>
              <w:left w:val="single" w:sz="4" w:space="0" w:color="000000"/>
              <w:bottom w:val="single" w:sz="4" w:space="0" w:color="000000"/>
              <w:right w:val="single" w:sz="4" w:space="0" w:color="000000"/>
            </w:tcBorders>
          </w:tcPr>
          <w:p w14:paraId="7C8F3D0C" w14:textId="77777777" w:rsidR="00946C83" w:rsidRDefault="00000000">
            <w:pPr>
              <w:autoSpaceDE w:val="0"/>
              <w:spacing w:line="360" w:lineRule="auto"/>
              <w:ind w:left="60" w:right="60"/>
              <w:jc w:val="right"/>
              <w:rPr>
                <w:szCs w:val="24"/>
              </w:rPr>
            </w:pPr>
            <w:r>
              <w:rPr>
                <w:szCs w:val="24"/>
              </w:rPr>
              <w:t>1</w:t>
            </w:r>
          </w:p>
        </w:tc>
        <w:tc>
          <w:tcPr>
            <w:tcW w:w="1365" w:type="dxa"/>
            <w:tcBorders>
              <w:top w:val="single" w:sz="4" w:space="0" w:color="000000"/>
              <w:left w:val="single" w:sz="4" w:space="0" w:color="000000"/>
              <w:bottom w:val="single" w:sz="4" w:space="0" w:color="000000"/>
              <w:right w:val="single" w:sz="4" w:space="0" w:color="000000"/>
            </w:tcBorders>
          </w:tcPr>
          <w:p w14:paraId="1E25F377" w14:textId="77777777" w:rsidR="00946C83" w:rsidRDefault="00946C83">
            <w:pPr>
              <w:autoSpaceDE w:val="0"/>
              <w:snapToGrid w:val="0"/>
              <w:spacing w:line="360" w:lineRule="auto"/>
              <w:ind w:left="60" w:right="60"/>
              <w:jc w:val="right"/>
              <w:rPr>
                <w:szCs w:val="24"/>
              </w:rPr>
            </w:pPr>
          </w:p>
        </w:tc>
        <w:tc>
          <w:tcPr>
            <w:tcW w:w="964" w:type="dxa"/>
            <w:tcBorders>
              <w:top w:val="single" w:sz="4" w:space="0" w:color="000000"/>
              <w:left w:val="single" w:sz="4" w:space="0" w:color="000000"/>
              <w:bottom w:val="single" w:sz="4" w:space="0" w:color="000000"/>
              <w:right w:val="single" w:sz="4" w:space="0" w:color="000000"/>
            </w:tcBorders>
          </w:tcPr>
          <w:p w14:paraId="30F9EAAE" w14:textId="77777777" w:rsidR="00946C83" w:rsidRDefault="00946C83">
            <w:pPr>
              <w:autoSpaceDE w:val="0"/>
              <w:snapToGrid w:val="0"/>
              <w:spacing w:line="360" w:lineRule="auto"/>
              <w:ind w:left="60" w:right="60"/>
              <w:jc w:val="right"/>
              <w:rPr>
                <w:szCs w:val="24"/>
              </w:rPr>
            </w:pPr>
          </w:p>
        </w:tc>
        <w:tc>
          <w:tcPr>
            <w:tcW w:w="1396" w:type="dxa"/>
            <w:tcBorders>
              <w:top w:val="single" w:sz="4" w:space="0" w:color="000000"/>
              <w:left w:val="single" w:sz="4" w:space="0" w:color="000000"/>
              <w:bottom w:val="single" w:sz="4" w:space="0" w:color="000000"/>
              <w:right w:val="single" w:sz="4" w:space="0" w:color="000000"/>
            </w:tcBorders>
          </w:tcPr>
          <w:p w14:paraId="7EACF5DD" w14:textId="77777777" w:rsidR="00946C83" w:rsidRDefault="00946C83">
            <w:pPr>
              <w:autoSpaceDE w:val="0"/>
              <w:snapToGrid w:val="0"/>
              <w:spacing w:line="360" w:lineRule="auto"/>
              <w:ind w:left="60" w:right="60"/>
              <w:jc w:val="right"/>
              <w:rPr>
                <w:szCs w:val="24"/>
              </w:rPr>
            </w:pPr>
          </w:p>
        </w:tc>
        <w:tc>
          <w:tcPr>
            <w:tcW w:w="1274" w:type="dxa"/>
            <w:tcBorders>
              <w:top w:val="single" w:sz="4" w:space="0" w:color="000000"/>
              <w:left w:val="single" w:sz="4" w:space="0" w:color="000000"/>
              <w:bottom w:val="single" w:sz="4" w:space="0" w:color="000000"/>
              <w:right w:val="single" w:sz="4" w:space="0" w:color="000000"/>
            </w:tcBorders>
          </w:tcPr>
          <w:p w14:paraId="4C612BA0" w14:textId="77777777" w:rsidR="00946C83" w:rsidRDefault="00946C83">
            <w:pPr>
              <w:autoSpaceDE w:val="0"/>
              <w:snapToGrid w:val="0"/>
              <w:spacing w:line="360" w:lineRule="auto"/>
              <w:ind w:left="60" w:right="60"/>
              <w:jc w:val="right"/>
              <w:rPr>
                <w:szCs w:val="24"/>
              </w:rPr>
            </w:pPr>
          </w:p>
        </w:tc>
      </w:tr>
      <w:tr w:rsidR="00946C83" w14:paraId="3AD03787" w14:textId="77777777">
        <w:tc>
          <w:tcPr>
            <w:tcW w:w="1302" w:type="dxa"/>
            <w:vMerge/>
            <w:tcBorders>
              <w:top w:val="single" w:sz="4" w:space="0" w:color="000000"/>
              <w:left w:val="single" w:sz="4" w:space="0" w:color="000000"/>
              <w:bottom w:val="single" w:sz="4" w:space="0" w:color="000000"/>
              <w:right w:val="single" w:sz="4" w:space="0" w:color="000000"/>
            </w:tcBorders>
          </w:tcPr>
          <w:p w14:paraId="3A2A712D" w14:textId="77777777" w:rsidR="00946C83" w:rsidRDefault="00946C83">
            <w:pPr>
              <w:autoSpaceDE w:val="0"/>
              <w:snapToGrid w:val="0"/>
              <w:spacing w:line="360" w:lineRule="auto"/>
              <w:rPr>
                <w:b/>
                <w:szCs w:val="24"/>
              </w:rPr>
            </w:pPr>
          </w:p>
        </w:tc>
        <w:tc>
          <w:tcPr>
            <w:tcW w:w="1149" w:type="dxa"/>
            <w:tcBorders>
              <w:top w:val="single" w:sz="4" w:space="0" w:color="000000"/>
              <w:left w:val="single" w:sz="4" w:space="0" w:color="000000"/>
              <w:bottom w:val="single" w:sz="4" w:space="0" w:color="000000"/>
              <w:right w:val="single" w:sz="4" w:space="0" w:color="000000"/>
            </w:tcBorders>
          </w:tcPr>
          <w:p w14:paraId="0944ABC9" w14:textId="77777777" w:rsidR="00946C83" w:rsidRDefault="00000000">
            <w:pPr>
              <w:autoSpaceDE w:val="0"/>
              <w:spacing w:line="360" w:lineRule="auto"/>
              <w:ind w:left="60" w:right="60"/>
              <w:rPr>
                <w:szCs w:val="24"/>
              </w:rPr>
            </w:pPr>
            <w:r>
              <w:rPr>
                <w:szCs w:val="24"/>
              </w:rPr>
              <w:t>Sig. (2-tailed)</w:t>
            </w:r>
          </w:p>
        </w:tc>
        <w:tc>
          <w:tcPr>
            <w:tcW w:w="1190" w:type="dxa"/>
            <w:tcBorders>
              <w:top w:val="single" w:sz="4" w:space="0" w:color="000000"/>
              <w:left w:val="single" w:sz="4" w:space="0" w:color="000000"/>
              <w:bottom w:val="single" w:sz="4" w:space="0" w:color="000000"/>
              <w:right w:val="single" w:sz="4" w:space="0" w:color="000000"/>
            </w:tcBorders>
          </w:tcPr>
          <w:p w14:paraId="2A7EE8BB" w14:textId="77777777" w:rsidR="00946C83" w:rsidRDefault="00946C83">
            <w:pPr>
              <w:autoSpaceDE w:val="0"/>
              <w:snapToGrid w:val="0"/>
              <w:spacing w:line="360" w:lineRule="auto"/>
              <w:rPr>
                <w:szCs w:val="24"/>
              </w:rPr>
            </w:pPr>
          </w:p>
        </w:tc>
        <w:tc>
          <w:tcPr>
            <w:tcW w:w="1365" w:type="dxa"/>
            <w:tcBorders>
              <w:top w:val="single" w:sz="4" w:space="0" w:color="000000"/>
              <w:left w:val="single" w:sz="4" w:space="0" w:color="000000"/>
              <w:bottom w:val="single" w:sz="4" w:space="0" w:color="000000"/>
              <w:right w:val="single" w:sz="4" w:space="0" w:color="000000"/>
            </w:tcBorders>
          </w:tcPr>
          <w:p w14:paraId="61B315F0" w14:textId="77777777" w:rsidR="00946C83" w:rsidRDefault="00946C83">
            <w:pPr>
              <w:autoSpaceDE w:val="0"/>
              <w:snapToGrid w:val="0"/>
              <w:spacing w:line="360" w:lineRule="auto"/>
              <w:ind w:left="60" w:right="60"/>
              <w:jc w:val="right"/>
              <w:rPr>
                <w:szCs w:val="24"/>
              </w:rPr>
            </w:pPr>
          </w:p>
        </w:tc>
        <w:tc>
          <w:tcPr>
            <w:tcW w:w="964" w:type="dxa"/>
            <w:tcBorders>
              <w:top w:val="single" w:sz="4" w:space="0" w:color="000000"/>
              <w:left w:val="single" w:sz="4" w:space="0" w:color="000000"/>
              <w:bottom w:val="single" w:sz="4" w:space="0" w:color="000000"/>
              <w:right w:val="single" w:sz="4" w:space="0" w:color="000000"/>
            </w:tcBorders>
          </w:tcPr>
          <w:p w14:paraId="2E5D8762" w14:textId="77777777" w:rsidR="00946C83" w:rsidRDefault="00946C83">
            <w:pPr>
              <w:autoSpaceDE w:val="0"/>
              <w:snapToGrid w:val="0"/>
              <w:spacing w:line="360" w:lineRule="auto"/>
              <w:ind w:left="60" w:right="60"/>
              <w:jc w:val="right"/>
              <w:rPr>
                <w:szCs w:val="24"/>
              </w:rPr>
            </w:pPr>
          </w:p>
        </w:tc>
        <w:tc>
          <w:tcPr>
            <w:tcW w:w="1396" w:type="dxa"/>
            <w:tcBorders>
              <w:top w:val="single" w:sz="4" w:space="0" w:color="000000"/>
              <w:left w:val="single" w:sz="4" w:space="0" w:color="000000"/>
              <w:bottom w:val="single" w:sz="4" w:space="0" w:color="000000"/>
              <w:right w:val="single" w:sz="4" w:space="0" w:color="000000"/>
            </w:tcBorders>
          </w:tcPr>
          <w:p w14:paraId="551F835B" w14:textId="77777777" w:rsidR="00946C83" w:rsidRDefault="00946C83">
            <w:pPr>
              <w:autoSpaceDE w:val="0"/>
              <w:snapToGrid w:val="0"/>
              <w:spacing w:line="360" w:lineRule="auto"/>
              <w:ind w:left="60" w:right="60"/>
              <w:jc w:val="right"/>
              <w:rPr>
                <w:szCs w:val="24"/>
              </w:rPr>
            </w:pPr>
          </w:p>
        </w:tc>
        <w:tc>
          <w:tcPr>
            <w:tcW w:w="1274" w:type="dxa"/>
            <w:tcBorders>
              <w:top w:val="single" w:sz="4" w:space="0" w:color="000000"/>
              <w:left w:val="single" w:sz="4" w:space="0" w:color="000000"/>
              <w:bottom w:val="single" w:sz="4" w:space="0" w:color="000000"/>
              <w:right w:val="single" w:sz="4" w:space="0" w:color="000000"/>
            </w:tcBorders>
          </w:tcPr>
          <w:p w14:paraId="34FF2236" w14:textId="77777777" w:rsidR="00946C83" w:rsidRDefault="00946C83">
            <w:pPr>
              <w:autoSpaceDE w:val="0"/>
              <w:snapToGrid w:val="0"/>
              <w:spacing w:line="360" w:lineRule="auto"/>
              <w:ind w:left="60" w:right="60"/>
              <w:jc w:val="right"/>
              <w:rPr>
                <w:szCs w:val="24"/>
              </w:rPr>
            </w:pPr>
          </w:p>
        </w:tc>
      </w:tr>
      <w:tr w:rsidR="00946C83" w14:paraId="44277AFD" w14:textId="77777777">
        <w:tc>
          <w:tcPr>
            <w:tcW w:w="1302" w:type="dxa"/>
            <w:vMerge w:val="restart"/>
            <w:tcBorders>
              <w:top w:val="single" w:sz="4" w:space="0" w:color="000000"/>
              <w:left w:val="single" w:sz="4" w:space="0" w:color="000000"/>
              <w:bottom w:val="single" w:sz="4" w:space="0" w:color="000000"/>
              <w:right w:val="single" w:sz="4" w:space="0" w:color="000000"/>
            </w:tcBorders>
          </w:tcPr>
          <w:p w14:paraId="60EEFB93" w14:textId="77777777" w:rsidR="00946C83" w:rsidRDefault="00000000">
            <w:pPr>
              <w:spacing w:after="160" w:line="360" w:lineRule="auto"/>
              <w:rPr>
                <w:b/>
                <w:bCs/>
                <w:szCs w:val="24"/>
              </w:rPr>
            </w:pPr>
            <w:r>
              <w:rPr>
                <w:szCs w:val="24"/>
              </w:rPr>
              <w:t>Technological Infrastructure</w:t>
            </w:r>
          </w:p>
        </w:tc>
        <w:tc>
          <w:tcPr>
            <w:tcW w:w="1149" w:type="dxa"/>
            <w:tcBorders>
              <w:top w:val="single" w:sz="4" w:space="0" w:color="000000"/>
              <w:left w:val="single" w:sz="4" w:space="0" w:color="000000"/>
              <w:bottom w:val="single" w:sz="4" w:space="0" w:color="000000"/>
              <w:right w:val="single" w:sz="4" w:space="0" w:color="000000"/>
            </w:tcBorders>
          </w:tcPr>
          <w:p w14:paraId="4B3625D2" w14:textId="77777777" w:rsidR="00946C83" w:rsidRDefault="00000000">
            <w:pPr>
              <w:autoSpaceDE w:val="0"/>
              <w:spacing w:line="360" w:lineRule="auto"/>
              <w:ind w:left="60" w:right="60"/>
              <w:rPr>
                <w:szCs w:val="24"/>
              </w:rPr>
            </w:pPr>
            <w:r>
              <w:rPr>
                <w:szCs w:val="24"/>
              </w:rPr>
              <w:t>Pearson Correlation</w:t>
            </w:r>
          </w:p>
        </w:tc>
        <w:tc>
          <w:tcPr>
            <w:tcW w:w="1190" w:type="dxa"/>
            <w:tcBorders>
              <w:top w:val="single" w:sz="4" w:space="0" w:color="000000"/>
              <w:left w:val="single" w:sz="4" w:space="0" w:color="000000"/>
              <w:bottom w:val="single" w:sz="4" w:space="0" w:color="000000"/>
              <w:right w:val="single" w:sz="4" w:space="0" w:color="000000"/>
            </w:tcBorders>
          </w:tcPr>
          <w:p w14:paraId="7755C6F2" w14:textId="77777777" w:rsidR="00946C83" w:rsidRDefault="00000000">
            <w:pPr>
              <w:autoSpaceDE w:val="0"/>
              <w:spacing w:line="360" w:lineRule="auto"/>
              <w:ind w:left="60" w:right="60"/>
              <w:jc w:val="right"/>
              <w:rPr>
                <w:szCs w:val="24"/>
              </w:rPr>
            </w:pPr>
            <w:r>
              <w:rPr>
                <w:szCs w:val="24"/>
              </w:rPr>
              <w:t>.864</w:t>
            </w:r>
            <w:r>
              <w:rPr>
                <w:szCs w:val="24"/>
                <w:vertAlign w:val="superscript"/>
              </w:rPr>
              <w:t>**</w:t>
            </w:r>
          </w:p>
        </w:tc>
        <w:tc>
          <w:tcPr>
            <w:tcW w:w="1365" w:type="dxa"/>
            <w:tcBorders>
              <w:top w:val="single" w:sz="4" w:space="0" w:color="000000"/>
              <w:left w:val="single" w:sz="4" w:space="0" w:color="000000"/>
              <w:bottom w:val="single" w:sz="4" w:space="0" w:color="000000"/>
              <w:right w:val="single" w:sz="4" w:space="0" w:color="000000"/>
            </w:tcBorders>
          </w:tcPr>
          <w:p w14:paraId="30BE3411" w14:textId="77777777" w:rsidR="00946C83" w:rsidRDefault="00000000">
            <w:pPr>
              <w:autoSpaceDE w:val="0"/>
              <w:spacing w:line="360" w:lineRule="auto"/>
              <w:ind w:left="60" w:right="60"/>
              <w:jc w:val="right"/>
              <w:rPr>
                <w:szCs w:val="24"/>
              </w:rPr>
            </w:pPr>
            <w:r>
              <w:rPr>
                <w:szCs w:val="24"/>
              </w:rPr>
              <w:t>1</w:t>
            </w:r>
          </w:p>
        </w:tc>
        <w:tc>
          <w:tcPr>
            <w:tcW w:w="964" w:type="dxa"/>
            <w:tcBorders>
              <w:top w:val="single" w:sz="4" w:space="0" w:color="000000"/>
              <w:left w:val="single" w:sz="4" w:space="0" w:color="000000"/>
              <w:bottom w:val="single" w:sz="4" w:space="0" w:color="000000"/>
              <w:right w:val="single" w:sz="4" w:space="0" w:color="000000"/>
            </w:tcBorders>
          </w:tcPr>
          <w:p w14:paraId="0BE03749" w14:textId="77777777" w:rsidR="00946C83" w:rsidRDefault="00946C83">
            <w:pPr>
              <w:autoSpaceDE w:val="0"/>
              <w:snapToGrid w:val="0"/>
              <w:spacing w:line="360" w:lineRule="auto"/>
              <w:ind w:left="60" w:right="60"/>
              <w:jc w:val="right"/>
              <w:rPr>
                <w:szCs w:val="24"/>
              </w:rPr>
            </w:pPr>
          </w:p>
        </w:tc>
        <w:tc>
          <w:tcPr>
            <w:tcW w:w="1396" w:type="dxa"/>
            <w:tcBorders>
              <w:top w:val="single" w:sz="4" w:space="0" w:color="000000"/>
              <w:left w:val="single" w:sz="4" w:space="0" w:color="000000"/>
              <w:bottom w:val="single" w:sz="4" w:space="0" w:color="000000"/>
              <w:right w:val="single" w:sz="4" w:space="0" w:color="000000"/>
            </w:tcBorders>
          </w:tcPr>
          <w:p w14:paraId="33B5AD75" w14:textId="77777777" w:rsidR="00946C83" w:rsidRDefault="00946C83">
            <w:pPr>
              <w:autoSpaceDE w:val="0"/>
              <w:snapToGrid w:val="0"/>
              <w:spacing w:line="360" w:lineRule="auto"/>
              <w:ind w:left="60" w:right="60"/>
              <w:jc w:val="right"/>
              <w:rPr>
                <w:szCs w:val="24"/>
              </w:rPr>
            </w:pPr>
          </w:p>
        </w:tc>
        <w:tc>
          <w:tcPr>
            <w:tcW w:w="1274" w:type="dxa"/>
            <w:tcBorders>
              <w:top w:val="single" w:sz="4" w:space="0" w:color="000000"/>
              <w:left w:val="single" w:sz="4" w:space="0" w:color="000000"/>
              <w:bottom w:val="single" w:sz="4" w:space="0" w:color="000000"/>
              <w:right w:val="single" w:sz="4" w:space="0" w:color="000000"/>
            </w:tcBorders>
          </w:tcPr>
          <w:p w14:paraId="5BCC3559" w14:textId="77777777" w:rsidR="00946C83" w:rsidRDefault="00946C83">
            <w:pPr>
              <w:autoSpaceDE w:val="0"/>
              <w:snapToGrid w:val="0"/>
              <w:spacing w:line="360" w:lineRule="auto"/>
              <w:ind w:left="60" w:right="60"/>
              <w:jc w:val="right"/>
              <w:rPr>
                <w:szCs w:val="24"/>
              </w:rPr>
            </w:pPr>
          </w:p>
        </w:tc>
      </w:tr>
      <w:tr w:rsidR="00946C83" w14:paraId="749CA50B" w14:textId="77777777">
        <w:tc>
          <w:tcPr>
            <w:tcW w:w="1302" w:type="dxa"/>
            <w:vMerge/>
            <w:tcBorders>
              <w:top w:val="single" w:sz="4" w:space="0" w:color="000000"/>
              <w:left w:val="single" w:sz="4" w:space="0" w:color="000000"/>
              <w:bottom w:val="single" w:sz="4" w:space="0" w:color="000000"/>
              <w:right w:val="single" w:sz="4" w:space="0" w:color="000000"/>
            </w:tcBorders>
          </w:tcPr>
          <w:p w14:paraId="39A605B7" w14:textId="77777777" w:rsidR="00946C83" w:rsidRDefault="00946C83">
            <w:pPr>
              <w:autoSpaceDE w:val="0"/>
              <w:snapToGrid w:val="0"/>
              <w:spacing w:line="360" w:lineRule="auto"/>
              <w:rPr>
                <w:b/>
                <w:szCs w:val="24"/>
              </w:rPr>
            </w:pPr>
          </w:p>
        </w:tc>
        <w:tc>
          <w:tcPr>
            <w:tcW w:w="1149" w:type="dxa"/>
            <w:tcBorders>
              <w:top w:val="single" w:sz="4" w:space="0" w:color="000000"/>
              <w:left w:val="single" w:sz="4" w:space="0" w:color="000000"/>
              <w:bottom w:val="single" w:sz="4" w:space="0" w:color="000000"/>
              <w:right w:val="single" w:sz="4" w:space="0" w:color="000000"/>
            </w:tcBorders>
          </w:tcPr>
          <w:p w14:paraId="31361419" w14:textId="77777777" w:rsidR="00946C83" w:rsidRDefault="00000000">
            <w:pPr>
              <w:autoSpaceDE w:val="0"/>
              <w:spacing w:line="360" w:lineRule="auto"/>
              <w:ind w:left="60" w:right="60"/>
              <w:rPr>
                <w:szCs w:val="24"/>
              </w:rPr>
            </w:pPr>
            <w:r>
              <w:rPr>
                <w:szCs w:val="24"/>
              </w:rPr>
              <w:t>Sig. (2-tailed)</w:t>
            </w:r>
          </w:p>
        </w:tc>
        <w:tc>
          <w:tcPr>
            <w:tcW w:w="1190" w:type="dxa"/>
            <w:tcBorders>
              <w:top w:val="single" w:sz="4" w:space="0" w:color="000000"/>
              <w:left w:val="single" w:sz="4" w:space="0" w:color="000000"/>
              <w:bottom w:val="single" w:sz="4" w:space="0" w:color="000000"/>
              <w:right w:val="single" w:sz="4" w:space="0" w:color="000000"/>
            </w:tcBorders>
          </w:tcPr>
          <w:p w14:paraId="02ADDC07" w14:textId="77777777" w:rsidR="00946C83" w:rsidRDefault="00000000">
            <w:pPr>
              <w:autoSpaceDE w:val="0"/>
              <w:spacing w:line="360" w:lineRule="auto"/>
              <w:ind w:left="60" w:right="60"/>
              <w:jc w:val="right"/>
              <w:rPr>
                <w:szCs w:val="24"/>
              </w:rPr>
            </w:pPr>
            <w:r>
              <w:rPr>
                <w:szCs w:val="24"/>
              </w:rPr>
              <w:t>.000</w:t>
            </w:r>
          </w:p>
        </w:tc>
        <w:tc>
          <w:tcPr>
            <w:tcW w:w="1365" w:type="dxa"/>
            <w:tcBorders>
              <w:top w:val="single" w:sz="4" w:space="0" w:color="000000"/>
              <w:left w:val="single" w:sz="4" w:space="0" w:color="000000"/>
              <w:bottom w:val="single" w:sz="4" w:space="0" w:color="000000"/>
              <w:right w:val="single" w:sz="4" w:space="0" w:color="000000"/>
            </w:tcBorders>
          </w:tcPr>
          <w:p w14:paraId="62DE9CF5" w14:textId="77777777" w:rsidR="00946C83" w:rsidRDefault="00946C83">
            <w:pPr>
              <w:autoSpaceDE w:val="0"/>
              <w:snapToGrid w:val="0"/>
              <w:spacing w:line="360" w:lineRule="auto"/>
              <w:rPr>
                <w:szCs w:val="24"/>
              </w:rPr>
            </w:pPr>
          </w:p>
        </w:tc>
        <w:tc>
          <w:tcPr>
            <w:tcW w:w="964" w:type="dxa"/>
            <w:tcBorders>
              <w:top w:val="single" w:sz="4" w:space="0" w:color="000000"/>
              <w:left w:val="single" w:sz="4" w:space="0" w:color="000000"/>
              <w:bottom w:val="single" w:sz="4" w:space="0" w:color="000000"/>
              <w:right w:val="single" w:sz="4" w:space="0" w:color="000000"/>
            </w:tcBorders>
          </w:tcPr>
          <w:p w14:paraId="1138477D" w14:textId="77777777" w:rsidR="00946C83" w:rsidRDefault="00946C83">
            <w:pPr>
              <w:autoSpaceDE w:val="0"/>
              <w:snapToGrid w:val="0"/>
              <w:spacing w:line="360" w:lineRule="auto"/>
              <w:ind w:left="60" w:right="60"/>
              <w:jc w:val="right"/>
              <w:rPr>
                <w:szCs w:val="24"/>
              </w:rPr>
            </w:pPr>
          </w:p>
        </w:tc>
        <w:tc>
          <w:tcPr>
            <w:tcW w:w="1396" w:type="dxa"/>
            <w:tcBorders>
              <w:top w:val="single" w:sz="4" w:space="0" w:color="000000"/>
              <w:left w:val="single" w:sz="4" w:space="0" w:color="000000"/>
              <w:bottom w:val="single" w:sz="4" w:space="0" w:color="000000"/>
              <w:right w:val="single" w:sz="4" w:space="0" w:color="000000"/>
            </w:tcBorders>
          </w:tcPr>
          <w:p w14:paraId="371B40C8" w14:textId="77777777" w:rsidR="00946C83" w:rsidRDefault="00946C83">
            <w:pPr>
              <w:autoSpaceDE w:val="0"/>
              <w:snapToGrid w:val="0"/>
              <w:spacing w:line="360" w:lineRule="auto"/>
              <w:ind w:left="60" w:right="60"/>
              <w:jc w:val="right"/>
              <w:rPr>
                <w:szCs w:val="24"/>
              </w:rPr>
            </w:pPr>
          </w:p>
        </w:tc>
        <w:tc>
          <w:tcPr>
            <w:tcW w:w="1274" w:type="dxa"/>
            <w:tcBorders>
              <w:top w:val="single" w:sz="4" w:space="0" w:color="000000"/>
              <w:left w:val="single" w:sz="4" w:space="0" w:color="000000"/>
              <w:bottom w:val="single" w:sz="4" w:space="0" w:color="000000"/>
              <w:right w:val="single" w:sz="4" w:space="0" w:color="000000"/>
            </w:tcBorders>
          </w:tcPr>
          <w:p w14:paraId="2B90FF3E" w14:textId="77777777" w:rsidR="00946C83" w:rsidRDefault="00946C83">
            <w:pPr>
              <w:autoSpaceDE w:val="0"/>
              <w:snapToGrid w:val="0"/>
              <w:spacing w:line="360" w:lineRule="auto"/>
              <w:ind w:left="60" w:right="60"/>
              <w:jc w:val="right"/>
              <w:rPr>
                <w:szCs w:val="24"/>
              </w:rPr>
            </w:pPr>
          </w:p>
        </w:tc>
      </w:tr>
      <w:tr w:rsidR="00946C83" w14:paraId="08FC7EA9" w14:textId="77777777">
        <w:tc>
          <w:tcPr>
            <w:tcW w:w="1302" w:type="dxa"/>
            <w:vMerge w:val="restart"/>
            <w:tcBorders>
              <w:top w:val="single" w:sz="4" w:space="0" w:color="000000"/>
              <w:left w:val="single" w:sz="4" w:space="0" w:color="000000"/>
              <w:bottom w:val="single" w:sz="4" w:space="0" w:color="000000"/>
              <w:right w:val="single" w:sz="4" w:space="0" w:color="000000"/>
            </w:tcBorders>
          </w:tcPr>
          <w:p w14:paraId="387487B0" w14:textId="77777777" w:rsidR="00946C83" w:rsidRDefault="00000000">
            <w:pPr>
              <w:spacing w:after="160" w:line="360" w:lineRule="auto"/>
              <w:ind w:left="60" w:right="60"/>
              <w:rPr>
                <w:b/>
                <w:bCs/>
                <w:szCs w:val="24"/>
              </w:rPr>
            </w:pPr>
            <w:r>
              <w:rPr>
                <w:szCs w:val="24"/>
              </w:rPr>
              <w:t xml:space="preserve">Human Capacity </w:t>
            </w:r>
          </w:p>
        </w:tc>
        <w:tc>
          <w:tcPr>
            <w:tcW w:w="1149" w:type="dxa"/>
            <w:tcBorders>
              <w:top w:val="single" w:sz="4" w:space="0" w:color="000000"/>
              <w:left w:val="single" w:sz="4" w:space="0" w:color="000000"/>
              <w:bottom w:val="single" w:sz="4" w:space="0" w:color="000000"/>
              <w:right w:val="single" w:sz="4" w:space="0" w:color="000000"/>
            </w:tcBorders>
          </w:tcPr>
          <w:p w14:paraId="69864BF8" w14:textId="77777777" w:rsidR="00946C83" w:rsidRDefault="00000000">
            <w:pPr>
              <w:autoSpaceDE w:val="0"/>
              <w:spacing w:line="360" w:lineRule="auto"/>
              <w:ind w:left="60" w:right="60"/>
              <w:rPr>
                <w:szCs w:val="24"/>
              </w:rPr>
            </w:pPr>
            <w:r>
              <w:rPr>
                <w:szCs w:val="24"/>
              </w:rPr>
              <w:t>Pearson Correlation</w:t>
            </w:r>
          </w:p>
        </w:tc>
        <w:tc>
          <w:tcPr>
            <w:tcW w:w="1190" w:type="dxa"/>
            <w:tcBorders>
              <w:top w:val="single" w:sz="4" w:space="0" w:color="000000"/>
              <w:left w:val="single" w:sz="4" w:space="0" w:color="000000"/>
              <w:bottom w:val="single" w:sz="4" w:space="0" w:color="000000"/>
              <w:right w:val="single" w:sz="4" w:space="0" w:color="000000"/>
            </w:tcBorders>
          </w:tcPr>
          <w:p w14:paraId="601D4B8C" w14:textId="77777777" w:rsidR="00946C83" w:rsidRDefault="00000000">
            <w:pPr>
              <w:autoSpaceDE w:val="0"/>
              <w:spacing w:line="360" w:lineRule="auto"/>
              <w:ind w:left="60" w:right="60"/>
              <w:jc w:val="right"/>
              <w:rPr>
                <w:szCs w:val="24"/>
              </w:rPr>
            </w:pPr>
            <w:r>
              <w:rPr>
                <w:szCs w:val="24"/>
              </w:rPr>
              <w:t>.135</w:t>
            </w:r>
          </w:p>
        </w:tc>
        <w:tc>
          <w:tcPr>
            <w:tcW w:w="1365" w:type="dxa"/>
            <w:tcBorders>
              <w:top w:val="single" w:sz="4" w:space="0" w:color="000000"/>
              <w:left w:val="single" w:sz="4" w:space="0" w:color="000000"/>
              <w:bottom w:val="single" w:sz="4" w:space="0" w:color="000000"/>
              <w:right w:val="single" w:sz="4" w:space="0" w:color="000000"/>
            </w:tcBorders>
          </w:tcPr>
          <w:p w14:paraId="5EE82D9F" w14:textId="77777777" w:rsidR="00946C83" w:rsidRDefault="00000000">
            <w:pPr>
              <w:autoSpaceDE w:val="0"/>
              <w:spacing w:line="360" w:lineRule="auto"/>
              <w:ind w:left="60" w:right="60"/>
              <w:jc w:val="right"/>
              <w:rPr>
                <w:szCs w:val="24"/>
              </w:rPr>
            </w:pPr>
            <w:r>
              <w:rPr>
                <w:szCs w:val="24"/>
              </w:rPr>
              <w:t>.091</w:t>
            </w:r>
          </w:p>
        </w:tc>
        <w:tc>
          <w:tcPr>
            <w:tcW w:w="964" w:type="dxa"/>
            <w:tcBorders>
              <w:top w:val="single" w:sz="4" w:space="0" w:color="000000"/>
              <w:left w:val="single" w:sz="4" w:space="0" w:color="000000"/>
              <w:bottom w:val="single" w:sz="4" w:space="0" w:color="000000"/>
              <w:right w:val="single" w:sz="4" w:space="0" w:color="000000"/>
            </w:tcBorders>
          </w:tcPr>
          <w:p w14:paraId="0C2B1EF5" w14:textId="77777777" w:rsidR="00946C83" w:rsidRDefault="00000000">
            <w:pPr>
              <w:autoSpaceDE w:val="0"/>
              <w:spacing w:line="360" w:lineRule="auto"/>
              <w:ind w:left="60" w:right="60"/>
              <w:jc w:val="right"/>
              <w:rPr>
                <w:szCs w:val="24"/>
              </w:rPr>
            </w:pPr>
            <w:r>
              <w:rPr>
                <w:szCs w:val="24"/>
              </w:rPr>
              <w:t>1</w:t>
            </w:r>
          </w:p>
        </w:tc>
        <w:tc>
          <w:tcPr>
            <w:tcW w:w="1396" w:type="dxa"/>
            <w:tcBorders>
              <w:top w:val="single" w:sz="4" w:space="0" w:color="000000"/>
              <w:left w:val="single" w:sz="4" w:space="0" w:color="000000"/>
              <w:bottom w:val="single" w:sz="4" w:space="0" w:color="000000"/>
              <w:right w:val="single" w:sz="4" w:space="0" w:color="000000"/>
            </w:tcBorders>
          </w:tcPr>
          <w:p w14:paraId="6D4F4995" w14:textId="77777777" w:rsidR="00946C83" w:rsidRDefault="00946C83">
            <w:pPr>
              <w:autoSpaceDE w:val="0"/>
              <w:snapToGrid w:val="0"/>
              <w:spacing w:line="360" w:lineRule="auto"/>
              <w:ind w:left="60" w:right="60"/>
              <w:jc w:val="right"/>
              <w:rPr>
                <w:szCs w:val="24"/>
              </w:rPr>
            </w:pPr>
          </w:p>
        </w:tc>
        <w:tc>
          <w:tcPr>
            <w:tcW w:w="1274" w:type="dxa"/>
            <w:tcBorders>
              <w:top w:val="single" w:sz="4" w:space="0" w:color="000000"/>
              <w:left w:val="single" w:sz="4" w:space="0" w:color="000000"/>
              <w:bottom w:val="single" w:sz="4" w:space="0" w:color="000000"/>
              <w:right w:val="single" w:sz="4" w:space="0" w:color="000000"/>
            </w:tcBorders>
          </w:tcPr>
          <w:p w14:paraId="15C6DC42" w14:textId="77777777" w:rsidR="00946C83" w:rsidRDefault="00946C83">
            <w:pPr>
              <w:autoSpaceDE w:val="0"/>
              <w:snapToGrid w:val="0"/>
              <w:spacing w:line="360" w:lineRule="auto"/>
              <w:ind w:left="60" w:right="60"/>
              <w:jc w:val="right"/>
              <w:rPr>
                <w:szCs w:val="24"/>
              </w:rPr>
            </w:pPr>
          </w:p>
        </w:tc>
      </w:tr>
      <w:tr w:rsidR="00946C83" w14:paraId="286AB119" w14:textId="77777777">
        <w:tc>
          <w:tcPr>
            <w:tcW w:w="1302" w:type="dxa"/>
            <w:vMerge/>
            <w:tcBorders>
              <w:top w:val="single" w:sz="4" w:space="0" w:color="000000"/>
              <w:left w:val="single" w:sz="4" w:space="0" w:color="000000"/>
              <w:bottom w:val="single" w:sz="4" w:space="0" w:color="000000"/>
              <w:right w:val="single" w:sz="4" w:space="0" w:color="000000"/>
            </w:tcBorders>
          </w:tcPr>
          <w:p w14:paraId="5993D317" w14:textId="77777777" w:rsidR="00946C83" w:rsidRDefault="00946C83">
            <w:pPr>
              <w:autoSpaceDE w:val="0"/>
              <w:snapToGrid w:val="0"/>
              <w:spacing w:line="360" w:lineRule="auto"/>
              <w:rPr>
                <w:b/>
                <w:szCs w:val="24"/>
              </w:rPr>
            </w:pPr>
          </w:p>
        </w:tc>
        <w:tc>
          <w:tcPr>
            <w:tcW w:w="1149" w:type="dxa"/>
            <w:tcBorders>
              <w:top w:val="single" w:sz="4" w:space="0" w:color="000000"/>
              <w:left w:val="single" w:sz="4" w:space="0" w:color="000000"/>
              <w:bottom w:val="single" w:sz="4" w:space="0" w:color="000000"/>
              <w:right w:val="single" w:sz="4" w:space="0" w:color="000000"/>
            </w:tcBorders>
          </w:tcPr>
          <w:p w14:paraId="1715EDF4" w14:textId="77777777" w:rsidR="00946C83" w:rsidRDefault="00000000">
            <w:pPr>
              <w:autoSpaceDE w:val="0"/>
              <w:spacing w:line="360" w:lineRule="auto"/>
              <w:ind w:left="60" w:right="60"/>
              <w:rPr>
                <w:szCs w:val="24"/>
              </w:rPr>
            </w:pPr>
            <w:r>
              <w:rPr>
                <w:szCs w:val="24"/>
              </w:rPr>
              <w:t>Sig. (2-tailed)</w:t>
            </w:r>
          </w:p>
        </w:tc>
        <w:tc>
          <w:tcPr>
            <w:tcW w:w="1190" w:type="dxa"/>
            <w:tcBorders>
              <w:top w:val="single" w:sz="4" w:space="0" w:color="000000"/>
              <w:left w:val="single" w:sz="4" w:space="0" w:color="000000"/>
              <w:bottom w:val="single" w:sz="4" w:space="0" w:color="000000"/>
              <w:right w:val="single" w:sz="4" w:space="0" w:color="000000"/>
            </w:tcBorders>
          </w:tcPr>
          <w:p w14:paraId="3F565FE4" w14:textId="77777777" w:rsidR="00946C83" w:rsidRDefault="00000000">
            <w:pPr>
              <w:autoSpaceDE w:val="0"/>
              <w:spacing w:line="360" w:lineRule="auto"/>
              <w:ind w:left="60" w:right="60"/>
              <w:jc w:val="right"/>
              <w:rPr>
                <w:szCs w:val="24"/>
              </w:rPr>
            </w:pPr>
            <w:r>
              <w:rPr>
                <w:szCs w:val="24"/>
              </w:rPr>
              <w:t>.242</w:t>
            </w:r>
          </w:p>
        </w:tc>
        <w:tc>
          <w:tcPr>
            <w:tcW w:w="1365" w:type="dxa"/>
            <w:tcBorders>
              <w:top w:val="single" w:sz="4" w:space="0" w:color="000000"/>
              <w:left w:val="single" w:sz="4" w:space="0" w:color="000000"/>
              <w:bottom w:val="single" w:sz="4" w:space="0" w:color="000000"/>
              <w:right w:val="single" w:sz="4" w:space="0" w:color="000000"/>
            </w:tcBorders>
          </w:tcPr>
          <w:p w14:paraId="6FA974C8" w14:textId="77777777" w:rsidR="00946C83" w:rsidRDefault="00000000">
            <w:pPr>
              <w:autoSpaceDE w:val="0"/>
              <w:spacing w:line="360" w:lineRule="auto"/>
              <w:ind w:left="60" w:right="60"/>
              <w:jc w:val="right"/>
              <w:rPr>
                <w:szCs w:val="24"/>
              </w:rPr>
            </w:pPr>
            <w:r>
              <w:rPr>
                <w:szCs w:val="24"/>
              </w:rPr>
              <w:t>.431</w:t>
            </w:r>
          </w:p>
        </w:tc>
        <w:tc>
          <w:tcPr>
            <w:tcW w:w="964" w:type="dxa"/>
            <w:tcBorders>
              <w:top w:val="single" w:sz="4" w:space="0" w:color="000000"/>
              <w:left w:val="single" w:sz="4" w:space="0" w:color="000000"/>
              <w:bottom w:val="single" w:sz="4" w:space="0" w:color="000000"/>
              <w:right w:val="single" w:sz="4" w:space="0" w:color="000000"/>
            </w:tcBorders>
          </w:tcPr>
          <w:p w14:paraId="52F21D62" w14:textId="77777777" w:rsidR="00946C83" w:rsidRDefault="00946C83">
            <w:pPr>
              <w:autoSpaceDE w:val="0"/>
              <w:snapToGrid w:val="0"/>
              <w:spacing w:line="360" w:lineRule="auto"/>
              <w:rPr>
                <w:szCs w:val="24"/>
              </w:rPr>
            </w:pPr>
          </w:p>
        </w:tc>
        <w:tc>
          <w:tcPr>
            <w:tcW w:w="1396" w:type="dxa"/>
            <w:tcBorders>
              <w:top w:val="single" w:sz="4" w:space="0" w:color="000000"/>
              <w:left w:val="single" w:sz="4" w:space="0" w:color="000000"/>
              <w:bottom w:val="single" w:sz="4" w:space="0" w:color="000000"/>
              <w:right w:val="single" w:sz="4" w:space="0" w:color="000000"/>
            </w:tcBorders>
          </w:tcPr>
          <w:p w14:paraId="2D5E14D7" w14:textId="77777777" w:rsidR="00946C83" w:rsidRDefault="00946C83">
            <w:pPr>
              <w:autoSpaceDE w:val="0"/>
              <w:snapToGrid w:val="0"/>
              <w:spacing w:line="360" w:lineRule="auto"/>
              <w:ind w:left="60" w:right="60"/>
              <w:jc w:val="right"/>
              <w:rPr>
                <w:szCs w:val="24"/>
              </w:rPr>
            </w:pPr>
          </w:p>
        </w:tc>
        <w:tc>
          <w:tcPr>
            <w:tcW w:w="1274" w:type="dxa"/>
            <w:tcBorders>
              <w:top w:val="single" w:sz="4" w:space="0" w:color="000000"/>
              <w:left w:val="single" w:sz="4" w:space="0" w:color="000000"/>
              <w:bottom w:val="single" w:sz="4" w:space="0" w:color="000000"/>
              <w:right w:val="single" w:sz="4" w:space="0" w:color="000000"/>
            </w:tcBorders>
          </w:tcPr>
          <w:p w14:paraId="0D524696" w14:textId="77777777" w:rsidR="00946C83" w:rsidRDefault="00946C83">
            <w:pPr>
              <w:autoSpaceDE w:val="0"/>
              <w:snapToGrid w:val="0"/>
              <w:spacing w:line="360" w:lineRule="auto"/>
              <w:ind w:left="60" w:right="60"/>
              <w:jc w:val="right"/>
              <w:rPr>
                <w:szCs w:val="24"/>
              </w:rPr>
            </w:pPr>
          </w:p>
        </w:tc>
      </w:tr>
      <w:tr w:rsidR="00946C83" w14:paraId="717EED1E" w14:textId="77777777">
        <w:tc>
          <w:tcPr>
            <w:tcW w:w="1302" w:type="dxa"/>
            <w:vMerge w:val="restart"/>
            <w:tcBorders>
              <w:top w:val="single" w:sz="4" w:space="0" w:color="000000"/>
              <w:left w:val="single" w:sz="4" w:space="0" w:color="000000"/>
              <w:bottom w:val="single" w:sz="4" w:space="0" w:color="000000"/>
              <w:right w:val="single" w:sz="4" w:space="0" w:color="000000"/>
            </w:tcBorders>
          </w:tcPr>
          <w:p w14:paraId="2018E64C" w14:textId="77777777" w:rsidR="00946C83" w:rsidRDefault="00000000">
            <w:pPr>
              <w:spacing w:after="160" w:line="360" w:lineRule="auto"/>
              <w:rPr>
                <w:b/>
                <w:bCs/>
                <w:szCs w:val="24"/>
              </w:rPr>
            </w:pPr>
            <w:proofErr w:type="spellStart"/>
            <w:r>
              <w:rPr>
                <w:szCs w:val="24"/>
              </w:rPr>
              <w:t>Organisational</w:t>
            </w:r>
            <w:proofErr w:type="spellEnd"/>
            <w:r>
              <w:rPr>
                <w:szCs w:val="24"/>
              </w:rPr>
              <w:t xml:space="preserve"> Factors</w:t>
            </w:r>
          </w:p>
        </w:tc>
        <w:tc>
          <w:tcPr>
            <w:tcW w:w="1149" w:type="dxa"/>
            <w:tcBorders>
              <w:top w:val="single" w:sz="4" w:space="0" w:color="000000"/>
              <w:left w:val="single" w:sz="4" w:space="0" w:color="000000"/>
              <w:bottom w:val="single" w:sz="4" w:space="0" w:color="000000"/>
              <w:right w:val="single" w:sz="4" w:space="0" w:color="000000"/>
            </w:tcBorders>
          </w:tcPr>
          <w:p w14:paraId="7647BFC2" w14:textId="77777777" w:rsidR="00946C83" w:rsidRDefault="00000000">
            <w:pPr>
              <w:autoSpaceDE w:val="0"/>
              <w:spacing w:line="360" w:lineRule="auto"/>
              <w:ind w:left="60" w:right="60"/>
              <w:rPr>
                <w:szCs w:val="24"/>
              </w:rPr>
            </w:pPr>
            <w:r>
              <w:rPr>
                <w:szCs w:val="24"/>
              </w:rPr>
              <w:t>Pearson Correlation</w:t>
            </w:r>
          </w:p>
        </w:tc>
        <w:tc>
          <w:tcPr>
            <w:tcW w:w="1190" w:type="dxa"/>
            <w:tcBorders>
              <w:top w:val="single" w:sz="4" w:space="0" w:color="000000"/>
              <w:left w:val="single" w:sz="4" w:space="0" w:color="000000"/>
              <w:bottom w:val="single" w:sz="4" w:space="0" w:color="000000"/>
              <w:right w:val="single" w:sz="4" w:space="0" w:color="000000"/>
            </w:tcBorders>
          </w:tcPr>
          <w:p w14:paraId="399460A0" w14:textId="77777777" w:rsidR="00946C83" w:rsidRDefault="00000000">
            <w:pPr>
              <w:autoSpaceDE w:val="0"/>
              <w:spacing w:line="360" w:lineRule="auto"/>
              <w:ind w:left="60" w:right="60"/>
              <w:jc w:val="right"/>
              <w:rPr>
                <w:szCs w:val="24"/>
              </w:rPr>
            </w:pPr>
            <w:r>
              <w:rPr>
                <w:szCs w:val="24"/>
              </w:rPr>
              <w:t>.838</w:t>
            </w:r>
            <w:r>
              <w:rPr>
                <w:szCs w:val="24"/>
                <w:vertAlign w:val="superscript"/>
              </w:rPr>
              <w:t>**</w:t>
            </w:r>
          </w:p>
        </w:tc>
        <w:tc>
          <w:tcPr>
            <w:tcW w:w="1365" w:type="dxa"/>
            <w:tcBorders>
              <w:top w:val="single" w:sz="4" w:space="0" w:color="000000"/>
              <w:left w:val="single" w:sz="4" w:space="0" w:color="000000"/>
              <w:bottom w:val="single" w:sz="4" w:space="0" w:color="000000"/>
              <w:right w:val="single" w:sz="4" w:space="0" w:color="000000"/>
            </w:tcBorders>
          </w:tcPr>
          <w:p w14:paraId="0C4BAA60" w14:textId="77777777" w:rsidR="00946C83" w:rsidRDefault="00000000">
            <w:pPr>
              <w:autoSpaceDE w:val="0"/>
              <w:spacing w:line="360" w:lineRule="auto"/>
              <w:ind w:left="60" w:right="60"/>
              <w:jc w:val="right"/>
              <w:rPr>
                <w:szCs w:val="24"/>
              </w:rPr>
            </w:pPr>
            <w:r>
              <w:rPr>
                <w:szCs w:val="24"/>
              </w:rPr>
              <w:t>.759</w:t>
            </w:r>
            <w:r>
              <w:rPr>
                <w:szCs w:val="24"/>
                <w:vertAlign w:val="superscript"/>
              </w:rPr>
              <w:t>**</w:t>
            </w:r>
          </w:p>
        </w:tc>
        <w:tc>
          <w:tcPr>
            <w:tcW w:w="964" w:type="dxa"/>
            <w:tcBorders>
              <w:top w:val="single" w:sz="4" w:space="0" w:color="000000"/>
              <w:left w:val="single" w:sz="4" w:space="0" w:color="000000"/>
              <w:bottom w:val="single" w:sz="4" w:space="0" w:color="000000"/>
              <w:right w:val="single" w:sz="4" w:space="0" w:color="000000"/>
            </w:tcBorders>
          </w:tcPr>
          <w:p w14:paraId="4DD3ECF5" w14:textId="77777777" w:rsidR="00946C83" w:rsidRDefault="00000000">
            <w:pPr>
              <w:autoSpaceDE w:val="0"/>
              <w:spacing w:line="360" w:lineRule="auto"/>
              <w:ind w:left="60" w:right="60"/>
              <w:jc w:val="right"/>
              <w:rPr>
                <w:szCs w:val="24"/>
              </w:rPr>
            </w:pPr>
            <w:r>
              <w:rPr>
                <w:szCs w:val="24"/>
              </w:rPr>
              <w:t>.097</w:t>
            </w:r>
          </w:p>
        </w:tc>
        <w:tc>
          <w:tcPr>
            <w:tcW w:w="1396" w:type="dxa"/>
            <w:tcBorders>
              <w:top w:val="single" w:sz="4" w:space="0" w:color="000000"/>
              <w:left w:val="single" w:sz="4" w:space="0" w:color="000000"/>
              <w:bottom w:val="single" w:sz="4" w:space="0" w:color="000000"/>
              <w:right w:val="single" w:sz="4" w:space="0" w:color="000000"/>
            </w:tcBorders>
          </w:tcPr>
          <w:p w14:paraId="563642CD" w14:textId="77777777" w:rsidR="00946C83" w:rsidRDefault="00000000">
            <w:pPr>
              <w:autoSpaceDE w:val="0"/>
              <w:spacing w:line="360" w:lineRule="auto"/>
              <w:ind w:left="60" w:right="60"/>
              <w:jc w:val="right"/>
              <w:rPr>
                <w:szCs w:val="24"/>
              </w:rPr>
            </w:pPr>
            <w:r>
              <w:rPr>
                <w:szCs w:val="24"/>
              </w:rPr>
              <w:t>1</w:t>
            </w:r>
          </w:p>
        </w:tc>
        <w:tc>
          <w:tcPr>
            <w:tcW w:w="1274" w:type="dxa"/>
            <w:tcBorders>
              <w:top w:val="single" w:sz="4" w:space="0" w:color="000000"/>
              <w:left w:val="single" w:sz="4" w:space="0" w:color="000000"/>
              <w:bottom w:val="single" w:sz="4" w:space="0" w:color="000000"/>
              <w:right w:val="single" w:sz="4" w:space="0" w:color="000000"/>
            </w:tcBorders>
          </w:tcPr>
          <w:p w14:paraId="7AAD9D78" w14:textId="77777777" w:rsidR="00946C83" w:rsidRDefault="00946C83">
            <w:pPr>
              <w:autoSpaceDE w:val="0"/>
              <w:snapToGrid w:val="0"/>
              <w:spacing w:line="360" w:lineRule="auto"/>
              <w:ind w:left="60" w:right="60"/>
              <w:jc w:val="right"/>
              <w:rPr>
                <w:szCs w:val="24"/>
              </w:rPr>
            </w:pPr>
          </w:p>
        </w:tc>
      </w:tr>
      <w:tr w:rsidR="00946C83" w14:paraId="0D608D8F" w14:textId="77777777">
        <w:tc>
          <w:tcPr>
            <w:tcW w:w="1302" w:type="dxa"/>
            <w:vMerge/>
            <w:tcBorders>
              <w:top w:val="single" w:sz="4" w:space="0" w:color="000000"/>
              <w:left w:val="single" w:sz="4" w:space="0" w:color="000000"/>
              <w:bottom w:val="single" w:sz="4" w:space="0" w:color="000000"/>
              <w:right w:val="single" w:sz="4" w:space="0" w:color="000000"/>
            </w:tcBorders>
          </w:tcPr>
          <w:p w14:paraId="2D5B80B9" w14:textId="77777777" w:rsidR="00946C83" w:rsidRDefault="00946C83">
            <w:pPr>
              <w:autoSpaceDE w:val="0"/>
              <w:snapToGrid w:val="0"/>
              <w:spacing w:line="360" w:lineRule="auto"/>
              <w:rPr>
                <w:b/>
                <w:szCs w:val="24"/>
              </w:rPr>
            </w:pPr>
          </w:p>
        </w:tc>
        <w:tc>
          <w:tcPr>
            <w:tcW w:w="1149" w:type="dxa"/>
            <w:tcBorders>
              <w:top w:val="single" w:sz="4" w:space="0" w:color="000000"/>
              <w:left w:val="single" w:sz="4" w:space="0" w:color="000000"/>
              <w:bottom w:val="single" w:sz="4" w:space="0" w:color="000000"/>
              <w:right w:val="single" w:sz="4" w:space="0" w:color="000000"/>
            </w:tcBorders>
          </w:tcPr>
          <w:p w14:paraId="2A66178B" w14:textId="77777777" w:rsidR="00946C83" w:rsidRDefault="00000000">
            <w:pPr>
              <w:autoSpaceDE w:val="0"/>
              <w:spacing w:line="360" w:lineRule="auto"/>
              <w:ind w:left="60" w:right="60"/>
              <w:rPr>
                <w:szCs w:val="24"/>
              </w:rPr>
            </w:pPr>
            <w:r>
              <w:rPr>
                <w:szCs w:val="24"/>
              </w:rPr>
              <w:t>Sig. (2-</w:t>
            </w:r>
            <w:r>
              <w:rPr>
                <w:szCs w:val="24"/>
              </w:rPr>
              <w:lastRenderedPageBreak/>
              <w:t>tailed)</w:t>
            </w:r>
          </w:p>
        </w:tc>
        <w:tc>
          <w:tcPr>
            <w:tcW w:w="1190" w:type="dxa"/>
            <w:tcBorders>
              <w:top w:val="single" w:sz="4" w:space="0" w:color="000000"/>
              <w:left w:val="single" w:sz="4" w:space="0" w:color="000000"/>
              <w:bottom w:val="single" w:sz="4" w:space="0" w:color="000000"/>
              <w:right w:val="single" w:sz="4" w:space="0" w:color="000000"/>
            </w:tcBorders>
          </w:tcPr>
          <w:p w14:paraId="29A1FD46" w14:textId="77777777" w:rsidR="00946C83" w:rsidRDefault="00000000">
            <w:pPr>
              <w:autoSpaceDE w:val="0"/>
              <w:spacing w:line="360" w:lineRule="auto"/>
              <w:ind w:left="60" w:right="60"/>
              <w:jc w:val="right"/>
              <w:rPr>
                <w:szCs w:val="24"/>
              </w:rPr>
            </w:pPr>
            <w:r>
              <w:rPr>
                <w:szCs w:val="24"/>
              </w:rPr>
              <w:lastRenderedPageBreak/>
              <w:t>.000</w:t>
            </w:r>
          </w:p>
        </w:tc>
        <w:tc>
          <w:tcPr>
            <w:tcW w:w="1365" w:type="dxa"/>
            <w:tcBorders>
              <w:top w:val="single" w:sz="4" w:space="0" w:color="000000"/>
              <w:left w:val="single" w:sz="4" w:space="0" w:color="000000"/>
              <w:bottom w:val="single" w:sz="4" w:space="0" w:color="000000"/>
              <w:right w:val="single" w:sz="4" w:space="0" w:color="000000"/>
            </w:tcBorders>
          </w:tcPr>
          <w:p w14:paraId="467E2EBC" w14:textId="77777777" w:rsidR="00946C83" w:rsidRDefault="00000000">
            <w:pPr>
              <w:autoSpaceDE w:val="0"/>
              <w:spacing w:line="360" w:lineRule="auto"/>
              <w:ind w:left="60" w:right="60"/>
              <w:jc w:val="right"/>
              <w:rPr>
                <w:szCs w:val="24"/>
              </w:rPr>
            </w:pPr>
            <w:r>
              <w:rPr>
                <w:szCs w:val="24"/>
              </w:rPr>
              <w:t>.000</w:t>
            </w:r>
          </w:p>
        </w:tc>
        <w:tc>
          <w:tcPr>
            <w:tcW w:w="964" w:type="dxa"/>
            <w:tcBorders>
              <w:top w:val="single" w:sz="4" w:space="0" w:color="000000"/>
              <w:left w:val="single" w:sz="4" w:space="0" w:color="000000"/>
              <w:bottom w:val="single" w:sz="4" w:space="0" w:color="000000"/>
              <w:right w:val="single" w:sz="4" w:space="0" w:color="000000"/>
            </w:tcBorders>
          </w:tcPr>
          <w:p w14:paraId="71D3C6FF" w14:textId="77777777" w:rsidR="00946C83" w:rsidRDefault="00000000">
            <w:pPr>
              <w:autoSpaceDE w:val="0"/>
              <w:spacing w:line="360" w:lineRule="auto"/>
              <w:ind w:left="60" w:right="60"/>
              <w:jc w:val="right"/>
              <w:rPr>
                <w:szCs w:val="24"/>
              </w:rPr>
            </w:pPr>
            <w:r>
              <w:rPr>
                <w:szCs w:val="24"/>
              </w:rPr>
              <w:t>.399</w:t>
            </w:r>
          </w:p>
        </w:tc>
        <w:tc>
          <w:tcPr>
            <w:tcW w:w="1396" w:type="dxa"/>
            <w:tcBorders>
              <w:top w:val="single" w:sz="4" w:space="0" w:color="000000"/>
              <w:left w:val="single" w:sz="4" w:space="0" w:color="000000"/>
              <w:bottom w:val="single" w:sz="4" w:space="0" w:color="000000"/>
              <w:right w:val="single" w:sz="4" w:space="0" w:color="000000"/>
            </w:tcBorders>
          </w:tcPr>
          <w:p w14:paraId="648629A2" w14:textId="77777777" w:rsidR="00946C83" w:rsidRDefault="00946C83">
            <w:pPr>
              <w:autoSpaceDE w:val="0"/>
              <w:snapToGrid w:val="0"/>
              <w:spacing w:line="360" w:lineRule="auto"/>
              <w:rPr>
                <w:szCs w:val="24"/>
              </w:rPr>
            </w:pPr>
          </w:p>
        </w:tc>
        <w:tc>
          <w:tcPr>
            <w:tcW w:w="1274" w:type="dxa"/>
            <w:tcBorders>
              <w:top w:val="single" w:sz="4" w:space="0" w:color="000000"/>
              <w:left w:val="single" w:sz="4" w:space="0" w:color="000000"/>
              <w:bottom w:val="single" w:sz="4" w:space="0" w:color="000000"/>
              <w:right w:val="single" w:sz="4" w:space="0" w:color="000000"/>
            </w:tcBorders>
          </w:tcPr>
          <w:p w14:paraId="09F81594" w14:textId="77777777" w:rsidR="00946C83" w:rsidRDefault="00946C83">
            <w:pPr>
              <w:autoSpaceDE w:val="0"/>
              <w:snapToGrid w:val="0"/>
              <w:spacing w:line="360" w:lineRule="auto"/>
              <w:ind w:left="60" w:right="60"/>
              <w:jc w:val="right"/>
              <w:rPr>
                <w:szCs w:val="24"/>
              </w:rPr>
            </w:pPr>
          </w:p>
        </w:tc>
      </w:tr>
      <w:tr w:rsidR="00946C83" w14:paraId="7021B816" w14:textId="77777777">
        <w:tc>
          <w:tcPr>
            <w:tcW w:w="1302" w:type="dxa"/>
            <w:vMerge w:val="restart"/>
            <w:tcBorders>
              <w:top w:val="single" w:sz="4" w:space="0" w:color="000000"/>
              <w:left w:val="single" w:sz="4" w:space="0" w:color="000000"/>
              <w:bottom w:val="single" w:sz="4" w:space="0" w:color="000000"/>
              <w:right w:val="single" w:sz="4" w:space="0" w:color="000000"/>
            </w:tcBorders>
          </w:tcPr>
          <w:p w14:paraId="4C2362AB" w14:textId="77777777" w:rsidR="00946C83" w:rsidRDefault="00000000">
            <w:pPr>
              <w:autoSpaceDE w:val="0"/>
              <w:spacing w:line="360" w:lineRule="auto"/>
              <w:ind w:left="60" w:right="60"/>
              <w:rPr>
                <w:b/>
                <w:szCs w:val="24"/>
              </w:rPr>
            </w:pPr>
            <w:r>
              <w:rPr>
                <w:szCs w:val="24"/>
              </w:rPr>
              <w:t>Policy-Regulatory Environment</w:t>
            </w:r>
          </w:p>
        </w:tc>
        <w:tc>
          <w:tcPr>
            <w:tcW w:w="1149" w:type="dxa"/>
            <w:tcBorders>
              <w:top w:val="single" w:sz="4" w:space="0" w:color="000000"/>
              <w:left w:val="single" w:sz="4" w:space="0" w:color="000000"/>
              <w:bottom w:val="single" w:sz="4" w:space="0" w:color="000000"/>
              <w:right w:val="single" w:sz="4" w:space="0" w:color="000000"/>
            </w:tcBorders>
          </w:tcPr>
          <w:p w14:paraId="048D0B0C" w14:textId="77777777" w:rsidR="00946C83" w:rsidRDefault="00000000">
            <w:pPr>
              <w:autoSpaceDE w:val="0"/>
              <w:spacing w:line="360" w:lineRule="auto"/>
              <w:ind w:left="60" w:right="60"/>
              <w:rPr>
                <w:szCs w:val="24"/>
              </w:rPr>
            </w:pPr>
            <w:r>
              <w:rPr>
                <w:szCs w:val="24"/>
              </w:rPr>
              <w:t>Pearson Correlation</w:t>
            </w:r>
          </w:p>
        </w:tc>
        <w:tc>
          <w:tcPr>
            <w:tcW w:w="1190" w:type="dxa"/>
            <w:tcBorders>
              <w:top w:val="single" w:sz="4" w:space="0" w:color="000000"/>
              <w:left w:val="single" w:sz="4" w:space="0" w:color="000000"/>
              <w:bottom w:val="single" w:sz="4" w:space="0" w:color="000000"/>
              <w:right w:val="single" w:sz="4" w:space="0" w:color="000000"/>
            </w:tcBorders>
          </w:tcPr>
          <w:p w14:paraId="31ED856E" w14:textId="77777777" w:rsidR="00946C83" w:rsidRDefault="00000000">
            <w:pPr>
              <w:autoSpaceDE w:val="0"/>
              <w:spacing w:line="360" w:lineRule="auto"/>
              <w:ind w:left="60" w:right="60"/>
              <w:jc w:val="right"/>
              <w:rPr>
                <w:szCs w:val="24"/>
              </w:rPr>
            </w:pPr>
            <w:r>
              <w:rPr>
                <w:szCs w:val="24"/>
              </w:rPr>
              <w:t>.636</w:t>
            </w:r>
            <w:r>
              <w:rPr>
                <w:szCs w:val="24"/>
                <w:vertAlign w:val="superscript"/>
              </w:rPr>
              <w:t>**</w:t>
            </w:r>
          </w:p>
        </w:tc>
        <w:tc>
          <w:tcPr>
            <w:tcW w:w="1365" w:type="dxa"/>
            <w:tcBorders>
              <w:top w:val="single" w:sz="4" w:space="0" w:color="000000"/>
              <w:left w:val="single" w:sz="4" w:space="0" w:color="000000"/>
              <w:bottom w:val="single" w:sz="4" w:space="0" w:color="000000"/>
              <w:right w:val="single" w:sz="4" w:space="0" w:color="000000"/>
            </w:tcBorders>
          </w:tcPr>
          <w:p w14:paraId="00249E0A" w14:textId="77777777" w:rsidR="00946C83" w:rsidRDefault="00000000">
            <w:pPr>
              <w:autoSpaceDE w:val="0"/>
              <w:spacing w:line="360" w:lineRule="auto"/>
              <w:ind w:left="60" w:right="60"/>
              <w:jc w:val="right"/>
              <w:rPr>
                <w:szCs w:val="24"/>
              </w:rPr>
            </w:pPr>
            <w:r>
              <w:rPr>
                <w:szCs w:val="24"/>
              </w:rPr>
              <w:t>.558</w:t>
            </w:r>
            <w:r>
              <w:rPr>
                <w:szCs w:val="24"/>
                <w:vertAlign w:val="superscript"/>
              </w:rPr>
              <w:t>**</w:t>
            </w:r>
          </w:p>
        </w:tc>
        <w:tc>
          <w:tcPr>
            <w:tcW w:w="964" w:type="dxa"/>
            <w:tcBorders>
              <w:top w:val="single" w:sz="4" w:space="0" w:color="000000"/>
              <w:left w:val="single" w:sz="4" w:space="0" w:color="000000"/>
              <w:bottom w:val="single" w:sz="4" w:space="0" w:color="000000"/>
              <w:right w:val="single" w:sz="4" w:space="0" w:color="000000"/>
            </w:tcBorders>
          </w:tcPr>
          <w:p w14:paraId="17CF8747" w14:textId="77777777" w:rsidR="00946C83" w:rsidRDefault="00000000">
            <w:pPr>
              <w:autoSpaceDE w:val="0"/>
              <w:spacing w:line="360" w:lineRule="auto"/>
              <w:ind w:left="60" w:right="60"/>
              <w:jc w:val="right"/>
              <w:rPr>
                <w:szCs w:val="24"/>
              </w:rPr>
            </w:pPr>
            <w:r>
              <w:rPr>
                <w:szCs w:val="24"/>
              </w:rPr>
              <w:t>.083</w:t>
            </w:r>
          </w:p>
        </w:tc>
        <w:tc>
          <w:tcPr>
            <w:tcW w:w="1396" w:type="dxa"/>
            <w:tcBorders>
              <w:top w:val="single" w:sz="4" w:space="0" w:color="000000"/>
              <w:left w:val="single" w:sz="4" w:space="0" w:color="000000"/>
              <w:bottom w:val="single" w:sz="4" w:space="0" w:color="000000"/>
              <w:right w:val="single" w:sz="4" w:space="0" w:color="000000"/>
            </w:tcBorders>
          </w:tcPr>
          <w:p w14:paraId="0F8577A1" w14:textId="77777777" w:rsidR="00946C83" w:rsidRDefault="00000000">
            <w:pPr>
              <w:autoSpaceDE w:val="0"/>
              <w:spacing w:line="360" w:lineRule="auto"/>
              <w:ind w:left="60" w:right="60"/>
              <w:jc w:val="right"/>
              <w:rPr>
                <w:szCs w:val="24"/>
              </w:rPr>
            </w:pPr>
            <w:r>
              <w:rPr>
                <w:szCs w:val="24"/>
              </w:rPr>
              <w:t>.662</w:t>
            </w:r>
            <w:r>
              <w:rPr>
                <w:szCs w:val="24"/>
                <w:vertAlign w:val="superscript"/>
              </w:rPr>
              <w:t>**</w:t>
            </w:r>
          </w:p>
        </w:tc>
        <w:tc>
          <w:tcPr>
            <w:tcW w:w="1274" w:type="dxa"/>
            <w:tcBorders>
              <w:top w:val="single" w:sz="4" w:space="0" w:color="000000"/>
              <w:left w:val="single" w:sz="4" w:space="0" w:color="000000"/>
              <w:bottom w:val="single" w:sz="4" w:space="0" w:color="000000"/>
              <w:right w:val="single" w:sz="4" w:space="0" w:color="000000"/>
            </w:tcBorders>
          </w:tcPr>
          <w:p w14:paraId="0E4B0C40" w14:textId="77777777" w:rsidR="00946C83" w:rsidRDefault="00000000">
            <w:pPr>
              <w:autoSpaceDE w:val="0"/>
              <w:spacing w:line="360" w:lineRule="auto"/>
              <w:ind w:left="60" w:right="60"/>
              <w:jc w:val="right"/>
              <w:rPr>
                <w:szCs w:val="24"/>
              </w:rPr>
            </w:pPr>
            <w:r>
              <w:rPr>
                <w:szCs w:val="24"/>
              </w:rPr>
              <w:t>1</w:t>
            </w:r>
          </w:p>
        </w:tc>
      </w:tr>
      <w:tr w:rsidR="00946C83" w14:paraId="4169C73D" w14:textId="77777777">
        <w:tc>
          <w:tcPr>
            <w:tcW w:w="1302" w:type="dxa"/>
            <w:vMerge/>
            <w:tcBorders>
              <w:top w:val="single" w:sz="4" w:space="0" w:color="000000"/>
              <w:left w:val="single" w:sz="4" w:space="0" w:color="000000"/>
              <w:bottom w:val="single" w:sz="4" w:space="0" w:color="000000"/>
              <w:right w:val="single" w:sz="4" w:space="0" w:color="000000"/>
            </w:tcBorders>
          </w:tcPr>
          <w:p w14:paraId="58A02945" w14:textId="77777777" w:rsidR="00946C83" w:rsidRDefault="00946C83">
            <w:pPr>
              <w:autoSpaceDE w:val="0"/>
              <w:snapToGrid w:val="0"/>
              <w:spacing w:line="360" w:lineRule="auto"/>
              <w:rPr>
                <w:b/>
                <w:szCs w:val="24"/>
              </w:rPr>
            </w:pPr>
          </w:p>
        </w:tc>
        <w:tc>
          <w:tcPr>
            <w:tcW w:w="1149" w:type="dxa"/>
            <w:tcBorders>
              <w:top w:val="single" w:sz="4" w:space="0" w:color="000000"/>
              <w:left w:val="single" w:sz="4" w:space="0" w:color="000000"/>
              <w:bottom w:val="single" w:sz="4" w:space="0" w:color="000000"/>
              <w:right w:val="single" w:sz="4" w:space="0" w:color="000000"/>
            </w:tcBorders>
          </w:tcPr>
          <w:p w14:paraId="135C2319" w14:textId="77777777" w:rsidR="00946C83" w:rsidRDefault="00000000">
            <w:pPr>
              <w:autoSpaceDE w:val="0"/>
              <w:spacing w:line="360" w:lineRule="auto"/>
              <w:ind w:left="60" w:right="60"/>
            </w:pPr>
            <w:r>
              <w:rPr>
                <w:szCs w:val="24"/>
              </w:rPr>
              <w:t>Sig. (2-tailed)</w:t>
            </w:r>
          </w:p>
        </w:tc>
        <w:tc>
          <w:tcPr>
            <w:tcW w:w="1190" w:type="dxa"/>
            <w:tcBorders>
              <w:top w:val="single" w:sz="4" w:space="0" w:color="000000"/>
              <w:left w:val="single" w:sz="4" w:space="0" w:color="000000"/>
              <w:bottom w:val="single" w:sz="4" w:space="0" w:color="000000"/>
              <w:right w:val="single" w:sz="4" w:space="0" w:color="000000"/>
            </w:tcBorders>
          </w:tcPr>
          <w:p w14:paraId="50BB2031" w14:textId="77777777" w:rsidR="00946C83" w:rsidRDefault="00000000">
            <w:pPr>
              <w:autoSpaceDE w:val="0"/>
              <w:spacing w:line="360" w:lineRule="auto"/>
              <w:ind w:left="60" w:right="60"/>
              <w:jc w:val="right"/>
              <w:rPr>
                <w:szCs w:val="24"/>
              </w:rPr>
            </w:pPr>
            <w:r>
              <w:rPr>
                <w:szCs w:val="24"/>
              </w:rPr>
              <w:t>.000</w:t>
            </w:r>
          </w:p>
        </w:tc>
        <w:tc>
          <w:tcPr>
            <w:tcW w:w="1365" w:type="dxa"/>
            <w:tcBorders>
              <w:top w:val="single" w:sz="4" w:space="0" w:color="000000"/>
              <w:left w:val="single" w:sz="4" w:space="0" w:color="000000"/>
              <w:bottom w:val="single" w:sz="4" w:space="0" w:color="000000"/>
              <w:right w:val="single" w:sz="4" w:space="0" w:color="000000"/>
            </w:tcBorders>
          </w:tcPr>
          <w:p w14:paraId="35CED4CA" w14:textId="77777777" w:rsidR="00946C83" w:rsidRDefault="00000000">
            <w:pPr>
              <w:autoSpaceDE w:val="0"/>
              <w:spacing w:line="360" w:lineRule="auto"/>
              <w:ind w:left="60" w:right="60"/>
              <w:jc w:val="right"/>
              <w:rPr>
                <w:szCs w:val="24"/>
              </w:rPr>
            </w:pPr>
            <w:r>
              <w:rPr>
                <w:szCs w:val="24"/>
              </w:rPr>
              <w:t>.000</w:t>
            </w:r>
          </w:p>
        </w:tc>
        <w:tc>
          <w:tcPr>
            <w:tcW w:w="964" w:type="dxa"/>
            <w:tcBorders>
              <w:top w:val="single" w:sz="4" w:space="0" w:color="000000"/>
              <w:left w:val="single" w:sz="4" w:space="0" w:color="000000"/>
              <w:bottom w:val="single" w:sz="4" w:space="0" w:color="000000"/>
              <w:right w:val="single" w:sz="4" w:space="0" w:color="000000"/>
            </w:tcBorders>
          </w:tcPr>
          <w:p w14:paraId="5AC60CD1" w14:textId="77777777" w:rsidR="00946C83" w:rsidRDefault="00000000">
            <w:pPr>
              <w:autoSpaceDE w:val="0"/>
              <w:spacing w:line="360" w:lineRule="auto"/>
              <w:ind w:left="60" w:right="60"/>
              <w:jc w:val="right"/>
              <w:rPr>
                <w:szCs w:val="24"/>
              </w:rPr>
            </w:pPr>
            <w:r>
              <w:rPr>
                <w:szCs w:val="24"/>
              </w:rPr>
              <w:t>.473</w:t>
            </w:r>
          </w:p>
        </w:tc>
        <w:tc>
          <w:tcPr>
            <w:tcW w:w="1396" w:type="dxa"/>
            <w:tcBorders>
              <w:top w:val="single" w:sz="4" w:space="0" w:color="000000"/>
              <w:left w:val="single" w:sz="4" w:space="0" w:color="000000"/>
              <w:bottom w:val="single" w:sz="4" w:space="0" w:color="000000"/>
              <w:right w:val="single" w:sz="4" w:space="0" w:color="000000"/>
            </w:tcBorders>
          </w:tcPr>
          <w:p w14:paraId="7AE69A0B" w14:textId="77777777" w:rsidR="00946C83" w:rsidRDefault="00000000">
            <w:pPr>
              <w:autoSpaceDE w:val="0"/>
              <w:spacing w:line="360" w:lineRule="auto"/>
              <w:ind w:left="60" w:right="60"/>
              <w:jc w:val="right"/>
              <w:rPr>
                <w:szCs w:val="24"/>
              </w:rPr>
            </w:pPr>
            <w:r>
              <w:rPr>
                <w:szCs w:val="24"/>
              </w:rPr>
              <w:t>.000</w:t>
            </w:r>
          </w:p>
        </w:tc>
        <w:tc>
          <w:tcPr>
            <w:tcW w:w="1274" w:type="dxa"/>
            <w:tcBorders>
              <w:top w:val="single" w:sz="4" w:space="0" w:color="000000"/>
              <w:left w:val="single" w:sz="4" w:space="0" w:color="000000"/>
              <w:bottom w:val="single" w:sz="4" w:space="0" w:color="000000"/>
              <w:right w:val="single" w:sz="4" w:space="0" w:color="000000"/>
            </w:tcBorders>
          </w:tcPr>
          <w:p w14:paraId="7BB09C51" w14:textId="77777777" w:rsidR="00946C83" w:rsidRDefault="00946C83">
            <w:pPr>
              <w:autoSpaceDE w:val="0"/>
              <w:snapToGrid w:val="0"/>
              <w:spacing w:line="360" w:lineRule="auto"/>
              <w:rPr>
                <w:szCs w:val="24"/>
              </w:rPr>
            </w:pPr>
          </w:p>
        </w:tc>
      </w:tr>
    </w:tbl>
    <w:p w14:paraId="120D33B9" w14:textId="77777777" w:rsidR="00946C83" w:rsidRDefault="00000000">
      <w:pPr>
        <w:spacing w:after="160" w:line="360" w:lineRule="auto"/>
        <w:rPr>
          <w:szCs w:val="24"/>
        </w:rPr>
      </w:pPr>
      <w:r>
        <w:rPr>
          <w:szCs w:val="24"/>
        </w:rPr>
        <w:t>Source: Field Data (2026)</w:t>
      </w:r>
    </w:p>
    <w:p w14:paraId="1F85FB67" w14:textId="77777777" w:rsidR="00946C83" w:rsidRDefault="00000000">
      <w:pPr>
        <w:pStyle w:val="NormalWeb"/>
        <w:spacing w:before="0" w:after="160" w:line="360" w:lineRule="auto"/>
        <w:jc w:val="both"/>
      </w:pPr>
      <w:r>
        <w:t>Table 2 shows a strong, positive</w:t>
      </w:r>
      <w:r>
        <w:rPr>
          <w:highlight w:val="yellow"/>
        </w:rPr>
        <w:t>,</w:t>
      </w:r>
      <w:r>
        <w:t xml:space="preserve"> statistically significant relationship between technological infrastructure and the level of M&amp;E system automation (r = .864, p = 0.000). Health projects with </w:t>
      </w:r>
      <w:r>
        <w:rPr>
          <w:highlight w:val="yellow"/>
        </w:rPr>
        <w:t>r</w:t>
      </w:r>
      <w:r>
        <w:t>e</w:t>
      </w:r>
      <w:r>
        <w:rPr>
          <w:highlight w:val="yellow"/>
        </w:rPr>
        <w:t>li</w:t>
      </w:r>
      <w:r>
        <w:t xml:space="preserve">able hardware and software, internet connectivity and integration with platforms such as DHIS2 </w:t>
      </w:r>
      <w:r>
        <w:rPr>
          <w:highlight w:val="yellow"/>
        </w:rPr>
        <w:t>m</w:t>
      </w:r>
      <w:r>
        <w:t>a</w:t>
      </w:r>
      <w:r>
        <w:rPr>
          <w:highlight w:val="yellow"/>
        </w:rPr>
        <w:t>y</w:t>
      </w:r>
      <w:r>
        <w:t xml:space="preserve"> therefore </w:t>
      </w:r>
      <w:r>
        <w:rPr>
          <w:highlight w:val="yellow"/>
        </w:rPr>
        <w:t>h</w:t>
      </w:r>
      <w:r>
        <w:t xml:space="preserve">ave higher M&amp;E automation, including real-time data capture, fewer manual processes and better decision-making. This finding is consistent with the African broadband access challenges described by the Broadband Commission for Sustainable Development (2019) and the connectivity and interoperability barriers reported by Chepkirui et al. (2025). </w:t>
      </w:r>
      <w:r>
        <w:rPr>
          <w:highlight w:val="yellow"/>
        </w:rPr>
        <w:t>M&amp;E syst</w:t>
      </w:r>
      <w:r>
        <w:t>e</w:t>
      </w:r>
      <w:r>
        <w:rPr>
          <w:highlight w:val="yellow"/>
        </w:rPr>
        <w:t>m</w:t>
      </w:r>
      <w:r>
        <w:t xml:space="preserve"> automation </w:t>
      </w:r>
      <w:r>
        <w:rPr>
          <w:highlight w:val="yellow"/>
        </w:rPr>
        <w:t>h</w:t>
      </w:r>
      <w:r>
        <w:t>ad a weak</w:t>
      </w:r>
      <w:r>
        <w:rPr>
          <w:highlight w:val="yellow"/>
        </w:rPr>
        <w:t>,</w:t>
      </w:r>
      <w:r>
        <w:t xml:space="preserve"> statistically insignificant correlation with human capacity (r = .135, p = .242). </w:t>
      </w:r>
      <w:r>
        <w:rPr>
          <w:highlight w:val="yellow"/>
        </w:rPr>
        <w:t>I</w:t>
      </w:r>
      <w:r>
        <w:t>n the Nakuru County</w:t>
      </w:r>
      <w:r>
        <w:rPr>
          <w:highlight w:val="yellow"/>
        </w:rPr>
        <w:t xml:space="preserve"> context</w:t>
      </w:r>
      <w:r>
        <w:t>,</w:t>
      </w:r>
      <w:r>
        <w:rPr>
          <w:highlight w:val="yellow"/>
        </w:rPr>
        <w:t xml:space="preserve"> this suggests that</w:t>
      </w:r>
      <w:r>
        <w:t xml:space="preserve"> self-reported ICT </w:t>
      </w:r>
      <w:r>
        <w:rPr>
          <w:highlight w:val="yellow"/>
        </w:rPr>
        <w:t>sk</w:t>
      </w:r>
      <w:r>
        <w:t>il</w:t>
      </w:r>
      <w:r>
        <w:rPr>
          <w:highlight w:val="yellow"/>
        </w:rPr>
        <w:t>l</w:t>
      </w:r>
      <w:r>
        <w:t>s, digital literacy and</w:t>
      </w:r>
      <w:r>
        <w:rPr>
          <w:highlight w:val="yellow"/>
        </w:rPr>
        <w:t xml:space="preserve"> staff</w:t>
      </w:r>
      <w:r>
        <w:t xml:space="preserve"> training exposure </w:t>
      </w:r>
      <w:r>
        <w:rPr>
          <w:highlight w:val="yellow"/>
        </w:rPr>
        <w:t>w</w:t>
      </w:r>
      <w:r>
        <w:t>e</w:t>
      </w:r>
      <w:r>
        <w:rPr>
          <w:highlight w:val="yellow"/>
        </w:rPr>
        <w:t>re</w:t>
      </w:r>
      <w:r>
        <w:t xml:space="preserve"> not strong</w:t>
      </w:r>
      <w:r>
        <w:rPr>
          <w:highlight w:val="yellow"/>
        </w:rPr>
        <w:t>ly</w:t>
      </w:r>
      <w:r>
        <w:t xml:space="preserve"> </w:t>
      </w:r>
      <w:r>
        <w:rPr>
          <w:highlight w:val="yellow"/>
        </w:rPr>
        <w:t>cor</w:t>
      </w:r>
      <w:r>
        <w:t>re</w:t>
      </w:r>
      <w:r>
        <w:rPr>
          <w:highlight w:val="yellow"/>
        </w:rPr>
        <w:t>la</w:t>
      </w:r>
      <w:r>
        <w:t>t</w:t>
      </w:r>
      <w:r>
        <w:rPr>
          <w:highlight w:val="yellow"/>
        </w:rPr>
        <w:t>ed</w:t>
      </w:r>
      <w:r>
        <w:t xml:space="preserve"> </w:t>
      </w:r>
      <w:r>
        <w:rPr>
          <w:highlight w:val="yellow"/>
        </w:rPr>
        <w:t>wi</w:t>
      </w:r>
      <w:r>
        <w:t>t</w:t>
      </w:r>
      <w:r>
        <w:rPr>
          <w:highlight w:val="yellow"/>
        </w:rPr>
        <w:t>h</w:t>
      </w:r>
      <w:r>
        <w:t xml:space="preserve"> automation. This contrasts with literature identifying staff digital skills, training and infrastructure as implementation barriers (Chepkirui et al., 2025; Yew et al., 2025).</w:t>
      </w:r>
    </w:p>
    <w:p w14:paraId="720A64EC" w14:textId="77777777" w:rsidR="00946C83" w:rsidRDefault="00000000">
      <w:pPr>
        <w:pStyle w:val="NormalWeb"/>
        <w:spacing w:before="0" w:after="160" w:line="360" w:lineRule="auto"/>
        <w:jc w:val="both"/>
      </w:pPr>
      <w:proofErr w:type="spellStart"/>
      <w:r>
        <w:t>Organisational</w:t>
      </w:r>
      <w:proofErr w:type="spellEnd"/>
      <w:r>
        <w:t xml:space="preserve"> factors also had a strong, positive</w:t>
      </w:r>
      <w:r>
        <w:rPr>
          <w:highlight w:val="yellow"/>
        </w:rPr>
        <w:t>,</w:t>
      </w:r>
      <w:r>
        <w:t xml:space="preserve"> statistically significant relationship with the level of M&amp;E system automation (r = .838, p = 0.000). </w:t>
      </w:r>
      <w:r>
        <w:rPr>
          <w:highlight w:val="yellow"/>
        </w:rPr>
        <w:t>This associa</w:t>
      </w:r>
      <w:r>
        <w:t>t</w:t>
      </w:r>
      <w:r>
        <w:rPr>
          <w:highlight w:val="yellow"/>
        </w:rPr>
        <w:t>ion</w:t>
      </w:r>
      <w:r>
        <w:t xml:space="preserve"> </w:t>
      </w:r>
      <w:r>
        <w:rPr>
          <w:highlight w:val="yellow"/>
        </w:rPr>
        <w:t>sugg</w:t>
      </w:r>
      <w:r>
        <w:t>e</w:t>
      </w:r>
      <w:r>
        <w:rPr>
          <w:highlight w:val="yellow"/>
        </w:rPr>
        <w:t>st</w:t>
      </w:r>
      <w:r>
        <w:t xml:space="preserve">s that supportive leadership, change-management </w:t>
      </w:r>
      <w:r>
        <w:rPr>
          <w:highlight w:val="yellow"/>
        </w:rPr>
        <w:t>practic</w:t>
      </w:r>
      <w:r>
        <w:t xml:space="preserve">es and sufficient resource </w:t>
      </w:r>
      <w:r>
        <w:rPr>
          <w:highlight w:val="yellow"/>
        </w:rPr>
        <w:t>alloca</w:t>
      </w:r>
      <w:r>
        <w:t xml:space="preserve">tion </w:t>
      </w:r>
      <w:r>
        <w:rPr>
          <w:highlight w:val="yellow"/>
        </w:rPr>
        <w:t>m</w:t>
      </w:r>
      <w:r>
        <w:t>a</w:t>
      </w:r>
      <w:r>
        <w:rPr>
          <w:highlight w:val="yellow"/>
        </w:rPr>
        <w:t>y</w:t>
      </w:r>
      <w:r>
        <w:t xml:space="preserve"> facilitate </w:t>
      </w:r>
      <w:r>
        <w:rPr>
          <w:highlight w:val="yellow"/>
        </w:rPr>
        <w:t xml:space="preserve">a </w:t>
      </w:r>
      <w:r>
        <w:t>t</w:t>
      </w:r>
      <w:r>
        <w:rPr>
          <w:highlight w:val="yellow"/>
        </w:rPr>
        <w:t>ransiti</w:t>
      </w:r>
      <w:r>
        <w:t>on f</w:t>
      </w:r>
      <w:r>
        <w:rPr>
          <w:highlight w:val="yellow"/>
        </w:rPr>
        <w:t>r</w:t>
      </w:r>
      <w:r>
        <w:t>o</w:t>
      </w:r>
      <w:r>
        <w:rPr>
          <w:highlight w:val="yellow"/>
        </w:rPr>
        <w:t>m</w:t>
      </w:r>
      <w:r>
        <w:t xml:space="preserve"> manual or </w:t>
      </w:r>
      <w:r>
        <w:rPr>
          <w:highlight w:val="yellow"/>
        </w:rPr>
        <w:t>part</w:t>
      </w:r>
      <w:r>
        <w:t>i</w:t>
      </w:r>
      <w:r>
        <w:rPr>
          <w:highlight w:val="yellow"/>
        </w:rPr>
        <w:t xml:space="preserve">ally </w:t>
      </w:r>
      <w:r>
        <w:t xml:space="preserve">automated M&amp;E processes to digital </w:t>
      </w:r>
      <w:r>
        <w:rPr>
          <w:highlight w:val="yellow"/>
        </w:rPr>
        <w:t>syst</w:t>
      </w:r>
      <w:r>
        <w:t>e</w:t>
      </w:r>
      <w:r>
        <w:rPr>
          <w:highlight w:val="yellow"/>
        </w:rPr>
        <w:t>m</w:t>
      </w:r>
      <w:r>
        <w:t xml:space="preserve">s. This interpretation is consistent with evidence that organisational context, resourcing and staff engagement influence digital-health implementation (Yew et al., 2025). The policy-regulatory environment showed a moderate-to-strong, positive and statistically significant relationship with M&amp;E system automation (r = .636, p = 0.000). This result </w:t>
      </w:r>
      <w:r>
        <w:rPr>
          <w:highlight w:val="yellow"/>
        </w:rPr>
        <w:t>sugges</w:t>
      </w:r>
      <w:r>
        <w:t>ts that supportive digital</w:t>
      </w:r>
      <w:r>
        <w:rPr>
          <w:highlight w:val="yellow"/>
        </w:rPr>
        <w:t xml:space="preserve"> </w:t>
      </w:r>
      <w:r>
        <w:t xml:space="preserve">health policies, data-protection laws and </w:t>
      </w:r>
      <w:r>
        <w:lastRenderedPageBreak/>
        <w:t xml:space="preserve">coordination between national and county </w:t>
      </w:r>
      <w:r>
        <w:rPr>
          <w:highlight w:val="yellow"/>
        </w:rPr>
        <w:t>auth</w:t>
      </w:r>
      <w:r>
        <w:t>o</w:t>
      </w:r>
      <w:r>
        <w:rPr>
          <w:highlight w:val="yellow"/>
        </w:rPr>
        <w:t>rities may faci</w:t>
      </w:r>
      <w:r>
        <w:t>li</w:t>
      </w:r>
      <w:r>
        <w:rPr>
          <w:highlight w:val="yellow"/>
        </w:rPr>
        <w:t>t</w:t>
      </w:r>
      <w:r>
        <w:t>a</w:t>
      </w:r>
      <w:r>
        <w:rPr>
          <w:highlight w:val="yellow"/>
        </w:rPr>
        <w:t>t</w:t>
      </w:r>
      <w:r>
        <w:t xml:space="preserve">e M&amp;E automation. This interpretation is consistent with the digital-health policy and coordination issues discussed by Mburu and Kamau (2018) and the DHIS2 data-use concerns identified by Oware et al. (2025). These findings </w:t>
      </w:r>
      <w:r>
        <w:rPr>
          <w:highlight w:val="yellow"/>
        </w:rPr>
        <w:t>highligh</w:t>
      </w:r>
      <w:r>
        <w:t xml:space="preserve">t the </w:t>
      </w:r>
      <w:r>
        <w:rPr>
          <w:highlight w:val="yellow"/>
        </w:rPr>
        <w:t>potential importance o</w:t>
      </w:r>
      <w:r>
        <w:t xml:space="preserve">f consistent regulatory frameworks in scaling automation in </w:t>
      </w:r>
      <w:proofErr w:type="spellStart"/>
      <w:r>
        <w:t>decentralised</w:t>
      </w:r>
      <w:proofErr w:type="spellEnd"/>
      <w:r>
        <w:t xml:space="preserve"> health systems.</w:t>
      </w:r>
    </w:p>
    <w:p w14:paraId="13CEAF04" w14:textId="77777777" w:rsidR="00946C83" w:rsidRDefault="00000000">
      <w:pPr>
        <w:pStyle w:val="Heading1"/>
        <w:spacing w:before="0" w:after="160" w:line="360" w:lineRule="auto"/>
      </w:pPr>
      <w:r>
        <w:rPr>
          <w:rFonts w:ascii="Times New Roman" w:hAnsi="Times New Roman"/>
          <w:color w:val="000000"/>
          <w:sz w:val="24"/>
          <w:szCs w:val="24"/>
        </w:rPr>
        <w:t>4.3 Regression Analysis</w:t>
      </w:r>
    </w:p>
    <w:p w14:paraId="7B1CFAE6" w14:textId="77777777" w:rsidR="00946C83" w:rsidRDefault="00000000">
      <w:pPr>
        <w:pStyle w:val="NormalWeb"/>
        <w:spacing w:before="0" w:after="160" w:line="360" w:lineRule="auto"/>
        <w:jc w:val="both"/>
      </w:pPr>
      <w:r>
        <w:t xml:space="preserve">Regression analysis estimates </w:t>
      </w:r>
      <w:r>
        <w:rPr>
          <w:highlight w:val="yellow"/>
        </w:rPr>
        <w:t>ass</w:t>
      </w:r>
      <w:r>
        <w:t>o</w:t>
      </w:r>
      <w:r>
        <w:rPr>
          <w:highlight w:val="yellow"/>
        </w:rPr>
        <w:t>ciations bet</w:t>
      </w:r>
      <w:r>
        <w:t>w</w:t>
      </w:r>
      <w:r>
        <w:rPr>
          <w:highlight w:val="yellow"/>
        </w:rPr>
        <w:t>een</w:t>
      </w:r>
      <w:r>
        <w:t xml:space="preserve"> explanatory variables a</w:t>
      </w:r>
      <w:r>
        <w:rPr>
          <w:highlight w:val="yellow"/>
        </w:rPr>
        <w:t>nd</w:t>
      </w:r>
      <w:r>
        <w:t xml:space="preserve"> a dependent variable</w:t>
      </w:r>
      <w:r>
        <w:rPr>
          <w:highlight w:val="yellow"/>
        </w:rPr>
        <w:t>,</w:t>
      </w:r>
      <w:r>
        <w:t xml:space="preserve"> </w:t>
      </w:r>
      <w:r>
        <w:rPr>
          <w:highlight w:val="yellow"/>
        </w:rPr>
        <w:t>i</w:t>
      </w:r>
      <w:r>
        <w:t>n</w:t>
      </w:r>
      <w:r>
        <w:rPr>
          <w:highlight w:val="yellow"/>
        </w:rPr>
        <w:t>clu</w:t>
      </w:r>
      <w:r>
        <w:t>d</w:t>
      </w:r>
      <w:r>
        <w:rPr>
          <w:highlight w:val="yellow"/>
        </w:rPr>
        <w:t>ing</w:t>
      </w:r>
      <w:r>
        <w:t xml:space="preserve"> the direction and </w:t>
      </w:r>
      <w:r>
        <w:rPr>
          <w:highlight w:val="yellow"/>
        </w:rPr>
        <w:t>magn</w:t>
      </w:r>
      <w:r>
        <w:t>i</w:t>
      </w:r>
      <w:r>
        <w:rPr>
          <w:highlight w:val="yellow"/>
        </w:rPr>
        <w:t>tud</w:t>
      </w:r>
      <w:r>
        <w:t>e of each coeff</w:t>
      </w:r>
      <w:r>
        <w:rPr>
          <w:highlight w:val="yellow"/>
        </w:rPr>
        <w:t>ici</w:t>
      </w:r>
      <w:r>
        <w:t>e</w:t>
      </w:r>
      <w:r>
        <w:rPr>
          <w:highlight w:val="yellow"/>
        </w:rPr>
        <w:t>n</w:t>
      </w:r>
      <w:r>
        <w:t xml:space="preserve">t. In this study, multiple linear regression assessed the separate and combined </w:t>
      </w:r>
      <w:r>
        <w:rPr>
          <w:highlight w:val="yellow"/>
        </w:rPr>
        <w:t>asso</w:t>
      </w:r>
      <w:r>
        <w:t>c</w:t>
      </w:r>
      <w:r>
        <w:rPr>
          <w:highlight w:val="yellow"/>
        </w:rPr>
        <w:t>ia</w:t>
      </w:r>
      <w:r>
        <w:t>t</w:t>
      </w:r>
      <w:r>
        <w:rPr>
          <w:highlight w:val="yellow"/>
        </w:rPr>
        <w:t>ion</w:t>
      </w:r>
      <w:r>
        <w:t xml:space="preserve">s of technological infrastructure, human capacity, </w:t>
      </w:r>
      <w:proofErr w:type="spellStart"/>
      <w:r>
        <w:t>organisational</w:t>
      </w:r>
      <w:proofErr w:type="spellEnd"/>
      <w:r>
        <w:t xml:space="preserve"> factors and policy-regulatory frameworks on the level of M&amp;E system automation in Nakuru County health projects. Table 3 presents the regression results generated using SPSS.</w:t>
      </w:r>
    </w:p>
    <w:p w14:paraId="21D25094" w14:textId="77777777" w:rsidR="00946C83" w:rsidRDefault="00000000">
      <w:pPr>
        <w:pStyle w:val="Heading1"/>
        <w:spacing w:line="360" w:lineRule="auto"/>
      </w:pPr>
      <w:r>
        <w:t>Table 3 Tests of Between-Subjects Effects</w:t>
      </w:r>
    </w:p>
    <w:tbl>
      <w:tblPr>
        <w:tblW w:w="5000" w:type="pct"/>
        <w:tblLayout w:type="fixed"/>
        <w:tblLook w:val="04A0" w:firstRow="1" w:lastRow="0" w:firstColumn="1" w:lastColumn="0" w:noHBand="0" w:noVBand="1"/>
      </w:tblPr>
      <w:tblGrid>
        <w:gridCol w:w="1939"/>
        <w:gridCol w:w="1708"/>
        <w:gridCol w:w="1193"/>
        <w:gridCol w:w="1636"/>
        <w:gridCol w:w="1190"/>
        <w:gridCol w:w="1190"/>
      </w:tblGrid>
      <w:tr w:rsidR="00946C83" w14:paraId="1CAF10A2" w14:textId="77777777">
        <w:tc>
          <w:tcPr>
            <w:tcW w:w="1892" w:type="dxa"/>
            <w:tcBorders>
              <w:top w:val="single" w:sz="4" w:space="0" w:color="000000"/>
              <w:left w:val="single" w:sz="4" w:space="0" w:color="000000"/>
              <w:bottom w:val="single" w:sz="4" w:space="0" w:color="000000"/>
              <w:right w:val="single" w:sz="4" w:space="0" w:color="000000"/>
            </w:tcBorders>
          </w:tcPr>
          <w:p w14:paraId="1C69FD88" w14:textId="77777777" w:rsidR="00946C83" w:rsidRDefault="00000000">
            <w:pPr>
              <w:autoSpaceDE w:val="0"/>
              <w:spacing w:line="360" w:lineRule="auto"/>
              <w:ind w:left="60" w:right="60"/>
              <w:rPr>
                <w:b/>
                <w:szCs w:val="24"/>
              </w:rPr>
            </w:pPr>
            <w:r>
              <w:rPr>
                <w:szCs w:val="24"/>
              </w:rPr>
              <w:t>Source</w:t>
            </w:r>
          </w:p>
        </w:tc>
        <w:tc>
          <w:tcPr>
            <w:tcW w:w="1666" w:type="dxa"/>
            <w:tcBorders>
              <w:top w:val="single" w:sz="4" w:space="0" w:color="000000"/>
              <w:left w:val="single" w:sz="4" w:space="0" w:color="000000"/>
              <w:bottom w:val="single" w:sz="4" w:space="0" w:color="000000"/>
              <w:right w:val="single" w:sz="4" w:space="0" w:color="000000"/>
            </w:tcBorders>
          </w:tcPr>
          <w:p w14:paraId="293013FD" w14:textId="77777777" w:rsidR="00946C83" w:rsidRDefault="00000000">
            <w:pPr>
              <w:autoSpaceDE w:val="0"/>
              <w:spacing w:line="360" w:lineRule="auto"/>
              <w:ind w:left="60" w:right="60"/>
              <w:jc w:val="center"/>
              <w:rPr>
                <w:b/>
                <w:szCs w:val="24"/>
              </w:rPr>
            </w:pPr>
            <w:r>
              <w:rPr>
                <w:szCs w:val="24"/>
              </w:rPr>
              <w:t>Type III Sum of Squares</w:t>
            </w:r>
          </w:p>
        </w:tc>
        <w:tc>
          <w:tcPr>
            <w:tcW w:w="1164" w:type="dxa"/>
            <w:tcBorders>
              <w:top w:val="single" w:sz="4" w:space="0" w:color="000000"/>
              <w:left w:val="single" w:sz="4" w:space="0" w:color="000000"/>
              <w:bottom w:val="single" w:sz="4" w:space="0" w:color="000000"/>
              <w:right w:val="single" w:sz="4" w:space="0" w:color="000000"/>
            </w:tcBorders>
          </w:tcPr>
          <w:p w14:paraId="347B92A0" w14:textId="77777777" w:rsidR="00946C83" w:rsidRDefault="00000000">
            <w:pPr>
              <w:autoSpaceDE w:val="0"/>
              <w:spacing w:line="360" w:lineRule="auto"/>
              <w:ind w:left="60" w:right="60"/>
              <w:jc w:val="center"/>
              <w:rPr>
                <w:b/>
                <w:szCs w:val="24"/>
              </w:rPr>
            </w:pPr>
            <w:proofErr w:type="spellStart"/>
            <w:r>
              <w:rPr>
                <w:szCs w:val="24"/>
              </w:rPr>
              <w:t>df</w:t>
            </w:r>
            <w:proofErr w:type="spellEnd"/>
          </w:p>
        </w:tc>
        <w:tc>
          <w:tcPr>
            <w:tcW w:w="1596" w:type="dxa"/>
            <w:tcBorders>
              <w:top w:val="single" w:sz="4" w:space="0" w:color="000000"/>
              <w:left w:val="single" w:sz="4" w:space="0" w:color="000000"/>
              <w:bottom w:val="single" w:sz="4" w:space="0" w:color="000000"/>
              <w:right w:val="single" w:sz="4" w:space="0" w:color="000000"/>
            </w:tcBorders>
          </w:tcPr>
          <w:p w14:paraId="03B4C312" w14:textId="77777777" w:rsidR="00946C83" w:rsidRDefault="00000000">
            <w:pPr>
              <w:autoSpaceDE w:val="0"/>
              <w:spacing w:line="360" w:lineRule="auto"/>
              <w:ind w:left="60" w:right="60"/>
              <w:jc w:val="center"/>
              <w:rPr>
                <w:b/>
                <w:szCs w:val="24"/>
              </w:rPr>
            </w:pPr>
            <w:r>
              <w:rPr>
                <w:szCs w:val="24"/>
              </w:rPr>
              <w:t>Mean Square</w:t>
            </w:r>
          </w:p>
        </w:tc>
        <w:tc>
          <w:tcPr>
            <w:tcW w:w="1161" w:type="dxa"/>
            <w:tcBorders>
              <w:top w:val="single" w:sz="4" w:space="0" w:color="000000"/>
              <w:left w:val="single" w:sz="4" w:space="0" w:color="000000"/>
              <w:bottom w:val="single" w:sz="4" w:space="0" w:color="000000"/>
              <w:right w:val="single" w:sz="4" w:space="0" w:color="000000"/>
            </w:tcBorders>
          </w:tcPr>
          <w:p w14:paraId="48AC2CD5" w14:textId="77777777" w:rsidR="00946C83" w:rsidRDefault="00000000">
            <w:pPr>
              <w:autoSpaceDE w:val="0"/>
              <w:spacing w:line="360" w:lineRule="auto"/>
              <w:ind w:left="60" w:right="60"/>
              <w:jc w:val="center"/>
              <w:rPr>
                <w:b/>
                <w:szCs w:val="24"/>
              </w:rPr>
            </w:pPr>
            <w:r>
              <w:rPr>
                <w:szCs w:val="24"/>
              </w:rPr>
              <w:t>F</w:t>
            </w:r>
          </w:p>
        </w:tc>
        <w:tc>
          <w:tcPr>
            <w:tcW w:w="1161" w:type="dxa"/>
            <w:tcBorders>
              <w:top w:val="single" w:sz="4" w:space="0" w:color="000000"/>
              <w:left w:val="single" w:sz="4" w:space="0" w:color="000000"/>
              <w:bottom w:val="single" w:sz="4" w:space="0" w:color="000000"/>
              <w:right w:val="single" w:sz="4" w:space="0" w:color="000000"/>
            </w:tcBorders>
          </w:tcPr>
          <w:p w14:paraId="1040B010" w14:textId="77777777" w:rsidR="00946C83" w:rsidRDefault="00000000">
            <w:pPr>
              <w:autoSpaceDE w:val="0"/>
              <w:spacing w:line="360" w:lineRule="auto"/>
              <w:ind w:left="60" w:right="60"/>
              <w:jc w:val="center"/>
              <w:rPr>
                <w:b/>
                <w:szCs w:val="24"/>
              </w:rPr>
            </w:pPr>
            <w:r>
              <w:rPr>
                <w:szCs w:val="24"/>
              </w:rPr>
              <w:t>Sig.</w:t>
            </w:r>
          </w:p>
        </w:tc>
      </w:tr>
      <w:tr w:rsidR="00946C83" w14:paraId="67AE2730" w14:textId="77777777">
        <w:tc>
          <w:tcPr>
            <w:tcW w:w="1892" w:type="dxa"/>
            <w:tcBorders>
              <w:top w:val="single" w:sz="4" w:space="0" w:color="000000"/>
              <w:left w:val="single" w:sz="4" w:space="0" w:color="000000"/>
              <w:bottom w:val="single" w:sz="4" w:space="0" w:color="000000"/>
              <w:right w:val="single" w:sz="4" w:space="0" w:color="000000"/>
            </w:tcBorders>
          </w:tcPr>
          <w:p w14:paraId="031DE0E2" w14:textId="77777777" w:rsidR="00946C83" w:rsidRDefault="00000000">
            <w:pPr>
              <w:autoSpaceDE w:val="0"/>
              <w:spacing w:line="360" w:lineRule="auto"/>
              <w:ind w:left="60" w:right="60"/>
              <w:rPr>
                <w:b/>
                <w:szCs w:val="24"/>
              </w:rPr>
            </w:pPr>
            <w:r>
              <w:rPr>
                <w:szCs w:val="24"/>
              </w:rPr>
              <w:t>Corrected Model</w:t>
            </w:r>
          </w:p>
        </w:tc>
        <w:tc>
          <w:tcPr>
            <w:tcW w:w="1666" w:type="dxa"/>
            <w:tcBorders>
              <w:top w:val="single" w:sz="4" w:space="0" w:color="000000"/>
              <w:left w:val="single" w:sz="4" w:space="0" w:color="000000"/>
              <w:bottom w:val="single" w:sz="4" w:space="0" w:color="000000"/>
              <w:right w:val="single" w:sz="4" w:space="0" w:color="000000"/>
            </w:tcBorders>
          </w:tcPr>
          <w:p w14:paraId="2C490343" w14:textId="77777777" w:rsidR="00946C83" w:rsidRDefault="00000000">
            <w:pPr>
              <w:autoSpaceDE w:val="0"/>
              <w:spacing w:line="360" w:lineRule="auto"/>
              <w:ind w:left="60" w:right="60"/>
              <w:jc w:val="right"/>
              <w:rPr>
                <w:szCs w:val="24"/>
              </w:rPr>
            </w:pPr>
            <w:r>
              <w:rPr>
                <w:szCs w:val="24"/>
              </w:rPr>
              <w:t>25.717</w:t>
            </w:r>
            <w:r>
              <w:rPr>
                <w:szCs w:val="24"/>
                <w:vertAlign w:val="superscript"/>
              </w:rPr>
              <w:t>a</w:t>
            </w:r>
          </w:p>
        </w:tc>
        <w:tc>
          <w:tcPr>
            <w:tcW w:w="1164" w:type="dxa"/>
            <w:tcBorders>
              <w:top w:val="single" w:sz="4" w:space="0" w:color="000000"/>
              <w:left w:val="single" w:sz="4" w:space="0" w:color="000000"/>
              <w:bottom w:val="single" w:sz="4" w:space="0" w:color="000000"/>
              <w:right w:val="single" w:sz="4" w:space="0" w:color="000000"/>
            </w:tcBorders>
          </w:tcPr>
          <w:p w14:paraId="080EEDEC" w14:textId="77777777" w:rsidR="00946C83" w:rsidRDefault="00000000">
            <w:pPr>
              <w:autoSpaceDE w:val="0"/>
              <w:spacing w:line="360" w:lineRule="auto"/>
              <w:ind w:left="60" w:right="60"/>
              <w:jc w:val="right"/>
              <w:rPr>
                <w:szCs w:val="24"/>
              </w:rPr>
            </w:pPr>
            <w:r>
              <w:rPr>
                <w:szCs w:val="24"/>
              </w:rPr>
              <w:t>4</w:t>
            </w:r>
          </w:p>
        </w:tc>
        <w:tc>
          <w:tcPr>
            <w:tcW w:w="1596" w:type="dxa"/>
            <w:tcBorders>
              <w:top w:val="single" w:sz="4" w:space="0" w:color="000000"/>
              <w:left w:val="single" w:sz="4" w:space="0" w:color="000000"/>
              <w:bottom w:val="single" w:sz="4" w:space="0" w:color="000000"/>
              <w:right w:val="single" w:sz="4" w:space="0" w:color="000000"/>
            </w:tcBorders>
          </w:tcPr>
          <w:p w14:paraId="3FCA3347" w14:textId="77777777" w:rsidR="00946C83" w:rsidRDefault="00000000">
            <w:pPr>
              <w:autoSpaceDE w:val="0"/>
              <w:spacing w:line="360" w:lineRule="auto"/>
              <w:ind w:left="60" w:right="60"/>
              <w:jc w:val="right"/>
              <w:rPr>
                <w:szCs w:val="24"/>
              </w:rPr>
            </w:pPr>
            <w:r>
              <w:rPr>
                <w:szCs w:val="24"/>
              </w:rPr>
              <w:t>6.429</w:t>
            </w:r>
          </w:p>
        </w:tc>
        <w:tc>
          <w:tcPr>
            <w:tcW w:w="1161" w:type="dxa"/>
            <w:tcBorders>
              <w:top w:val="single" w:sz="4" w:space="0" w:color="000000"/>
              <w:left w:val="single" w:sz="4" w:space="0" w:color="000000"/>
              <w:bottom w:val="single" w:sz="4" w:space="0" w:color="000000"/>
              <w:right w:val="single" w:sz="4" w:space="0" w:color="000000"/>
            </w:tcBorders>
          </w:tcPr>
          <w:p w14:paraId="4B1DFBA4" w14:textId="77777777" w:rsidR="00946C83" w:rsidRDefault="00000000">
            <w:pPr>
              <w:autoSpaceDE w:val="0"/>
              <w:spacing w:line="360" w:lineRule="auto"/>
              <w:ind w:left="60" w:right="60"/>
              <w:jc w:val="right"/>
              <w:rPr>
                <w:szCs w:val="24"/>
              </w:rPr>
            </w:pPr>
            <w:r>
              <w:rPr>
                <w:szCs w:val="24"/>
              </w:rPr>
              <w:t>88.807</w:t>
            </w:r>
          </w:p>
        </w:tc>
        <w:tc>
          <w:tcPr>
            <w:tcW w:w="1161" w:type="dxa"/>
            <w:tcBorders>
              <w:top w:val="single" w:sz="4" w:space="0" w:color="000000"/>
              <w:left w:val="single" w:sz="4" w:space="0" w:color="000000"/>
              <w:bottom w:val="single" w:sz="4" w:space="0" w:color="000000"/>
              <w:right w:val="single" w:sz="4" w:space="0" w:color="000000"/>
            </w:tcBorders>
          </w:tcPr>
          <w:p w14:paraId="584B9C0B" w14:textId="77777777" w:rsidR="00946C83" w:rsidRDefault="00000000">
            <w:pPr>
              <w:autoSpaceDE w:val="0"/>
              <w:spacing w:line="360" w:lineRule="auto"/>
              <w:ind w:left="60" w:right="60"/>
              <w:jc w:val="right"/>
              <w:rPr>
                <w:szCs w:val="24"/>
              </w:rPr>
            </w:pPr>
            <w:r>
              <w:rPr>
                <w:szCs w:val="24"/>
              </w:rPr>
              <w:t>.000</w:t>
            </w:r>
          </w:p>
        </w:tc>
      </w:tr>
      <w:tr w:rsidR="00946C83" w14:paraId="060A3801" w14:textId="77777777">
        <w:tc>
          <w:tcPr>
            <w:tcW w:w="1892" w:type="dxa"/>
            <w:tcBorders>
              <w:top w:val="single" w:sz="4" w:space="0" w:color="000000"/>
              <w:left w:val="single" w:sz="4" w:space="0" w:color="000000"/>
              <w:bottom w:val="single" w:sz="4" w:space="0" w:color="000000"/>
              <w:right w:val="single" w:sz="4" w:space="0" w:color="000000"/>
            </w:tcBorders>
          </w:tcPr>
          <w:p w14:paraId="1F224A6F" w14:textId="77777777" w:rsidR="00946C83" w:rsidRDefault="00000000">
            <w:pPr>
              <w:autoSpaceDE w:val="0"/>
              <w:spacing w:line="360" w:lineRule="auto"/>
              <w:ind w:left="60" w:right="60"/>
              <w:rPr>
                <w:b/>
                <w:szCs w:val="24"/>
              </w:rPr>
            </w:pPr>
            <w:r>
              <w:rPr>
                <w:szCs w:val="24"/>
              </w:rPr>
              <w:t>Intercept</w:t>
            </w:r>
          </w:p>
        </w:tc>
        <w:tc>
          <w:tcPr>
            <w:tcW w:w="1666" w:type="dxa"/>
            <w:tcBorders>
              <w:top w:val="single" w:sz="4" w:space="0" w:color="000000"/>
              <w:left w:val="single" w:sz="4" w:space="0" w:color="000000"/>
              <w:bottom w:val="single" w:sz="4" w:space="0" w:color="000000"/>
              <w:right w:val="single" w:sz="4" w:space="0" w:color="000000"/>
            </w:tcBorders>
          </w:tcPr>
          <w:p w14:paraId="018E50AE" w14:textId="77777777" w:rsidR="00946C83" w:rsidRDefault="00000000">
            <w:pPr>
              <w:autoSpaceDE w:val="0"/>
              <w:spacing w:line="360" w:lineRule="auto"/>
              <w:ind w:left="60" w:right="60"/>
              <w:jc w:val="right"/>
              <w:rPr>
                <w:szCs w:val="24"/>
              </w:rPr>
            </w:pPr>
            <w:r>
              <w:rPr>
                <w:szCs w:val="24"/>
              </w:rPr>
              <w:t>.010</w:t>
            </w:r>
          </w:p>
        </w:tc>
        <w:tc>
          <w:tcPr>
            <w:tcW w:w="1164" w:type="dxa"/>
            <w:tcBorders>
              <w:top w:val="single" w:sz="4" w:space="0" w:color="000000"/>
              <w:left w:val="single" w:sz="4" w:space="0" w:color="000000"/>
              <w:bottom w:val="single" w:sz="4" w:space="0" w:color="000000"/>
              <w:right w:val="single" w:sz="4" w:space="0" w:color="000000"/>
            </w:tcBorders>
          </w:tcPr>
          <w:p w14:paraId="4BB9DA35" w14:textId="77777777" w:rsidR="00946C83" w:rsidRDefault="00000000">
            <w:pPr>
              <w:autoSpaceDE w:val="0"/>
              <w:spacing w:line="360" w:lineRule="auto"/>
              <w:ind w:left="60" w:right="60"/>
              <w:jc w:val="right"/>
              <w:rPr>
                <w:szCs w:val="24"/>
              </w:rPr>
            </w:pPr>
            <w:r>
              <w:rPr>
                <w:szCs w:val="24"/>
              </w:rPr>
              <w:t>1</w:t>
            </w:r>
          </w:p>
        </w:tc>
        <w:tc>
          <w:tcPr>
            <w:tcW w:w="1596" w:type="dxa"/>
            <w:tcBorders>
              <w:top w:val="single" w:sz="4" w:space="0" w:color="000000"/>
              <w:left w:val="single" w:sz="4" w:space="0" w:color="000000"/>
              <w:bottom w:val="single" w:sz="4" w:space="0" w:color="000000"/>
              <w:right w:val="single" w:sz="4" w:space="0" w:color="000000"/>
            </w:tcBorders>
          </w:tcPr>
          <w:p w14:paraId="33F50989" w14:textId="77777777" w:rsidR="00946C83" w:rsidRDefault="00000000">
            <w:pPr>
              <w:autoSpaceDE w:val="0"/>
              <w:spacing w:line="360" w:lineRule="auto"/>
              <w:ind w:left="60" w:right="60"/>
              <w:jc w:val="right"/>
              <w:rPr>
                <w:szCs w:val="24"/>
              </w:rPr>
            </w:pPr>
            <w:r>
              <w:rPr>
                <w:szCs w:val="24"/>
              </w:rPr>
              <w:t>.010</w:t>
            </w:r>
          </w:p>
        </w:tc>
        <w:tc>
          <w:tcPr>
            <w:tcW w:w="1161" w:type="dxa"/>
            <w:tcBorders>
              <w:top w:val="single" w:sz="4" w:space="0" w:color="000000"/>
              <w:left w:val="single" w:sz="4" w:space="0" w:color="000000"/>
              <w:bottom w:val="single" w:sz="4" w:space="0" w:color="000000"/>
              <w:right w:val="single" w:sz="4" w:space="0" w:color="000000"/>
            </w:tcBorders>
          </w:tcPr>
          <w:p w14:paraId="5A7B8963" w14:textId="77777777" w:rsidR="00946C83" w:rsidRDefault="00000000">
            <w:pPr>
              <w:autoSpaceDE w:val="0"/>
              <w:spacing w:line="360" w:lineRule="auto"/>
              <w:ind w:left="60" w:right="60"/>
              <w:jc w:val="right"/>
              <w:rPr>
                <w:szCs w:val="24"/>
              </w:rPr>
            </w:pPr>
            <w:r>
              <w:rPr>
                <w:szCs w:val="24"/>
              </w:rPr>
              <w:t>.141</w:t>
            </w:r>
          </w:p>
        </w:tc>
        <w:tc>
          <w:tcPr>
            <w:tcW w:w="1161" w:type="dxa"/>
            <w:tcBorders>
              <w:top w:val="single" w:sz="4" w:space="0" w:color="000000"/>
              <w:left w:val="single" w:sz="4" w:space="0" w:color="000000"/>
              <w:bottom w:val="single" w:sz="4" w:space="0" w:color="000000"/>
              <w:right w:val="single" w:sz="4" w:space="0" w:color="000000"/>
            </w:tcBorders>
          </w:tcPr>
          <w:p w14:paraId="505272C8" w14:textId="77777777" w:rsidR="00946C83" w:rsidRDefault="00000000">
            <w:pPr>
              <w:autoSpaceDE w:val="0"/>
              <w:spacing w:line="360" w:lineRule="auto"/>
              <w:ind w:left="60" w:right="60"/>
              <w:jc w:val="right"/>
              <w:rPr>
                <w:szCs w:val="24"/>
              </w:rPr>
            </w:pPr>
            <w:r>
              <w:rPr>
                <w:szCs w:val="24"/>
              </w:rPr>
              <w:t>.709</w:t>
            </w:r>
          </w:p>
        </w:tc>
      </w:tr>
      <w:tr w:rsidR="00946C83" w14:paraId="6E8C3753" w14:textId="77777777">
        <w:trPr>
          <w:trHeight w:val="594"/>
        </w:trPr>
        <w:tc>
          <w:tcPr>
            <w:tcW w:w="1892" w:type="dxa"/>
            <w:tcBorders>
              <w:top w:val="single" w:sz="4" w:space="0" w:color="000000"/>
              <w:left w:val="single" w:sz="4" w:space="0" w:color="000000"/>
              <w:bottom w:val="single" w:sz="4" w:space="0" w:color="000000"/>
              <w:right w:val="single" w:sz="4" w:space="0" w:color="000000"/>
            </w:tcBorders>
          </w:tcPr>
          <w:p w14:paraId="51132D91" w14:textId="77777777" w:rsidR="00946C83" w:rsidRDefault="00000000">
            <w:pPr>
              <w:spacing w:line="360" w:lineRule="auto"/>
              <w:rPr>
                <w:b/>
                <w:szCs w:val="24"/>
              </w:rPr>
            </w:pPr>
            <w:r>
              <w:rPr>
                <w:szCs w:val="24"/>
              </w:rPr>
              <w:t>Technological Infrastructure</w:t>
            </w:r>
          </w:p>
        </w:tc>
        <w:tc>
          <w:tcPr>
            <w:tcW w:w="1666" w:type="dxa"/>
            <w:tcBorders>
              <w:top w:val="single" w:sz="4" w:space="0" w:color="000000"/>
              <w:left w:val="single" w:sz="4" w:space="0" w:color="000000"/>
              <w:bottom w:val="single" w:sz="4" w:space="0" w:color="000000"/>
              <w:right w:val="single" w:sz="4" w:space="0" w:color="000000"/>
            </w:tcBorders>
          </w:tcPr>
          <w:p w14:paraId="67C7FE26" w14:textId="77777777" w:rsidR="00946C83" w:rsidRDefault="00000000">
            <w:pPr>
              <w:autoSpaceDE w:val="0"/>
              <w:spacing w:line="360" w:lineRule="auto"/>
              <w:ind w:left="60" w:right="60"/>
              <w:jc w:val="right"/>
              <w:rPr>
                <w:szCs w:val="24"/>
              </w:rPr>
            </w:pPr>
            <w:r>
              <w:rPr>
                <w:szCs w:val="24"/>
              </w:rPr>
              <w:t>3.549</w:t>
            </w:r>
          </w:p>
        </w:tc>
        <w:tc>
          <w:tcPr>
            <w:tcW w:w="1164" w:type="dxa"/>
            <w:tcBorders>
              <w:top w:val="single" w:sz="4" w:space="0" w:color="000000"/>
              <w:left w:val="single" w:sz="4" w:space="0" w:color="000000"/>
              <w:bottom w:val="single" w:sz="4" w:space="0" w:color="000000"/>
              <w:right w:val="single" w:sz="4" w:space="0" w:color="000000"/>
            </w:tcBorders>
          </w:tcPr>
          <w:p w14:paraId="7E6DD5E9" w14:textId="77777777" w:rsidR="00946C83" w:rsidRDefault="00000000">
            <w:pPr>
              <w:autoSpaceDE w:val="0"/>
              <w:spacing w:line="360" w:lineRule="auto"/>
              <w:ind w:left="60" w:right="60"/>
              <w:jc w:val="right"/>
              <w:rPr>
                <w:szCs w:val="24"/>
              </w:rPr>
            </w:pPr>
            <w:r>
              <w:rPr>
                <w:szCs w:val="24"/>
              </w:rPr>
              <w:t>1</w:t>
            </w:r>
          </w:p>
        </w:tc>
        <w:tc>
          <w:tcPr>
            <w:tcW w:w="1596" w:type="dxa"/>
            <w:tcBorders>
              <w:top w:val="single" w:sz="4" w:space="0" w:color="000000"/>
              <w:left w:val="single" w:sz="4" w:space="0" w:color="000000"/>
              <w:bottom w:val="single" w:sz="4" w:space="0" w:color="000000"/>
              <w:right w:val="single" w:sz="4" w:space="0" w:color="000000"/>
            </w:tcBorders>
          </w:tcPr>
          <w:p w14:paraId="56B4513E" w14:textId="77777777" w:rsidR="00946C83" w:rsidRDefault="00000000">
            <w:pPr>
              <w:autoSpaceDE w:val="0"/>
              <w:spacing w:line="360" w:lineRule="auto"/>
              <w:ind w:left="60" w:right="60"/>
              <w:jc w:val="right"/>
              <w:rPr>
                <w:szCs w:val="24"/>
              </w:rPr>
            </w:pPr>
            <w:r>
              <w:rPr>
                <w:szCs w:val="24"/>
              </w:rPr>
              <w:t>3.549</w:t>
            </w:r>
          </w:p>
        </w:tc>
        <w:tc>
          <w:tcPr>
            <w:tcW w:w="1161" w:type="dxa"/>
            <w:tcBorders>
              <w:top w:val="single" w:sz="4" w:space="0" w:color="000000"/>
              <w:left w:val="single" w:sz="4" w:space="0" w:color="000000"/>
              <w:bottom w:val="single" w:sz="4" w:space="0" w:color="000000"/>
              <w:right w:val="single" w:sz="4" w:space="0" w:color="000000"/>
            </w:tcBorders>
          </w:tcPr>
          <w:p w14:paraId="5E9D8C44" w14:textId="77777777" w:rsidR="00946C83" w:rsidRDefault="00000000">
            <w:pPr>
              <w:autoSpaceDE w:val="0"/>
              <w:spacing w:line="360" w:lineRule="auto"/>
              <w:ind w:left="60" w:right="60"/>
              <w:jc w:val="right"/>
              <w:rPr>
                <w:szCs w:val="24"/>
              </w:rPr>
            </w:pPr>
            <w:r>
              <w:rPr>
                <w:szCs w:val="24"/>
              </w:rPr>
              <w:t>49.027</w:t>
            </w:r>
          </w:p>
        </w:tc>
        <w:tc>
          <w:tcPr>
            <w:tcW w:w="1161" w:type="dxa"/>
            <w:tcBorders>
              <w:top w:val="single" w:sz="4" w:space="0" w:color="000000"/>
              <w:left w:val="single" w:sz="4" w:space="0" w:color="000000"/>
              <w:bottom w:val="single" w:sz="4" w:space="0" w:color="000000"/>
              <w:right w:val="single" w:sz="4" w:space="0" w:color="000000"/>
            </w:tcBorders>
          </w:tcPr>
          <w:p w14:paraId="5D1AF740" w14:textId="77777777" w:rsidR="00946C83" w:rsidRDefault="00000000">
            <w:pPr>
              <w:autoSpaceDE w:val="0"/>
              <w:spacing w:line="360" w:lineRule="auto"/>
              <w:ind w:left="60" w:right="60"/>
              <w:jc w:val="right"/>
              <w:rPr>
                <w:szCs w:val="24"/>
              </w:rPr>
            </w:pPr>
            <w:r>
              <w:rPr>
                <w:szCs w:val="24"/>
              </w:rPr>
              <w:t>.000</w:t>
            </w:r>
          </w:p>
        </w:tc>
      </w:tr>
      <w:tr w:rsidR="00946C83" w14:paraId="62BA36C2" w14:textId="77777777">
        <w:trPr>
          <w:trHeight w:val="297"/>
        </w:trPr>
        <w:tc>
          <w:tcPr>
            <w:tcW w:w="1892" w:type="dxa"/>
            <w:tcBorders>
              <w:top w:val="single" w:sz="4" w:space="0" w:color="000000"/>
              <w:left w:val="single" w:sz="4" w:space="0" w:color="000000"/>
              <w:bottom w:val="single" w:sz="4" w:space="0" w:color="000000"/>
              <w:right w:val="single" w:sz="4" w:space="0" w:color="000000"/>
            </w:tcBorders>
          </w:tcPr>
          <w:p w14:paraId="14336CA2" w14:textId="77777777" w:rsidR="00946C83" w:rsidRDefault="00000000">
            <w:pPr>
              <w:spacing w:line="360" w:lineRule="auto"/>
              <w:rPr>
                <w:b/>
                <w:szCs w:val="24"/>
              </w:rPr>
            </w:pPr>
            <w:r>
              <w:rPr>
                <w:szCs w:val="24"/>
              </w:rPr>
              <w:t>Human Capacity</w:t>
            </w:r>
          </w:p>
        </w:tc>
        <w:tc>
          <w:tcPr>
            <w:tcW w:w="1666" w:type="dxa"/>
            <w:tcBorders>
              <w:top w:val="single" w:sz="4" w:space="0" w:color="000000"/>
              <w:left w:val="single" w:sz="4" w:space="0" w:color="000000"/>
              <w:bottom w:val="single" w:sz="4" w:space="0" w:color="000000"/>
              <w:right w:val="single" w:sz="4" w:space="0" w:color="000000"/>
            </w:tcBorders>
          </w:tcPr>
          <w:p w14:paraId="13DB3189" w14:textId="77777777" w:rsidR="00946C83" w:rsidRDefault="00000000">
            <w:pPr>
              <w:autoSpaceDE w:val="0"/>
              <w:spacing w:line="360" w:lineRule="auto"/>
              <w:ind w:left="60" w:right="60"/>
              <w:jc w:val="right"/>
              <w:rPr>
                <w:szCs w:val="24"/>
              </w:rPr>
            </w:pPr>
            <w:r>
              <w:rPr>
                <w:szCs w:val="24"/>
              </w:rPr>
              <w:t>.057</w:t>
            </w:r>
          </w:p>
        </w:tc>
        <w:tc>
          <w:tcPr>
            <w:tcW w:w="1164" w:type="dxa"/>
            <w:tcBorders>
              <w:top w:val="single" w:sz="4" w:space="0" w:color="000000"/>
              <w:left w:val="single" w:sz="4" w:space="0" w:color="000000"/>
              <w:bottom w:val="single" w:sz="4" w:space="0" w:color="000000"/>
              <w:right w:val="single" w:sz="4" w:space="0" w:color="000000"/>
            </w:tcBorders>
          </w:tcPr>
          <w:p w14:paraId="5B080E77" w14:textId="77777777" w:rsidR="00946C83" w:rsidRDefault="00000000">
            <w:pPr>
              <w:autoSpaceDE w:val="0"/>
              <w:spacing w:line="360" w:lineRule="auto"/>
              <w:ind w:left="60" w:right="60"/>
              <w:jc w:val="right"/>
              <w:rPr>
                <w:szCs w:val="24"/>
              </w:rPr>
            </w:pPr>
            <w:r>
              <w:rPr>
                <w:szCs w:val="24"/>
              </w:rPr>
              <w:t>1</w:t>
            </w:r>
          </w:p>
        </w:tc>
        <w:tc>
          <w:tcPr>
            <w:tcW w:w="1596" w:type="dxa"/>
            <w:tcBorders>
              <w:top w:val="single" w:sz="4" w:space="0" w:color="000000"/>
              <w:left w:val="single" w:sz="4" w:space="0" w:color="000000"/>
              <w:bottom w:val="single" w:sz="4" w:space="0" w:color="000000"/>
              <w:right w:val="single" w:sz="4" w:space="0" w:color="000000"/>
            </w:tcBorders>
          </w:tcPr>
          <w:p w14:paraId="5F1FBFD3" w14:textId="77777777" w:rsidR="00946C83" w:rsidRDefault="00000000">
            <w:pPr>
              <w:autoSpaceDE w:val="0"/>
              <w:spacing w:line="360" w:lineRule="auto"/>
              <w:ind w:left="60" w:right="60"/>
              <w:jc w:val="right"/>
              <w:rPr>
                <w:szCs w:val="24"/>
              </w:rPr>
            </w:pPr>
            <w:r>
              <w:rPr>
                <w:szCs w:val="24"/>
              </w:rPr>
              <w:t>.057</w:t>
            </w:r>
          </w:p>
        </w:tc>
        <w:tc>
          <w:tcPr>
            <w:tcW w:w="1161" w:type="dxa"/>
            <w:tcBorders>
              <w:top w:val="single" w:sz="4" w:space="0" w:color="000000"/>
              <w:left w:val="single" w:sz="4" w:space="0" w:color="000000"/>
              <w:bottom w:val="single" w:sz="4" w:space="0" w:color="000000"/>
              <w:right w:val="single" w:sz="4" w:space="0" w:color="000000"/>
            </w:tcBorders>
          </w:tcPr>
          <w:p w14:paraId="600EDE43" w14:textId="77777777" w:rsidR="00946C83" w:rsidRDefault="00000000">
            <w:pPr>
              <w:autoSpaceDE w:val="0"/>
              <w:spacing w:line="360" w:lineRule="auto"/>
              <w:ind w:left="60" w:right="60"/>
              <w:jc w:val="right"/>
              <w:rPr>
                <w:szCs w:val="24"/>
              </w:rPr>
            </w:pPr>
            <w:r>
              <w:rPr>
                <w:szCs w:val="24"/>
              </w:rPr>
              <w:t>.786</w:t>
            </w:r>
          </w:p>
        </w:tc>
        <w:tc>
          <w:tcPr>
            <w:tcW w:w="1161" w:type="dxa"/>
            <w:tcBorders>
              <w:top w:val="single" w:sz="4" w:space="0" w:color="000000"/>
              <w:left w:val="single" w:sz="4" w:space="0" w:color="000000"/>
              <w:bottom w:val="single" w:sz="4" w:space="0" w:color="000000"/>
              <w:right w:val="single" w:sz="4" w:space="0" w:color="000000"/>
            </w:tcBorders>
          </w:tcPr>
          <w:p w14:paraId="35719DA9" w14:textId="77777777" w:rsidR="00946C83" w:rsidRDefault="00000000">
            <w:pPr>
              <w:autoSpaceDE w:val="0"/>
              <w:spacing w:line="360" w:lineRule="auto"/>
              <w:ind w:left="60" w:right="60"/>
              <w:jc w:val="right"/>
              <w:rPr>
                <w:szCs w:val="24"/>
              </w:rPr>
            </w:pPr>
            <w:r>
              <w:rPr>
                <w:szCs w:val="24"/>
              </w:rPr>
              <w:t>.378</w:t>
            </w:r>
          </w:p>
        </w:tc>
      </w:tr>
      <w:tr w:rsidR="00946C83" w14:paraId="34AD2EFE" w14:textId="77777777">
        <w:tc>
          <w:tcPr>
            <w:tcW w:w="1892" w:type="dxa"/>
            <w:tcBorders>
              <w:top w:val="single" w:sz="4" w:space="0" w:color="000000"/>
              <w:left w:val="single" w:sz="4" w:space="0" w:color="000000"/>
              <w:bottom w:val="single" w:sz="4" w:space="0" w:color="000000"/>
              <w:right w:val="single" w:sz="4" w:space="0" w:color="000000"/>
            </w:tcBorders>
          </w:tcPr>
          <w:p w14:paraId="1CD38C91" w14:textId="77777777" w:rsidR="00946C83" w:rsidRDefault="00000000">
            <w:pPr>
              <w:spacing w:line="360" w:lineRule="auto"/>
              <w:rPr>
                <w:b/>
                <w:szCs w:val="24"/>
              </w:rPr>
            </w:pPr>
            <w:proofErr w:type="spellStart"/>
            <w:r>
              <w:rPr>
                <w:szCs w:val="24"/>
              </w:rPr>
              <w:t>Organisational</w:t>
            </w:r>
            <w:proofErr w:type="spellEnd"/>
            <w:r>
              <w:rPr>
                <w:szCs w:val="24"/>
              </w:rPr>
              <w:t xml:space="preserve"> Factors</w:t>
            </w:r>
          </w:p>
        </w:tc>
        <w:tc>
          <w:tcPr>
            <w:tcW w:w="1666" w:type="dxa"/>
            <w:tcBorders>
              <w:top w:val="single" w:sz="4" w:space="0" w:color="000000"/>
              <w:left w:val="single" w:sz="4" w:space="0" w:color="000000"/>
              <w:bottom w:val="single" w:sz="4" w:space="0" w:color="000000"/>
              <w:right w:val="single" w:sz="4" w:space="0" w:color="000000"/>
            </w:tcBorders>
          </w:tcPr>
          <w:p w14:paraId="7AC45337" w14:textId="77777777" w:rsidR="00946C83" w:rsidRDefault="00000000">
            <w:pPr>
              <w:autoSpaceDE w:val="0"/>
              <w:spacing w:line="360" w:lineRule="auto"/>
              <w:ind w:left="60" w:right="60"/>
              <w:jc w:val="right"/>
              <w:rPr>
                <w:szCs w:val="24"/>
              </w:rPr>
            </w:pPr>
            <w:r>
              <w:rPr>
                <w:szCs w:val="24"/>
              </w:rPr>
              <w:t>1.496</w:t>
            </w:r>
          </w:p>
        </w:tc>
        <w:tc>
          <w:tcPr>
            <w:tcW w:w="1164" w:type="dxa"/>
            <w:tcBorders>
              <w:top w:val="single" w:sz="4" w:space="0" w:color="000000"/>
              <w:left w:val="single" w:sz="4" w:space="0" w:color="000000"/>
              <w:bottom w:val="single" w:sz="4" w:space="0" w:color="000000"/>
              <w:right w:val="single" w:sz="4" w:space="0" w:color="000000"/>
            </w:tcBorders>
          </w:tcPr>
          <w:p w14:paraId="58B95C31" w14:textId="77777777" w:rsidR="00946C83" w:rsidRDefault="00000000">
            <w:pPr>
              <w:autoSpaceDE w:val="0"/>
              <w:spacing w:line="360" w:lineRule="auto"/>
              <w:ind w:left="60" w:right="60"/>
              <w:jc w:val="right"/>
              <w:rPr>
                <w:szCs w:val="24"/>
              </w:rPr>
            </w:pPr>
            <w:r>
              <w:rPr>
                <w:szCs w:val="24"/>
              </w:rPr>
              <w:t>1</w:t>
            </w:r>
          </w:p>
        </w:tc>
        <w:tc>
          <w:tcPr>
            <w:tcW w:w="1596" w:type="dxa"/>
            <w:tcBorders>
              <w:top w:val="single" w:sz="4" w:space="0" w:color="000000"/>
              <w:left w:val="single" w:sz="4" w:space="0" w:color="000000"/>
              <w:bottom w:val="single" w:sz="4" w:space="0" w:color="000000"/>
              <w:right w:val="single" w:sz="4" w:space="0" w:color="000000"/>
            </w:tcBorders>
          </w:tcPr>
          <w:p w14:paraId="5A129D57" w14:textId="77777777" w:rsidR="00946C83" w:rsidRDefault="00000000">
            <w:pPr>
              <w:autoSpaceDE w:val="0"/>
              <w:spacing w:line="360" w:lineRule="auto"/>
              <w:ind w:left="60" w:right="60"/>
              <w:jc w:val="right"/>
              <w:rPr>
                <w:szCs w:val="24"/>
              </w:rPr>
            </w:pPr>
            <w:r>
              <w:rPr>
                <w:szCs w:val="24"/>
              </w:rPr>
              <w:t>1.496</w:t>
            </w:r>
          </w:p>
        </w:tc>
        <w:tc>
          <w:tcPr>
            <w:tcW w:w="1161" w:type="dxa"/>
            <w:tcBorders>
              <w:top w:val="single" w:sz="4" w:space="0" w:color="000000"/>
              <w:left w:val="single" w:sz="4" w:space="0" w:color="000000"/>
              <w:bottom w:val="single" w:sz="4" w:space="0" w:color="000000"/>
              <w:right w:val="single" w:sz="4" w:space="0" w:color="000000"/>
            </w:tcBorders>
          </w:tcPr>
          <w:p w14:paraId="172AEEC5" w14:textId="77777777" w:rsidR="00946C83" w:rsidRDefault="00000000">
            <w:pPr>
              <w:autoSpaceDE w:val="0"/>
              <w:spacing w:line="360" w:lineRule="auto"/>
              <w:ind w:left="60" w:right="60"/>
              <w:jc w:val="right"/>
              <w:rPr>
                <w:szCs w:val="24"/>
              </w:rPr>
            </w:pPr>
            <w:r>
              <w:rPr>
                <w:szCs w:val="24"/>
              </w:rPr>
              <w:t>20.661</w:t>
            </w:r>
          </w:p>
        </w:tc>
        <w:tc>
          <w:tcPr>
            <w:tcW w:w="1161" w:type="dxa"/>
            <w:tcBorders>
              <w:top w:val="single" w:sz="4" w:space="0" w:color="000000"/>
              <w:left w:val="single" w:sz="4" w:space="0" w:color="000000"/>
              <w:bottom w:val="single" w:sz="4" w:space="0" w:color="000000"/>
              <w:right w:val="single" w:sz="4" w:space="0" w:color="000000"/>
            </w:tcBorders>
          </w:tcPr>
          <w:p w14:paraId="6516BF13" w14:textId="77777777" w:rsidR="00946C83" w:rsidRDefault="00000000">
            <w:pPr>
              <w:autoSpaceDE w:val="0"/>
              <w:spacing w:line="360" w:lineRule="auto"/>
              <w:ind w:left="60" w:right="60"/>
              <w:jc w:val="right"/>
              <w:rPr>
                <w:szCs w:val="24"/>
              </w:rPr>
            </w:pPr>
            <w:r>
              <w:rPr>
                <w:szCs w:val="24"/>
              </w:rPr>
              <w:t>.000</w:t>
            </w:r>
          </w:p>
        </w:tc>
      </w:tr>
      <w:tr w:rsidR="00946C83" w14:paraId="3FBCE9D1" w14:textId="77777777">
        <w:trPr>
          <w:trHeight w:val="594"/>
        </w:trPr>
        <w:tc>
          <w:tcPr>
            <w:tcW w:w="1892" w:type="dxa"/>
            <w:tcBorders>
              <w:top w:val="single" w:sz="4" w:space="0" w:color="000000"/>
              <w:left w:val="single" w:sz="4" w:space="0" w:color="000000"/>
              <w:bottom w:val="single" w:sz="4" w:space="0" w:color="000000"/>
              <w:right w:val="single" w:sz="4" w:space="0" w:color="000000"/>
            </w:tcBorders>
          </w:tcPr>
          <w:p w14:paraId="72F0A01C" w14:textId="77777777" w:rsidR="00946C83" w:rsidRDefault="00000000">
            <w:pPr>
              <w:spacing w:line="360" w:lineRule="auto"/>
              <w:rPr>
                <w:b/>
                <w:szCs w:val="24"/>
              </w:rPr>
            </w:pPr>
            <w:r>
              <w:rPr>
                <w:szCs w:val="24"/>
              </w:rPr>
              <w:t xml:space="preserve">Policy-Regulatory </w:t>
            </w:r>
            <w:r>
              <w:rPr>
                <w:szCs w:val="24"/>
              </w:rPr>
              <w:lastRenderedPageBreak/>
              <w:t>Environment</w:t>
            </w:r>
          </w:p>
        </w:tc>
        <w:tc>
          <w:tcPr>
            <w:tcW w:w="1666" w:type="dxa"/>
            <w:tcBorders>
              <w:top w:val="single" w:sz="4" w:space="0" w:color="000000"/>
              <w:left w:val="single" w:sz="4" w:space="0" w:color="000000"/>
              <w:bottom w:val="single" w:sz="4" w:space="0" w:color="000000"/>
              <w:right w:val="single" w:sz="4" w:space="0" w:color="000000"/>
            </w:tcBorders>
          </w:tcPr>
          <w:p w14:paraId="143B4A36" w14:textId="77777777" w:rsidR="00946C83" w:rsidRDefault="00000000">
            <w:pPr>
              <w:autoSpaceDE w:val="0"/>
              <w:spacing w:line="360" w:lineRule="auto"/>
              <w:ind w:left="60" w:right="60"/>
              <w:jc w:val="right"/>
              <w:rPr>
                <w:szCs w:val="24"/>
              </w:rPr>
            </w:pPr>
            <w:r>
              <w:rPr>
                <w:szCs w:val="24"/>
              </w:rPr>
              <w:lastRenderedPageBreak/>
              <w:t>.142</w:t>
            </w:r>
          </w:p>
        </w:tc>
        <w:tc>
          <w:tcPr>
            <w:tcW w:w="1164" w:type="dxa"/>
            <w:tcBorders>
              <w:top w:val="single" w:sz="4" w:space="0" w:color="000000"/>
              <w:left w:val="single" w:sz="4" w:space="0" w:color="000000"/>
              <w:bottom w:val="single" w:sz="4" w:space="0" w:color="000000"/>
              <w:right w:val="single" w:sz="4" w:space="0" w:color="000000"/>
            </w:tcBorders>
          </w:tcPr>
          <w:p w14:paraId="419AACCB" w14:textId="77777777" w:rsidR="00946C83" w:rsidRDefault="00000000">
            <w:pPr>
              <w:autoSpaceDE w:val="0"/>
              <w:spacing w:line="360" w:lineRule="auto"/>
              <w:ind w:left="60" w:right="60"/>
              <w:jc w:val="right"/>
              <w:rPr>
                <w:szCs w:val="24"/>
              </w:rPr>
            </w:pPr>
            <w:r>
              <w:rPr>
                <w:szCs w:val="24"/>
              </w:rPr>
              <w:t>1</w:t>
            </w:r>
          </w:p>
        </w:tc>
        <w:tc>
          <w:tcPr>
            <w:tcW w:w="1596" w:type="dxa"/>
            <w:tcBorders>
              <w:top w:val="single" w:sz="4" w:space="0" w:color="000000"/>
              <w:left w:val="single" w:sz="4" w:space="0" w:color="000000"/>
              <w:bottom w:val="single" w:sz="4" w:space="0" w:color="000000"/>
              <w:right w:val="single" w:sz="4" w:space="0" w:color="000000"/>
            </w:tcBorders>
          </w:tcPr>
          <w:p w14:paraId="65E3C3E8" w14:textId="77777777" w:rsidR="00946C83" w:rsidRDefault="00000000">
            <w:pPr>
              <w:autoSpaceDE w:val="0"/>
              <w:spacing w:line="360" w:lineRule="auto"/>
              <w:ind w:left="60" w:right="60"/>
              <w:jc w:val="right"/>
              <w:rPr>
                <w:szCs w:val="24"/>
              </w:rPr>
            </w:pPr>
            <w:r>
              <w:rPr>
                <w:szCs w:val="24"/>
              </w:rPr>
              <w:t>.142</w:t>
            </w:r>
          </w:p>
        </w:tc>
        <w:tc>
          <w:tcPr>
            <w:tcW w:w="1161" w:type="dxa"/>
            <w:tcBorders>
              <w:top w:val="single" w:sz="4" w:space="0" w:color="000000"/>
              <w:left w:val="single" w:sz="4" w:space="0" w:color="000000"/>
              <w:bottom w:val="single" w:sz="4" w:space="0" w:color="000000"/>
              <w:right w:val="single" w:sz="4" w:space="0" w:color="000000"/>
            </w:tcBorders>
          </w:tcPr>
          <w:p w14:paraId="6DDF8527" w14:textId="77777777" w:rsidR="00946C83" w:rsidRDefault="00000000">
            <w:pPr>
              <w:autoSpaceDE w:val="0"/>
              <w:spacing w:line="360" w:lineRule="auto"/>
              <w:ind w:left="60" w:right="60"/>
              <w:jc w:val="right"/>
              <w:rPr>
                <w:szCs w:val="24"/>
              </w:rPr>
            </w:pPr>
            <w:r>
              <w:rPr>
                <w:szCs w:val="24"/>
              </w:rPr>
              <w:t>1.963</w:t>
            </w:r>
          </w:p>
        </w:tc>
        <w:tc>
          <w:tcPr>
            <w:tcW w:w="1161" w:type="dxa"/>
            <w:tcBorders>
              <w:top w:val="single" w:sz="4" w:space="0" w:color="000000"/>
              <w:left w:val="single" w:sz="4" w:space="0" w:color="000000"/>
              <w:bottom w:val="single" w:sz="4" w:space="0" w:color="000000"/>
              <w:right w:val="single" w:sz="4" w:space="0" w:color="000000"/>
            </w:tcBorders>
          </w:tcPr>
          <w:p w14:paraId="33041C42" w14:textId="77777777" w:rsidR="00946C83" w:rsidRDefault="00000000">
            <w:pPr>
              <w:autoSpaceDE w:val="0"/>
              <w:spacing w:line="360" w:lineRule="auto"/>
              <w:ind w:left="60" w:right="60"/>
              <w:jc w:val="right"/>
              <w:rPr>
                <w:szCs w:val="24"/>
              </w:rPr>
            </w:pPr>
            <w:r>
              <w:rPr>
                <w:szCs w:val="24"/>
              </w:rPr>
              <w:t>.165</w:t>
            </w:r>
          </w:p>
        </w:tc>
      </w:tr>
      <w:tr w:rsidR="00946C83" w14:paraId="4216DA8D" w14:textId="77777777">
        <w:tc>
          <w:tcPr>
            <w:tcW w:w="1892" w:type="dxa"/>
            <w:tcBorders>
              <w:top w:val="single" w:sz="4" w:space="0" w:color="000000"/>
              <w:left w:val="single" w:sz="4" w:space="0" w:color="000000"/>
              <w:bottom w:val="single" w:sz="4" w:space="0" w:color="000000"/>
              <w:right w:val="single" w:sz="4" w:space="0" w:color="000000"/>
            </w:tcBorders>
          </w:tcPr>
          <w:p w14:paraId="4D62C899" w14:textId="77777777" w:rsidR="00946C83" w:rsidRDefault="00000000">
            <w:pPr>
              <w:autoSpaceDE w:val="0"/>
              <w:spacing w:line="360" w:lineRule="auto"/>
              <w:ind w:left="60" w:right="60"/>
              <w:rPr>
                <w:b/>
                <w:szCs w:val="24"/>
              </w:rPr>
            </w:pPr>
            <w:r>
              <w:rPr>
                <w:szCs w:val="24"/>
              </w:rPr>
              <w:t>Error</w:t>
            </w:r>
          </w:p>
        </w:tc>
        <w:tc>
          <w:tcPr>
            <w:tcW w:w="1666" w:type="dxa"/>
            <w:tcBorders>
              <w:top w:val="single" w:sz="4" w:space="0" w:color="000000"/>
              <w:left w:val="single" w:sz="4" w:space="0" w:color="000000"/>
              <w:bottom w:val="single" w:sz="4" w:space="0" w:color="000000"/>
              <w:right w:val="single" w:sz="4" w:space="0" w:color="000000"/>
            </w:tcBorders>
          </w:tcPr>
          <w:p w14:paraId="61B66EF8" w14:textId="77777777" w:rsidR="00946C83" w:rsidRDefault="00000000">
            <w:pPr>
              <w:autoSpaceDE w:val="0"/>
              <w:spacing w:line="360" w:lineRule="auto"/>
              <w:ind w:left="60" w:right="60"/>
              <w:jc w:val="right"/>
              <w:rPr>
                <w:szCs w:val="24"/>
              </w:rPr>
            </w:pPr>
            <w:r>
              <w:rPr>
                <w:szCs w:val="24"/>
              </w:rPr>
              <w:t>5.213</w:t>
            </w:r>
          </w:p>
        </w:tc>
        <w:tc>
          <w:tcPr>
            <w:tcW w:w="1164" w:type="dxa"/>
            <w:tcBorders>
              <w:top w:val="single" w:sz="4" w:space="0" w:color="000000"/>
              <w:left w:val="single" w:sz="4" w:space="0" w:color="000000"/>
              <w:bottom w:val="single" w:sz="4" w:space="0" w:color="000000"/>
              <w:right w:val="single" w:sz="4" w:space="0" w:color="000000"/>
            </w:tcBorders>
          </w:tcPr>
          <w:p w14:paraId="2ECC14AF" w14:textId="77777777" w:rsidR="00946C83" w:rsidRDefault="00000000">
            <w:pPr>
              <w:autoSpaceDE w:val="0"/>
              <w:spacing w:line="360" w:lineRule="auto"/>
              <w:ind w:left="60" w:right="60"/>
              <w:jc w:val="right"/>
              <w:rPr>
                <w:szCs w:val="24"/>
              </w:rPr>
            </w:pPr>
            <w:r>
              <w:rPr>
                <w:szCs w:val="24"/>
              </w:rPr>
              <w:t>72</w:t>
            </w:r>
          </w:p>
        </w:tc>
        <w:tc>
          <w:tcPr>
            <w:tcW w:w="1596" w:type="dxa"/>
            <w:tcBorders>
              <w:top w:val="single" w:sz="4" w:space="0" w:color="000000"/>
              <w:left w:val="single" w:sz="4" w:space="0" w:color="000000"/>
              <w:bottom w:val="single" w:sz="4" w:space="0" w:color="000000"/>
              <w:right w:val="single" w:sz="4" w:space="0" w:color="000000"/>
            </w:tcBorders>
          </w:tcPr>
          <w:p w14:paraId="66424953" w14:textId="77777777" w:rsidR="00946C83" w:rsidRDefault="00000000">
            <w:pPr>
              <w:autoSpaceDE w:val="0"/>
              <w:spacing w:line="360" w:lineRule="auto"/>
              <w:ind w:left="60" w:right="60"/>
              <w:jc w:val="right"/>
              <w:rPr>
                <w:szCs w:val="24"/>
              </w:rPr>
            </w:pPr>
            <w:r>
              <w:rPr>
                <w:szCs w:val="24"/>
              </w:rPr>
              <w:t>.072</w:t>
            </w:r>
          </w:p>
        </w:tc>
        <w:tc>
          <w:tcPr>
            <w:tcW w:w="1161" w:type="dxa"/>
            <w:tcBorders>
              <w:top w:val="single" w:sz="4" w:space="0" w:color="000000"/>
              <w:left w:val="single" w:sz="4" w:space="0" w:color="000000"/>
              <w:bottom w:val="single" w:sz="4" w:space="0" w:color="000000"/>
              <w:right w:val="single" w:sz="4" w:space="0" w:color="000000"/>
            </w:tcBorders>
          </w:tcPr>
          <w:p w14:paraId="1803E77F" w14:textId="77777777" w:rsidR="00946C83" w:rsidRDefault="00946C83">
            <w:pPr>
              <w:autoSpaceDE w:val="0"/>
              <w:snapToGrid w:val="0"/>
              <w:spacing w:line="360" w:lineRule="auto"/>
              <w:rPr>
                <w:szCs w:val="24"/>
              </w:rPr>
            </w:pPr>
          </w:p>
        </w:tc>
        <w:tc>
          <w:tcPr>
            <w:tcW w:w="1161" w:type="dxa"/>
            <w:tcBorders>
              <w:top w:val="single" w:sz="4" w:space="0" w:color="000000"/>
              <w:left w:val="single" w:sz="4" w:space="0" w:color="000000"/>
              <w:bottom w:val="single" w:sz="4" w:space="0" w:color="000000"/>
              <w:right w:val="single" w:sz="4" w:space="0" w:color="000000"/>
            </w:tcBorders>
          </w:tcPr>
          <w:p w14:paraId="68D4ADA7" w14:textId="77777777" w:rsidR="00946C83" w:rsidRDefault="00946C83">
            <w:pPr>
              <w:autoSpaceDE w:val="0"/>
              <w:snapToGrid w:val="0"/>
              <w:spacing w:line="360" w:lineRule="auto"/>
              <w:rPr>
                <w:szCs w:val="24"/>
              </w:rPr>
            </w:pPr>
          </w:p>
        </w:tc>
      </w:tr>
      <w:tr w:rsidR="00946C83" w14:paraId="1E919469" w14:textId="77777777">
        <w:tc>
          <w:tcPr>
            <w:tcW w:w="1892" w:type="dxa"/>
            <w:tcBorders>
              <w:top w:val="single" w:sz="4" w:space="0" w:color="000000"/>
              <w:left w:val="single" w:sz="4" w:space="0" w:color="000000"/>
              <w:bottom w:val="single" w:sz="4" w:space="0" w:color="000000"/>
              <w:right w:val="single" w:sz="4" w:space="0" w:color="000000"/>
            </w:tcBorders>
          </w:tcPr>
          <w:p w14:paraId="01CB28DF" w14:textId="77777777" w:rsidR="00946C83" w:rsidRDefault="00000000">
            <w:pPr>
              <w:autoSpaceDE w:val="0"/>
              <w:spacing w:line="360" w:lineRule="auto"/>
              <w:ind w:left="60" w:right="60"/>
              <w:rPr>
                <w:b/>
                <w:szCs w:val="24"/>
              </w:rPr>
            </w:pPr>
            <w:r>
              <w:rPr>
                <w:szCs w:val="24"/>
              </w:rPr>
              <w:t>Total</w:t>
            </w:r>
          </w:p>
        </w:tc>
        <w:tc>
          <w:tcPr>
            <w:tcW w:w="1666" w:type="dxa"/>
            <w:tcBorders>
              <w:top w:val="single" w:sz="4" w:space="0" w:color="000000"/>
              <w:left w:val="single" w:sz="4" w:space="0" w:color="000000"/>
              <w:bottom w:val="single" w:sz="4" w:space="0" w:color="000000"/>
              <w:right w:val="single" w:sz="4" w:space="0" w:color="000000"/>
            </w:tcBorders>
          </w:tcPr>
          <w:p w14:paraId="69EB97B9" w14:textId="77777777" w:rsidR="00946C83" w:rsidRDefault="00000000">
            <w:pPr>
              <w:autoSpaceDE w:val="0"/>
              <w:spacing w:line="360" w:lineRule="auto"/>
              <w:ind w:left="60" w:right="60"/>
              <w:jc w:val="right"/>
              <w:rPr>
                <w:szCs w:val="24"/>
              </w:rPr>
            </w:pPr>
            <w:r>
              <w:rPr>
                <w:szCs w:val="24"/>
              </w:rPr>
              <w:t>1360.800</w:t>
            </w:r>
          </w:p>
        </w:tc>
        <w:tc>
          <w:tcPr>
            <w:tcW w:w="1164" w:type="dxa"/>
            <w:tcBorders>
              <w:top w:val="single" w:sz="4" w:space="0" w:color="000000"/>
              <w:left w:val="single" w:sz="4" w:space="0" w:color="000000"/>
              <w:bottom w:val="single" w:sz="4" w:space="0" w:color="000000"/>
              <w:right w:val="single" w:sz="4" w:space="0" w:color="000000"/>
            </w:tcBorders>
          </w:tcPr>
          <w:p w14:paraId="0E289491" w14:textId="77777777" w:rsidR="00946C83" w:rsidRDefault="00000000">
            <w:pPr>
              <w:autoSpaceDE w:val="0"/>
              <w:spacing w:line="360" w:lineRule="auto"/>
              <w:ind w:left="60" w:right="60"/>
              <w:jc w:val="right"/>
              <w:rPr>
                <w:szCs w:val="24"/>
              </w:rPr>
            </w:pPr>
            <w:r>
              <w:rPr>
                <w:szCs w:val="24"/>
              </w:rPr>
              <w:t>77</w:t>
            </w:r>
          </w:p>
        </w:tc>
        <w:tc>
          <w:tcPr>
            <w:tcW w:w="1596" w:type="dxa"/>
            <w:tcBorders>
              <w:top w:val="single" w:sz="4" w:space="0" w:color="000000"/>
              <w:left w:val="single" w:sz="4" w:space="0" w:color="000000"/>
              <w:bottom w:val="single" w:sz="4" w:space="0" w:color="000000"/>
              <w:right w:val="single" w:sz="4" w:space="0" w:color="000000"/>
            </w:tcBorders>
          </w:tcPr>
          <w:p w14:paraId="45D82890" w14:textId="77777777" w:rsidR="00946C83" w:rsidRDefault="00946C83">
            <w:pPr>
              <w:autoSpaceDE w:val="0"/>
              <w:snapToGrid w:val="0"/>
              <w:spacing w:line="360" w:lineRule="auto"/>
              <w:rPr>
                <w:szCs w:val="24"/>
              </w:rPr>
            </w:pPr>
          </w:p>
        </w:tc>
        <w:tc>
          <w:tcPr>
            <w:tcW w:w="1161" w:type="dxa"/>
            <w:tcBorders>
              <w:top w:val="single" w:sz="4" w:space="0" w:color="000000"/>
              <w:left w:val="single" w:sz="4" w:space="0" w:color="000000"/>
              <w:bottom w:val="single" w:sz="4" w:space="0" w:color="000000"/>
              <w:right w:val="single" w:sz="4" w:space="0" w:color="000000"/>
            </w:tcBorders>
          </w:tcPr>
          <w:p w14:paraId="1098E466" w14:textId="77777777" w:rsidR="00946C83" w:rsidRDefault="00946C83">
            <w:pPr>
              <w:autoSpaceDE w:val="0"/>
              <w:snapToGrid w:val="0"/>
              <w:spacing w:line="360" w:lineRule="auto"/>
              <w:rPr>
                <w:szCs w:val="24"/>
              </w:rPr>
            </w:pPr>
          </w:p>
        </w:tc>
        <w:tc>
          <w:tcPr>
            <w:tcW w:w="1161" w:type="dxa"/>
            <w:tcBorders>
              <w:top w:val="single" w:sz="4" w:space="0" w:color="000000"/>
              <w:left w:val="single" w:sz="4" w:space="0" w:color="000000"/>
              <w:bottom w:val="single" w:sz="4" w:space="0" w:color="000000"/>
              <w:right w:val="single" w:sz="4" w:space="0" w:color="000000"/>
            </w:tcBorders>
          </w:tcPr>
          <w:p w14:paraId="547EC67D" w14:textId="77777777" w:rsidR="00946C83" w:rsidRDefault="00946C83">
            <w:pPr>
              <w:autoSpaceDE w:val="0"/>
              <w:snapToGrid w:val="0"/>
              <w:spacing w:line="360" w:lineRule="auto"/>
              <w:rPr>
                <w:szCs w:val="24"/>
              </w:rPr>
            </w:pPr>
          </w:p>
        </w:tc>
      </w:tr>
      <w:tr w:rsidR="00946C83" w14:paraId="4866610C" w14:textId="77777777">
        <w:tc>
          <w:tcPr>
            <w:tcW w:w="1892" w:type="dxa"/>
            <w:tcBorders>
              <w:top w:val="single" w:sz="4" w:space="0" w:color="000000"/>
              <w:left w:val="single" w:sz="4" w:space="0" w:color="000000"/>
              <w:bottom w:val="single" w:sz="4" w:space="0" w:color="000000"/>
              <w:right w:val="single" w:sz="4" w:space="0" w:color="000000"/>
            </w:tcBorders>
          </w:tcPr>
          <w:p w14:paraId="51F7424E" w14:textId="77777777" w:rsidR="00946C83" w:rsidRDefault="00000000">
            <w:pPr>
              <w:autoSpaceDE w:val="0"/>
              <w:spacing w:line="360" w:lineRule="auto"/>
              <w:ind w:left="60" w:right="60"/>
              <w:rPr>
                <w:b/>
                <w:szCs w:val="24"/>
              </w:rPr>
            </w:pPr>
            <w:r>
              <w:rPr>
                <w:szCs w:val="24"/>
              </w:rPr>
              <w:t>Corrected Total</w:t>
            </w:r>
          </w:p>
        </w:tc>
        <w:tc>
          <w:tcPr>
            <w:tcW w:w="1666" w:type="dxa"/>
            <w:tcBorders>
              <w:top w:val="single" w:sz="4" w:space="0" w:color="000000"/>
              <w:left w:val="single" w:sz="4" w:space="0" w:color="000000"/>
              <w:bottom w:val="single" w:sz="4" w:space="0" w:color="000000"/>
              <w:right w:val="single" w:sz="4" w:space="0" w:color="000000"/>
            </w:tcBorders>
          </w:tcPr>
          <w:p w14:paraId="15B79317" w14:textId="77777777" w:rsidR="00946C83" w:rsidRDefault="00000000">
            <w:pPr>
              <w:autoSpaceDE w:val="0"/>
              <w:spacing w:line="360" w:lineRule="auto"/>
              <w:ind w:left="60" w:right="60"/>
              <w:jc w:val="right"/>
              <w:rPr>
                <w:szCs w:val="24"/>
              </w:rPr>
            </w:pPr>
            <w:r>
              <w:rPr>
                <w:szCs w:val="24"/>
              </w:rPr>
              <w:t>30.930</w:t>
            </w:r>
          </w:p>
        </w:tc>
        <w:tc>
          <w:tcPr>
            <w:tcW w:w="1164" w:type="dxa"/>
            <w:tcBorders>
              <w:top w:val="single" w:sz="4" w:space="0" w:color="000000"/>
              <w:left w:val="single" w:sz="4" w:space="0" w:color="000000"/>
              <w:bottom w:val="single" w:sz="4" w:space="0" w:color="000000"/>
              <w:right w:val="single" w:sz="4" w:space="0" w:color="000000"/>
            </w:tcBorders>
          </w:tcPr>
          <w:p w14:paraId="3E928A49" w14:textId="77777777" w:rsidR="00946C83" w:rsidRDefault="00000000">
            <w:pPr>
              <w:autoSpaceDE w:val="0"/>
              <w:spacing w:line="360" w:lineRule="auto"/>
              <w:ind w:left="60" w:right="60"/>
              <w:jc w:val="right"/>
              <w:rPr>
                <w:szCs w:val="24"/>
              </w:rPr>
            </w:pPr>
            <w:r>
              <w:rPr>
                <w:szCs w:val="24"/>
              </w:rPr>
              <w:t>76</w:t>
            </w:r>
          </w:p>
        </w:tc>
        <w:tc>
          <w:tcPr>
            <w:tcW w:w="1596" w:type="dxa"/>
            <w:tcBorders>
              <w:top w:val="single" w:sz="4" w:space="0" w:color="000000"/>
              <w:left w:val="single" w:sz="4" w:space="0" w:color="000000"/>
              <w:bottom w:val="single" w:sz="4" w:space="0" w:color="000000"/>
              <w:right w:val="single" w:sz="4" w:space="0" w:color="000000"/>
            </w:tcBorders>
          </w:tcPr>
          <w:p w14:paraId="16CFDD73" w14:textId="77777777" w:rsidR="00946C83" w:rsidRDefault="00946C83">
            <w:pPr>
              <w:autoSpaceDE w:val="0"/>
              <w:snapToGrid w:val="0"/>
              <w:spacing w:line="360" w:lineRule="auto"/>
              <w:rPr>
                <w:szCs w:val="24"/>
              </w:rPr>
            </w:pPr>
          </w:p>
        </w:tc>
        <w:tc>
          <w:tcPr>
            <w:tcW w:w="1161" w:type="dxa"/>
            <w:tcBorders>
              <w:top w:val="single" w:sz="4" w:space="0" w:color="000000"/>
              <w:left w:val="single" w:sz="4" w:space="0" w:color="000000"/>
              <w:bottom w:val="single" w:sz="4" w:space="0" w:color="000000"/>
              <w:right w:val="single" w:sz="4" w:space="0" w:color="000000"/>
            </w:tcBorders>
          </w:tcPr>
          <w:p w14:paraId="3F6F50D4" w14:textId="77777777" w:rsidR="00946C83" w:rsidRDefault="00946C83">
            <w:pPr>
              <w:autoSpaceDE w:val="0"/>
              <w:snapToGrid w:val="0"/>
              <w:spacing w:line="360" w:lineRule="auto"/>
              <w:rPr>
                <w:szCs w:val="24"/>
              </w:rPr>
            </w:pPr>
          </w:p>
        </w:tc>
        <w:tc>
          <w:tcPr>
            <w:tcW w:w="1161" w:type="dxa"/>
            <w:tcBorders>
              <w:top w:val="single" w:sz="4" w:space="0" w:color="000000"/>
              <w:left w:val="single" w:sz="4" w:space="0" w:color="000000"/>
              <w:bottom w:val="single" w:sz="4" w:space="0" w:color="000000"/>
              <w:right w:val="single" w:sz="4" w:space="0" w:color="000000"/>
            </w:tcBorders>
          </w:tcPr>
          <w:p w14:paraId="2C7CBCDE" w14:textId="77777777" w:rsidR="00946C83" w:rsidRDefault="00946C83">
            <w:pPr>
              <w:autoSpaceDE w:val="0"/>
              <w:snapToGrid w:val="0"/>
              <w:spacing w:line="360" w:lineRule="auto"/>
              <w:rPr>
                <w:szCs w:val="24"/>
              </w:rPr>
            </w:pPr>
          </w:p>
        </w:tc>
      </w:tr>
    </w:tbl>
    <w:p w14:paraId="1AA5DF61" w14:textId="77777777" w:rsidR="00946C83" w:rsidRDefault="00000000">
      <w:pPr>
        <w:spacing w:after="160" w:line="360" w:lineRule="auto"/>
        <w:jc w:val="both"/>
        <w:rPr>
          <w:szCs w:val="24"/>
        </w:rPr>
      </w:pPr>
      <w:r>
        <w:rPr>
          <w:szCs w:val="24"/>
        </w:rPr>
        <w:t>Source: Field Data (2026)</w:t>
      </w:r>
    </w:p>
    <w:p w14:paraId="687753CB" w14:textId="77777777" w:rsidR="00946C83" w:rsidRDefault="00000000">
      <w:pPr>
        <w:pStyle w:val="NormalWeb"/>
        <w:spacing w:before="0" w:after="160" w:line="360" w:lineRule="auto"/>
        <w:jc w:val="both"/>
      </w:pPr>
      <w:r>
        <w:t xml:space="preserve">Table 3 shows that technological infrastructure, human capacity, </w:t>
      </w:r>
      <w:proofErr w:type="spellStart"/>
      <w:r>
        <w:t>organisational</w:t>
      </w:r>
      <w:proofErr w:type="spellEnd"/>
      <w:r>
        <w:t xml:space="preserve"> factors and the policy-regulatory environment </w:t>
      </w:r>
      <w:r>
        <w:rPr>
          <w:highlight w:val="yellow"/>
        </w:rPr>
        <w:t xml:space="preserve">were </w:t>
      </w:r>
      <w:r>
        <w:t xml:space="preserve">jointly </w:t>
      </w:r>
      <w:r>
        <w:rPr>
          <w:highlight w:val="yellow"/>
        </w:rPr>
        <w:t>associated wit</w:t>
      </w:r>
      <w:r>
        <w:t>h</w:t>
      </w:r>
      <w:r>
        <w:rPr>
          <w:highlight w:val="yellow"/>
        </w:rPr>
        <w:t xml:space="preserve"> the level of </w:t>
      </w:r>
      <w:r>
        <w:t>a</w:t>
      </w:r>
      <w:r>
        <w:rPr>
          <w:highlight w:val="yellow"/>
        </w:rPr>
        <w:t>utomation in</w:t>
      </w:r>
      <w:r>
        <w:t xml:space="preserve"> a statistically significant </w:t>
      </w:r>
      <w:r>
        <w:rPr>
          <w:highlight w:val="yellow"/>
        </w:rPr>
        <w:t>mod</w:t>
      </w:r>
      <w:r>
        <w:t>e</w:t>
      </w:r>
      <w:r>
        <w:rPr>
          <w:highlight w:val="yellow"/>
        </w:rPr>
        <w:t>l</w:t>
      </w:r>
      <w:r>
        <w:t xml:space="preserve"> on the level of M&amp;E system automation in Nakuru County health projects, with an F-statistic of 88.807 (p &lt; .001). The </w:t>
      </w:r>
      <w:r>
        <w:rPr>
          <w:highlight w:val="yellow"/>
        </w:rPr>
        <w:t xml:space="preserve">reported </w:t>
      </w:r>
      <w:r>
        <w:t xml:space="preserve">coefficient of determination (R² = .288, </w:t>
      </w:r>
      <w:r>
        <w:rPr>
          <w:highlight w:val="yellow"/>
        </w:rPr>
        <w:t>a</w:t>
      </w:r>
      <w:r>
        <w:t>djusted R² = .282</w:t>
      </w:r>
      <w:r>
        <w:rPr>
          <w:highlight w:val="yellow"/>
        </w:rPr>
        <w:t>)</w:t>
      </w:r>
      <w:r>
        <w:t xml:space="preserve"> s</w:t>
      </w:r>
      <w:r>
        <w:rPr>
          <w:highlight w:val="yellow"/>
        </w:rPr>
        <w:t>ugge</w:t>
      </w:r>
      <w:r>
        <w:t>sts that the four factors together a</w:t>
      </w:r>
      <w:r>
        <w:rPr>
          <w:highlight w:val="yellow"/>
        </w:rPr>
        <w:t>ccou</w:t>
      </w:r>
      <w:r>
        <w:t>n</w:t>
      </w:r>
      <w:r>
        <w:rPr>
          <w:highlight w:val="yellow"/>
        </w:rPr>
        <w:t>t for</w:t>
      </w:r>
      <w:r>
        <w:t xml:space="preserve"> approximately 28.8% of the variation in M&amp;E system automation. The </w:t>
      </w:r>
      <w:r>
        <w:rPr>
          <w:highlight w:val="yellow"/>
        </w:rPr>
        <w:t>r</w:t>
      </w:r>
      <w:r>
        <w:t>e</w:t>
      </w:r>
      <w:r>
        <w:rPr>
          <w:highlight w:val="yellow"/>
        </w:rPr>
        <w:t>m</w:t>
      </w:r>
      <w:r>
        <w:t>ain</w:t>
      </w:r>
      <w:r>
        <w:rPr>
          <w:highlight w:val="yellow"/>
        </w:rPr>
        <w:t xml:space="preserve">ing </w:t>
      </w:r>
      <w:r>
        <w:t>report</w:t>
      </w:r>
      <w:r>
        <w:rPr>
          <w:highlight w:val="yellow"/>
        </w:rPr>
        <w:t>e</w:t>
      </w:r>
      <w:r>
        <w:t>d variation ma</w:t>
      </w:r>
      <w:r>
        <w:rPr>
          <w:highlight w:val="yellow"/>
        </w:rPr>
        <w:t>y</w:t>
      </w:r>
      <w:r>
        <w:t xml:space="preserve"> </w:t>
      </w:r>
      <w:r>
        <w:rPr>
          <w:highlight w:val="yellow"/>
        </w:rPr>
        <w:t>rel</w:t>
      </w:r>
      <w:r>
        <w:t>ate t</w:t>
      </w:r>
      <w:r>
        <w:rPr>
          <w:highlight w:val="yellow"/>
        </w:rPr>
        <w:t>o</w:t>
      </w:r>
      <w:r>
        <w:t xml:space="preserve"> other factors, including funding availability, the nature of donor-s</w:t>
      </w:r>
      <w:r>
        <w:rPr>
          <w:highlight w:val="yellow"/>
        </w:rPr>
        <w:t>up</w:t>
      </w:r>
      <w:r>
        <w:t>por</w:t>
      </w:r>
      <w:r>
        <w:rPr>
          <w:highlight w:val="yellow"/>
        </w:rPr>
        <w:t>t</w:t>
      </w:r>
      <w:r>
        <w:t xml:space="preserve">ed projects, differences in facility infrastructure and unmeasured stakeholder </w:t>
      </w:r>
      <w:r>
        <w:rPr>
          <w:highlight w:val="yellow"/>
        </w:rPr>
        <w:t>ch</w:t>
      </w:r>
      <w:r>
        <w:t>a</w:t>
      </w:r>
      <w:r>
        <w:rPr>
          <w:highlight w:val="yellow"/>
        </w:rPr>
        <w:t>ra</w:t>
      </w:r>
      <w:r>
        <w:t>ct</w:t>
      </w:r>
      <w:r>
        <w:rPr>
          <w:highlight w:val="yellow"/>
        </w:rPr>
        <w:t>eristic</w:t>
      </w:r>
      <w:r>
        <w:t>s. Table 4 presents the parameter estimates.</w:t>
      </w:r>
    </w:p>
    <w:p w14:paraId="44D67E7E" w14:textId="77777777" w:rsidR="00946C83" w:rsidRDefault="00000000">
      <w:pPr>
        <w:pStyle w:val="Heading1"/>
        <w:spacing w:line="360" w:lineRule="auto"/>
      </w:pPr>
      <w:r>
        <w:rPr>
          <w:rFonts w:ascii="Times New Roman" w:hAnsi="Times New Roman"/>
          <w:color w:val="000000"/>
          <w:sz w:val="24"/>
          <w:szCs w:val="24"/>
        </w:rPr>
        <w:t xml:space="preserve">Table 4 Parameter </w:t>
      </w:r>
      <w:r>
        <w:t>Estimates Results</w:t>
      </w:r>
    </w:p>
    <w:tbl>
      <w:tblPr>
        <w:tblW w:w="5000" w:type="pct"/>
        <w:tblLayout w:type="fixed"/>
        <w:tblLook w:val="04A0" w:firstRow="1" w:lastRow="0" w:firstColumn="1" w:lastColumn="0" w:noHBand="0" w:noVBand="1"/>
      </w:tblPr>
      <w:tblGrid>
        <w:gridCol w:w="1957"/>
        <w:gridCol w:w="1704"/>
        <w:gridCol w:w="1782"/>
        <w:gridCol w:w="1706"/>
        <w:gridCol w:w="1707"/>
      </w:tblGrid>
      <w:tr w:rsidR="00946C83" w14:paraId="774AE7CE" w14:textId="77777777">
        <w:tc>
          <w:tcPr>
            <w:tcW w:w="1910" w:type="dxa"/>
            <w:tcBorders>
              <w:top w:val="single" w:sz="4" w:space="0" w:color="000000"/>
              <w:left w:val="single" w:sz="4" w:space="0" w:color="000000"/>
              <w:bottom w:val="single" w:sz="4" w:space="0" w:color="000000"/>
              <w:right w:val="single" w:sz="4" w:space="0" w:color="000000"/>
            </w:tcBorders>
          </w:tcPr>
          <w:p w14:paraId="73BF8941" w14:textId="77777777" w:rsidR="00946C83" w:rsidRDefault="00000000">
            <w:pPr>
              <w:autoSpaceDE w:val="0"/>
              <w:spacing w:line="360" w:lineRule="auto"/>
              <w:ind w:left="60" w:right="60"/>
              <w:rPr>
                <w:b/>
                <w:szCs w:val="24"/>
              </w:rPr>
            </w:pPr>
            <w:r>
              <w:rPr>
                <w:szCs w:val="24"/>
              </w:rPr>
              <w:t>Parameter</w:t>
            </w:r>
          </w:p>
        </w:tc>
        <w:tc>
          <w:tcPr>
            <w:tcW w:w="1662" w:type="dxa"/>
            <w:tcBorders>
              <w:top w:val="single" w:sz="4" w:space="0" w:color="000000"/>
              <w:left w:val="single" w:sz="4" w:space="0" w:color="000000"/>
              <w:bottom w:val="single" w:sz="4" w:space="0" w:color="000000"/>
              <w:right w:val="single" w:sz="4" w:space="0" w:color="000000"/>
            </w:tcBorders>
          </w:tcPr>
          <w:p w14:paraId="16016885" w14:textId="77777777" w:rsidR="00946C83" w:rsidRDefault="00000000">
            <w:pPr>
              <w:autoSpaceDE w:val="0"/>
              <w:spacing w:line="360" w:lineRule="auto"/>
              <w:ind w:left="60" w:right="60"/>
              <w:jc w:val="center"/>
              <w:rPr>
                <w:b/>
                <w:szCs w:val="24"/>
              </w:rPr>
            </w:pPr>
            <w:r>
              <w:rPr>
                <w:szCs w:val="24"/>
              </w:rPr>
              <w:t>B</w:t>
            </w:r>
          </w:p>
        </w:tc>
        <w:tc>
          <w:tcPr>
            <w:tcW w:w="1739" w:type="dxa"/>
            <w:tcBorders>
              <w:top w:val="single" w:sz="4" w:space="0" w:color="000000"/>
              <w:left w:val="single" w:sz="4" w:space="0" w:color="000000"/>
              <w:bottom w:val="single" w:sz="4" w:space="0" w:color="000000"/>
              <w:right w:val="single" w:sz="4" w:space="0" w:color="000000"/>
            </w:tcBorders>
          </w:tcPr>
          <w:p w14:paraId="4F136AFE" w14:textId="77777777" w:rsidR="00946C83" w:rsidRDefault="00000000">
            <w:pPr>
              <w:autoSpaceDE w:val="0"/>
              <w:spacing w:line="360" w:lineRule="auto"/>
              <w:ind w:left="60" w:right="60"/>
              <w:jc w:val="center"/>
              <w:rPr>
                <w:b/>
                <w:szCs w:val="24"/>
              </w:rPr>
            </w:pPr>
            <w:r>
              <w:rPr>
                <w:szCs w:val="24"/>
              </w:rPr>
              <w:t>Std. Error</w:t>
            </w:r>
          </w:p>
        </w:tc>
        <w:tc>
          <w:tcPr>
            <w:tcW w:w="1664" w:type="dxa"/>
            <w:tcBorders>
              <w:top w:val="single" w:sz="4" w:space="0" w:color="000000"/>
              <w:left w:val="single" w:sz="4" w:space="0" w:color="000000"/>
              <w:bottom w:val="single" w:sz="4" w:space="0" w:color="000000"/>
              <w:right w:val="single" w:sz="4" w:space="0" w:color="000000"/>
            </w:tcBorders>
          </w:tcPr>
          <w:p w14:paraId="36FC6059" w14:textId="77777777" w:rsidR="00946C83" w:rsidRDefault="00000000">
            <w:pPr>
              <w:autoSpaceDE w:val="0"/>
              <w:spacing w:line="360" w:lineRule="auto"/>
              <w:ind w:left="60" w:right="60"/>
              <w:jc w:val="center"/>
              <w:rPr>
                <w:b/>
                <w:szCs w:val="24"/>
              </w:rPr>
            </w:pPr>
            <w:r>
              <w:rPr>
                <w:szCs w:val="24"/>
              </w:rPr>
              <w:t>t</w:t>
            </w:r>
          </w:p>
        </w:tc>
        <w:tc>
          <w:tcPr>
            <w:tcW w:w="1665" w:type="dxa"/>
            <w:tcBorders>
              <w:top w:val="single" w:sz="4" w:space="0" w:color="000000"/>
              <w:left w:val="single" w:sz="4" w:space="0" w:color="000000"/>
              <w:bottom w:val="single" w:sz="4" w:space="0" w:color="000000"/>
              <w:right w:val="single" w:sz="4" w:space="0" w:color="000000"/>
            </w:tcBorders>
          </w:tcPr>
          <w:p w14:paraId="0B091A84" w14:textId="77777777" w:rsidR="00946C83" w:rsidRDefault="00000000">
            <w:pPr>
              <w:autoSpaceDE w:val="0"/>
              <w:spacing w:line="360" w:lineRule="auto"/>
              <w:ind w:left="60" w:right="60"/>
              <w:jc w:val="center"/>
              <w:rPr>
                <w:b/>
                <w:szCs w:val="24"/>
              </w:rPr>
            </w:pPr>
            <w:r>
              <w:rPr>
                <w:szCs w:val="24"/>
              </w:rPr>
              <w:t>Sig.</w:t>
            </w:r>
          </w:p>
        </w:tc>
      </w:tr>
      <w:tr w:rsidR="00946C83" w14:paraId="2CC023C6" w14:textId="77777777">
        <w:tc>
          <w:tcPr>
            <w:tcW w:w="1910" w:type="dxa"/>
            <w:tcBorders>
              <w:top w:val="single" w:sz="4" w:space="0" w:color="000000"/>
              <w:left w:val="single" w:sz="4" w:space="0" w:color="000000"/>
              <w:bottom w:val="single" w:sz="4" w:space="0" w:color="000000"/>
              <w:right w:val="single" w:sz="4" w:space="0" w:color="000000"/>
            </w:tcBorders>
          </w:tcPr>
          <w:p w14:paraId="0FABD056" w14:textId="77777777" w:rsidR="00946C83" w:rsidRDefault="00000000">
            <w:pPr>
              <w:autoSpaceDE w:val="0"/>
              <w:spacing w:line="360" w:lineRule="auto"/>
              <w:ind w:left="60" w:right="60"/>
              <w:rPr>
                <w:b/>
                <w:szCs w:val="24"/>
              </w:rPr>
            </w:pPr>
            <w:r>
              <w:rPr>
                <w:szCs w:val="24"/>
              </w:rPr>
              <w:t>Intercept</w:t>
            </w:r>
          </w:p>
        </w:tc>
        <w:tc>
          <w:tcPr>
            <w:tcW w:w="1662" w:type="dxa"/>
            <w:tcBorders>
              <w:top w:val="single" w:sz="4" w:space="0" w:color="000000"/>
              <w:left w:val="single" w:sz="4" w:space="0" w:color="000000"/>
              <w:bottom w:val="single" w:sz="4" w:space="0" w:color="000000"/>
              <w:right w:val="single" w:sz="4" w:space="0" w:color="000000"/>
            </w:tcBorders>
          </w:tcPr>
          <w:p w14:paraId="4D642884" w14:textId="77777777" w:rsidR="00946C83" w:rsidRDefault="00000000">
            <w:pPr>
              <w:autoSpaceDE w:val="0"/>
              <w:spacing w:line="360" w:lineRule="auto"/>
              <w:ind w:left="60" w:right="60"/>
              <w:jc w:val="center"/>
              <w:rPr>
                <w:szCs w:val="24"/>
              </w:rPr>
            </w:pPr>
            <w:r>
              <w:rPr>
                <w:szCs w:val="24"/>
              </w:rPr>
              <w:t>-.127</w:t>
            </w:r>
          </w:p>
        </w:tc>
        <w:tc>
          <w:tcPr>
            <w:tcW w:w="1739" w:type="dxa"/>
            <w:tcBorders>
              <w:top w:val="single" w:sz="4" w:space="0" w:color="000000"/>
              <w:left w:val="single" w:sz="4" w:space="0" w:color="000000"/>
              <w:bottom w:val="single" w:sz="4" w:space="0" w:color="000000"/>
              <w:right w:val="single" w:sz="4" w:space="0" w:color="000000"/>
            </w:tcBorders>
          </w:tcPr>
          <w:p w14:paraId="16732F6A" w14:textId="77777777" w:rsidR="00946C83" w:rsidRDefault="00000000">
            <w:pPr>
              <w:autoSpaceDE w:val="0"/>
              <w:spacing w:line="360" w:lineRule="auto"/>
              <w:ind w:left="60" w:right="60"/>
              <w:jc w:val="center"/>
              <w:rPr>
                <w:szCs w:val="24"/>
              </w:rPr>
            </w:pPr>
            <w:r>
              <w:rPr>
                <w:szCs w:val="24"/>
              </w:rPr>
              <w:t>.339</w:t>
            </w:r>
          </w:p>
        </w:tc>
        <w:tc>
          <w:tcPr>
            <w:tcW w:w="1664" w:type="dxa"/>
            <w:tcBorders>
              <w:top w:val="single" w:sz="4" w:space="0" w:color="000000"/>
              <w:left w:val="single" w:sz="4" w:space="0" w:color="000000"/>
              <w:bottom w:val="single" w:sz="4" w:space="0" w:color="000000"/>
              <w:right w:val="single" w:sz="4" w:space="0" w:color="000000"/>
            </w:tcBorders>
          </w:tcPr>
          <w:p w14:paraId="5BEEB8B8" w14:textId="77777777" w:rsidR="00946C83" w:rsidRDefault="00000000">
            <w:pPr>
              <w:autoSpaceDE w:val="0"/>
              <w:spacing w:line="360" w:lineRule="auto"/>
              <w:ind w:left="60" w:right="60"/>
              <w:jc w:val="center"/>
              <w:rPr>
                <w:szCs w:val="24"/>
              </w:rPr>
            </w:pPr>
            <w:r>
              <w:rPr>
                <w:szCs w:val="24"/>
              </w:rPr>
              <w:t>-.375</w:t>
            </w:r>
          </w:p>
        </w:tc>
        <w:tc>
          <w:tcPr>
            <w:tcW w:w="1665" w:type="dxa"/>
            <w:tcBorders>
              <w:top w:val="single" w:sz="4" w:space="0" w:color="000000"/>
              <w:left w:val="single" w:sz="4" w:space="0" w:color="000000"/>
              <w:bottom w:val="single" w:sz="4" w:space="0" w:color="000000"/>
              <w:right w:val="single" w:sz="4" w:space="0" w:color="000000"/>
            </w:tcBorders>
          </w:tcPr>
          <w:p w14:paraId="7031420F" w14:textId="77777777" w:rsidR="00946C83" w:rsidRDefault="00000000">
            <w:pPr>
              <w:autoSpaceDE w:val="0"/>
              <w:spacing w:line="360" w:lineRule="auto"/>
              <w:ind w:left="60" w:right="60"/>
              <w:jc w:val="center"/>
              <w:rPr>
                <w:szCs w:val="24"/>
              </w:rPr>
            </w:pPr>
            <w:r>
              <w:rPr>
                <w:szCs w:val="24"/>
              </w:rPr>
              <w:t>.709</w:t>
            </w:r>
          </w:p>
        </w:tc>
      </w:tr>
      <w:tr w:rsidR="00946C83" w14:paraId="25EE6F5C" w14:textId="77777777">
        <w:tc>
          <w:tcPr>
            <w:tcW w:w="1910" w:type="dxa"/>
            <w:tcBorders>
              <w:top w:val="single" w:sz="4" w:space="0" w:color="000000"/>
              <w:left w:val="single" w:sz="4" w:space="0" w:color="000000"/>
              <w:bottom w:val="single" w:sz="4" w:space="0" w:color="000000"/>
              <w:right w:val="single" w:sz="4" w:space="0" w:color="000000"/>
            </w:tcBorders>
          </w:tcPr>
          <w:p w14:paraId="6229332D" w14:textId="77777777" w:rsidR="00946C83" w:rsidRDefault="00000000">
            <w:pPr>
              <w:spacing w:line="360" w:lineRule="auto"/>
              <w:rPr>
                <w:b/>
                <w:szCs w:val="24"/>
              </w:rPr>
            </w:pPr>
            <w:r>
              <w:rPr>
                <w:szCs w:val="24"/>
              </w:rPr>
              <w:t>Technological Infrastructure</w:t>
            </w:r>
          </w:p>
        </w:tc>
        <w:tc>
          <w:tcPr>
            <w:tcW w:w="1662" w:type="dxa"/>
            <w:tcBorders>
              <w:top w:val="single" w:sz="4" w:space="0" w:color="000000"/>
              <w:left w:val="single" w:sz="4" w:space="0" w:color="000000"/>
              <w:bottom w:val="single" w:sz="4" w:space="0" w:color="000000"/>
              <w:right w:val="single" w:sz="4" w:space="0" w:color="000000"/>
            </w:tcBorders>
          </w:tcPr>
          <w:p w14:paraId="619D33CA" w14:textId="77777777" w:rsidR="00946C83" w:rsidRDefault="00000000">
            <w:pPr>
              <w:autoSpaceDE w:val="0"/>
              <w:spacing w:line="360" w:lineRule="auto"/>
              <w:ind w:left="60" w:right="60"/>
              <w:jc w:val="center"/>
              <w:rPr>
                <w:szCs w:val="24"/>
              </w:rPr>
            </w:pPr>
            <w:r>
              <w:rPr>
                <w:szCs w:val="24"/>
              </w:rPr>
              <w:t>.479</w:t>
            </w:r>
          </w:p>
        </w:tc>
        <w:tc>
          <w:tcPr>
            <w:tcW w:w="1739" w:type="dxa"/>
            <w:tcBorders>
              <w:top w:val="single" w:sz="4" w:space="0" w:color="000000"/>
              <w:left w:val="single" w:sz="4" w:space="0" w:color="000000"/>
              <w:bottom w:val="single" w:sz="4" w:space="0" w:color="000000"/>
              <w:right w:val="single" w:sz="4" w:space="0" w:color="000000"/>
            </w:tcBorders>
          </w:tcPr>
          <w:p w14:paraId="66D8C28B" w14:textId="77777777" w:rsidR="00946C83" w:rsidRDefault="00000000">
            <w:pPr>
              <w:autoSpaceDE w:val="0"/>
              <w:spacing w:line="360" w:lineRule="auto"/>
              <w:ind w:left="60" w:right="60"/>
              <w:jc w:val="center"/>
              <w:rPr>
                <w:szCs w:val="24"/>
              </w:rPr>
            </w:pPr>
            <w:r>
              <w:rPr>
                <w:szCs w:val="24"/>
              </w:rPr>
              <w:t>.068</w:t>
            </w:r>
          </w:p>
        </w:tc>
        <w:tc>
          <w:tcPr>
            <w:tcW w:w="1664" w:type="dxa"/>
            <w:tcBorders>
              <w:top w:val="single" w:sz="4" w:space="0" w:color="000000"/>
              <w:left w:val="single" w:sz="4" w:space="0" w:color="000000"/>
              <w:bottom w:val="single" w:sz="4" w:space="0" w:color="000000"/>
              <w:right w:val="single" w:sz="4" w:space="0" w:color="000000"/>
            </w:tcBorders>
          </w:tcPr>
          <w:p w14:paraId="24AC397F" w14:textId="77777777" w:rsidR="00946C83" w:rsidRDefault="00000000">
            <w:pPr>
              <w:autoSpaceDE w:val="0"/>
              <w:spacing w:line="360" w:lineRule="auto"/>
              <w:ind w:left="60" w:right="60"/>
              <w:jc w:val="center"/>
              <w:rPr>
                <w:szCs w:val="24"/>
              </w:rPr>
            </w:pPr>
            <w:r>
              <w:rPr>
                <w:szCs w:val="24"/>
              </w:rPr>
              <w:t>7.002</w:t>
            </w:r>
          </w:p>
        </w:tc>
        <w:tc>
          <w:tcPr>
            <w:tcW w:w="1665" w:type="dxa"/>
            <w:tcBorders>
              <w:top w:val="single" w:sz="4" w:space="0" w:color="000000"/>
              <w:left w:val="single" w:sz="4" w:space="0" w:color="000000"/>
              <w:bottom w:val="single" w:sz="4" w:space="0" w:color="000000"/>
              <w:right w:val="single" w:sz="4" w:space="0" w:color="000000"/>
            </w:tcBorders>
          </w:tcPr>
          <w:p w14:paraId="7E267F4C" w14:textId="77777777" w:rsidR="00946C83" w:rsidRDefault="00000000">
            <w:pPr>
              <w:autoSpaceDE w:val="0"/>
              <w:spacing w:line="360" w:lineRule="auto"/>
              <w:ind w:left="60" w:right="60"/>
              <w:jc w:val="center"/>
              <w:rPr>
                <w:szCs w:val="24"/>
              </w:rPr>
            </w:pPr>
            <w:r>
              <w:rPr>
                <w:szCs w:val="24"/>
              </w:rPr>
              <w:t>.000</w:t>
            </w:r>
          </w:p>
        </w:tc>
      </w:tr>
      <w:tr w:rsidR="00946C83" w14:paraId="0C24C808" w14:textId="77777777">
        <w:tc>
          <w:tcPr>
            <w:tcW w:w="1910" w:type="dxa"/>
            <w:tcBorders>
              <w:top w:val="single" w:sz="4" w:space="0" w:color="000000"/>
              <w:left w:val="single" w:sz="4" w:space="0" w:color="000000"/>
              <w:bottom w:val="single" w:sz="4" w:space="0" w:color="000000"/>
              <w:right w:val="single" w:sz="4" w:space="0" w:color="000000"/>
            </w:tcBorders>
          </w:tcPr>
          <w:p w14:paraId="4732F3DD" w14:textId="77777777" w:rsidR="00946C83" w:rsidRDefault="00000000">
            <w:pPr>
              <w:spacing w:line="360" w:lineRule="auto"/>
              <w:rPr>
                <w:b/>
                <w:szCs w:val="24"/>
              </w:rPr>
            </w:pPr>
            <w:r>
              <w:rPr>
                <w:szCs w:val="24"/>
              </w:rPr>
              <w:t>Human Capacity</w:t>
            </w:r>
          </w:p>
        </w:tc>
        <w:tc>
          <w:tcPr>
            <w:tcW w:w="1662" w:type="dxa"/>
            <w:tcBorders>
              <w:top w:val="single" w:sz="4" w:space="0" w:color="000000"/>
              <w:left w:val="single" w:sz="4" w:space="0" w:color="000000"/>
              <w:bottom w:val="single" w:sz="4" w:space="0" w:color="000000"/>
              <w:right w:val="single" w:sz="4" w:space="0" w:color="000000"/>
            </w:tcBorders>
          </w:tcPr>
          <w:p w14:paraId="08C23E27" w14:textId="77777777" w:rsidR="00946C83" w:rsidRDefault="00000000">
            <w:pPr>
              <w:autoSpaceDE w:val="0"/>
              <w:spacing w:line="360" w:lineRule="auto"/>
              <w:ind w:left="60" w:right="60"/>
              <w:jc w:val="center"/>
              <w:rPr>
                <w:szCs w:val="24"/>
              </w:rPr>
            </w:pPr>
            <w:r>
              <w:rPr>
                <w:szCs w:val="24"/>
              </w:rPr>
              <w:t>.055</w:t>
            </w:r>
          </w:p>
        </w:tc>
        <w:tc>
          <w:tcPr>
            <w:tcW w:w="1739" w:type="dxa"/>
            <w:tcBorders>
              <w:top w:val="single" w:sz="4" w:space="0" w:color="000000"/>
              <w:left w:val="single" w:sz="4" w:space="0" w:color="000000"/>
              <w:bottom w:val="single" w:sz="4" w:space="0" w:color="000000"/>
              <w:right w:val="single" w:sz="4" w:space="0" w:color="000000"/>
            </w:tcBorders>
          </w:tcPr>
          <w:p w14:paraId="1ED721FB" w14:textId="77777777" w:rsidR="00946C83" w:rsidRDefault="00000000">
            <w:pPr>
              <w:autoSpaceDE w:val="0"/>
              <w:spacing w:line="360" w:lineRule="auto"/>
              <w:ind w:left="60" w:right="60"/>
              <w:jc w:val="center"/>
              <w:rPr>
                <w:szCs w:val="24"/>
              </w:rPr>
            </w:pPr>
            <w:r>
              <w:rPr>
                <w:szCs w:val="24"/>
              </w:rPr>
              <w:t>.062</w:t>
            </w:r>
          </w:p>
        </w:tc>
        <w:tc>
          <w:tcPr>
            <w:tcW w:w="1664" w:type="dxa"/>
            <w:tcBorders>
              <w:top w:val="single" w:sz="4" w:space="0" w:color="000000"/>
              <w:left w:val="single" w:sz="4" w:space="0" w:color="000000"/>
              <w:bottom w:val="single" w:sz="4" w:space="0" w:color="000000"/>
              <w:right w:val="single" w:sz="4" w:space="0" w:color="000000"/>
            </w:tcBorders>
          </w:tcPr>
          <w:p w14:paraId="3E3F5C6C" w14:textId="77777777" w:rsidR="00946C83" w:rsidRDefault="00000000">
            <w:pPr>
              <w:autoSpaceDE w:val="0"/>
              <w:spacing w:line="360" w:lineRule="auto"/>
              <w:ind w:left="60" w:right="60"/>
              <w:jc w:val="center"/>
              <w:rPr>
                <w:szCs w:val="24"/>
              </w:rPr>
            </w:pPr>
            <w:r>
              <w:rPr>
                <w:szCs w:val="24"/>
              </w:rPr>
              <w:t>.887</w:t>
            </w:r>
          </w:p>
        </w:tc>
        <w:tc>
          <w:tcPr>
            <w:tcW w:w="1665" w:type="dxa"/>
            <w:tcBorders>
              <w:top w:val="single" w:sz="4" w:space="0" w:color="000000"/>
              <w:left w:val="single" w:sz="4" w:space="0" w:color="000000"/>
              <w:bottom w:val="single" w:sz="4" w:space="0" w:color="000000"/>
              <w:right w:val="single" w:sz="4" w:space="0" w:color="000000"/>
            </w:tcBorders>
          </w:tcPr>
          <w:p w14:paraId="1FC96497" w14:textId="77777777" w:rsidR="00946C83" w:rsidRDefault="00000000">
            <w:pPr>
              <w:autoSpaceDE w:val="0"/>
              <w:spacing w:line="360" w:lineRule="auto"/>
              <w:ind w:left="60" w:right="60"/>
              <w:jc w:val="center"/>
              <w:rPr>
                <w:szCs w:val="24"/>
              </w:rPr>
            </w:pPr>
            <w:r>
              <w:rPr>
                <w:szCs w:val="24"/>
              </w:rPr>
              <w:t>.378</w:t>
            </w:r>
          </w:p>
        </w:tc>
      </w:tr>
      <w:tr w:rsidR="00946C83" w14:paraId="339F09F5" w14:textId="77777777">
        <w:tc>
          <w:tcPr>
            <w:tcW w:w="1910" w:type="dxa"/>
            <w:tcBorders>
              <w:top w:val="single" w:sz="4" w:space="0" w:color="000000"/>
              <w:left w:val="single" w:sz="4" w:space="0" w:color="000000"/>
              <w:bottom w:val="single" w:sz="4" w:space="0" w:color="000000"/>
              <w:right w:val="single" w:sz="4" w:space="0" w:color="000000"/>
            </w:tcBorders>
          </w:tcPr>
          <w:p w14:paraId="7A1A7FD8" w14:textId="77777777" w:rsidR="00946C83" w:rsidRDefault="00000000">
            <w:pPr>
              <w:spacing w:line="360" w:lineRule="auto"/>
              <w:rPr>
                <w:b/>
                <w:szCs w:val="24"/>
              </w:rPr>
            </w:pPr>
            <w:proofErr w:type="spellStart"/>
            <w:r>
              <w:rPr>
                <w:szCs w:val="24"/>
              </w:rPr>
              <w:t>Organisational</w:t>
            </w:r>
            <w:proofErr w:type="spellEnd"/>
            <w:r>
              <w:rPr>
                <w:szCs w:val="24"/>
              </w:rPr>
              <w:t xml:space="preserve"> Factors</w:t>
            </w:r>
          </w:p>
        </w:tc>
        <w:tc>
          <w:tcPr>
            <w:tcW w:w="1662" w:type="dxa"/>
            <w:tcBorders>
              <w:top w:val="single" w:sz="4" w:space="0" w:color="000000"/>
              <w:left w:val="single" w:sz="4" w:space="0" w:color="000000"/>
              <w:bottom w:val="single" w:sz="4" w:space="0" w:color="000000"/>
              <w:right w:val="single" w:sz="4" w:space="0" w:color="000000"/>
            </w:tcBorders>
          </w:tcPr>
          <w:p w14:paraId="65A7705C" w14:textId="77777777" w:rsidR="00946C83" w:rsidRDefault="00000000">
            <w:pPr>
              <w:autoSpaceDE w:val="0"/>
              <w:spacing w:line="360" w:lineRule="auto"/>
              <w:ind w:left="60" w:right="60"/>
              <w:jc w:val="center"/>
              <w:rPr>
                <w:szCs w:val="24"/>
              </w:rPr>
            </w:pPr>
            <w:r>
              <w:rPr>
                <w:szCs w:val="24"/>
              </w:rPr>
              <w:t>.383</w:t>
            </w:r>
          </w:p>
        </w:tc>
        <w:tc>
          <w:tcPr>
            <w:tcW w:w="1739" w:type="dxa"/>
            <w:tcBorders>
              <w:top w:val="single" w:sz="4" w:space="0" w:color="000000"/>
              <w:left w:val="single" w:sz="4" w:space="0" w:color="000000"/>
              <w:bottom w:val="single" w:sz="4" w:space="0" w:color="000000"/>
              <w:right w:val="single" w:sz="4" w:space="0" w:color="000000"/>
            </w:tcBorders>
          </w:tcPr>
          <w:p w14:paraId="638E7307" w14:textId="77777777" w:rsidR="00946C83" w:rsidRDefault="00000000">
            <w:pPr>
              <w:autoSpaceDE w:val="0"/>
              <w:spacing w:line="360" w:lineRule="auto"/>
              <w:ind w:left="60" w:right="60"/>
              <w:jc w:val="center"/>
              <w:rPr>
                <w:szCs w:val="24"/>
              </w:rPr>
            </w:pPr>
            <w:r>
              <w:rPr>
                <w:szCs w:val="24"/>
              </w:rPr>
              <w:t>.084</w:t>
            </w:r>
          </w:p>
        </w:tc>
        <w:tc>
          <w:tcPr>
            <w:tcW w:w="1664" w:type="dxa"/>
            <w:tcBorders>
              <w:top w:val="single" w:sz="4" w:space="0" w:color="000000"/>
              <w:left w:val="single" w:sz="4" w:space="0" w:color="000000"/>
              <w:bottom w:val="single" w:sz="4" w:space="0" w:color="000000"/>
              <w:right w:val="single" w:sz="4" w:space="0" w:color="000000"/>
            </w:tcBorders>
          </w:tcPr>
          <w:p w14:paraId="6ADFCC2D" w14:textId="77777777" w:rsidR="00946C83" w:rsidRDefault="00000000">
            <w:pPr>
              <w:autoSpaceDE w:val="0"/>
              <w:spacing w:line="360" w:lineRule="auto"/>
              <w:ind w:left="60" w:right="60"/>
              <w:jc w:val="center"/>
              <w:rPr>
                <w:szCs w:val="24"/>
              </w:rPr>
            </w:pPr>
            <w:r>
              <w:rPr>
                <w:szCs w:val="24"/>
              </w:rPr>
              <w:t>4.545</w:t>
            </w:r>
          </w:p>
        </w:tc>
        <w:tc>
          <w:tcPr>
            <w:tcW w:w="1665" w:type="dxa"/>
            <w:tcBorders>
              <w:top w:val="single" w:sz="4" w:space="0" w:color="000000"/>
              <w:left w:val="single" w:sz="4" w:space="0" w:color="000000"/>
              <w:bottom w:val="single" w:sz="4" w:space="0" w:color="000000"/>
              <w:right w:val="single" w:sz="4" w:space="0" w:color="000000"/>
            </w:tcBorders>
          </w:tcPr>
          <w:p w14:paraId="26A8C51F" w14:textId="77777777" w:rsidR="00946C83" w:rsidRDefault="00000000">
            <w:pPr>
              <w:autoSpaceDE w:val="0"/>
              <w:spacing w:line="360" w:lineRule="auto"/>
              <w:ind w:left="60" w:right="60"/>
              <w:jc w:val="center"/>
              <w:rPr>
                <w:szCs w:val="24"/>
              </w:rPr>
            </w:pPr>
            <w:r>
              <w:rPr>
                <w:szCs w:val="24"/>
              </w:rPr>
              <w:t>.000</w:t>
            </w:r>
          </w:p>
        </w:tc>
      </w:tr>
      <w:tr w:rsidR="00946C83" w14:paraId="0DDFE837" w14:textId="77777777">
        <w:tc>
          <w:tcPr>
            <w:tcW w:w="1910" w:type="dxa"/>
            <w:tcBorders>
              <w:top w:val="single" w:sz="4" w:space="0" w:color="000000"/>
              <w:left w:val="single" w:sz="4" w:space="0" w:color="000000"/>
              <w:bottom w:val="single" w:sz="4" w:space="0" w:color="000000"/>
              <w:right w:val="single" w:sz="4" w:space="0" w:color="000000"/>
            </w:tcBorders>
          </w:tcPr>
          <w:p w14:paraId="774DD1B8" w14:textId="77777777" w:rsidR="00946C83" w:rsidRDefault="00000000">
            <w:pPr>
              <w:spacing w:line="360" w:lineRule="auto"/>
              <w:rPr>
                <w:b/>
                <w:szCs w:val="24"/>
              </w:rPr>
            </w:pPr>
            <w:r>
              <w:rPr>
                <w:szCs w:val="24"/>
              </w:rPr>
              <w:t xml:space="preserve">Policy-Regulatory </w:t>
            </w:r>
            <w:r>
              <w:rPr>
                <w:szCs w:val="24"/>
              </w:rPr>
              <w:lastRenderedPageBreak/>
              <w:t>Environment</w:t>
            </w:r>
          </w:p>
        </w:tc>
        <w:tc>
          <w:tcPr>
            <w:tcW w:w="1662" w:type="dxa"/>
            <w:tcBorders>
              <w:top w:val="single" w:sz="4" w:space="0" w:color="000000"/>
              <w:left w:val="single" w:sz="4" w:space="0" w:color="000000"/>
              <w:bottom w:val="single" w:sz="4" w:space="0" w:color="000000"/>
              <w:right w:val="single" w:sz="4" w:space="0" w:color="000000"/>
            </w:tcBorders>
          </w:tcPr>
          <w:p w14:paraId="7F737840" w14:textId="77777777" w:rsidR="00946C83" w:rsidRDefault="00000000">
            <w:pPr>
              <w:autoSpaceDE w:val="0"/>
              <w:spacing w:line="360" w:lineRule="auto"/>
              <w:ind w:left="60" w:right="60"/>
              <w:jc w:val="center"/>
              <w:rPr>
                <w:szCs w:val="24"/>
              </w:rPr>
            </w:pPr>
            <w:r>
              <w:rPr>
                <w:szCs w:val="24"/>
              </w:rPr>
              <w:lastRenderedPageBreak/>
              <w:t>.125</w:t>
            </w:r>
          </w:p>
        </w:tc>
        <w:tc>
          <w:tcPr>
            <w:tcW w:w="1739" w:type="dxa"/>
            <w:tcBorders>
              <w:top w:val="single" w:sz="4" w:space="0" w:color="000000"/>
              <w:left w:val="single" w:sz="4" w:space="0" w:color="000000"/>
              <w:bottom w:val="single" w:sz="4" w:space="0" w:color="000000"/>
              <w:right w:val="single" w:sz="4" w:space="0" w:color="000000"/>
            </w:tcBorders>
          </w:tcPr>
          <w:p w14:paraId="0BD92B8F" w14:textId="77777777" w:rsidR="00946C83" w:rsidRDefault="00000000">
            <w:pPr>
              <w:autoSpaceDE w:val="0"/>
              <w:spacing w:line="360" w:lineRule="auto"/>
              <w:ind w:left="60" w:right="60"/>
              <w:jc w:val="center"/>
              <w:rPr>
                <w:szCs w:val="24"/>
              </w:rPr>
            </w:pPr>
            <w:r>
              <w:rPr>
                <w:szCs w:val="24"/>
              </w:rPr>
              <w:t>.089</w:t>
            </w:r>
          </w:p>
        </w:tc>
        <w:tc>
          <w:tcPr>
            <w:tcW w:w="1664" w:type="dxa"/>
            <w:tcBorders>
              <w:top w:val="single" w:sz="4" w:space="0" w:color="000000"/>
              <w:left w:val="single" w:sz="4" w:space="0" w:color="000000"/>
              <w:bottom w:val="single" w:sz="4" w:space="0" w:color="000000"/>
              <w:right w:val="single" w:sz="4" w:space="0" w:color="000000"/>
            </w:tcBorders>
          </w:tcPr>
          <w:p w14:paraId="2568CD9D" w14:textId="77777777" w:rsidR="00946C83" w:rsidRDefault="00000000">
            <w:pPr>
              <w:autoSpaceDE w:val="0"/>
              <w:spacing w:line="360" w:lineRule="auto"/>
              <w:ind w:left="60" w:right="60"/>
              <w:jc w:val="center"/>
              <w:rPr>
                <w:szCs w:val="24"/>
              </w:rPr>
            </w:pPr>
            <w:r>
              <w:rPr>
                <w:szCs w:val="24"/>
              </w:rPr>
              <w:t>1.401</w:t>
            </w:r>
          </w:p>
        </w:tc>
        <w:tc>
          <w:tcPr>
            <w:tcW w:w="1665" w:type="dxa"/>
            <w:tcBorders>
              <w:top w:val="single" w:sz="4" w:space="0" w:color="000000"/>
              <w:left w:val="single" w:sz="4" w:space="0" w:color="000000"/>
              <w:bottom w:val="single" w:sz="4" w:space="0" w:color="000000"/>
              <w:right w:val="single" w:sz="4" w:space="0" w:color="000000"/>
            </w:tcBorders>
          </w:tcPr>
          <w:p w14:paraId="40A4D082" w14:textId="77777777" w:rsidR="00946C83" w:rsidRDefault="00000000">
            <w:pPr>
              <w:autoSpaceDE w:val="0"/>
              <w:spacing w:line="360" w:lineRule="auto"/>
              <w:ind w:left="60" w:right="60"/>
              <w:jc w:val="center"/>
              <w:rPr>
                <w:szCs w:val="24"/>
              </w:rPr>
            </w:pPr>
            <w:r>
              <w:rPr>
                <w:szCs w:val="24"/>
              </w:rPr>
              <w:t>.165</w:t>
            </w:r>
          </w:p>
        </w:tc>
      </w:tr>
    </w:tbl>
    <w:p w14:paraId="61DC496A" w14:textId="77777777" w:rsidR="00946C83" w:rsidRDefault="00000000">
      <w:pPr>
        <w:spacing w:after="160" w:line="360" w:lineRule="auto"/>
        <w:rPr>
          <w:szCs w:val="24"/>
        </w:rPr>
      </w:pPr>
      <w:r>
        <w:rPr>
          <w:szCs w:val="24"/>
        </w:rPr>
        <w:t>Source: Field Data (2026)</w:t>
      </w:r>
    </w:p>
    <w:p w14:paraId="5AF953A1" w14:textId="77777777" w:rsidR="00946C83" w:rsidRDefault="00000000">
      <w:pPr>
        <w:pStyle w:val="NormalWeb"/>
        <w:spacing w:before="0" w:after="160" w:line="360" w:lineRule="auto"/>
        <w:jc w:val="both"/>
      </w:pPr>
      <w:r>
        <w:t>Table 4 show</w:t>
      </w:r>
      <w:r>
        <w:rPr>
          <w:highlight w:val="yellow"/>
        </w:rPr>
        <w:t>s</w:t>
      </w:r>
      <w:r>
        <w:t xml:space="preserve"> that the intercept is –0.127 and is not statistically significant (t = –0.375; p = 0.709). </w:t>
      </w:r>
      <w:r>
        <w:rPr>
          <w:highlight w:val="yellow"/>
        </w:rPr>
        <w:t>This indica</w:t>
      </w:r>
      <w:r>
        <w:t xml:space="preserve">tes that the estimated </w:t>
      </w:r>
      <w:r>
        <w:rPr>
          <w:highlight w:val="yellow"/>
        </w:rPr>
        <w:t>i</w:t>
      </w:r>
      <w:r>
        <w:t>nt</w:t>
      </w:r>
      <w:r>
        <w:rPr>
          <w:highlight w:val="yellow"/>
        </w:rPr>
        <w:t>ercep</w:t>
      </w:r>
      <w:r>
        <w:t>t is not s</w:t>
      </w:r>
      <w:r>
        <w:rPr>
          <w:highlight w:val="yellow"/>
        </w:rPr>
        <w:t>tat</w:t>
      </w:r>
      <w:r>
        <w:t>i</w:t>
      </w:r>
      <w:r>
        <w:rPr>
          <w:highlight w:val="yellow"/>
        </w:rPr>
        <w:t>st</w:t>
      </w:r>
      <w:r>
        <w:t>ica</w:t>
      </w:r>
      <w:r>
        <w:rPr>
          <w:highlight w:val="yellow"/>
        </w:rPr>
        <w:t>l</w:t>
      </w:r>
      <w:r>
        <w:t>ly different from zero</w:t>
      </w:r>
      <w:r>
        <w:rPr>
          <w:highlight w:val="yellow"/>
        </w:rPr>
        <w:t xml:space="preserve"> when all four explanatory variables are set to zero</w:t>
      </w:r>
      <w:r>
        <w:t xml:space="preserve">. </w:t>
      </w:r>
      <w:r>
        <w:rPr>
          <w:highlight w:val="yellow"/>
        </w:rPr>
        <w:t>The i</w:t>
      </w:r>
      <w:r>
        <w:t>nt</w:t>
      </w:r>
      <w:r>
        <w:rPr>
          <w:highlight w:val="yellow"/>
        </w:rPr>
        <w:t xml:space="preserve">ercept should therefore be </w:t>
      </w:r>
      <w:r>
        <w:t>i</w:t>
      </w:r>
      <w:r>
        <w:rPr>
          <w:highlight w:val="yellow"/>
        </w:rPr>
        <w:t>nt</w:t>
      </w:r>
      <w:r>
        <w:t>e</w:t>
      </w:r>
      <w:r>
        <w:rPr>
          <w:highlight w:val="yellow"/>
        </w:rPr>
        <w:t>rpreted</w:t>
      </w:r>
      <w:r>
        <w:t xml:space="preserve"> </w:t>
      </w:r>
      <w:r>
        <w:rPr>
          <w:highlight w:val="yellow"/>
        </w:rPr>
        <w:t>c</w:t>
      </w:r>
      <w:r>
        <w:t>aut</w:t>
      </w:r>
      <w:r>
        <w:rPr>
          <w:highlight w:val="yellow"/>
        </w:rPr>
        <w:t>i</w:t>
      </w:r>
      <w:r>
        <w:t>ous</w:t>
      </w:r>
      <w:r>
        <w:rPr>
          <w:highlight w:val="yellow"/>
        </w:rPr>
        <w:t>ly</w:t>
      </w:r>
      <w:r>
        <w:t xml:space="preserve"> in th</w:t>
      </w:r>
      <w:r>
        <w:rPr>
          <w:highlight w:val="yellow"/>
        </w:rPr>
        <w:t>e</w:t>
      </w:r>
      <w:r>
        <w:t xml:space="preserve"> con</w:t>
      </w:r>
      <w:r>
        <w:rPr>
          <w:highlight w:val="yellow"/>
        </w:rPr>
        <w:t>t</w:t>
      </w:r>
      <w:r>
        <w:t>e</w:t>
      </w:r>
      <w:r>
        <w:rPr>
          <w:highlight w:val="yellow"/>
        </w:rPr>
        <w:t>xt of</w:t>
      </w:r>
      <w:r>
        <w:t xml:space="preserve"> the four factors </w:t>
      </w:r>
      <w:r>
        <w:rPr>
          <w:highlight w:val="yellow"/>
        </w:rPr>
        <w:t>exami</w:t>
      </w:r>
      <w:r>
        <w:t>n</w:t>
      </w:r>
      <w:r>
        <w:rPr>
          <w:highlight w:val="yellow"/>
        </w:rPr>
        <w:t>e</w:t>
      </w:r>
      <w:r>
        <w:t>d.</w:t>
      </w:r>
    </w:p>
    <w:p w14:paraId="2A0A2573" w14:textId="77777777" w:rsidR="00946C83" w:rsidRDefault="00000000">
      <w:pPr>
        <w:pStyle w:val="NormalWeb"/>
        <w:spacing w:before="0" w:after="160" w:line="360" w:lineRule="auto"/>
        <w:jc w:val="both"/>
      </w:pPr>
      <w:r>
        <w:t>Technological infrastructure had a positive</w:t>
      </w:r>
      <w:r>
        <w:rPr>
          <w:highlight w:val="yellow"/>
        </w:rPr>
        <w:t>,</w:t>
      </w:r>
      <w:r>
        <w:t xml:space="preserve"> statistically significant </w:t>
      </w:r>
      <w:r>
        <w:rPr>
          <w:highlight w:val="yellow"/>
        </w:rPr>
        <w:t>asso</w:t>
      </w:r>
      <w:r>
        <w:t>c</w:t>
      </w:r>
      <w:r>
        <w:rPr>
          <w:highlight w:val="yellow"/>
        </w:rPr>
        <w:t>ia</w:t>
      </w:r>
      <w:r>
        <w:t>t</w:t>
      </w:r>
      <w:r>
        <w:rPr>
          <w:highlight w:val="yellow"/>
        </w:rPr>
        <w:t>ion</w:t>
      </w:r>
      <w:r>
        <w:t xml:space="preserve"> on the level of M&amp;E system automation (B = 0.479; p = 0.000). </w:t>
      </w:r>
      <w:r>
        <w:rPr>
          <w:highlight w:val="yellow"/>
        </w:rPr>
        <w:t>A</w:t>
      </w:r>
      <w:r>
        <w:t xml:space="preserve"> one-unit increase in technological infrastructure</w:t>
      </w:r>
      <w:r>
        <w:rPr>
          <w:highlight w:val="yellow"/>
        </w:rPr>
        <w:t xml:space="preserve"> was associated with a 0.479-unit increase in M&amp;E automation</w:t>
      </w:r>
      <w:r>
        <w:t xml:space="preserve">, </w:t>
      </w:r>
      <w:r>
        <w:rPr>
          <w:highlight w:val="yellow"/>
        </w:rPr>
        <w:t>en</w:t>
      </w:r>
      <w:r>
        <w:t>co</w:t>
      </w:r>
      <w:r>
        <w:rPr>
          <w:highlight w:val="yellow"/>
        </w:rPr>
        <w:t>mpass</w:t>
      </w:r>
      <w:r>
        <w:t xml:space="preserve">ing hardware and software provision, internet availability and integration with platforms such as DHIS2. The result directly addresses the first specific objective, which assessed the readiness of Nakuru County health institutions to adopt automated M&amp;E systems. </w:t>
      </w:r>
      <w:r>
        <w:rPr>
          <w:highlight w:val="yellow"/>
        </w:rPr>
        <w:t>T</w:t>
      </w:r>
      <w:r>
        <w:t>he f</w:t>
      </w:r>
      <w:r>
        <w:rPr>
          <w:highlight w:val="yellow"/>
        </w:rPr>
        <w:t>inding sugges</w:t>
      </w:r>
      <w:r>
        <w:t>t</w:t>
      </w:r>
      <w:r>
        <w:rPr>
          <w:highlight w:val="yellow"/>
        </w:rPr>
        <w:t>s</w:t>
      </w:r>
      <w:r>
        <w:t xml:space="preserve"> that </w:t>
      </w:r>
      <w:r>
        <w:rPr>
          <w:highlight w:val="yellow"/>
        </w:rPr>
        <w:t>adeq</w:t>
      </w:r>
      <w:r>
        <w:t>u</w:t>
      </w:r>
      <w:r>
        <w:rPr>
          <w:highlight w:val="yellow"/>
        </w:rPr>
        <w:t>a</w:t>
      </w:r>
      <w:r>
        <w:t xml:space="preserve">te technological </w:t>
      </w:r>
      <w:r>
        <w:rPr>
          <w:highlight w:val="yellow"/>
        </w:rPr>
        <w:t>infr</w:t>
      </w:r>
      <w:r>
        <w:t>a</w:t>
      </w:r>
      <w:r>
        <w:rPr>
          <w:highlight w:val="yellow"/>
        </w:rPr>
        <w:t>stru</w:t>
      </w:r>
      <w:r>
        <w:t>c</w:t>
      </w:r>
      <w:r>
        <w:rPr>
          <w:highlight w:val="yellow"/>
        </w:rPr>
        <w:t>tu</w:t>
      </w:r>
      <w:r>
        <w:t xml:space="preserve">re </w:t>
      </w:r>
      <w:r>
        <w:rPr>
          <w:highlight w:val="yellow"/>
        </w:rPr>
        <w:t>may</w:t>
      </w:r>
      <w:r>
        <w:t xml:space="preserve"> </w:t>
      </w:r>
      <w:r>
        <w:rPr>
          <w:highlight w:val="yellow"/>
        </w:rPr>
        <w:t>sup</w:t>
      </w:r>
      <w:r>
        <w:t>po</w:t>
      </w:r>
      <w:r>
        <w:rPr>
          <w:highlight w:val="yellow"/>
        </w:rPr>
        <w:t>r</w:t>
      </w:r>
      <w:r>
        <w:t>t real-time data</w:t>
      </w:r>
      <w:r>
        <w:rPr>
          <w:highlight w:val="yellow"/>
        </w:rPr>
        <w:t xml:space="preserve"> collection</w:t>
      </w:r>
      <w:r>
        <w:t xml:space="preserve">, </w:t>
      </w:r>
      <w:r>
        <w:rPr>
          <w:highlight w:val="yellow"/>
        </w:rPr>
        <w:t>reduce</w:t>
      </w:r>
      <w:r>
        <w:t xml:space="preserve"> manual processes and </w:t>
      </w:r>
      <w:r>
        <w:rPr>
          <w:highlight w:val="yellow"/>
        </w:rPr>
        <w:t>i</w:t>
      </w:r>
      <w:r>
        <w:t>m</w:t>
      </w:r>
      <w:r>
        <w:rPr>
          <w:highlight w:val="yellow"/>
        </w:rPr>
        <w:t>prove</w:t>
      </w:r>
      <w:r>
        <w:t xml:space="preserve"> the</w:t>
      </w:r>
      <w:r>
        <w:rPr>
          <w:highlight w:val="yellow"/>
        </w:rPr>
        <w:t xml:space="preserve"> responsiveness of</w:t>
      </w:r>
      <w:r>
        <w:t xml:space="preserve"> project management. This interpretation is consistent with the need for greater broadband connectivity reported by the Broadband Commission for Sustainable Development (2019) and the internet and interoperability constraints documented in Homa Bay County (Chepkirui et al., 2025). In Kenya</w:t>
      </w:r>
      <w:r>
        <w:rPr>
          <w:highlight w:val="yellow"/>
        </w:rPr>
        <w:t>'s</w:t>
      </w:r>
      <w:r>
        <w:t xml:space="preserve"> devolved health sector, these</w:t>
      </w:r>
      <w:r>
        <w:rPr>
          <w:highlight w:val="yellow"/>
        </w:rPr>
        <w:t xml:space="preserve"> f</w:t>
      </w:r>
      <w:r>
        <w:t>in</w:t>
      </w:r>
      <w:r>
        <w:rPr>
          <w:highlight w:val="yellow"/>
        </w:rPr>
        <w:t>ding</w:t>
      </w:r>
      <w:r>
        <w:t xml:space="preserve">s </w:t>
      </w:r>
      <w:r>
        <w:rPr>
          <w:highlight w:val="yellow"/>
        </w:rPr>
        <w:t>und</w:t>
      </w:r>
      <w:r>
        <w:t>e</w:t>
      </w:r>
      <w:r>
        <w:rPr>
          <w:highlight w:val="yellow"/>
        </w:rPr>
        <w:t>r</w:t>
      </w:r>
      <w:r>
        <w:t>li</w:t>
      </w:r>
      <w:r>
        <w:rPr>
          <w:highlight w:val="yellow"/>
        </w:rPr>
        <w:t>n</w:t>
      </w:r>
      <w:r>
        <w:t>e th</w:t>
      </w:r>
      <w:r>
        <w:rPr>
          <w:highlight w:val="yellow"/>
        </w:rPr>
        <w:t>e import</w:t>
      </w:r>
      <w:r>
        <w:t>a</w:t>
      </w:r>
      <w:r>
        <w:rPr>
          <w:highlight w:val="yellow"/>
        </w:rPr>
        <w:t>nce of</w:t>
      </w:r>
      <w:r>
        <w:t xml:space="preserve"> infrastructural preparedness for automation.</w:t>
      </w:r>
    </w:p>
    <w:p w14:paraId="624B7E13" w14:textId="77777777" w:rsidR="00946C83" w:rsidRDefault="00000000">
      <w:pPr>
        <w:pStyle w:val="NormalWeb"/>
        <w:spacing w:before="0" w:after="160" w:line="360" w:lineRule="auto"/>
        <w:jc w:val="both"/>
      </w:pPr>
      <w:proofErr w:type="spellStart"/>
      <w:r>
        <w:t>Organisational</w:t>
      </w:r>
      <w:proofErr w:type="spellEnd"/>
      <w:r>
        <w:t xml:space="preserve"> factors also had a positive</w:t>
      </w:r>
      <w:r>
        <w:rPr>
          <w:highlight w:val="yellow"/>
        </w:rPr>
        <w:t>,</w:t>
      </w:r>
      <w:r>
        <w:t xml:space="preserve"> statistically significant </w:t>
      </w:r>
      <w:r>
        <w:rPr>
          <w:highlight w:val="yellow"/>
        </w:rPr>
        <w:t>assoc</w:t>
      </w:r>
      <w:r>
        <w:t>i</w:t>
      </w:r>
      <w:r>
        <w:rPr>
          <w:highlight w:val="yellow"/>
        </w:rPr>
        <w:t>atio</w:t>
      </w:r>
      <w:r>
        <w:t>n on the level of automation (B = 0.383; p = 0.000). Specifically, a one-unit in</w:t>
      </w:r>
      <w:r>
        <w:rPr>
          <w:highlight w:val="yellow"/>
        </w:rPr>
        <w:t>crease</w:t>
      </w:r>
      <w:r>
        <w:t xml:space="preserve"> in </w:t>
      </w:r>
      <w:proofErr w:type="spellStart"/>
      <w:r>
        <w:t>or</w:t>
      </w:r>
      <w:r>
        <w:rPr>
          <w:highlight w:val="yellow"/>
        </w:rPr>
        <w:t>g</w:t>
      </w:r>
      <w:r>
        <w:t>anisation</w:t>
      </w:r>
      <w:r>
        <w:rPr>
          <w:highlight w:val="yellow"/>
        </w:rPr>
        <w:t>al</w:t>
      </w:r>
      <w:proofErr w:type="spellEnd"/>
      <w:r>
        <w:rPr>
          <w:highlight w:val="yellow"/>
        </w:rPr>
        <w:t xml:space="preserve"> factors</w:t>
      </w:r>
      <w:r>
        <w:t xml:space="preserve"> corresponded to a 0.383</w:t>
      </w:r>
      <w:r>
        <w:rPr>
          <w:highlight w:val="yellow"/>
        </w:rPr>
        <w:t>-</w:t>
      </w:r>
      <w:r>
        <w:t xml:space="preserve">unit </w:t>
      </w:r>
      <w:r>
        <w:rPr>
          <w:highlight w:val="yellow"/>
        </w:rPr>
        <w:t>inc</w:t>
      </w:r>
      <w:r>
        <w:t>r</w:t>
      </w:r>
      <w:r>
        <w:rPr>
          <w:highlight w:val="yellow"/>
        </w:rPr>
        <w:t>ea</w:t>
      </w:r>
      <w:r>
        <w:t xml:space="preserve">se in automation.  In relation to the second specific objective, the findings show that institutional readiness and </w:t>
      </w:r>
      <w:proofErr w:type="spellStart"/>
      <w:r>
        <w:t>organisational</w:t>
      </w:r>
      <w:proofErr w:type="spellEnd"/>
      <w:r>
        <w:t xml:space="preserve"> culture are central to M&amp;E automation because they influence how facilities manage resistance to change and invest in digital transition. This interpretation is consistent with the organisational and health-system barriers to digital-health implementation identified by Yew et al. (2025). </w:t>
      </w:r>
      <w:proofErr w:type="spellStart"/>
      <w:r>
        <w:rPr>
          <w:highlight w:val="yellow"/>
        </w:rPr>
        <w:t>O</w:t>
      </w:r>
      <w:r>
        <w:t>rganisational</w:t>
      </w:r>
      <w:proofErr w:type="spellEnd"/>
      <w:r>
        <w:t xml:space="preserve"> commitment </w:t>
      </w:r>
      <w:r>
        <w:rPr>
          <w:highlight w:val="yellow"/>
        </w:rPr>
        <w:t>may</w:t>
      </w:r>
      <w:r>
        <w:t xml:space="preserve"> the</w:t>
      </w:r>
      <w:r>
        <w:rPr>
          <w:highlight w:val="yellow"/>
        </w:rPr>
        <w:t>refore help translate technological resources into sustained M&amp;E automation in Nakuru County</w:t>
      </w:r>
      <w:r>
        <w:t xml:space="preserve"> health projects.</w:t>
      </w:r>
    </w:p>
    <w:p w14:paraId="05307BD1" w14:textId="77777777" w:rsidR="00946C83" w:rsidRDefault="00000000">
      <w:pPr>
        <w:pStyle w:val="NormalWeb"/>
        <w:spacing w:before="0" w:after="160" w:line="360" w:lineRule="auto"/>
        <w:jc w:val="both"/>
      </w:pPr>
      <w:r>
        <w:lastRenderedPageBreak/>
        <w:t xml:space="preserve">The policy-regulatory environment </w:t>
      </w:r>
      <w:r>
        <w:rPr>
          <w:highlight w:val="yellow"/>
        </w:rPr>
        <w:t>sh</w:t>
      </w:r>
      <w:r>
        <w:t>o</w:t>
      </w:r>
      <w:r>
        <w:rPr>
          <w:highlight w:val="yellow"/>
        </w:rPr>
        <w:t>w</w:t>
      </w:r>
      <w:r>
        <w:t xml:space="preserve">ed a positive </w:t>
      </w:r>
      <w:r>
        <w:rPr>
          <w:highlight w:val="yellow"/>
        </w:rPr>
        <w:t>bu</w:t>
      </w:r>
      <w:r>
        <w:t xml:space="preserve">t statistically </w:t>
      </w:r>
      <w:r>
        <w:rPr>
          <w:highlight w:val="yellow"/>
        </w:rPr>
        <w:t>insig</w:t>
      </w:r>
      <w:r>
        <w:t>ni</w:t>
      </w:r>
      <w:r>
        <w:rPr>
          <w:highlight w:val="yellow"/>
        </w:rPr>
        <w:t>fic</w:t>
      </w:r>
      <w:r>
        <w:t xml:space="preserve">ant </w:t>
      </w:r>
      <w:r>
        <w:rPr>
          <w:highlight w:val="yellow"/>
        </w:rPr>
        <w:t>asso</w:t>
      </w:r>
      <w:r>
        <w:t>c</w:t>
      </w:r>
      <w:r>
        <w:rPr>
          <w:highlight w:val="yellow"/>
        </w:rPr>
        <w:t>ia</w:t>
      </w:r>
      <w:r>
        <w:t>t</w:t>
      </w:r>
      <w:r>
        <w:rPr>
          <w:highlight w:val="yellow"/>
        </w:rPr>
        <w:t>ion</w:t>
      </w:r>
      <w:r>
        <w:t xml:space="preserve"> on automation (B = 0.125; p = 0.165). </w:t>
      </w:r>
      <w:r>
        <w:rPr>
          <w:highlight w:val="yellow"/>
        </w:rPr>
        <w:t>A</w:t>
      </w:r>
      <w:r>
        <w:t xml:space="preserve"> one-unit in</w:t>
      </w:r>
      <w:r>
        <w:rPr>
          <w:highlight w:val="yellow"/>
        </w:rPr>
        <w:t>crease</w:t>
      </w:r>
      <w:r>
        <w:t xml:space="preserve"> </w:t>
      </w:r>
      <w:r>
        <w:rPr>
          <w:highlight w:val="yellow"/>
        </w:rPr>
        <w:t>in</w:t>
      </w:r>
      <w:r>
        <w:t xml:space="preserve"> the p</w:t>
      </w:r>
      <w:r>
        <w:rPr>
          <w:highlight w:val="yellow"/>
        </w:rPr>
        <w:t>olicy-r</w:t>
      </w:r>
      <w:r>
        <w:t>e</w:t>
      </w:r>
      <w:r>
        <w:rPr>
          <w:highlight w:val="yellow"/>
        </w:rPr>
        <w:t>gulato</w:t>
      </w:r>
      <w:r>
        <w:t>r</w:t>
      </w:r>
      <w:r>
        <w:rPr>
          <w:highlight w:val="yellow"/>
        </w:rPr>
        <w:t>y</w:t>
      </w:r>
      <w:r>
        <w:t xml:space="preserve"> e</w:t>
      </w:r>
      <w:r>
        <w:rPr>
          <w:highlight w:val="yellow"/>
        </w:rPr>
        <w:t>nv</w:t>
      </w:r>
      <w:r>
        <w:t>i</w:t>
      </w:r>
      <w:r>
        <w:rPr>
          <w:highlight w:val="yellow"/>
        </w:rPr>
        <w:t>r</w:t>
      </w:r>
      <w:r>
        <w:t>on</w:t>
      </w:r>
      <w:r>
        <w:rPr>
          <w:highlight w:val="yellow"/>
        </w:rPr>
        <w:t>men</w:t>
      </w:r>
      <w:r>
        <w:t>t measure</w:t>
      </w:r>
      <w:r>
        <w:rPr>
          <w:highlight w:val="yellow"/>
        </w:rPr>
        <w:t xml:space="preserve"> wa</w:t>
      </w:r>
      <w:r>
        <w:t xml:space="preserve">s </w:t>
      </w:r>
      <w:r>
        <w:rPr>
          <w:highlight w:val="yellow"/>
        </w:rPr>
        <w:t>associ</w:t>
      </w:r>
      <w:r>
        <w:t xml:space="preserve">ated with a 0.125-unit </w:t>
      </w:r>
      <w:r>
        <w:rPr>
          <w:highlight w:val="yellow"/>
        </w:rPr>
        <w:t>inc</w:t>
      </w:r>
      <w:r>
        <w:t>r</w:t>
      </w:r>
      <w:r>
        <w:rPr>
          <w:highlight w:val="yellow"/>
        </w:rPr>
        <w:t>ea</w:t>
      </w:r>
      <w:r>
        <w:t>se in automation</w:t>
      </w:r>
      <w:r>
        <w:rPr>
          <w:highlight w:val="yellow"/>
        </w:rPr>
        <w:t>, although this association was not statistically significant</w:t>
      </w:r>
      <w:r>
        <w:t xml:space="preserve">. The finding addresses the third specific objective on the role of policy and regulatory frameworks in M&amp;E automation. Although such frameworks provide guidance, their </w:t>
      </w:r>
      <w:r>
        <w:rPr>
          <w:highlight w:val="yellow"/>
        </w:rPr>
        <w:t>measu</w:t>
      </w:r>
      <w:r>
        <w:t>re</w:t>
      </w:r>
      <w:r>
        <w:rPr>
          <w:highlight w:val="yellow"/>
        </w:rPr>
        <w:t>d independ</w:t>
      </w:r>
      <w:r>
        <w:t xml:space="preserve">ent </w:t>
      </w:r>
      <w:r>
        <w:rPr>
          <w:highlight w:val="yellow"/>
        </w:rPr>
        <w:t>asso</w:t>
      </w:r>
      <w:r>
        <w:t>c</w:t>
      </w:r>
      <w:r>
        <w:rPr>
          <w:highlight w:val="yellow"/>
        </w:rPr>
        <w:t>ia</w:t>
      </w:r>
      <w:r>
        <w:t>t</w:t>
      </w:r>
      <w:r>
        <w:rPr>
          <w:highlight w:val="yellow"/>
        </w:rPr>
        <w:t>ion with automation</w:t>
      </w:r>
      <w:r>
        <w:t xml:space="preserve"> in Nakuru </w:t>
      </w:r>
      <w:r>
        <w:rPr>
          <w:highlight w:val="yellow"/>
        </w:rPr>
        <w:t>wa</w:t>
      </w:r>
      <w:r>
        <w:t>s not</w:t>
      </w:r>
      <w:r>
        <w:rPr>
          <w:highlight w:val="yellow"/>
        </w:rPr>
        <w:t xml:space="preserve"> statistically</w:t>
      </w:r>
      <w:r>
        <w:t xml:space="preserve"> significant, possibly because enforcement is weak, national and county systems are poorly integrated, or the policies do not reflect conditions on the ground. This outcome is </w:t>
      </w:r>
      <w:r>
        <w:rPr>
          <w:highlight w:val="yellow"/>
        </w:rPr>
        <w:t>cons</w:t>
      </w:r>
      <w:r>
        <w:t>i</w:t>
      </w:r>
      <w:r>
        <w:rPr>
          <w:highlight w:val="yellow"/>
        </w:rPr>
        <w:t>ste</w:t>
      </w:r>
      <w:r>
        <w:t>n</w:t>
      </w:r>
      <w:r>
        <w:rPr>
          <w:highlight w:val="yellow"/>
        </w:rPr>
        <w:t>t</w:t>
      </w:r>
      <w:r>
        <w:t xml:space="preserve"> with </w:t>
      </w:r>
      <w:r>
        <w:rPr>
          <w:highlight w:val="yellow"/>
        </w:rPr>
        <w:t>conc</w:t>
      </w:r>
      <w:r>
        <w:t>e</w:t>
      </w:r>
      <w:r>
        <w:rPr>
          <w:highlight w:val="yellow"/>
        </w:rPr>
        <w:t>rns</w:t>
      </w:r>
      <w:r>
        <w:t xml:space="preserve"> </w:t>
      </w:r>
      <w:r>
        <w:rPr>
          <w:highlight w:val="yellow"/>
        </w:rPr>
        <w:t>ra</w:t>
      </w:r>
      <w:r>
        <w:t xml:space="preserve">ised by Mburu and Kamau (2018) </w:t>
      </w:r>
      <w:r>
        <w:rPr>
          <w:highlight w:val="yellow"/>
        </w:rPr>
        <w:t>ab</w:t>
      </w:r>
      <w:r>
        <w:t>o</w:t>
      </w:r>
      <w:r>
        <w:rPr>
          <w:highlight w:val="yellow"/>
        </w:rPr>
        <w:t>ut</w:t>
      </w:r>
      <w:r>
        <w:t xml:space="preserve"> policy gaps and coordination </w:t>
      </w:r>
      <w:r>
        <w:rPr>
          <w:highlight w:val="yellow"/>
        </w:rPr>
        <w:t xml:space="preserve">challenges </w:t>
      </w:r>
      <w:r>
        <w:t>and</w:t>
      </w:r>
      <w:r>
        <w:rPr>
          <w:highlight w:val="yellow"/>
        </w:rPr>
        <w:t xml:space="preserve"> by</w:t>
      </w:r>
      <w:r>
        <w:t xml:space="preserve"> </w:t>
      </w:r>
      <w:proofErr w:type="spellStart"/>
      <w:r>
        <w:t>Oware</w:t>
      </w:r>
      <w:proofErr w:type="spellEnd"/>
      <w:r>
        <w:rPr>
          <w:highlight w:val="yellow"/>
        </w:rPr>
        <w:t xml:space="preserve"> et al.</w:t>
      </w:r>
      <w:r>
        <w:t xml:space="preserve"> (2025), whose qualitative study of </w:t>
      </w:r>
      <w:r>
        <w:rPr>
          <w:highlight w:val="yellow"/>
        </w:rPr>
        <w:t>15</w:t>
      </w:r>
      <w:r>
        <w:t xml:space="preserve"> counties</w:t>
      </w:r>
      <w:r>
        <w:rPr>
          <w:highlight w:val="yellow"/>
        </w:rPr>
        <w:t>,</w:t>
      </w:r>
      <w:r>
        <w:t xml:space="preserve"> including Nakuru</w:t>
      </w:r>
      <w:r>
        <w:rPr>
          <w:highlight w:val="yellow"/>
        </w:rPr>
        <w:t>,</w:t>
      </w:r>
      <w:r>
        <w:t xml:space="preserve"> </w:t>
      </w:r>
      <w:r>
        <w:rPr>
          <w:highlight w:val="yellow"/>
        </w:rPr>
        <w:t>identifi</w:t>
      </w:r>
      <w:r>
        <w:t xml:space="preserve">ed perceptions of poor DHIS2 data quality and </w:t>
      </w:r>
      <w:proofErr w:type="spellStart"/>
      <w:r>
        <w:t>underutilisation</w:t>
      </w:r>
      <w:proofErr w:type="spellEnd"/>
      <w:r>
        <w:t xml:space="preserve"> in primary healthcare and RMNCAH+N </w:t>
      </w:r>
      <w:proofErr w:type="spellStart"/>
      <w:r>
        <w:t>programmes</w:t>
      </w:r>
      <w:proofErr w:type="spellEnd"/>
      <w:r>
        <w:rPr>
          <w:highlight w:val="yellow"/>
        </w:rPr>
        <w:t>.</w:t>
      </w:r>
      <w:r>
        <w:t xml:space="preserve"> </w:t>
      </w:r>
      <w:r>
        <w:rPr>
          <w:highlight w:val="yellow"/>
        </w:rPr>
        <w:t>T</w:t>
      </w:r>
      <w:r>
        <w:t>h</w:t>
      </w:r>
      <w:r>
        <w:rPr>
          <w:highlight w:val="yellow"/>
        </w:rPr>
        <w:t>es</w:t>
      </w:r>
      <w:r>
        <w:t xml:space="preserve">e </w:t>
      </w:r>
      <w:r>
        <w:rPr>
          <w:highlight w:val="yellow"/>
        </w:rPr>
        <w:t>fi</w:t>
      </w:r>
      <w:r>
        <w:t xml:space="preserve">ndings </w:t>
      </w:r>
      <w:r>
        <w:rPr>
          <w:highlight w:val="yellow"/>
        </w:rPr>
        <w:t>may indica</w:t>
      </w:r>
      <w:r>
        <w:t>te</w:t>
      </w:r>
      <w:r>
        <w:rPr>
          <w:highlight w:val="yellow"/>
        </w:rPr>
        <w:t xml:space="preserve"> a gap between policy intentions and implementation in Kenya's</w:t>
      </w:r>
      <w:r>
        <w:t xml:space="preserve"> de</w:t>
      </w:r>
      <w:r>
        <w:rPr>
          <w:highlight w:val="yellow"/>
        </w:rPr>
        <w:t>vo</w:t>
      </w:r>
      <w:r>
        <w:t>l</w:t>
      </w:r>
      <w:r>
        <w:rPr>
          <w:highlight w:val="yellow"/>
        </w:rPr>
        <w:t>v</w:t>
      </w:r>
      <w:r>
        <w:t>ed health system.</w:t>
      </w:r>
    </w:p>
    <w:p w14:paraId="300ABD65" w14:textId="77777777" w:rsidR="00946C83" w:rsidRDefault="00000000">
      <w:pPr>
        <w:pStyle w:val="NormalWeb"/>
        <w:spacing w:before="0" w:after="160" w:line="360" w:lineRule="auto"/>
        <w:jc w:val="both"/>
      </w:pPr>
      <w:r>
        <w:t xml:space="preserve">Human capacity, measured through ICT skills, digital literacy, exposure to training and attitudes towards technology, had a positive but statistically insignificant </w:t>
      </w:r>
      <w:r>
        <w:rPr>
          <w:highlight w:val="yellow"/>
        </w:rPr>
        <w:t>asso</w:t>
      </w:r>
      <w:r>
        <w:t>c</w:t>
      </w:r>
      <w:r>
        <w:rPr>
          <w:highlight w:val="yellow"/>
        </w:rPr>
        <w:t>ia</w:t>
      </w:r>
      <w:r>
        <w:t>t</w:t>
      </w:r>
      <w:r>
        <w:rPr>
          <w:highlight w:val="yellow"/>
        </w:rPr>
        <w:t>ion</w:t>
      </w:r>
      <w:r>
        <w:t xml:space="preserve"> (B = 0.055; p = 0.378). </w:t>
      </w:r>
      <w:r>
        <w:rPr>
          <w:highlight w:val="yellow"/>
        </w:rPr>
        <w:t>A on</w:t>
      </w:r>
      <w:r>
        <w:t>e</w:t>
      </w:r>
      <w:r>
        <w:rPr>
          <w:highlight w:val="yellow"/>
        </w:rPr>
        <w:t>-unit</w:t>
      </w:r>
      <w:r>
        <w:t xml:space="preserve"> incre</w:t>
      </w:r>
      <w:r>
        <w:rPr>
          <w:highlight w:val="yellow"/>
        </w:rPr>
        <w:t>as</w:t>
      </w:r>
      <w:r>
        <w:t>e</w:t>
      </w:r>
      <w:r>
        <w:rPr>
          <w:highlight w:val="yellow"/>
        </w:rPr>
        <w:t xml:space="preserve"> i</w:t>
      </w:r>
      <w:r>
        <w:t xml:space="preserve">n human capacity </w:t>
      </w:r>
      <w:r>
        <w:rPr>
          <w:highlight w:val="yellow"/>
        </w:rPr>
        <w:t>was</w:t>
      </w:r>
      <w:r>
        <w:t xml:space="preserve"> a</w:t>
      </w:r>
      <w:r>
        <w:rPr>
          <w:highlight w:val="yellow"/>
        </w:rPr>
        <w:t>ssoc</w:t>
      </w:r>
      <w:r>
        <w:t>iate</w:t>
      </w:r>
      <w:r>
        <w:rPr>
          <w:highlight w:val="yellow"/>
        </w:rPr>
        <w:t>d</w:t>
      </w:r>
      <w:r>
        <w:t xml:space="preserve"> with </w:t>
      </w:r>
      <w:r>
        <w:rPr>
          <w:highlight w:val="yellow"/>
        </w:rPr>
        <w:t>a</w:t>
      </w:r>
      <w:r>
        <w:t xml:space="preserve"> </w:t>
      </w:r>
      <w:r>
        <w:rPr>
          <w:highlight w:val="yellow"/>
        </w:rPr>
        <w:t>0.055-u</w:t>
      </w:r>
      <w:r>
        <w:t>nit increase in automation</w:t>
      </w:r>
      <w:r>
        <w:rPr>
          <w:highlight w:val="yellow"/>
        </w:rPr>
        <w:t>,</w:t>
      </w:r>
      <w:r>
        <w:t xml:space="preserve"> </w:t>
      </w:r>
      <w:r>
        <w:rPr>
          <w:highlight w:val="yellow"/>
        </w:rPr>
        <w:t>although this association was not statisticall</w:t>
      </w:r>
      <w:r>
        <w:t xml:space="preserve">y </w:t>
      </w:r>
      <w:r>
        <w:rPr>
          <w:highlight w:val="yellow"/>
        </w:rPr>
        <w:t>sig</w:t>
      </w:r>
      <w:r>
        <w:t>ni</w:t>
      </w:r>
      <w:r>
        <w:rPr>
          <w:highlight w:val="yellow"/>
        </w:rPr>
        <w:t>fican</w:t>
      </w:r>
      <w:r>
        <w:t xml:space="preserve">t. The result answers the fourth specific objective on stakeholder perceptions and attitudes towards automated M&amp;E systems. In Nakuru, staff competence and attitudes did not </w:t>
      </w:r>
      <w:r>
        <w:rPr>
          <w:highlight w:val="yellow"/>
        </w:rPr>
        <w:t>s</w:t>
      </w:r>
      <w:r>
        <w:t>h</w:t>
      </w:r>
      <w:r>
        <w:rPr>
          <w:highlight w:val="yellow"/>
        </w:rPr>
        <w:t>ow</w:t>
      </w:r>
      <w:r>
        <w:t xml:space="preserve"> an independent</w:t>
      </w:r>
      <w:r>
        <w:rPr>
          <w:highlight w:val="yellow"/>
        </w:rPr>
        <w:t>,</w:t>
      </w:r>
      <w:r>
        <w:t xml:space="preserve"> statistically significant </w:t>
      </w:r>
      <w:r>
        <w:rPr>
          <w:highlight w:val="yellow"/>
        </w:rPr>
        <w:t>asso</w:t>
      </w:r>
      <w:r>
        <w:t>c</w:t>
      </w:r>
      <w:r>
        <w:rPr>
          <w:highlight w:val="yellow"/>
        </w:rPr>
        <w:t>ia</w:t>
      </w:r>
      <w:r>
        <w:t>t</w:t>
      </w:r>
      <w:r>
        <w:rPr>
          <w:highlight w:val="yellow"/>
        </w:rPr>
        <w:t>ion</w:t>
      </w:r>
      <w:r>
        <w:t xml:space="preserve"> after controlling for infrastructure and </w:t>
      </w:r>
      <w:proofErr w:type="spellStart"/>
      <w:r>
        <w:t>organisational</w:t>
      </w:r>
      <w:proofErr w:type="spellEnd"/>
      <w:r>
        <w:t xml:space="preserve"> variables. Although earlier research highlights digital literacy, awareness and training as implementation considerations (Yew et al., 2025), the present analysis did not identify an independent, statistically significant association for human capacity. Th</w:t>
      </w:r>
      <w:r>
        <w:rPr>
          <w:highlight w:val="yellow"/>
        </w:rPr>
        <w:t>e</w:t>
      </w:r>
      <w:r>
        <w:t xml:space="preserve"> finding </w:t>
      </w:r>
      <w:r>
        <w:rPr>
          <w:highlight w:val="yellow"/>
        </w:rPr>
        <w:t>s</w:t>
      </w:r>
      <w:r>
        <w:t>u</w:t>
      </w:r>
      <w:r>
        <w:rPr>
          <w:highlight w:val="yellow"/>
        </w:rPr>
        <w:t>gg</w:t>
      </w:r>
      <w:r>
        <w:t>est</w:t>
      </w:r>
      <w:r>
        <w:rPr>
          <w:highlight w:val="yellow"/>
        </w:rPr>
        <w:t>s</w:t>
      </w:r>
      <w:r>
        <w:t xml:space="preserve"> that</w:t>
      </w:r>
      <w:r>
        <w:rPr>
          <w:highlight w:val="yellow"/>
        </w:rPr>
        <w:t xml:space="preserve"> efforts to strengthen human</w:t>
      </w:r>
      <w:r>
        <w:t xml:space="preserve"> capacity m</w:t>
      </w:r>
      <w:r>
        <w:rPr>
          <w:highlight w:val="yellow"/>
        </w:rPr>
        <w:t>ay benef</w:t>
      </w:r>
      <w:r>
        <w:t>it</w:t>
      </w:r>
      <w:r>
        <w:rPr>
          <w:highlight w:val="yellow"/>
        </w:rPr>
        <w:t xml:space="preserve"> from integr</w:t>
      </w:r>
      <w:r>
        <w:t xml:space="preserve">ation with infrastructural and </w:t>
      </w:r>
      <w:proofErr w:type="spellStart"/>
      <w:r>
        <w:t>organisational</w:t>
      </w:r>
      <w:proofErr w:type="spellEnd"/>
      <w:r>
        <w:t xml:space="preserve"> </w:t>
      </w:r>
      <w:r>
        <w:rPr>
          <w:highlight w:val="yellow"/>
        </w:rPr>
        <w:t>i</w:t>
      </w:r>
      <w:r>
        <w:t>mpro</w:t>
      </w:r>
      <w:r>
        <w:rPr>
          <w:highlight w:val="yellow"/>
        </w:rPr>
        <w:t>v</w:t>
      </w:r>
      <w:r>
        <w:t>e</w:t>
      </w:r>
      <w:r>
        <w:rPr>
          <w:highlight w:val="yellow"/>
        </w:rPr>
        <w:t>ment</w:t>
      </w:r>
      <w:r>
        <w:t>s</w:t>
      </w:r>
      <w:r>
        <w:rPr>
          <w:highlight w:val="yellow"/>
        </w:rPr>
        <w:t xml:space="preserve"> rath</w:t>
      </w:r>
      <w:r>
        <w:t>e</w:t>
      </w:r>
      <w:r>
        <w:rPr>
          <w:highlight w:val="yellow"/>
        </w:rPr>
        <w:t>r</w:t>
      </w:r>
      <w:r>
        <w:t xml:space="preserve"> than r</w:t>
      </w:r>
      <w:r>
        <w:rPr>
          <w:highlight w:val="yellow"/>
        </w:rPr>
        <w:t xml:space="preserve">elying </w:t>
      </w:r>
      <w:r>
        <w:t>o</w:t>
      </w:r>
      <w:r>
        <w:rPr>
          <w:highlight w:val="yellow"/>
        </w:rPr>
        <w:t>n</w:t>
      </w:r>
      <w:r>
        <w:t xml:space="preserve"> training </w:t>
      </w:r>
      <w:proofErr w:type="spellStart"/>
      <w:r>
        <w:t>programmes</w:t>
      </w:r>
      <w:proofErr w:type="spellEnd"/>
      <w:r>
        <w:rPr>
          <w:highlight w:val="yellow"/>
        </w:rPr>
        <w:t xml:space="preserve"> alone</w:t>
      </w:r>
      <w:r>
        <w:t>.</w:t>
      </w:r>
    </w:p>
    <w:p w14:paraId="27109593" w14:textId="77777777" w:rsidR="00946C83" w:rsidRDefault="00000000">
      <w:pPr>
        <w:pStyle w:val="Heading1"/>
        <w:spacing w:before="0" w:after="160" w:line="360" w:lineRule="auto"/>
      </w:pPr>
      <w:r>
        <w:rPr>
          <w:rFonts w:ascii="Times New Roman" w:hAnsi="Times New Roman"/>
          <w:color w:val="000000"/>
          <w:sz w:val="24"/>
          <w:szCs w:val="24"/>
        </w:rPr>
        <w:t>5.1 Conclusion</w:t>
      </w:r>
    </w:p>
    <w:p w14:paraId="4246DFA0" w14:textId="77777777" w:rsidR="00946C83" w:rsidRDefault="00000000">
      <w:pPr>
        <w:pStyle w:val="NormalWeb"/>
        <w:spacing w:before="0" w:after="160" w:line="360" w:lineRule="auto"/>
        <w:jc w:val="both"/>
      </w:pPr>
      <w:r>
        <w:rPr>
          <w:highlight w:val="yellow"/>
        </w:rPr>
        <w:t>T</w:t>
      </w:r>
      <w:r>
        <w:t>he empirical findings in</w:t>
      </w:r>
      <w:r>
        <w:rPr>
          <w:highlight w:val="yellow"/>
        </w:rPr>
        <w:t>d</w:t>
      </w:r>
      <w:r>
        <w:t>i</w:t>
      </w:r>
      <w:r>
        <w:rPr>
          <w:highlight w:val="yellow"/>
        </w:rPr>
        <w:t>ca</w:t>
      </w:r>
      <w:r>
        <w:t>te a positive</w:t>
      </w:r>
      <w:r>
        <w:rPr>
          <w:highlight w:val="yellow"/>
        </w:rPr>
        <w:t>, statistical</w:t>
      </w:r>
      <w:r>
        <w:t xml:space="preserve">ly significant </w:t>
      </w:r>
      <w:r>
        <w:rPr>
          <w:highlight w:val="yellow"/>
        </w:rPr>
        <w:t>assoc</w:t>
      </w:r>
      <w:r>
        <w:t>i</w:t>
      </w:r>
      <w:r>
        <w:rPr>
          <w:highlight w:val="yellow"/>
        </w:rPr>
        <w:t>atio</w:t>
      </w:r>
      <w:r>
        <w:t>n</w:t>
      </w:r>
      <w:r>
        <w:rPr>
          <w:highlight w:val="yellow"/>
        </w:rPr>
        <w:t xml:space="preserve"> betwe</w:t>
      </w:r>
      <w:r>
        <w:t>en technological infrastructure a</w:t>
      </w:r>
      <w:r>
        <w:rPr>
          <w:highlight w:val="yellow"/>
        </w:rPr>
        <w:t>nd M&amp;E syst</w:t>
      </w:r>
      <w:r>
        <w:t>e</w:t>
      </w:r>
      <w:r>
        <w:rPr>
          <w:highlight w:val="yellow"/>
        </w:rPr>
        <w:t>m</w:t>
      </w:r>
      <w:r>
        <w:t xml:space="preserve"> a</w:t>
      </w:r>
      <w:r>
        <w:rPr>
          <w:highlight w:val="yellow"/>
        </w:rPr>
        <w:t>u</w:t>
      </w:r>
      <w:r>
        <w:t>t</w:t>
      </w:r>
      <w:r>
        <w:rPr>
          <w:highlight w:val="yellow"/>
        </w:rPr>
        <w:t>oma</w:t>
      </w:r>
      <w:r>
        <w:t>tion</w:t>
      </w:r>
      <w:r>
        <w:rPr>
          <w:highlight w:val="yellow"/>
        </w:rPr>
        <w:t>.</w:t>
      </w:r>
      <w:r>
        <w:t xml:space="preserve"> </w:t>
      </w:r>
      <w:r>
        <w:rPr>
          <w:highlight w:val="yellow"/>
        </w:rPr>
        <w:t>H</w:t>
      </w:r>
      <w:r>
        <w:t xml:space="preserve">ealth institutions in Nakuru </w:t>
      </w:r>
      <w:r>
        <w:lastRenderedPageBreak/>
        <w:t>County wi</w:t>
      </w:r>
      <w:r>
        <w:rPr>
          <w:highlight w:val="yellow"/>
        </w:rPr>
        <w:t>t</w:t>
      </w:r>
      <w:r>
        <w:t xml:space="preserve">h </w:t>
      </w:r>
      <w:r>
        <w:rPr>
          <w:highlight w:val="yellow"/>
        </w:rPr>
        <w:t>b</w:t>
      </w:r>
      <w:r>
        <w:t>e</w:t>
      </w:r>
      <w:r>
        <w:rPr>
          <w:highlight w:val="yellow"/>
        </w:rPr>
        <w:t xml:space="preserve">tter </w:t>
      </w:r>
      <w:r>
        <w:t>a</w:t>
      </w:r>
      <w:r>
        <w:rPr>
          <w:highlight w:val="yellow"/>
        </w:rPr>
        <w:t>c</w:t>
      </w:r>
      <w:r>
        <w:t>ce</w:t>
      </w:r>
      <w:r>
        <w:rPr>
          <w:highlight w:val="yellow"/>
        </w:rPr>
        <w:t>ss to</w:t>
      </w:r>
      <w:r>
        <w:t xml:space="preserve"> hardware and software</w:t>
      </w:r>
      <w:r>
        <w:rPr>
          <w:highlight w:val="yellow"/>
        </w:rPr>
        <w:t>,</w:t>
      </w:r>
      <w:r>
        <w:t xml:space="preserve"> </w:t>
      </w:r>
      <w:r>
        <w:rPr>
          <w:highlight w:val="yellow"/>
        </w:rPr>
        <w:t>reli</w:t>
      </w:r>
      <w:r>
        <w:t>a</w:t>
      </w:r>
      <w:r>
        <w:rPr>
          <w:highlight w:val="yellow"/>
        </w:rPr>
        <w:t>bl</w:t>
      </w:r>
      <w:r>
        <w:t>e internet c</w:t>
      </w:r>
      <w:r>
        <w:rPr>
          <w:highlight w:val="yellow"/>
        </w:rPr>
        <w:t>onne</w:t>
      </w:r>
      <w:r>
        <w:t>c</w:t>
      </w:r>
      <w:r>
        <w:rPr>
          <w:highlight w:val="yellow"/>
        </w:rPr>
        <w:t>tivity</w:t>
      </w:r>
      <w:r>
        <w:t xml:space="preserve"> and inte</w:t>
      </w:r>
      <w:r>
        <w:rPr>
          <w:highlight w:val="yellow"/>
        </w:rPr>
        <w:t>g</w:t>
      </w:r>
      <w:r>
        <w:t>r</w:t>
      </w:r>
      <w:r>
        <w:rPr>
          <w:highlight w:val="yellow"/>
        </w:rPr>
        <w:t>a</w:t>
      </w:r>
      <w:r>
        <w:t xml:space="preserve">tion with systems </w:t>
      </w:r>
      <w:r>
        <w:rPr>
          <w:highlight w:val="yellow"/>
        </w:rPr>
        <w:t>such as</w:t>
      </w:r>
      <w:r>
        <w:t xml:space="preserve"> DHIS2 </w:t>
      </w:r>
      <w:r>
        <w:rPr>
          <w:highlight w:val="yellow"/>
        </w:rPr>
        <w:t>m</w:t>
      </w:r>
      <w:r>
        <w:t>a</w:t>
      </w:r>
      <w:r>
        <w:rPr>
          <w:highlight w:val="yellow"/>
        </w:rPr>
        <w:t>y b</w:t>
      </w:r>
      <w:r>
        <w:t xml:space="preserve">e </w:t>
      </w:r>
      <w:r>
        <w:rPr>
          <w:highlight w:val="yellow"/>
        </w:rPr>
        <w:t>bette</w:t>
      </w:r>
      <w:r>
        <w:t>r position</w:t>
      </w:r>
      <w:r>
        <w:rPr>
          <w:highlight w:val="yellow"/>
        </w:rPr>
        <w:t>ed</w:t>
      </w:r>
      <w:r>
        <w:t xml:space="preserve"> to automat</w:t>
      </w:r>
      <w:r>
        <w:rPr>
          <w:highlight w:val="yellow"/>
        </w:rPr>
        <w:t>e</w:t>
      </w:r>
      <w:r>
        <w:t xml:space="preserve"> M&amp;E </w:t>
      </w:r>
      <w:r>
        <w:rPr>
          <w:highlight w:val="yellow"/>
        </w:rPr>
        <w:t>pro</w:t>
      </w:r>
      <w:r>
        <w:t>c</w:t>
      </w:r>
      <w:r>
        <w:rPr>
          <w:highlight w:val="yellow"/>
        </w:rPr>
        <w:t>es</w:t>
      </w:r>
      <w:r>
        <w:t>se</w:t>
      </w:r>
      <w:r>
        <w:rPr>
          <w:highlight w:val="yellow"/>
        </w:rPr>
        <w:t>s,</w:t>
      </w:r>
      <w:r>
        <w:t xml:space="preserve"> re</w:t>
      </w:r>
      <w:r>
        <w:rPr>
          <w:highlight w:val="yellow"/>
        </w:rPr>
        <w:t>duc</w:t>
      </w:r>
      <w:r>
        <w:t xml:space="preserve">e manual operations and </w:t>
      </w:r>
      <w:r>
        <w:rPr>
          <w:highlight w:val="yellow"/>
        </w:rPr>
        <w:t>support</w:t>
      </w:r>
      <w:r>
        <w:t xml:space="preserve"> project management and decision-making.</w:t>
      </w:r>
    </w:p>
    <w:p w14:paraId="33FDD1F2" w14:textId="77777777" w:rsidR="00946C83" w:rsidRDefault="00000000">
      <w:pPr>
        <w:pStyle w:val="NormalWeb"/>
        <w:spacing w:before="0" w:after="160" w:line="360" w:lineRule="auto"/>
        <w:jc w:val="both"/>
      </w:pPr>
      <w:r>
        <w:rPr>
          <w:highlight w:val="yellow"/>
        </w:rPr>
        <w:t>Human capacity did not s</w:t>
      </w:r>
      <w:r>
        <w:t>h</w:t>
      </w:r>
      <w:r>
        <w:rPr>
          <w:highlight w:val="yellow"/>
        </w:rPr>
        <w:t>ow a</w:t>
      </w:r>
      <w:r>
        <w:t xml:space="preserve"> statistically significant independent </w:t>
      </w:r>
      <w:r>
        <w:rPr>
          <w:highlight w:val="yellow"/>
        </w:rPr>
        <w:t>asso</w:t>
      </w:r>
      <w:r>
        <w:t>c</w:t>
      </w:r>
      <w:r>
        <w:rPr>
          <w:highlight w:val="yellow"/>
        </w:rPr>
        <w:t>ia</w:t>
      </w:r>
      <w:r>
        <w:t>t</w:t>
      </w:r>
      <w:r>
        <w:rPr>
          <w:highlight w:val="yellow"/>
        </w:rPr>
        <w:t>i</w:t>
      </w:r>
      <w:r>
        <w:t xml:space="preserve">on </w:t>
      </w:r>
      <w:r>
        <w:rPr>
          <w:highlight w:val="yellow"/>
        </w:rPr>
        <w:t>w</w:t>
      </w:r>
      <w:r>
        <w:t>it</w:t>
      </w:r>
      <w:r>
        <w:rPr>
          <w:highlight w:val="yellow"/>
        </w:rPr>
        <w:t>h</w:t>
      </w:r>
      <w:r>
        <w:t xml:space="preserve"> the </w:t>
      </w:r>
      <w:r>
        <w:rPr>
          <w:highlight w:val="yellow"/>
        </w:rPr>
        <w:t>l</w:t>
      </w:r>
      <w:r>
        <w:t>e</w:t>
      </w:r>
      <w:r>
        <w:rPr>
          <w:highlight w:val="yellow"/>
        </w:rPr>
        <w:t>v</w:t>
      </w:r>
      <w:r>
        <w:t>e</w:t>
      </w:r>
      <w:r>
        <w:rPr>
          <w:highlight w:val="yellow"/>
        </w:rPr>
        <w:t>l</w:t>
      </w:r>
      <w:r>
        <w:t xml:space="preserve"> of automation. </w:t>
      </w:r>
      <w:r>
        <w:rPr>
          <w:highlight w:val="yellow"/>
        </w:rPr>
        <w:t>In t</w:t>
      </w:r>
      <w:r>
        <w:t xml:space="preserve">his </w:t>
      </w:r>
      <w:r>
        <w:rPr>
          <w:highlight w:val="yellow"/>
        </w:rPr>
        <w:t>setti</w:t>
      </w:r>
      <w:r>
        <w:t>n</w:t>
      </w:r>
      <w:r>
        <w:rPr>
          <w:highlight w:val="yellow"/>
        </w:rPr>
        <w:t>g,</w:t>
      </w:r>
      <w:r>
        <w:t xml:space="preserve"> ICT skills, digital literacy and stakeholder</w:t>
      </w:r>
      <w:r>
        <w:rPr>
          <w:highlight w:val="yellow"/>
        </w:rPr>
        <w:t xml:space="preserve"> attitude</w:t>
      </w:r>
      <w:r>
        <w:t xml:space="preserve">s </w:t>
      </w:r>
      <w:r>
        <w:rPr>
          <w:highlight w:val="yellow"/>
        </w:rPr>
        <w:t>m</w:t>
      </w:r>
      <w:r>
        <w:t>a</w:t>
      </w:r>
      <w:r>
        <w:rPr>
          <w:highlight w:val="yellow"/>
        </w:rPr>
        <w:t>y ope</w:t>
      </w:r>
      <w:r>
        <w:t>rate a</w:t>
      </w:r>
      <w:r>
        <w:rPr>
          <w:highlight w:val="yellow"/>
        </w:rPr>
        <w:t>l</w:t>
      </w:r>
      <w:r>
        <w:t>ongsi</w:t>
      </w:r>
      <w:r>
        <w:rPr>
          <w:highlight w:val="yellow"/>
        </w:rPr>
        <w:t>d</w:t>
      </w:r>
      <w:r>
        <w:t xml:space="preserve">e infrastructural and </w:t>
      </w:r>
      <w:proofErr w:type="spellStart"/>
      <w:r>
        <w:t>organisational</w:t>
      </w:r>
      <w:proofErr w:type="spellEnd"/>
      <w:r>
        <w:t xml:space="preserve"> </w:t>
      </w:r>
      <w:r>
        <w:rPr>
          <w:highlight w:val="yellow"/>
        </w:rPr>
        <w:t>factors. The a</w:t>
      </w:r>
      <w:r>
        <w:t>b</w:t>
      </w:r>
      <w:r>
        <w:rPr>
          <w:highlight w:val="yellow"/>
        </w:rPr>
        <w:t>sence of statistical significance does not negate the potential value of capacity-building activities, particularly when these are supported by adequate infr</w:t>
      </w:r>
      <w:r>
        <w:t>as</w:t>
      </w:r>
      <w:r>
        <w:rPr>
          <w:highlight w:val="yellow"/>
        </w:rPr>
        <w:t>tructur</w:t>
      </w:r>
      <w:r>
        <w:t>e</w:t>
      </w:r>
      <w:r>
        <w:rPr>
          <w:highlight w:val="yellow"/>
        </w:rPr>
        <w:t xml:space="preserve"> and </w:t>
      </w:r>
      <w:proofErr w:type="spellStart"/>
      <w:r>
        <w:rPr>
          <w:highlight w:val="yellow"/>
        </w:rPr>
        <w:t>organisational</w:t>
      </w:r>
      <w:proofErr w:type="spellEnd"/>
      <w:r>
        <w:rPr>
          <w:highlight w:val="yellow"/>
        </w:rPr>
        <w:t xml:space="preserve"> arrangement</w:t>
      </w:r>
      <w:r>
        <w:t>s.</w:t>
      </w:r>
    </w:p>
    <w:p w14:paraId="2B6BFC12" w14:textId="77777777" w:rsidR="00946C83" w:rsidRDefault="00000000">
      <w:pPr>
        <w:pStyle w:val="NormalWeb"/>
        <w:spacing w:before="0" w:after="160" w:line="360" w:lineRule="auto"/>
        <w:jc w:val="both"/>
      </w:pPr>
      <w:proofErr w:type="spellStart"/>
      <w:r>
        <w:rPr>
          <w:highlight w:val="yellow"/>
        </w:rPr>
        <w:t>O</w:t>
      </w:r>
      <w:r>
        <w:t>rganisational</w:t>
      </w:r>
      <w:proofErr w:type="spellEnd"/>
      <w:r>
        <w:t xml:space="preserve"> factors </w:t>
      </w:r>
      <w:r>
        <w:rPr>
          <w:highlight w:val="yellow"/>
        </w:rPr>
        <w:t xml:space="preserve">showed </w:t>
      </w:r>
      <w:r>
        <w:t xml:space="preserve">the </w:t>
      </w:r>
      <w:r>
        <w:rPr>
          <w:highlight w:val="yellow"/>
        </w:rPr>
        <w:t>second-l</w:t>
      </w:r>
      <w:r>
        <w:t>a</w:t>
      </w:r>
      <w:r>
        <w:rPr>
          <w:highlight w:val="yellow"/>
        </w:rPr>
        <w:t>rge</w:t>
      </w:r>
      <w:r>
        <w:t xml:space="preserve">st positive </w:t>
      </w:r>
      <w:r>
        <w:rPr>
          <w:highlight w:val="yellow"/>
        </w:rPr>
        <w:t>regression co</w:t>
      </w:r>
      <w:r>
        <w:t>eff</w:t>
      </w:r>
      <w:r>
        <w:rPr>
          <w:highlight w:val="yellow"/>
        </w:rPr>
        <w:t>ici</w:t>
      </w:r>
      <w:r>
        <w:t>e</w:t>
      </w:r>
      <w:r>
        <w:rPr>
          <w:highlight w:val="yellow"/>
        </w:rPr>
        <w:t>n</w:t>
      </w:r>
      <w:r>
        <w:t xml:space="preserve">t and a statistically significant </w:t>
      </w:r>
      <w:r>
        <w:rPr>
          <w:highlight w:val="yellow"/>
        </w:rPr>
        <w:t>assoc</w:t>
      </w:r>
      <w:r>
        <w:t>i</w:t>
      </w:r>
      <w:r>
        <w:rPr>
          <w:highlight w:val="yellow"/>
        </w:rPr>
        <w:t>ati</w:t>
      </w:r>
      <w:r>
        <w:t xml:space="preserve">on </w:t>
      </w:r>
      <w:r>
        <w:rPr>
          <w:highlight w:val="yellow"/>
        </w:rPr>
        <w:t>wi</w:t>
      </w:r>
      <w:r>
        <w:t xml:space="preserve">th automation. The result </w:t>
      </w:r>
      <w:r>
        <w:rPr>
          <w:highlight w:val="yellow"/>
        </w:rPr>
        <w:t>suggest</w:t>
      </w:r>
      <w:r>
        <w:t xml:space="preserve">s that institutional leadership, change-management practices and resource allocation </w:t>
      </w:r>
      <w:r>
        <w:rPr>
          <w:highlight w:val="yellow"/>
        </w:rPr>
        <w:t>m</w:t>
      </w:r>
      <w:r>
        <w:t>a</w:t>
      </w:r>
      <w:r>
        <w:rPr>
          <w:highlight w:val="yellow"/>
        </w:rPr>
        <w:t>y suppo</w:t>
      </w:r>
      <w:r>
        <w:t>r</w:t>
      </w:r>
      <w:r>
        <w:rPr>
          <w:highlight w:val="yellow"/>
        </w:rPr>
        <w:t>t</w:t>
      </w:r>
      <w:r>
        <w:t xml:space="preserve"> the implement</w:t>
      </w:r>
      <w:r>
        <w:rPr>
          <w:highlight w:val="yellow"/>
        </w:rPr>
        <w:t>at</w:t>
      </w:r>
      <w:r>
        <w:t>i</w:t>
      </w:r>
      <w:r>
        <w:rPr>
          <w:highlight w:val="yellow"/>
        </w:rPr>
        <w:t>o</w:t>
      </w:r>
      <w:r>
        <w:t>n</w:t>
      </w:r>
      <w:r>
        <w:rPr>
          <w:highlight w:val="yellow"/>
        </w:rPr>
        <w:t xml:space="preserve"> of</w:t>
      </w:r>
      <w:r>
        <w:t xml:space="preserve"> automated M&amp;E systems. </w:t>
      </w:r>
      <w:proofErr w:type="spellStart"/>
      <w:r>
        <w:rPr>
          <w:highlight w:val="yellow"/>
        </w:rPr>
        <w:t>O</w:t>
      </w:r>
      <w:r>
        <w:t>rganisational</w:t>
      </w:r>
      <w:proofErr w:type="spellEnd"/>
      <w:r>
        <w:t xml:space="preserve"> structures and culture </w:t>
      </w:r>
      <w:r>
        <w:rPr>
          <w:highlight w:val="yellow"/>
        </w:rPr>
        <w:t>t</w:t>
      </w:r>
      <w:r>
        <w:t>h</w:t>
      </w:r>
      <w:r>
        <w:rPr>
          <w:highlight w:val="yellow"/>
        </w:rPr>
        <w:t>eref</w:t>
      </w:r>
      <w:r>
        <w:t>o</w:t>
      </w:r>
      <w:r>
        <w:rPr>
          <w:highlight w:val="yellow"/>
        </w:rPr>
        <w:t>re warrant partic</w:t>
      </w:r>
      <w:r>
        <w:t>ul</w:t>
      </w:r>
      <w:r>
        <w:rPr>
          <w:highlight w:val="yellow"/>
        </w:rPr>
        <w:t>ar</w:t>
      </w:r>
      <w:r>
        <w:t xml:space="preserve"> considerati</w:t>
      </w:r>
      <w:r>
        <w:rPr>
          <w:highlight w:val="yellow"/>
        </w:rPr>
        <w:t>o</w:t>
      </w:r>
      <w:r>
        <w:t xml:space="preserve">n </w:t>
      </w:r>
      <w:r>
        <w:rPr>
          <w:highlight w:val="yellow"/>
        </w:rPr>
        <w:t>in</w:t>
      </w:r>
      <w:r>
        <w:t xml:space="preserve"> digital transformation ini</w:t>
      </w:r>
      <w:r>
        <w:rPr>
          <w:highlight w:val="yellow"/>
        </w:rPr>
        <w:t>tiativ</w:t>
      </w:r>
      <w:r>
        <w:t>es in Nakuru County</w:t>
      </w:r>
      <w:r>
        <w:rPr>
          <w:highlight w:val="yellow"/>
        </w:rPr>
        <w:t xml:space="preserve"> health projects</w:t>
      </w:r>
      <w:r>
        <w:t>.</w:t>
      </w:r>
    </w:p>
    <w:p w14:paraId="68B1F921" w14:textId="77777777" w:rsidR="00946C83" w:rsidRDefault="00000000">
      <w:pPr>
        <w:pStyle w:val="NormalWeb"/>
        <w:spacing w:before="0" w:after="160" w:line="360" w:lineRule="auto"/>
        <w:jc w:val="both"/>
      </w:pPr>
      <w:r>
        <w:t xml:space="preserve">The policy-regulatory environment </w:t>
      </w:r>
      <w:r>
        <w:rPr>
          <w:highlight w:val="yellow"/>
        </w:rPr>
        <w:t>d</w:t>
      </w:r>
      <w:r>
        <w:t>i</w:t>
      </w:r>
      <w:r>
        <w:rPr>
          <w:highlight w:val="yellow"/>
        </w:rPr>
        <w:t>d</w:t>
      </w:r>
      <w:r>
        <w:t xml:space="preserve"> not</w:t>
      </w:r>
      <w:r>
        <w:rPr>
          <w:highlight w:val="yellow"/>
        </w:rPr>
        <w:t xml:space="preserve"> have a</w:t>
      </w:r>
      <w:r>
        <w:t xml:space="preserve"> statistically significant in</w:t>
      </w:r>
      <w:r>
        <w:rPr>
          <w:highlight w:val="yellow"/>
        </w:rPr>
        <w:t>dependent association with</w:t>
      </w:r>
      <w:r>
        <w:t xml:space="preserve"> the level of automation. This </w:t>
      </w:r>
      <w:r>
        <w:rPr>
          <w:highlight w:val="yellow"/>
        </w:rPr>
        <w:t>may refle</w:t>
      </w:r>
      <w:r>
        <w:t>c</w:t>
      </w:r>
      <w:r>
        <w:rPr>
          <w:highlight w:val="yellow"/>
        </w:rPr>
        <w:t>t</w:t>
      </w:r>
      <w:r>
        <w:t xml:space="preserve"> li</w:t>
      </w:r>
      <w:r>
        <w:rPr>
          <w:highlight w:val="yellow"/>
        </w:rPr>
        <w:t>m</w:t>
      </w:r>
      <w:r>
        <w:t>itation</w:t>
      </w:r>
      <w:r>
        <w:rPr>
          <w:highlight w:val="yellow"/>
        </w:rPr>
        <w:t>s in</w:t>
      </w:r>
      <w:r>
        <w:t xml:space="preserve"> translatin</w:t>
      </w:r>
      <w:r>
        <w:rPr>
          <w:highlight w:val="yellow"/>
        </w:rPr>
        <w:t>g</w:t>
      </w:r>
      <w:r>
        <w:t xml:space="preserve"> digital health policies and regulatory frameworks </w:t>
      </w:r>
      <w:r>
        <w:rPr>
          <w:highlight w:val="yellow"/>
        </w:rPr>
        <w:t>int</w:t>
      </w:r>
      <w:r>
        <w:t xml:space="preserve">o </w:t>
      </w:r>
      <w:r>
        <w:rPr>
          <w:highlight w:val="yellow"/>
        </w:rPr>
        <w:t>opera</w:t>
      </w:r>
      <w:r>
        <w:t>t</w:t>
      </w:r>
      <w:r>
        <w:rPr>
          <w:highlight w:val="yellow"/>
        </w:rPr>
        <w:t>ional practic</w:t>
      </w:r>
      <w:r>
        <w:t>e</w:t>
      </w:r>
      <w:r>
        <w:rPr>
          <w:highlight w:val="yellow"/>
        </w:rPr>
        <w:t xml:space="preserve"> in Nakuru County's</w:t>
      </w:r>
      <w:r>
        <w:t xml:space="preserve"> devolved health system</w:t>
      </w:r>
      <w:r>
        <w:rPr>
          <w:highlight w:val="yellow"/>
        </w:rPr>
        <w:t>. Potential explanations</w:t>
      </w:r>
      <w:r>
        <w:t xml:space="preserve"> in</w:t>
      </w:r>
      <w:r>
        <w:rPr>
          <w:highlight w:val="yellow"/>
        </w:rPr>
        <w:t>cl</w:t>
      </w:r>
      <w:r>
        <w:t>u</w:t>
      </w:r>
      <w:r>
        <w:rPr>
          <w:highlight w:val="yellow"/>
        </w:rPr>
        <w:t>d</w:t>
      </w:r>
      <w:r>
        <w:t xml:space="preserve">e enforcement </w:t>
      </w:r>
      <w:r>
        <w:rPr>
          <w:highlight w:val="yellow"/>
        </w:rPr>
        <w:t>chall</w:t>
      </w:r>
      <w:r>
        <w:t>en</w:t>
      </w:r>
      <w:r>
        <w:rPr>
          <w:highlight w:val="yellow"/>
        </w:rPr>
        <w:t>g</w:t>
      </w:r>
      <w:r>
        <w:t xml:space="preserve">es, </w:t>
      </w:r>
      <w:r>
        <w:rPr>
          <w:highlight w:val="yellow"/>
        </w:rPr>
        <w:t>limi</w:t>
      </w:r>
      <w:r>
        <w:t>te</w:t>
      </w:r>
      <w:r>
        <w:rPr>
          <w:highlight w:val="yellow"/>
        </w:rPr>
        <w:t>d</w:t>
      </w:r>
      <w:r>
        <w:t xml:space="preserve"> coordination between national and county </w:t>
      </w:r>
      <w:r>
        <w:rPr>
          <w:highlight w:val="yellow"/>
        </w:rPr>
        <w:t>authoriti</w:t>
      </w:r>
      <w:r>
        <w:t xml:space="preserve">es and </w:t>
      </w:r>
      <w:r>
        <w:rPr>
          <w:highlight w:val="yellow"/>
        </w:rPr>
        <w:t>inadequa</w:t>
      </w:r>
      <w:r>
        <w:t>te alignment with facility</w:t>
      </w:r>
      <w:r>
        <w:rPr>
          <w:highlight w:val="yellow"/>
        </w:rPr>
        <w:t>-</w:t>
      </w:r>
      <w:r>
        <w:t xml:space="preserve">level </w:t>
      </w:r>
      <w:r>
        <w:rPr>
          <w:highlight w:val="yellow"/>
        </w:rPr>
        <w:t>condi</w:t>
      </w:r>
      <w:r>
        <w:t>ti</w:t>
      </w:r>
      <w:r>
        <w:rPr>
          <w:highlight w:val="yellow"/>
        </w:rPr>
        <w:t>o</w:t>
      </w:r>
      <w:r>
        <w:t>ns</w:t>
      </w:r>
      <w:r>
        <w:rPr>
          <w:highlight w:val="yellow"/>
        </w:rPr>
        <w:t>;</w:t>
      </w:r>
      <w:r>
        <w:t xml:space="preserve"> these po</w:t>
      </w:r>
      <w:r>
        <w:rPr>
          <w:highlight w:val="yellow"/>
        </w:rPr>
        <w:t>ssibi</w:t>
      </w:r>
      <w:r>
        <w:t>li</w:t>
      </w:r>
      <w:r>
        <w:rPr>
          <w:highlight w:val="yellow"/>
        </w:rPr>
        <w:t>t</w:t>
      </w:r>
      <w:r>
        <w:t xml:space="preserve">ies </w:t>
      </w:r>
      <w:r>
        <w:rPr>
          <w:highlight w:val="yellow"/>
        </w:rPr>
        <w:t>r</w:t>
      </w:r>
      <w:r>
        <w:t>e</w:t>
      </w:r>
      <w:r>
        <w:rPr>
          <w:highlight w:val="yellow"/>
        </w:rPr>
        <w:t>qui</w:t>
      </w:r>
      <w:r>
        <w:t>re fu</w:t>
      </w:r>
      <w:r>
        <w:rPr>
          <w:highlight w:val="yellow"/>
        </w:rPr>
        <w:t>rther</w:t>
      </w:r>
      <w:r>
        <w:t xml:space="preserve"> </w:t>
      </w:r>
      <w:r>
        <w:rPr>
          <w:highlight w:val="yellow"/>
        </w:rPr>
        <w:t>exam</w:t>
      </w:r>
      <w:r>
        <w:t>in</w:t>
      </w:r>
      <w:r>
        <w:rPr>
          <w:highlight w:val="yellow"/>
        </w:rPr>
        <w:t>atio</w:t>
      </w:r>
      <w:r>
        <w:t>n.</w:t>
      </w:r>
    </w:p>
    <w:p w14:paraId="0EAF68D8" w14:textId="77777777" w:rsidR="00946C83" w:rsidRDefault="00000000">
      <w:pPr>
        <w:pStyle w:val="Heading1"/>
        <w:spacing w:before="0" w:after="160" w:line="360" w:lineRule="auto"/>
      </w:pPr>
      <w:r>
        <w:rPr>
          <w:rFonts w:ascii="Times New Roman" w:hAnsi="Times New Roman"/>
          <w:color w:val="000000"/>
          <w:sz w:val="24"/>
          <w:szCs w:val="24"/>
        </w:rPr>
        <w:t>5.2 Recommendations</w:t>
      </w:r>
    </w:p>
    <w:p w14:paraId="7A55D1A0" w14:textId="77777777" w:rsidR="00946C83" w:rsidRDefault="00000000">
      <w:pPr>
        <w:pStyle w:val="NormalWeb"/>
        <w:spacing w:before="0" w:after="160" w:line="360" w:lineRule="auto"/>
        <w:jc w:val="both"/>
      </w:pPr>
      <w:r>
        <w:t>The following practical recommendations reflect the regression findings and the relative strength of the individual predictors:</w:t>
      </w:r>
    </w:p>
    <w:p w14:paraId="4957D8F1" w14:textId="77777777" w:rsidR="00946C83" w:rsidRDefault="00000000">
      <w:pPr>
        <w:pStyle w:val="NormalWeb"/>
        <w:spacing w:before="0" w:after="160" w:line="360" w:lineRule="auto"/>
        <w:jc w:val="both"/>
      </w:pPr>
      <w:r>
        <w:t xml:space="preserve">The County Government of Nakuru and development partners </w:t>
      </w:r>
      <w:r>
        <w:rPr>
          <w:highlight w:val="yellow"/>
        </w:rPr>
        <w:t xml:space="preserve">should </w:t>
      </w:r>
      <w:proofErr w:type="spellStart"/>
      <w:r>
        <w:rPr>
          <w:highlight w:val="yellow"/>
        </w:rPr>
        <w:t>prioritise</w:t>
      </w:r>
      <w:proofErr w:type="spellEnd"/>
      <w:r>
        <w:rPr>
          <w:highlight w:val="yellow"/>
        </w:rPr>
        <w:t xml:space="preserve"> sustai</w:t>
      </w:r>
      <w:r>
        <w:t>ned investment in stable hardware and software, high-speed internet connecti</w:t>
      </w:r>
      <w:r>
        <w:rPr>
          <w:highlight w:val="yellow"/>
        </w:rPr>
        <w:t>vity</w:t>
      </w:r>
      <w:r>
        <w:t xml:space="preserve"> (especially in rural and peri-urban facilities), and interoperability with DHIS2. </w:t>
      </w:r>
      <w:r>
        <w:rPr>
          <w:highlight w:val="yellow"/>
        </w:rPr>
        <w:t>P</w:t>
      </w:r>
      <w:r>
        <w:t>ossi</w:t>
      </w:r>
      <w:r>
        <w:rPr>
          <w:highlight w:val="yellow"/>
        </w:rPr>
        <w:t xml:space="preserve">ble measures </w:t>
      </w:r>
      <w:r>
        <w:t>in</w:t>
      </w:r>
      <w:r>
        <w:rPr>
          <w:highlight w:val="yellow"/>
        </w:rPr>
        <w:t>clude</w:t>
      </w:r>
      <w:r>
        <w:t xml:space="preserve"> </w:t>
      </w:r>
      <w:r>
        <w:rPr>
          <w:highlight w:val="yellow"/>
        </w:rPr>
        <w:t>d</w:t>
      </w:r>
      <w:r>
        <w:t>e</w:t>
      </w:r>
      <w:r>
        <w:rPr>
          <w:highlight w:val="yellow"/>
        </w:rPr>
        <w:t>di</w:t>
      </w:r>
      <w:r>
        <w:t>ca</w:t>
      </w:r>
      <w:r>
        <w:rPr>
          <w:highlight w:val="yellow"/>
        </w:rPr>
        <w:t>ted</w:t>
      </w:r>
      <w:r>
        <w:t xml:space="preserve"> budgets </w:t>
      </w:r>
      <w:r>
        <w:rPr>
          <w:highlight w:val="yellow"/>
        </w:rPr>
        <w:t>f</w:t>
      </w:r>
      <w:r>
        <w:t>o</w:t>
      </w:r>
      <w:r>
        <w:rPr>
          <w:highlight w:val="yellow"/>
        </w:rPr>
        <w:t>r</w:t>
      </w:r>
      <w:r>
        <w:t xml:space="preserve"> purchas</w:t>
      </w:r>
      <w:r>
        <w:rPr>
          <w:highlight w:val="yellow"/>
        </w:rPr>
        <w:t>ing</w:t>
      </w:r>
      <w:r>
        <w:t xml:space="preserve"> and maint</w:t>
      </w:r>
      <w:r>
        <w:rPr>
          <w:highlight w:val="yellow"/>
        </w:rPr>
        <w:t>ai</w:t>
      </w:r>
      <w:r>
        <w:t>n</w:t>
      </w:r>
      <w:r>
        <w:rPr>
          <w:highlight w:val="yellow"/>
        </w:rPr>
        <w:t>i</w:t>
      </w:r>
      <w:r>
        <w:t>n</w:t>
      </w:r>
      <w:r>
        <w:rPr>
          <w:highlight w:val="yellow"/>
        </w:rPr>
        <w:t>g</w:t>
      </w:r>
      <w:r>
        <w:t xml:space="preserve"> devices, solar-</w:t>
      </w:r>
      <w:r>
        <w:rPr>
          <w:highlight w:val="yellow"/>
        </w:rPr>
        <w:t>power</w:t>
      </w:r>
      <w:r>
        <w:t xml:space="preserve">ed </w:t>
      </w:r>
      <w:r>
        <w:lastRenderedPageBreak/>
        <w:t xml:space="preserve">solutions </w:t>
      </w:r>
      <w:r>
        <w:rPr>
          <w:highlight w:val="yellow"/>
        </w:rPr>
        <w:t>f</w:t>
      </w:r>
      <w:r>
        <w:t>o</w:t>
      </w:r>
      <w:r>
        <w:rPr>
          <w:highlight w:val="yellow"/>
        </w:rPr>
        <w:t>r</w:t>
      </w:r>
      <w:r>
        <w:t xml:space="preserve"> </w:t>
      </w:r>
      <w:r>
        <w:rPr>
          <w:highlight w:val="yellow"/>
        </w:rPr>
        <w:t>unr</w:t>
      </w:r>
      <w:r>
        <w:t>e</w:t>
      </w:r>
      <w:r>
        <w:rPr>
          <w:highlight w:val="yellow"/>
        </w:rPr>
        <w:t>liabl</w:t>
      </w:r>
      <w:r>
        <w:t xml:space="preserve">e electricity </w:t>
      </w:r>
      <w:r>
        <w:rPr>
          <w:highlight w:val="yellow"/>
        </w:rPr>
        <w:t>s</w:t>
      </w:r>
      <w:r>
        <w:t>up</w:t>
      </w:r>
      <w:r>
        <w:rPr>
          <w:highlight w:val="yellow"/>
        </w:rPr>
        <w:t>p</w:t>
      </w:r>
      <w:r>
        <w:t>li</w:t>
      </w:r>
      <w:r>
        <w:rPr>
          <w:highlight w:val="yellow"/>
        </w:rPr>
        <w:t>es</w:t>
      </w:r>
      <w:r>
        <w:t xml:space="preserve"> and </w:t>
      </w:r>
      <w:r>
        <w:rPr>
          <w:highlight w:val="yellow"/>
        </w:rPr>
        <w:t xml:space="preserve">a </w:t>
      </w:r>
      <w:r>
        <w:t>c</w:t>
      </w:r>
      <w:r>
        <w:rPr>
          <w:highlight w:val="yellow"/>
        </w:rPr>
        <w:t>ounty-l</w:t>
      </w:r>
      <w:r>
        <w:t>e</w:t>
      </w:r>
      <w:r>
        <w:rPr>
          <w:highlight w:val="yellow"/>
        </w:rPr>
        <w:t>vel</w:t>
      </w:r>
      <w:r>
        <w:t xml:space="preserve"> technical support </w:t>
      </w:r>
      <w:proofErr w:type="spellStart"/>
      <w:r>
        <w:t>centre</w:t>
      </w:r>
      <w:proofErr w:type="spellEnd"/>
      <w:r>
        <w:t>. Th</w:t>
      </w:r>
      <w:r>
        <w:rPr>
          <w:highlight w:val="yellow"/>
        </w:rPr>
        <w:t>es</w:t>
      </w:r>
      <w:r>
        <w:t xml:space="preserve">e investments </w:t>
      </w:r>
      <w:r>
        <w:rPr>
          <w:highlight w:val="yellow"/>
        </w:rPr>
        <w:t>ma</w:t>
      </w:r>
      <w:r>
        <w:t>y i</w:t>
      </w:r>
      <w:r>
        <w:rPr>
          <w:highlight w:val="yellow"/>
        </w:rPr>
        <w:t>mp</w:t>
      </w:r>
      <w:r>
        <w:t>r</w:t>
      </w:r>
      <w:r>
        <w:rPr>
          <w:highlight w:val="yellow"/>
        </w:rPr>
        <w:t>o</w:t>
      </w:r>
      <w:r>
        <w:t>ve automation</w:t>
      </w:r>
      <w:r>
        <w:rPr>
          <w:highlight w:val="yellow"/>
        </w:rPr>
        <w:t>,</w:t>
      </w:r>
      <w:r>
        <w:t xml:space="preserve"> data accuracy and </w:t>
      </w:r>
      <w:r>
        <w:rPr>
          <w:highlight w:val="yellow"/>
        </w:rPr>
        <w:t xml:space="preserve">reporting </w:t>
      </w:r>
      <w:r>
        <w:t>timeliness</w:t>
      </w:r>
      <w:r>
        <w:rPr>
          <w:highlight w:val="yellow"/>
        </w:rPr>
        <w:t xml:space="preserve"> (Chepkirui et al., 2025; Kariuki &amp; Reddy, 2017)</w:t>
      </w:r>
      <w:r>
        <w:t>.</w:t>
      </w:r>
    </w:p>
    <w:p w14:paraId="4A2A6C18" w14:textId="77777777" w:rsidR="00946C83" w:rsidRDefault="00000000">
      <w:pPr>
        <w:pStyle w:val="NormalWeb"/>
        <w:spacing w:before="0" w:after="160" w:line="360" w:lineRule="auto"/>
        <w:jc w:val="both"/>
      </w:pPr>
      <w:r>
        <w:rPr>
          <w:highlight w:val="yellow"/>
        </w:rPr>
        <w:t>H</w:t>
      </w:r>
      <w:r>
        <w:t xml:space="preserve">ealth facility managers and county leadership should </w:t>
      </w:r>
      <w:proofErr w:type="spellStart"/>
      <w:r>
        <w:t>institutionalise</w:t>
      </w:r>
      <w:proofErr w:type="spellEnd"/>
      <w:r>
        <w:t xml:space="preserve"> effective leadership commitment and systematic change-management procedures. </w:t>
      </w:r>
      <w:r>
        <w:rPr>
          <w:highlight w:val="yellow"/>
        </w:rPr>
        <w:t>Pr</w:t>
      </w:r>
      <w:r>
        <w:t>o</w:t>
      </w:r>
      <w:r>
        <w:rPr>
          <w:highlight w:val="yellow"/>
        </w:rPr>
        <w:t>pos</w:t>
      </w:r>
      <w:r>
        <w:t>e</w:t>
      </w:r>
      <w:r>
        <w:rPr>
          <w:highlight w:val="yellow"/>
        </w:rPr>
        <w:t>d</w:t>
      </w:r>
      <w:r>
        <w:t xml:space="preserve"> measures </w:t>
      </w:r>
      <w:r>
        <w:rPr>
          <w:highlight w:val="yellow"/>
        </w:rPr>
        <w:t>includ</w:t>
      </w:r>
      <w:r>
        <w:t xml:space="preserve">e </w:t>
      </w:r>
      <w:r>
        <w:rPr>
          <w:highlight w:val="yellow"/>
        </w:rPr>
        <w:t>i</w:t>
      </w:r>
      <w:r>
        <w:t>n</w:t>
      </w:r>
      <w:r>
        <w:rPr>
          <w:highlight w:val="yellow"/>
        </w:rPr>
        <w:t>co</w:t>
      </w:r>
      <w:r>
        <w:t>r</w:t>
      </w:r>
      <w:r>
        <w:rPr>
          <w:highlight w:val="yellow"/>
        </w:rPr>
        <w:t>por</w:t>
      </w:r>
      <w:r>
        <w:t>atin</w:t>
      </w:r>
      <w:r>
        <w:rPr>
          <w:highlight w:val="yellow"/>
        </w:rPr>
        <w:t>g</w:t>
      </w:r>
      <w:r>
        <w:t xml:space="preserve"> M&amp;E automation </w:t>
      </w:r>
      <w:r>
        <w:rPr>
          <w:highlight w:val="yellow"/>
        </w:rPr>
        <w:t>tar</w:t>
      </w:r>
      <w:r>
        <w:t>g</w:t>
      </w:r>
      <w:r>
        <w:rPr>
          <w:highlight w:val="yellow"/>
        </w:rPr>
        <w:t>et</w:t>
      </w:r>
      <w:r>
        <w:t xml:space="preserve">s into </w:t>
      </w:r>
      <w:r>
        <w:rPr>
          <w:highlight w:val="yellow"/>
        </w:rPr>
        <w:t>s</w:t>
      </w:r>
      <w:r>
        <w:t>e</w:t>
      </w:r>
      <w:r>
        <w:rPr>
          <w:highlight w:val="yellow"/>
        </w:rPr>
        <w:t>nior managers'</w:t>
      </w:r>
      <w:r>
        <w:t xml:space="preserve"> performance agreements</w:t>
      </w:r>
      <w:r>
        <w:rPr>
          <w:highlight w:val="yellow"/>
        </w:rPr>
        <w:t>,</w:t>
      </w:r>
      <w:r>
        <w:t xml:space="preserve"> </w:t>
      </w:r>
      <w:r>
        <w:rPr>
          <w:highlight w:val="yellow"/>
        </w:rPr>
        <w:t>all</w:t>
      </w:r>
      <w:r>
        <w:t>o</w:t>
      </w:r>
      <w:r>
        <w:rPr>
          <w:highlight w:val="yellow"/>
        </w:rPr>
        <w:t>ca</w:t>
      </w:r>
      <w:r>
        <w:t>t</w:t>
      </w:r>
      <w:r>
        <w:rPr>
          <w:highlight w:val="yellow"/>
        </w:rPr>
        <w:t>i</w:t>
      </w:r>
      <w:r>
        <w:t xml:space="preserve">ng resources for digital projects, </w:t>
      </w:r>
      <w:proofErr w:type="spellStart"/>
      <w:r>
        <w:rPr>
          <w:highlight w:val="yellow"/>
        </w:rPr>
        <w:t>organising</w:t>
      </w:r>
      <w:proofErr w:type="spellEnd"/>
      <w:r>
        <w:rPr>
          <w:highlight w:val="yellow"/>
        </w:rPr>
        <w:t xml:space="preserve"> </w:t>
      </w:r>
      <w:r>
        <w:t>re</w:t>
      </w:r>
      <w:r>
        <w:rPr>
          <w:highlight w:val="yellow"/>
        </w:rPr>
        <w:t>g</w:t>
      </w:r>
      <w:r>
        <w:t>u</w:t>
      </w:r>
      <w:r>
        <w:rPr>
          <w:highlight w:val="yellow"/>
        </w:rPr>
        <w:t>la</w:t>
      </w:r>
      <w:r>
        <w:t>r leadership</w:t>
      </w:r>
      <w:r>
        <w:rPr>
          <w:highlight w:val="yellow"/>
        </w:rPr>
        <w:t>-</w:t>
      </w:r>
      <w:proofErr w:type="spellStart"/>
      <w:r>
        <w:t>sensitisation</w:t>
      </w:r>
      <w:proofErr w:type="spellEnd"/>
      <w:r>
        <w:rPr>
          <w:highlight w:val="yellow"/>
        </w:rPr>
        <w:t xml:space="preserve"> forums</w:t>
      </w:r>
      <w:r>
        <w:t xml:space="preserve"> and</w:t>
      </w:r>
      <w:r>
        <w:rPr>
          <w:highlight w:val="yellow"/>
        </w:rPr>
        <w:t xml:space="preserve"> </w:t>
      </w:r>
      <w:proofErr w:type="spellStart"/>
      <w:r>
        <w:rPr>
          <w:highlight w:val="yellow"/>
        </w:rPr>
        <w:t>recognising</w:t>
      </w:r>
      <w:proofErr w:type="spellEnd"/>
      <w:r>
        <w:t xml:space="preserve"> staff</w:t>
      </w:r>
      <w:r>
        <w:rPr>
          <w:highlight w:val="yellow"/>
        </w:rPr>
        <w:t xml:space="preserve"> </w:t>
      </w:r>
      <w:r>
        <w:t>w</w:t>
      </w:r>
      <w:r>
        <w:rPr>
          <w:highlight w:val="yellow"/>
        </w:rPr>
        <w:t>h</w:t>
      </w:r>
      <w:r>
        <w:t>o successful</w:t>
      </w:r>
      <w:r>
        <w:rPr>
          <w:highlight w:val="yellow"/>
        </w:rPr>
        <w:t>ly</w:t>
      </w:r>
      <w:r>
        <w:t xml:space="preserve"> use automated tools. These </w:t>
      </w:r>
      <w:r>
        <w:rPr>
          <w:highlight w:val="yellow"/>
        </w:rPr>
        <w:t>measures</w:t>
      </w:r>
      <w:r>
        <w:t xml:space="preserve"> </w:t>
      </w:r>
      <w:r>
        <w:rPr>
          <w:highlight w:val="yellow"/>
        </w:rPr>
        <w:t>may fost</w:t>
      </w:r>
      <w:r>
        <w:t>e</w:t>
      </w:r>
      <w:r>
        <w:rPr>
          <w:highlight w:val="yellow"/>
        </w:rPr>
        <w:t>r</w:t>
      </w:r>
      <w:r>
        <w:t xml:space="preserve"> an enabling </w:t>
      </w:r>
      <w:proofErr w:type="spellStart"/>
      <w:r>
        <w:t>organisational</w:t>
      </w:r>
      <w:proofErr w:type="spellEnd"/>
      <w:r>
        <w:t xml:space="preserve"> culture and s</w:t>
      </w:r>
      <w:r>
        <w:rPr>
          <w:highlight w:val="yellow"/>
        </w:rPr>
        <w:t>uppor</w:t>
      </w:r>
      <w:r>
        <w:t xml:space="preserve">t the </w:t>
      </w:r>
      <w:r>
        <w:rPr>
          <w:highlight w:val="yellow"/>
        </w:rPr>
        <w:t>integ</w:t>
      </w:r>
      <w:r>
        <w:t>r</w:t>
      </w:r>
      <w:r>
        <w:rPr>
          <w:highlight w:val="yellow"/>
        </w:rPr>
        <w:t>ati</w:t>
      </w:r>
      <w:r>
        <w:t>o</w:t>
      </w:r>
      <w:r>
        <w:rPr>
          <w:highlight w:val="yellow"/>
        </w:rPr>
        <w:t>n</w:t>
      </w:r>
      <w:r>
        <w:t xml:space="preserve"> of automation in</w:t>
      </w:r>
      <w:r>
        <w:rPr>
          <w:highlight w:val="yellow"/>
        </w:rPr>
        <w:t>to</w:t>
      </w:r>
      <w:r>
        <w:t xml:space="preserve"> </w:t>
      </w:r>
      <w:r>
        <w:rPr>
          <w:highlight w:val="yellow"/>
        </w:rPr>
        <w:t>rout</w:t>
      </w:r>
      <w:r>
        <w:t>i</w:t>
      </w:r>
      <w:r>
        <w:rPr>
          <w:highlight w:val="yellow"/>
        </w:rPr>
        <w:t>ne</w:t>
      </w:r>
      <w:r>
        <w:t xml:space="preserve"> health project activities.</w:t>
      </w:r>
    </w:p>
    <w:p w14:paraId="5881A6B0" w14:textId="77777777" w:rsidR="00946C83" w:rsidRDefault="00000000">
      <w:pPr>
        <w:pStyle w:val="NormalWeb"/>
        <w:spacing w:before="0" w:after="160" w:line="360" w:lineRule="auto"/>
        <w:jc w:val="both"/>
      </w:pPr>
      <w:r>
        <w:t xml:space="preserve">The national and county health authorities </w:t>
      </w:r>
      <w:r>
        <w:rPr>
          <w:highlight w:val="yellow"/>
        </w:rPr>
        <w:t>shoul</w:t>
      </w:r>
      <w:r>
        <w:t xml:space="preserve">d </w:t>
      </w:r>
      <w:r>
        <w:rPr>
          <w:highlight w:val="yellow"/>
        </w:rPr>
        <w:t>pla</w:t>
      </w:r>
      <w:r>
        <w:t>ce</w:t>
      </w:r>
      <w:r>
        <w:rPr>
          <w:highlight w:val="yellow"/>
        </w:rPr>
        <w:t xml:space="preserve"> g</w:t>
      </w:r>
      <w:r>
        <w:t>r</w:t>
      </w:r>
      <w:r>
        <w:rPr>
          <w:highlight w:val="yellow"/>
        </w:rPr>
        <w:t>e</w:t>
      </w:r>
      <w:r>
        <w:t>ate</w:t>
      </w:r>
      <w:r>
        <w:rPr>
          <w:highlight w:val="yellow"/>
        </w:rPr>
        <w:t>r</w:t>
      </w:r>
      <w:r>
        <w:t xml:space="preserve"> </w:t>
      </w:r>
      <w:r>
        <w:rPr>
          <w:highlight w:val="yellow"/>
        </w:rPr>
        <w:t>em</w:t>
      </w:r>
      <w:r>
        <w:t>p</w:t>
      </w:r>
      <w:r>
        <w:rPr>
          <w:highlight w:val="yellow"/>
        </w:rPr>
        <w:t>has</w:t>
      </w:r>
      <w:r>
        <w:t xml:space="preserve">is on implementing and enforcing </w:t>
      </w:r>
      <w:r>
        <w:rPr>
          <w:highlight w:val="yellow"/>
        </w:rPr>
        <w:t>exis</w:t>
      </w:r>
      <w:r>
        <w:t>t</w:t>
      </w:r>
      <w:r>
        <w:rPr>
          <w:highlight w:val="yellow"/>
        </w:rPr>
        <w:t>ing</w:t>
      </w:r>
      <w:r>
        <w:t xml:space="preserve"> policies. Measures that can be taken include developing </w:t>
      </w:r>
      <w:r>
        <w:rPr>
          <w:highlight w:val="yellow"/>
        </w:rPr>
        <w:t>joi</w:t>
      </w:r>
      <w:r>
        <w:t>n</w:t>
      </w:r>
      <w:r>
        <w:rPr>
          <w:highlight w:val="yellow"/>
        </w:rPr>
        <w:t>t</w:t>
      </w:r>
      <w:r>
        <w:t xml:space="preserve"> national</w:t>
      </w:r>
      <w:r>
        <w:rPr>
          <w:highlight w:val="yellow"/>
        </w:rPr>
        <w:t>–</w:t>
      </w:r>
      <w:r>
        <w:t xml:space="preserve">county oversight </w:t>
      </w:r>
      <w:r>
        <w:rPr>
          <w:highlight w:val="yellow"/>
        </w:rPr>
        <w:t>mechanisms f</w:t>
      </w:r>
      <w:r>
        <w:t xml:space="preserve">or compliance with digital health strategies, aligning data-protection practices with practical demands, and engaging </w:t>
      </w:r>
      <w:r>
        <w:rPr>
          <w:highlight w:val="yellow"/>
        </w:rPr>
        <w:t xml:space="preserve">facility-level </w:t>
      </w:r>
      <w:r>
        <w:t xml:space="preserve">stakeholders in participatory policy reviews </w:t>
      </w:r>
      <w:r>
        <w:rPr>
          <w:highlight w:val="yellow"/>
        </w:rPr>
        <w:t>twice</w:t>
      </w:r>
      <w:r>
        <w:t xml:space="preserve"> a </w:t>
      </w:r>
      <w:r>
        <w:rPr>
          <w:highlight w:val="yellow"/>
        </w:rPr>
        <w:t>ye</w:t>
      </w:r>
      <w:r>
        <w:t>a</w:t>
      </w:r>
      <w:r>
        <w:rPr>
          <w:highlight w:val="yellow"/>
        </w:rPr>
        <w:t>r.</w:t>
      </w:r>
      <w:r>
        <w:t xml:space="preserve"> </w:t>
      </w:r>
      <w:r>
        <w:rPr>
          <w:highlight w:val="yellow"/>
        </w:rPr>
        <w:t>These me</w:t>
      </w:r>
      <w:r>
        <w:t>as</w:t>
      </w:r>
      <w:r>
        <w:rPr>
          <w:highlight w:val="yellow"/>
        </w:rPr>
        <w:t>ure</w:t>
      </w:r>
      <w:r>
        <w:t xml:space="preserve">s </w:t>
      </w:r>
      <w:r>
        <w:rPr>
          <w:highlight w:val="yellow"/>
        </w:rPr>
        <w:t>ma</w:t>
      </w:r>
      <w:r>
        <w:t xml:space="preserve">y </w:t>
      </w:r>
      <w:r>
        <w:rPr>
          <w:highlight w:val="yellow"/>
        </w:rPr>
        <w:t>stre</w:t>
      </w:r>
      <w:r>
        <w:t>ngthe</w:t>
      </w:r>
      <w:r>
        <w:rPr>
          <w:highlight w:val="yellow"/>
        </w:rPr>
        <w:t>n</w:t>
      </w:r>
      <w:r>
        <w:t xml:space="preserve"> </w:t>
      </w:r>
      <w:r>
        <w:rPr>
          <w:highlight w:val="yellow"/>
        </w:rPr>
        <w:t>p</w:t>
      </w:r>
      <w:r>
        <w:t>o</w:t>
      </w:r>
      <w:r>
        <w:rPr>
          <w:highlight w:val="yellow"/>
        </w:rPr>
        <w:t>l</w:t>
      </w:r>
      <w:r>
        <w:t>i</w:t>
      </w:r>
      <w:r>
        <w:rPr>
          <w:highlight w:val="yellow"/>
        </w:rPr>
        <w:t>c</w:t>
      </w:r>
      <w:r>
        <w:t>y i</w:t>
      </w:r>
      <w:r>
        <w:rPr>
          <w:highlight w:val="yellow"/>
        </w:rPr>
        <w:t>mpl</w:t>
      </w:r>
      <w:r>
        <w:t>e</w:t>
      </w:r>
      <w:r>
        <w:rPr>
          <w:highlight w:val="yellow"/>
        </w:rPr>
        <w:t>m</w:t>
      </w:r>
      <w:r>
        <w:t xml:space="preserve">entation </w:t>
      </w:r>
      <w:r>
        <w:rPr>
          <w:highlight w:val="yellow"/>
        </w:rPr>
        <w:t>and reduce fragmentation with</w:t>
      </w:r>
      <w:r>
        <w:t>in the de</w:t>
      </w:r>
      <w:r>
        <w:rPr>
          <w:highlight w:val="yellow"/>
        </w:rPr>
        <w:t>vo</w:t>
      </w:r>
      <w:r>
        <w:t>l</w:t>
      </w:r>
      <w:r>
        <w:rPr>
          <w:highlight w:val="yellow"/>
        </w:rPr>
        <w:t>v</w:t>
      </w:r>
      <w:r>
        <w:t>ed system.</w:t>
      </w:r>
    </w:p>
    <w:p w14:paraId="00E4A334" w14:textId="77777777" w:rsidR="00946C83" w:rsidRDefault="00000000">
      <w:pPr>
        <w:pStyle w:val="NormalWeb"/>
        <w:spacing w:before="0" w:after="160" w:line="360" w:lineRule="auto"/>
        <w:jc w:val="both"/>
      </w:pPr>
      <w:r>
        <w:rPr>
          <w:highlight w:val="yellow"/>
        </w:rPr>
        <w:t>Regarding</w:t>
      </w:r>
      <w:r>
        <w:t xml:space="preserve"> human capacity, capacity-building activities </w:t>
      </w:r>
      <w:r>
        <w:rPr>
          <w:highlight w:val="yellow"/>
        </w:rPr>
        <w:t>sho</w:t>
      </w:r>
      <w:r>
        <w:t>u</w:t>
      </w:r>
      <w:r>
        <w:rPr>
          <w:highlight w:val="yellow"/>
        </w:rPr>
        <w:t>ld</w:t>
      </w:r>
      <w:r>
        <w:t xml:space="preserve"> be in</w:t>
      </w:r>
      <w:r>
        <w:rPr>
          <w:highlight w:val="yellow"/>
        </w:rPr>
        <w:t>teg</w:t>
      </w:r>
      <w:r>
        <w:t xml:space="preserve">rated </w:t>
      </w:r>
      <w:r>
        <w:rPr>
          <w:highlight w:val="yellow"/>
        </w:rPr>
        <w:t>w</w:t>
      </w:r>
      <w:r>
        <w:t xml:space="preserve">ith </w:t>
      </w:r>
      <w:r>
        <w:rPr>
          <w:highlight w:val="yellow"/>
        </w:rPr>
        <w:t>broa</w:t>
      </w:r>
      <w:r>
        <w:t xml:space="preserve">der infrastructural and </w:t>
      </w:r>
      <w:proofErr w:type="spellStart"/>
      <w:r>
        <w:t>organisational</w:t>
      </w:r>
      <w:proofErr w:type="spellEnd"/>
      <w:r>
        <w:t xml:space="preserve"> interventions </w:t>
      </w:r>
      <w:r>
        <w:rPr>
          <w:highlight w:val="yellow"/>
        </w:rPr>
        <w:t>r</w:t>
      </w:r>
      <w:r>
        <w:t>a</w:t>
      </w:r>
      <w:r>
        <w:rPr>
          <w:highlight w:val="yellow"/>
        </w:rPr>
        <w:t>ther</w:t>
      </w:r>
      <w:r>
        <w:t xml:space="preserve"> </w:t>
      </w:r>
      <w:r>
        <w:rPr>
          <w:highlight w:val="yellow"/>
        </w:rPr>
        <w:t>than im</w:t>
      </w:r>
      <w:r>
        <w:t>p</w:t>
      </w:r>
      <w:r>
        <w:rPr>
          <w:highlight w:val="yellow"/>
        </w:rPr>
        <w:t>lement</w:t>
      </w:r>
      <w:r>
        <w:t xml:space="preserve">ed in isolation. </w:t>
      </w:r>
      <w:r>
        <w:rPr>
          <w:highlight w:val="yellow"/>
        </w:rPr>
        <w:t>R</w:t>
      </w:r>
      <w:r>
        <w:t xml:space="preserve">ecommended </w:t>
      </w:r>
      <w:r>
        <w:rPr>
          <w:highlight w:val="yellow"/>
        </w:rPr>
        <w:t>measures include</w:t>
      </w:r>
      <w:r>
        <w:t xml:space="preserve"> integrat</w:t>
      </w:r>
      <w:r>
        <w:rPr>
          <w:highlight w:val="yellow"/>
        </w:rPr>
        <w:t>ing</w:t>
      </w:r>
      <w:r>
        <w:t xml:space="preserve"> practical, on-the-job training in automated M&amp;E tools into e</w:t>
      </w:r>
      <w:r>
        <w:rPr>
          <w:highlight w:val="yellow"/>
        </w:rPr>
        <w:t>xi</w:t>
      </w:r>
      <w:r>
        <w:t>sti</w:t>
      </w:r>
      <w:r>
        <w:rPr>
          <w:highlight w:val="yellow"/>
        </w:rPr>
        <w:t>ng</w:t>
      </w:r>
      <w:r>
        <w:t xml:space="preserve"> </w:t>
      </w:r>
      <w:proofErr w:type="spellStart"/>
      <w:r>
        <w:t>organisational</w:t>
      </w:r>
      <w:proofErr w:type="spellEnd"/>
      <w:r>
        <w:t xml:space="preserve"> development </w:t>
      </w:r>
      <w:proofErr w:type="spellStart"/>
      <w:r>
        <w:t>programmes</w:t>
      </w:r>
      <w:proofErr w:type="spellEnd"/>
      <w:r>
        <w:t>, co</w:t>
      </w:r>
      <w:r>
        <w:rPr>
          <w:highlight w:val="yellow"/>
        </w:rPr>
        <w:t>mbining</w:t>
      </w:r>
      <w:r>
        <w:t xml:space="preserve"> training with access to </w:t>
      </w:r>
      <w:r>
        <w:rPr>
          <w:highlight w:val="yellow"/>
        </w:rPr>
        <w:t>improv</w:t>
      </w:r>
      <w:r>
        <w:t>e</w:t>
      </w:r>
      <w:r>
        <w:rPr>
          <w:highlight w:val="yellow"/>
        </w:rPr>
        <w:t>d</w:t>
      </w:r>
      <w:r>
        <w:t xml:space="preserve"> technology and leadership s</w:t>
      </w:r>
      <w:r>
        <w:rPr>
          <w:highlight w:val="yellow"/>
        </w:rPr>
        <w:t>uppor</w:t>
      </w:r>
      <w:r>
        <w:t>t, and establish</w:t>
      </w:r>
      <w:r>
        <w:rPr>
          <w:highlight w:val="yellow"/>
        </w:rPr>
        <w:t>ing</w:t>
      </w:r>
      <w:r>
        <w:t xml:space="preserve"> mentorship </w:t>
      </w:r>
      <w:r>
        <w:rPr>
          <w:highlight w:val="yellow"/>
        </w:rPr>
        <w:t>arrang</w:t>
      </w:r>
      <w:r>
        <w:t>eme</w:t>
      </w:r>
      <w:r>
        <w:rPr>
          <w:highlight w:val="yellow"/>
        </w:rPr>
        <w:t>nts</w:t>
      </w:r>
      <w:r>
        <w:t xml:space="preserve"> an</w:t>
      </w:r>
      <w:r>
        <w:rPr>
          <w:highlight w:val="yellow"/>
        </w:rPr>
        <w:t>d</w:t>
      </w:r>
      <w:r>
        <w:t xml:space="preserve"> incentives </w:t>
      </w:r>
      <w:r>
        <w:rPr>
          <w:highlight w:val="yellow"/>
        </w:rPr>
        <w:t>f</w:t>
      </w:r>
      <w:r>
        <w:t xml:space="preserve">or regular </w:t>
      </w:r>
      <w:r>
        <w:rPr>
          <w:highlight w:val="yellow"/>
        </w:rPr>
        <w:t xml:space="preserve">system </w:t>
      </w:r>
      <w:r>
        <w:t>use. Th</w:t>
      </w:r>
      <w:r>
        <w:rPr>
          <w:highlight w:val="yellow"/>
        </w:rPr>
        <w:t>e</w:t>
      </w:r>
      <w:r>
        <w:t>s</w:t>
      </w:r>
      <w:r>
        <w:rPr>
          <w:highlight w:val="yellow"/>
        </w:rPr>
        <w:t>e</w:t>
      </w:r>
      <w:r>
        <w:t xml:space="preserve"> combined </w:t>
      </w:r>
      <w:r>
        <w:rPr>
          <w:highlight w:val="yellow"/>
        </w:rPr>
        <w:t>m</w:t>
      </w:r>
      <w:r>
        <w:t>easure</w:t>
      </w:r>
      <w:r>
        <w:rPr>
          <w:highlight w:val="yellow"/>
        </w:rPr>
        <w:t>s may help</w:t>
      </w:r>
      <w:r>
        <w:t xml:space="preserve"> t</w:t>
      </w:r>
      <w:r>
        <w:rPr>
          <w:highlight w:val="yellow"/>
        </w:rPr>
        <w:t>ransl</w:t>
      </w:r>
      <w:r>
        <w:t>at</w:t>
      </w:r>
      <w:r>
        <w:rPr>
          <w:highlight w:val="yellow"/>
        </w:rPr>
        <w:t>e</w:t>
      </w:r>
      <w:r>
        <w:t xml:space="preserve"> </w:t>
      </w:r>
      <w:r>
        <w:rPr>
          <w:highlight w:val="yellow"/>
        </w:rPr>
        <w:t>staff ca</w:t>
      </w:r>
      <w:r>
        <w:t>p</w:t>
      </w:r>
      <w:r>
        <w:rPr>
          <w:highlight w:val="yellow"/>
        </w:rPr>
        <w:t>acit</w:t>
      </w:r>
      <w:r>
        <w:t xml:space="preserve">y and positive attitudes </w:t>
      </w:r>
      <w:r>
        <w:rPr>
          <w:highlight w:val="yellow"/>
        </w:rPr>
        <w:t>into</w:t>
      </w:r>
      <w:r>
        <w:t xml:space="preserve"> more con</w:t>
      </w:r>
      <w:r>
        <w:rPr>
          <w:highlight w:val="yellow"/>
        </w:rPr>
        <w:t>sis</w:t>
      </w:r>
      <w:r>
        <w:t xml:space="preserve">tent </w:t>
      </w:r>
      <w:r>
        <w:rPr>
          <w:highlight w:val="yellow"/>
        </w:rPr>
        <w:t>us</w:t>
      </w:r>
      <w:r>
        <w:t>e of automat</w:t>
      </w:r>
      <w:r>
        <w:rPr>
          <w:highlight w:val="yellow"/>
        </w:rPr>
        <w:t>ed M&amp;E systems</w:t>
      </w:r>
      <w:r>
        <w:t>.</w:t>
      </w:r>
    </w:p>
    <w:p w14:paraId="5E55BFA1" w14:textId="77777777" w:rsidR="00946C83" w:rsidRDefault="00000000">
      <w:pPr>
        <w:pStyle w:val="Heading1"/>
        <w:spacing w:before="0" w:after="160" w:line="360" w:lineRule="auto"/>
      </w:pPr>
      <w:r>
        <w:rPr>
          <w:rFonts w:ascii="Times New Roman" w:hAnsi="Times New Roman"/>
          <w:color w:val="000000"/>
          <w:sz w:val="24"/>
          <w:szCs w:val="24"/>
        </w:rPr>
        <w:t>5.3 Contribution to Knowledge</w:t>
      </w:r>
    </w:p>
    <w:p w14:paraId="1AA5771B" w14:textId="77777777" w:rsidR="00946C83" w:rsidRDefault="00000000">
      <w:pPr>
        <w:pStyle w:val="NormalWeb"/>
        <w:spacing w:before="0" w:after="160" w:line="360" w:lineRule="auto"/>
        <w:jc w:val="both"/>
      </w:pPr>
      <w:r>
        <w:t xml:space="preserve">The study contributes county-specific empirical evidence on the relative effects of four </w:t>
      </w:r>
      <w:r>
        <w:rPr>
          <w:highlight w:val="yellow"/>
        </w:rPr>
        <w:t>i</w:t>
      </w:r>
      <w:r>
        <w:t>n</w:t>
      </w:r>
      <w:r>
        <w:rPr>
          <w:highlight w:val="yellow"/>
        </w:rPr>
        <w:t>t</w:t>
      </w:r>
      <w:r>
        <w:t>e</w:t>
      </w:r>
      <w:r>
        <w:rPr>
          <w:highlight w:val="yellow"/>
        </w:rPr>
        <w:t>rrela</w:t>
      </w:r>
      <w:r>
        <w:t xml:space="preserve">ted factors on M&amp;E automation in Kenya's devolved health system, an area previously examined mainly through national or </w:t>
      </w:r>
      <w:proofErr w:type="spellStart"/>
      <w:r>
        <w:t>generalised</w:t>
      </w:r>
      <w:proofErr w:type="spellEnd"/>
      <w:r>
        <w:t xml:space="preserve"> measures. By identifying the </w:t>
      </w:r>
      <w:r>
        <w:lastRenderedPageBreak/>
        <w:t xml:space="preserve">stronger </w:t>
      </w:r>
      <w:r>
        <w:rPr>
          <w:highlight w:val="yellow"/>
        </w:rPr>
        <w:t>asso</w:t>
      </w:r>
      <w:r>
        <w:t>ci</w:t>
      </w:r>
      <w:r>
        <w:rPr>
          <w:highlight w:val="yellow"/>
        </w:rPr>
        <w:t>a</w:t>
      </w:r>
      <w:r>
        <w:t>tion</w:t>
      </w:r>
      <w:r>
        <w:rPr>
          <w:highlight w:val="yellow"/>
        </w:rPr>
        <w:t>s</w:t>
      </w:r>
      <w:r>
        <w:t xml:space="preserve"> of technological infrastructure and </w:t>
      </w:r>
      <w:proofErr w:type="spellStart"/>
      <w:r>
        <w:t>organisational</w:t>
      </w:r>
      <w:proofErr w:type="spellEnd"/>
      <w:r>
        <w:t xml:space="preserve"> factors, alongside the </w:t>
      </w:r>
      <w:r>
        <w:rPr>
          <w:highlight w:val="yellow"/>
        </w:rPr>
        <w:t>w</w:t>
      </w:r>
      <w:r>
        <w:t>e</w:t>
      </w:r>
      <w:r>
        <w:rPr>
          <w:highlight w:val="yellow"/>
        </w:rPr>
        <w:t>aker independent a</w:t>
      </w:r>
      <w:r>
        <w:t>ss</w:t>
      </w:r>
      <w:r>
        <w:rPr>
          <w:highlight w:val="yellow"/>
        </w:rPr>
        <w:t>oc</w:t>
      </w:r>
      <w:r>
        <w:t>i</w:t>
      </w:r>
      <w:r>
        <w:rPr>
          <w:highlight w:val="yellow"/>
        </w:rPr>
        <w:t>at</w:t>
      </w:r>
      <w:r>
        <w:t>i</w:t>
      </w:r>
      <w:r>
        <w:rPr>
          <w:highlight w:val="yellow"/>
        </w:rPr>
        <w:t>on</w:t>
      </w:r>
      <w:r>
        <w:t xml:space="preserve">s of policy and human capacity, the study </w:t>
      </w:r>
      <w:r>
        <w:rPr>
          <w:highlight w:val="yellow"/>
        </w:rPr>
        <w:t>off</w:t>
      </w:r>
      <w:r>
        <w:t>e</w:t>
      </w:r>
      <w:r>
        <w:rPr>
          <w:highlight w:val="yellow"/>
        </w:rPr>
        <w:t>rs coun</w:t>
      </w:r>
      <w:r>
        <w:t>t</w:t>
      </w:r>
      <w:r>
        <w:rPr>
          <w:highlight w:val="yellow"/>
        </w:rPr>
        <w:t>y-sp</w:t>
      </w:r>
      <w:r>
        <w:t>e</w:t>
      </w:r>
      <w:r>
        <w:rPr>
          <w:highlight w:val="yellow"/>
        </w:rPr>
        <w:t>cific i</w:t>
      </w:r>
      <w:r>
        <w:t>ns</w:t>
      </w:r>
      <w:r>
        <w:rPr>
          <w:highlight w:val="yellow"/>
        </w:rPr>
        <w:t>ights relevant to</w:t>
      </w:r>
      <w:r>
        <w:t xml:space="preserve"> the TAM and DIT within a resource-constrained public-sector setting. It also addresses the limited literature on Nakuru County and </w:t>
      </w:r>
      <w:r>
        <w:rPr>
          <w:highlight w:val="yellow"/>
        </w:rPr>
        <w:t>contribute</w:t>
      </w:r>
      <w:r>
        <w:t xml:space="preserve">s evidence to broader research on DHIS2 adoption and digital-health challenges in Kenya and </w:t>
      </w:r>
      <w:r>
        <w:rPr>
          <w:highlight w:val="yellow"/>
        </w:rPr>
        <w:t>s</w:t>
      </w:r>
      <w:r>
        <w:t>ub-Saharan Africa.</w:t>
      </w:r>
    </w:p>
    <w:p w14:paraId="58D7102A" w14:textId="77777777" w:rsidR="00946C83" w:rsidRDefault="00000000">
      <w:pPr>
        <w:pStyle w:val="Heading1"/>
        <w:spacing w:before="0" w:after="160" w:line="360" w:lineRule="auto"/>
      </w:pPr>
      <w:r>
        <w:rPr>
          <w:rFonts w:ascii="Times New Roman" w:hAnsi="Times New Roman"/>
          <w:color w:val="000000"/>
          <w:sz w:val="24"/>
          <w:szCs w:val="24"/>
        </w:rPr>
        <w:t xml:space="preserve">5.4 Suggestion for Future Studies </w:t>
      </w:r>
    </w:p>
    <w:p w14:paraId="4D93EE6D" w14:textId="77777777" w:rsidR="00946C83" w:rsidRDefault="00000000">
      <w:pPr>
        <w:pStyle w:val="NormalWeb"/>
        <w:spacing w:before="0" w:after="160" w:line="360" w:lineRule="auto"/>
        <w:jc w:val="both"/>
      </w:pPr>
      <w:r>
        <w:rPr>
          <w:highlight w:val="yellow"/>
        </w:rPr>
        <w:t>Future researc</w:t>
      </w:r>
      <w:r>
        <w:t>h</w:t>
      </w:r>
      <w:r>
        <w:rPr>
          <w:highlight w:val="yellow"/>
        </w:rPr>
        <w:t xml:space="preserve"> could us</w:t>
      </w:r>
      <w:r>
        <w:t>e mixed-methods design</w:t>
      </w:r>
      <w:r>
        <w:rPr>
          <w:highlight w:val="yellow"/>
        </w:rPr>
        <w:t>s</w:t>
      </w:r>
      <w:r>
        <w:t xml:space="preserve"> with large</w:t>
      </w:r>
      <w:r>
        <w:rPr>
          <w:highlight w:val="yellow"/>
        </w:rPr>
        <w:t>r</w:t>
      </w:r>
      <w:r>
        <w:t xml:space="preserve">, stratified samples across several counties to </w:t>
      </w:r>
      <w:r>
        <w:rPr>
          <w:highlight w:val="yellow"/>
        </w:rPr>
        <w:t>ass</w:t>
      </w:r>
      <w:r>
        <w:t>es</w:t>
      </w:r>
      <w:r>
        <w:rPr>
          <w:highlight w:val="yellow"/>
        </w:rPr>
        <w:t>s</w:t>
      </w:r>
      <w:r>
        <w:t xml:space="preserve"> the </w:t>
      </w:r>
      <w:proofErr w:type="spellStart"/>
      <w:r>
        <w:t>generalisability</w:t>
      </w:r>
      <w:proofErr w:type="spellEnd"/>
      <w:r>
        <w:t xml:space="preserve"> of these results and </w:t>
      </w:r>
      <w:r>
        <w:rPr>
          <w:highlight w:val="yellow"/>
        </w:rPr>
        <w:t>explo</w:t>
      </w:r>
      <w:r>
        <w:t>re possible moderati</w:t>
      </w:r>
      <w:r>
        <w:rPr>
          <w:highlight w:val="yellow"/>
        </w:rPr>
        <w:t>o</w:t>
      </w:r>
      <w:r>
        <w:t xml:space="preserve">n </w:t>
      </w:r>
      <w:r>
        <w:rPr>
          <w:highlight w:val="yellow"/>
        </w:rPr>
        <w:t>by</w:t>
      </w:r>
      <w:r>
        <w:t xml:space="preserve"> facility </w:t>
      </w:r>
      <w:r>
        <w:rPr>
          <w:highlight w:val="yellow"/>
        </w:rPr>
        <w:t>loca</w:t>
      </w:r>
      <w:r>
        <w:t>t</w:t>
      </w:r>
      <w:r>
        <w:rPr>
          <w:highlight w:val="yellow"/>
        </w:rPr>
        <w:t>ion</w:t>
      </w:r>
      <w:r>
        <w:t xml:space="preserve"> (urban versus rural) or project funding</w:t>
      </w:r>
      <w:r>
        <w:rPr>
          <w:highlight w:val="yellow"/>
        </w:rPr>
        <w:t xml:space="preserve"> source</w:t>
      </w:r>
      <w:r>
        <w:t xml:space="preserve"> (government versus donor). </w:t>
      </w:r>
      <w:r>
        <w:rPr>
          <w:highlight w:val="yellow"/>
        </w:rPr>
        <w:t>L</w:t>
      </w:r>
      <w:r>
        <w:t xml:space="preserve">ongitudinal studies </w:t>
      </w:r>
      <w:r>
        <w:rPr>
          <w:highlight w:val="yellow"/>
        </w:rPr>
        <w:t>could exam</w:t>
      </w:r>
      <w:r>
        <w:t>in</w:t>
      </w:r>
      <w:r>
        <w:rPr>
          <w:highlight w:val="yellow"/>
        </w:rPr>
        <w:t>e</w:t>
      </w:r>
      <w:r>
        <w:t xml:space="preserve"> changes in automation f</w:t>
      </w:r>
      <w:r>
        <w:rPr>
          <w:highlight w:val="yellow"/>
        </w:rPr>
        <w:t>ollowing</w:t>
      </w:r>
      <w:r>
        <w:t xml:space="preserve"> targeted infrastructural or </w:t>
      </w:r>
      <w:proofErr w:type="spellStart"/>
      <w:r>
        <w:t>organisational</w:t>
      </w:r>
      <w:proofErr w:type="spellEnd"/>
      <w:r>
        <w:t xml:space="preserve"> interventions</w:t>
      </w:r>
      <w:r>
        <w:rPr>
          <w:highlight w:val="yellow"/>
        </w:rPr>
        <w:t xml:space="preserve"> and strengthen the assessment of temporal relationships</w:t>
      </w:r>
      <w:r>
        <w:t xml:space="preserve">. </w:t>
      </w:r>
      <w:r>
        <w:rPr>
          <w:highlight w:val="yellow"/>
        </w:rPr>
        <w:t>Q</w:t>
      </w:r>
      <w:r>
        <w:t xml:space="preserve">ualitative investigations </w:t>
      </w:r>
      <w:r>
        <w:rPr>
          <w:highlight w:val="yellow"/>
        </w:rPr>
        <w:t>could</w:t>
      </w:r>
      <w:r>
        <w:t xml:space="preserve"> explore </w:t>
      </w:r>
      <w:r>
        <w:rPr>
          <w:highlight w:val="yellow"/>
        </w:rPr>
        <w:t>barriers t</w:t>
      </w:r>
      <w:r>
        <w:t xml:space="preserve">o policy </w:t>
      </w:r>
      <w:r>
        <w:rPr>
          <w:highlight w:val="yellow"/>
        </w:rPr>
        <w:t>imple</w:t>
      </w:r>
      <w:r>
        <w:t>me</w:t>
      </w:r>
      <w:r>
        <w:rPr>
          <w:highlight w:val="yellow"/>
        </w:rPr>
        <w:t>ntati</w:t>
      </w:r>
      <w:r>
        <w:t>o</w:t>
      </w:r>
      <w:r>
        <w:rPr>
          <w:highlight w:val="yellow"/>
        </w:rPr>
        <w:t>n</w:t>
      </w:r>
      <w:r>
        <w:t xml:space="preserve"> </w:t>
      </w:r>
      <w:r>
        <w:rPr>
          <w:highlight w:val="yellow"/>
        </w:rPr>
        <w:t>an</w:t>
      </w:r>
      <w:r>
        <w:t>d t</w:t>
      </w:r>
      <w:r>
        <w:rPr>
          <w:highlight w:val="yellow"/>
        </w:rPr>
        <w:t>h</w:t>
      </w:r>
      <w:r>
        <w:t xml:space="preserve">e circumstances </w:t>
      </w:r>
      <w:r>
        <w:rPr>
          <w:highlight w:val="yellow"/>
        </w:rPr>
        <w:t>in whi</w:t>
      </w:r>
      <w:r>
        <w:t>c</w:t>
      </w:r>
      <w:r>
        <w:rPr>
          <w:highlight w:val="yellow"/>
        </w:rPr>
        <w:t>h</w:t>
      </w:r>
      <w:r>
        <w:t xml:space="preserve"> human capacity </w:t>
      </w:r>
      <w:r>
        <w:rPr>
          <w:highlight w:val="yellow"/>
        </w:rPr>
        <w:t>i</w:t>
      </w:r>
      <w:r>
        <w:t>s more s</w:t>
      </w:r>
      <w:r>
        <w:rPr>
          <w:highlight w:val="yellow"/>
        </w:rPr>
        <w:t>trongly assoc</w:t>
      </w:r>
      <w:r>
        <w:t>iated w</w:t>
      </w:r>
      <w:r>
        <w:rPr>
          <w:highlight w:val="yellow"/>
        </w:rPr>
        <w:t>i</w:t>
      </w:r>
      <w:r>
        <w:t xml:space="preserve">th </w:t>
      </w:r>
      <w:r>
        <w:rPr>
          <w:highlight w:val="yellow"/>
        </w:rPr>
        <w:t>au</w:t>
      </w:r>
      <w:r>
        <w:t>to</w:t>
      </w:r>
      <w:r>
        <w:rPr>
          <w:highlight w:val="yellow"/>
        </w:rPr>
        <w:t>ma</w:t>
      </w:r>
      <w:r>
        <w:t>ti</w:t>
      </w:r>
      <w:r>
        <w:rPr>
          <w:highlight w:val="yellow"/>
        </w:rPr>
        <w:t>o</w:t>
      </w:r>
      <w:r>
        <w:t xml:space="preserve">n. </w:t>
      </w:r>
      <w:r>
        <w:rPr>
          <w:highlight w:val="yellow"/>
        </w:rPr>
        <w:t>C</w:t>
      </w:r>
      <w:r>
        <w:t>omparative stud</w:t>
      </w:r>
      <w:r>
        <w:rPr>
          <w:highlight w:val="yellow"/>
        </w:rPr>
        <w:t>ies</w:t>
      </w:r>
      <w:r>
        <w:t xml:space="preserve"> </w:t>
      </w:r>
      <w:r>
        <w:rPr>
          <w:highlight w:val="yellow"/>
        </w:rPr>
        <w:t xml:space="preserve">could </w:t>
      </w:r>
      <w:r>
        <w:t>a</w:t>
      </w:r>
      <w:r>
        <w:rPr>
          <w:highlight w:val="yellow"/>
        </w:rPr>
        <w:t>lso</w:t>
      </w:r>
      <w:r>
        <w:t xml:space="preserve"> </w:t>
      </w:r>
      <w:r>
        <w:rPr>
          <w:highlight w:val="yellow"/>
        </w:rPr>
        <w:t>exam</w:t>
      </w:r>
      <w:r>
        <w:t xml:space="preserve">ine the </w:t>
      </w:r>
      <w:r>
        <w:rPr>
          <w:highlight w:val="yellow"/>
        </w:rPr>
        <w:t>rol</w:t>
      </w:r>
      <w:r>
        <w:t xml:space="preserve">e of </w:t>
      </w:r>
      <w:r>
        <w:rPr>
          <w:highlight w:val="yellow"/>
        </w:rPr>
        <w:t>emergi</w:t>
      </w:r>
      <w:r>
        <w:t>n</w:t>
      </w:r>
      <w:r>
        <w:rPr>
          <w:highlight w:val="yellow"/>
        </w:rPr>
        <w:t>g</w:t>
      </w:r>
      <w:r>
        <w:t xml:space="preserve"> technologies</w:t>
      </w:r>
      <w:r>
        <w:rPr>
          <w:highlight w:val="yellow"/>
        </w:rPr>
        <w:t>,</w:t>
      </w:r>
      <w:r>
        <w:t xml:space="preserve"> </w:t>
      </w:r>
      <w:r>
        <w:rPr>
          <w:highlight w:val="yellow"/>
        </w:rPr>
        <w:t>such as</w:t>
      </w:r>
      <w:r>
        <w:t xml:space="preserve"> artificial intelligence-based analytics</w:t>
      </w:r>
      <w:r>
        <w:rPr>
          <w:highlight w:val="yellow"/>
        </w:rPr>
        <w:t>,</w:t>
      </w:r>
      <w:r>
        <w:t xml:space="preserve"> in M&amp;E automation in Kenyan health projects.</w:t>
      </w:r>
    </w:p>
    <w:p w14:paraId="3F2EBD44" w14:textId="77777777" w:rsidR="00946C83" w:rsidRPr="009E1F6B" w:rsidRDefault="009E1F6B">
      <w:pPr>
        <w:spacing w:after="160" w:line="360" w:lineRule="auto"/>
        <w:rPr>
          <w:b/>
          <w:bCs/>
          <w:szCs w:val="24"/>
        </w:rPr>
      </w:pPr>
      <w:r w:rsidRPr="009E1F6B">
        <w:rPr>
          <w:b/>
          <w:bCs/>
          <w:szCs w:val="24"/>
        </w:rPr>
        <w:t>Limitations</w:t>
      </w:r>
    </w:p>
    <w:p w14:paraId="7F1FA23B" w14:textId="77777777" w:rsidR="009E1F6B" w:rsidRDefault="009E1F6B" w:rsidP="009E1F6B">
      <w:pPr>
        <w:spacing w:after="160" w:line="360" w:lineRule="auto"/>
        <w:jc w:val="both"/>
        <w:rPr>
          <w:szCs w:val="24"/>
        </w:rPr>
      </w:pPr>
      <w:r w:rsidRPr="009E1F6B">
        <w:rPr>
          <w:szCs w:val="24"/>
        </w:rPr>
        <w:t>The study focused on stakeholders involved in health-project M&amp;E in Nakuru County. Its descriptive design supports examination of associations but does not establish causal relationships. Consequently, the findings should be interpreted within the county context rather than assumed to apply uniformly elsewhere. Although both quantitative and qualitative data collection are reported, the findings presented in the manuscript focus primarily on correlation and regression analysis. Research across additional counties and institutional settings could examine the consistency of the observed relationships and provide further insight into implementation conditions.</w:t>
      </w:r>
    </w:p>
    <w:p w14:paraId="7B9FAB0A" w14:textId="77777777" w:rsidR="00946C83" w:rsidRDefault="00000000">
      <w:pPr>
        <w:spacing w:after="0" w:line="240" w:lineRule="auto"/>
        <w:rPr>
          <w:rFonts w:ascii="Arial" w:eastAsia="Calibri" w:hAnsi="Arial" w:cs="Arial"/>
          <w:b/>
          <w:sz w:val="20"/>
          <w:szCs w:val="20"/>
        </w:rPr>
      </w:pPr>
      <w:r>
        <w:rPr>
          <w:rFonts w:ascii="Arial" w:eastAsia="Calibri" w:hAnsi="Arial" w:cs="Arial"/>
          <w:b/>
          <w:sz w:val="20"/>
          <w:szCs w:val="20"/>
        </w:rPr>
        <w:t>Declaration of AI Use</w:t>
      </w:r>
    </w:p>
    <w:p w14:paraId="37719758" w14:textId="77777777" w:rsidR="00946C83" w:rsidRDefault="00946C83">
      <w:pPr>
        <w:spacing w:after="0" w:line="240" w:lineRule="auto"/>
        <w:rPr>
          <w:rFonts w:ascii="Arial" w:eastAsia="Calibri" w:hAnsi="Arial" w:cs="Arial"/>
          <w:b/>
          <w:sz w:val="20"/>
          <w:szCs w:val="20"/>
        </w:rPr>
      </w:pPr>
    </w:p>
    <w:p w14:paraId="1BC7D66D" w14:textId="77777777" w:rsidR="00946C83" w:rsidRDefault="00000000">
      <w:pPr>
        <w:spacing w:after="0" w:line="240" w:lineRule="auto"/>
      </w:pPr>
      <w:bookmarkStart w:id="0" w:name="_Hlk238550938"/>
      <w:r>
        <w:rPr>
          <w:rFonts w:ascii="Arial" w:eastAsia="Calibri" w:hAnsi="Arial" w:cs="Arial"/>
          <w:sz w:val="20"/>
          <w:szCs w:val="20"/>
        </w:rPr>
        <w:t xml:space="preserve">This manuscript was prepared through the intellectual contributions of the author(s) to the study design, data analysis, interpretation of results, and scholarly content. Grammarly and ChatGPT were used solely to assist with grammatical refinement and reference formatting during </w:t>
      </w:r>
      <w:r>
        <w:rPr>
          <w:rFonts w:ascii="Arial" w:eastAsia="Calibri" w:hAnsi="Arial" w:cs="Arial"/>
          <w:sz w:val="20"/>
          <w:szCs w:val="20"/>
        </w:rPr>
        <w:lastRenderedPageBreak/>
        <w:t>manuscript revision. The author(s) accept full responsibility for the accuracy, integrity, and final content of the manuscript</w:t>
      </w:r>
      <w:bookmarkEnd w:id="0"/>
      <w:r>
        <w:rPr>
          <w:rFonts w:ascii="Arial" w:eastAsia="Calibri" w:hAnsi="Arial" w:cs="Arial"/>
          <w:sz w:val="20"/>
          <w:szCs w:val="20"/>
        </w:rPr>
        <w:t>.</w:t>
      </w:r>
    </w:p>
    <w:p w14:paraId="5C79C3B3" w14:textId="77777777" w:rsidR="00946C83" w:rsidRDefault="00000000">
      <w:pPr>
        <w:pStyle w:val="pdq2pgselectionanchorcontainer"/>
        <w:spacing w:line="360" w:lineRule="auto"/>
        <w:jc w:val="center"/>
        <w:rPr>
          <w:b/>
          <w:bCs/>
        </w:rPr>
      </w:pPr>
      <w:bookmarkStart w:id="1" w:name="_Hlk237856463"/>
      <w:bookmarkStart w:id="2" w:name="_Hlk239068730"/>
      <w:bookmarkStart w:id="3" w:name="_Hlk237862032"/>
      <w:bookmarkEnd w:id="1"/>
      <w:bookmarkEnd w:id="2"/>
      <w:bookmarkEnd w:id="3"/>
      <w:r>
        <w:rPr>
          <w:b/>
          <w:bCs/>
        </w:rPr>
        <w:t>References</w:t>
      </w:r>
    </w:p>
    <w:p w14:paraId="46559B65" w14:textId="77777777" w:rsidR="007F0A44" w:rsidRDefault="00000000">
      <w:pPr>
        <w:spacing w:after="100"/>
        <w:ind w:left="389" w:hanging="389"/>
      </w:pPr>
      <w:r>
        <w:t xml:space="preserve">African Development Bank. (2023). </w:t>
      </w:r>
      <w:r>
        <w:rPr>
          <w:i/>
        </w:rPr>
        <w:t>African economic outlook 2023: Mobilizing private sector financing for climate and green growth in Africa</w:t>
      </w:r>
      <w:r>
        <w:t xml:space="preserve">. </w:t>
      </w:r>
      <w:hyperlink r:id="rId7">
        <w:r>
          <w:rPr>
            <w:color w:val="0563C1"/>
            <w:u w:val="single"/>
          </w:rPr>
          <w:t>https://www.afdb.org/en/documents/african-economic-outlook-2023</w:t>
        </w:r>
      </w:hyperlink>
    </w:p>
    <w:p w14:paraId="5D3744B6" w14:textId="77777777" w:rsidR="007F0A44" w:rsidRDefault="00000000">
      <w:pPr>
        <w:spacing w:after="100"/>
        <w:ind w:left="389" w:hanging="389"/>
      </w:pPr>
      <w:r>
        <w:t xml:space="preserve">Akani, K. A., Mbeke, A. M., &amp; Kariuki, J. (2025). Socio-demographic determinants of eCHIS utilization for maternal health services among lactating mothers in Muhoroni, Kisumu County, Kenya. </w:t>
      </w:r>
      <w:r>
        <w:rPr>
          <w:i/>
        </w:rPr>
        <w:t>International Journal of Tropical Disease &amp; Health, 46</w:t>
      </w:r>
      <w:r>
        <w:t xml:space="preserve">(9), 38–46. </w:t>
      </w:r>
      <w:hyperlink r:id="rId8">
        <w:r>
          <w:rPr>
            <w:color w:val="0563C1"/>
            <w:u w:val="single"/>
          </w:rPr>
          <w:t>https://doi.org/10.9734/ijtdh/2025/v46i91687</w:t>
        </w:r>
      </w:hyperlink>
    </w:p>
    <w:p w14:paraId="2C53DDD9" w14:textId="77777777" w:rsidR="007F0A44" w:rsidRDefault="00000000">
      <w:pPr>
        <w:spacing w:after="100"/>
        <w:ind w:left="389" w:hanging="389"/>
      </w:pPr>
      <w:r>
        <w:t xml:space="preserve">Broadband Commission for Sustainable Development. (2019). </w:t>
      </w:r>
      <w:r>
        <w:rPr>
          <w:i/>
        </w:rPr>
        <w:t>Connecting Africa through broadband: A strategy for doubling connectivity by 2021 and reaching universal access by 2030</w:t>
      </w:r>
      <w:r>
        <w:t xml:space="preserve">. World Bank. </w:t>
      </w:r>
      <w:hyperlink r:id="rId9">
        <w:r>
          <w:rPr>
            <w:color w:val="0563C1"/>
            <w:u w:val="single"/>
          </w:rPr>
          <w:t>https://documents1.worldbank.org/curated/en/131521594177485720/pdf/Connecting-Africa-Through-Broadband-A-Strategy-for-Doubling-Connectivity-by-2021-and-Reaching-Universal-Access-by-2030.pdf</w:t>
        </w:r>
      </w:hyperlink>
    </w:p>
    <w:p w14:paraId="28729E9B" w14:textId="77777777" w:rsidR="007F0A44" w:rsidRDefault="00000000">
      <w:pPr>
        <w:spacing w:after="100"/>
        <w:ind w:left="389" w:hanging="389"/>
      </w:pPr>
      <w:r>
        <w:t xml:space="preserve">Chepkirui, M., Dellicour, S., Musuva, R., Odero, I., Omondi, B., Omondi, B., Onyango, E., Barsosio, H., Otiso, L., &amp; Okomo, G. (2025). Missed opportunities for digital health data use in healthcare decision-making: A cross-sectional digital health landscape assessment in Homa Bay county, Kenya. </w:t>
      </w:r>
      <w:r>
        <w:rPr>
          <w:i/>
        </w:rPr>
        <w:t>PLOS Digital Health, 4</w:t>
      </w:r>
      <w:r>
        <w:t xml:space="preserve">(6), Article e0000870. </w:t>
      </w:r>
      <w:hyperlink r:id="rId10">
        <w:r>
          <w:rPr>
            <w:color w:val="0563C1"/>
            <w:u w:val="single"/>
          </w:rPr>
          <w:t>https://doi.org/10.1371/journal.pdig.0000870</w:t>
        </w:r>
      </w:hyperlink>
    </w:p>
    <w:p w14:paraId="503B72CE" w14:textId="77777777" w:rsidR="007F0A44" w:rsidRDefault="00000000">
      <w:pPr>
        <w:spacing w:after="100"/>
        <w:ind w:left="389" w:hanging="389"/>
      </w:pPr>
      <w:r>
        <w:t xml:space="preserve">Chilundo, B., &amp; Aanestad, M. (2004). Negotiating multiple rationalities in the process of integrating the information systems of disease-specific health programmes. </w:t>
      </w:r>
      <w:r>
        <w:rPr>
          <w:i/>
        </w:rPr>
        <w:t>The Electronic Journal of Information Systems in Developing Countries, 20</w:t>
      </w:r>
      <w:r>
        <w:t xml:space="preserve">(1), 1–28. </w:t>
      </w:r>
      <w:hyperlink r:id="rId11">
        <w:r>
          <w:rPr>
            <w:color w:val="0563C1"/>
            <w:u w:val="single"/>
          </w:rPr>
          <w:t>https://doi.org/10.1002/j.1681-4835.2004.tb00129.x</w:t>
        </w:r>
      </w:hyperlink>
    </w:p>
    <w:p w14:paraId="13B02227" w14:textId="77777777" w:rsidR="007F0A44" w:rsidRDefault="00000000">
      <w:pPr>
        <w:spacing w:after="100"/>
        <w:ind w:left="389" w:hanging="389"/>
      </w:pPr>
      <w:r>
        <w:t xml:space="preserve">Creswell, J. W. (2014). </w:t>
      </w:r>
      <w:r>
        <w:rPr>
          <w:i/>
        </w:rPr>
        <w:t>Research design: Qualitative, quantitative, and mixed methods approaches</w:t>
      </w:r>
      <w:r>
        <w:t xml:space="preserve"> (4th ed.). SAGE Publications. </w:t>
      </w:r>
      <w:hyperlink r:id="rId12">
        <w:r>
          <w:rPr>
            <w:color w:val="0563C1"/>
            <w:u w:val="single"/>
          </w:rPr>
          <w:t>https://discover.library.unt.edu/catalog/b4540781</w:t>
        </w:r>
      </w:hyperlink>
    </w:p>
    <w:p w14:paraId="671AF96C" w14:textId="77777777" w:rsidR="007F0A44" w:rsidRDefault="00000000">
      <w:pPr>
        <w:spacing w:after="100"/>
        <w:ind w:left="389" w:hanging="389"/>
      </w:pPr>
      <w:r>
        <w:t xml:space="preserve">Creswell, J. W., &amp; Creswell, J. D. (2023). </w:t>
      </w:r>
      <w:r>
        <w:rPr>
          <w:i/>
        </w:rPr>
        <w:t>Research design: Qualitative, quantitative, and mixed methods approaches</w:t>
      </w:r>
      <w:r>
        <w:t xml:space="preserve"> (6th ed.). SAGE Publications. </w:t>
      </w:r>
      <w:hyperlink r:id="rId13">
        <w:r>
          <w:rPr>
            <w:color w:val="0563C1"/>
            <w:u w:val="single"/>
          </w:rPr>
          <w:t>https://catalog.library.tamu.edu/Record/in00004649313/Cite</w:t>
        </w:r>
      </w:hyperlink>
    </w:p>
    <w:p w14:paraId="10DF9A79" w14:textId="77777777" w:rsidR="007F0A44" w:rsidRDefault="00000000">
      <w:pPr>
        <w:spacing w:after="100"/>
        <w:ind w:left="389" w:hanging="389"/>
      </w:pPr>
      <w:r>
        <w:t xml:space="preserve">Davis, F. D. (1989). Perceived usefulness, perceived ease of use, and user acceptance of information technology. </w:t>
      </w:r>
      <w:r>
        <w:rPr>
          <w:i/>
        </w:rPr>
        <w:t>MIS Quarterly, 13</w:t>
      </w:r>
      <w:r>
        <w:t xml:space="preserve">(3), 319–340. </w:t>
      </w:r>
      <w:hyperlink r:id="rId14">
        <w:r>
          <w:rPr>
            <w:color w:val="0563C1"/>
            <w:u w:val="single"/>
          </w:rPr>
          <w:t>https://doi.org/10.2307/249008</w:t>
        </w:r>
      </w:hyperlink>
    </w:p>
    <w:p w14:paraId="6D35DF8F" w14:textId="77777777" w:rsidR="007F0A44" w:rsidRDefault="00000000">
      <w:pPr>
        <w:spacing w:after="100"/>
        <w:ind w:left="389" w:hanging="389"/>
      </w:pPr>
      <w:r>
        <w:lastRenderedPageBreak/>
        <w:t xml:space="preserve">Kariuki, P., &amp; Reddy, P. (2017). Operationalising an effective monitoring and evaluation system for local government: Considerations for best practice. </w:t>
      </w:r>
      <w:r>
        <w:rPr>
          <w:i/>
        </w:rPr>
        <w:t>African Evaluation Journal, 5</w:t>
      </w:r>
      <w:r>
        <w:t xml:space="preserve">(2), Article a240. </w:t>
      </w:r>
      <w:hyperlink r:id="rId15">
        <w:r>
          <w:rPr>
            <w:color w:val="0563C1"/>
            <w:u w:val="single"/>
          </w:rPr>
          <w:t>https://doi.org/10.4102/aej.v5i2.240</w:t>
        </w:r>
      </w:hyperlink>
    </w:p>
    <w:p w14:paraId="46CE555A" w14:textId="77777777" w:rsidR="007F0A44" w:rsidRDefault="00000000">
      <w:pPr>
        <w:spacing w:after="100"/>
        <w:ind w:left="389" w:hanging="389"/>
      </w:pPr>
      <w:r>
        <w:t xml:space="preserve">Kothari, C. R., &amp; Garg, G. (2022). </w:t>
      </w:r>
      <w:r>
        <w:rPr>
          <w:i/>
        </w:rPr>
        <w:t>Research methodology: Methods and techniques</w:t>
      </w:r>
      <w:r>
        <w:t xml:space="preserve"> (4th ed.). New Age International. </w:t>
      </w:r>
      <w:hyperlink r:id="rId16">
        <w:r>
          <w:rPr>
            <w:color w:val="0563C1"/>
            <w:u w:val="single"/>
          </w:rPr>
          <w:t>https://egyankosh.cvmu.edu.in/cgi-bin/koha/opac-detail.pl?biblionumber=178871</w:t>
        </w:r>
      </w:hyperlink>
    </w:p>
    <w:p w14:paraId="74AD46D1" w14:textId="77777777" w:rsidR="007F0A44" w:rsidRDefault="00000000">
      <w:pPr>
        <w:spacing w:after="100"/>
        <w:ind w:left="389" w:hanging="389"/>
      </w:pPr>
      <w:r>
        <w:t xml:space="preserve">Mburu, S., &amp; Kamau, O. (2018). Framework for development and implementation of digital health policies to accelerate the attainment of sustainable development goals: Case of Kenya eHealth policy (2016–2030). </w:t>
      </w:r>
      <w:r>
        <w:rPr>
          <w:i/>
        </w:rPr>
        <w:t>Journal of Health Informatics in Africa, 5</w:t>
      </w:r>
      <w:r>
        <w:t xml:space="preserve">(2). </w:t>
      </w:r>
      <w:hyperlink r:id="rId17">
        <w:r>
          <w:rPr>
            <w:color w:val="0563C1"/>
            <w:u w:val="single"/>
          </w:rPr>
          <w:t>https://doi.org/10.12856/JHIA-2018-v5-i2-210</w:t>
        </w:r>
      </w:hyperlink>
    </w:p>
    <w:p w14:paraId="3682BA0F" w14:textId="77777777" w:rsidR="007F0A44" w:rsidRDefault="00000000">
      <w:pPr>
        <w:spacing w:after="100"/>
        <w:ind w:left="389" w:hanging="389"/>
      </w:pPr>
      <w:r>
        <w:t xml:space="preserve">Ministry of Health. (2018). </w:t>
      </w:r>
      <w:r>
        <w:rPr>
          <w:i/>
        </w:rPr>
        <w:t>Kenya health sector strategic plan 2018–2023</w:t>
      </w:r>
      <w:r>
        <w:t xml:space="preserve">. Government of Kenya. </w:t>
      </w:r>
      <w:hyperlink r:id="rId18">
        <w:r>
          <w:rPr>
            <w:color w:val="0563C1"/>
            <w:u w:val="single"/>
          </w:rPr>
          <w:t>https://extranet.who.int/countryplanningcycles/planning-cycle-files/kenya-health-sector-strategic-plan-2018-2023</w:t>
        </w:r>
      </w:hyperlink>
    </w:p>
    <w:p w14:paraId="5028AE49" w14:textId="77777777" w:rsidR="007F0A44" w:rsidRDefault="00000000">
      <w:pPr>
        <w:spacing w:after="100"/>
        <w:ind w:left="389" w:hanging="389"/>
      </w:pPr>
      <w:r>
        <w:t xml:space="preserve">Ministry of Health. (2025, January 29). </w:t>
      </w:r>
      <w:r>
        <w:rPr>
          <w:i/>
        </w:rPr>
        <w:t>Ministry of Health accelerates digital transformation in healthcare</w:t>
      </w:r>
      <w:r>
        <w:t xml:space="preserve">. </w:t>
      </w:r>
      <w:hyperlink r:id="rId19">
        <w:r>
          <w:rPr>
            <w:color w:val="0563C1"/>
            <w:u w:val="single"/>
          </w:rPr>
          <w:t>https://www.health.go.ke/ministry-health-accelerates-digital-transformation-healthcare</w:t>
        </w:r>
      </w:hyperlink>
    </w:p>
    <w:p w14:paraId="43B30262" w14:textId="77777777" w:rsidR="007F0A44" w:rsidRDefault="00000000">
      <w:pPr>
        <w:spacing w:after="100"/>
        <w:ind w:left="389" w:hanging="389"/>
      </w:pPr>
      <w:r>
        <w:t xml:space="preserve">Mugenda, O. M., &amp; Mugenda, A. G. (2019). </w:t>
      </w:r>
      <w:r>
        <w:rPr>
          <w:i/>
        </w:rPr>
        <w:t>Research methods: Quantitative, qualitative &amp; mixed methods approaches</w:t>
      </w:r>
      <w:r>
        <w:t xml:space="preserve"> (3rd ed.). CLiG. </w:t>
      </w:r>
      <w:hyperlink r:id="rId20">
        <w:r>
          <w:rPr>
            <w:color w:val="0563C1"/>
            <w:u w:val="single"/>
          </w:rPr>
          <w:t>https://opac.ueab.ac.ke/cgi-bin/koha/opac-detail.pl?biblionumber=43702</w:t>
        </w:r>
      </w:hyperlink>
    </w:p>
    <w:p w14:paraId="456F379A" w14:textId="77777777" w:rsidR="007F0A44" w:rsidRDefault="00000000">
      <w:pPr>
        <w:spacing w:after="100"/>
        <w:ind w:left="389" w:hanging="389"/>
      </w:pPr>
      <w:r>
        <w:t xml:space="preserve">Nakuru County Government. (2023). </w:t>
      </w:r>
      <w:r>
        <w:rPr>
          <w:i/>
        </w:rPr>
        <w:t>County integrated development plan 2023–2027</w:t>
      </w:r>
      <w:r>
        <w:t xml:space="preserve">. </w:t>
      </w:r>
      <w:hyperlink r:id="rId21">
        <w:r>
          <w:rPr>
            <w:color w:val="0563C1"/>
            <w:u w:val="single"/>
          </w:rPr>
          <w:t>https://www.nakuru.go.ke/wp-content/uploads/2025/01/Nakuru-CIDP-2023-2027.pdf</w:t>
        </w:r>
      </w:hyperlink>
    </w:p>
    <w:p w14:paraId="56B4EC28" w14:textId="77777777" w:rsidR="007F0A44" w:rsidRDefault="00000000">
      <w:pPr>
        <w:spacing w:after="100"/>
        <w:ind w:left="389" w:hanging="389"/>
      </w:pPr>
      <w:r>
        <w:t xml:space="preserve">Oware, E., &amp; Talabi, G. (2026). Bridging the gap between data analytics and public health policy: A review of translational barriers and opportunities. </w:t>
      </w:r>
      <w:r>
        <w:rPr>
          <w:i/>
        </w:rPr>
        <w:t>Asian Journal of Current Research, 11</w:t>
      </w:r>
      <w:r>
        <w:t xml:space="preserve">(3), 160–173. </w:t>
      </w:r>
      <w:hyperlink r:id="rId22">
        <w:r>
          <w:rPr>
            <w:color w:val="0563C1"/>
            <w:u w:val="single"/>
          </w:rPr>
          <w:t>https://doi.org/10.56557/ajocr/2026/v11i310807</w:t>
        </w:r>
      </w:hyperlink>
    </w:p>
    <w:p w14:paraId="75D492DE" w14:textId="77777777" w:rsidR="007F0A44" w:rsidRDefault="00000000">
      <w:pPr>
        <w:spacing w:after="100"/>
        <w:ind w:left="389" w:hanging="389"/>
      </w:pPr>
      <w:r>
        <w:t xml:space="preserve">Oware, P. M., Omondi, G., Adipo, C., Adow, M., Wanyama, C., Odallo, D., Bosire, N., Okong’o, L., Maina, M., &amp; Aluvaala, J. (2025). Perceived accuracy and utilisation of DHIS2 data for health decision making and advocacy in Kenya: A qualitative study. </w:t>
      </w:r>
      <w:r>
        <w:rPr>
          <w:i/>
        </w:rPr>
        <w:t>PLOS Global Public Health, 5</w:t>
      </w:r>
      <w:r>
        <w:t xml:space="preserve">(8), Article e0004508. </w:t>
      </w:r>
      <w:hyperlink r:id="rId23">
        <w:r>
          <w:rPr>
            <w:color w:val="0563C1"/>
            <w:u w:val="single"/>
          </w:rPr>
          <w:t>https://doi.org/10.1371/journal.pgph.0004508</w:t>
        </w:r>
      </w:hyperlink>
    </w:p>
    <w:p w14:paraId="771354C4" w14:textId="77777777" w:rsidR="007F0A44" w:rsidRDefault="00000000">
      <w:pPr>
        <w:spacing w:after="100"/>
        <w:ind w:left="389" w:hanging="389"/>
      </w:pPr>
      <w:r>
        <w:t xml:space="preserve">Oyedele, Y., van Greunen, D., Martinez, O., &amp; Icard, L. D. (2025). IT for monitoring and evaluating healthcare training in low- and middle-income countries. </w:t>
      </w:r>
      <w:r>
        <w:rPr>
          <w:i/>
        </w:rPr>
        <w:t>African Evaluation Journal, 13</w:t>
      </w:r>
      <w:r>
        <w:t xml:space="preserve">(1), Article a785. </w:t>
      </w:r>
      <w:hyperlink r:id="rId24">
        <w:r>
          <w:rPr>
            <w:color w:val="0563C1"/>
            <w:u w:val="single"/>
          </w:rPr>
          <w:t>https://doi.org/10.4102/aej.v13i1.785</w:t>
        </w:r>
      </w:hyperlink>
    </w:p>
    <w:p w14:paraId="3BA7E8CD" w14:textId="77777777" w:rsidR="007F0A44" w:rsidRDefault="00000000">
      <w:pPr>
        <w:spacing w:after="100"/>
        <w:ind w:left="389" w:hanging="389"/>
      </w:pPr>
      <w:r>
        <w:t xml:space="preserve">Rogers, E. M. (2003). </w:t>
      </w:r>
      <w:r>
        <w:rPr>
          <w:i/>
        </w:rPr>
        <w:t>Diffusion of innovations</w:t>
      </w:r>
      <w:r>
        <w:t xml:space="preserve"> (5th ed.). Free Press. </w:t>
      </w:r>
      <w:hyperlink r:id="rId25">
        <w:r>
          <w:rPr>
            <w:color w:val="0563C1"/>
            <w:u w:val="single"/>
          </w:rPr>
          <w:t>https://catalog.library.tamu.edu/Record/in00004094133/TOC</w:t>
        </w:r>
      </w:hyperlink>
    </w:p>
    <w:p w14:paraId="339AD538" w14:textId="77777777" w:rsidR="007F0A44" w:rsidRDefault="00000000">
      <w:pPr>
        <w:spacing w:after="100"/>
        <w:ind w:left="389" w:hanging="389"/>
      </w:pPr>
      <w:r>
        <w:t xml:space="preserve">United Nations Development Programme. (2021, December 20). </w:t>
      </w:r>
      <w:r>
        <w:rPr>
          <w:i/>
        </w:rPr>
        <w:t>Digital data analytics for monitoring and evaluation</w:t>
      </w:r>
      <w:r>
        <w:t xml:space="preserve">. </w:t>
      </w:r>
      <w:hyperlink r:id="rId26">
        <w:r>
          <w:rPr>
            <w:color w:val="0563C1"/>
            <w:u w:val="single"/>
          </w:rPr>
          <w:t>https://www.undp.org/samoa/press-releases/digital-data-analytics-monitoring-and-evaluation</w:t>
        </w:r>
      </w:hyperlink>
    </w:p>
    <w:p w14:paraId="55F28987" w14:textId="77777777" w:rsidR="007F0A44" w:rsidRDefault="00000000">
      <w:pPr>
        <w:spacing w:after="100"/>
        <w:ind w:left="389" w:hanging="389"/>
      </w:pPr>
      <w:r>
        <w:lastRenderedPageBreak/>
        <w:t xml:space="preserve">World Health Organization. (2016). </w:t>
      </w:r>
      <w:r>
        <w:rPr>
          <w:i/>
        </w:rPr>
        <w:t>Monitoring and evaluating digital health interventions: A practical guide to conducting research and assessment</w:t>
      </w:r>
      <w:r>
        <w:t xml:space="preserve">. </w:t>
      </w:r>
      <w:hyperlink r:id="rId27">
        <w:r>
          <w:rPr>
            <w:color w:val="0563C1"/>
            <w:u w:val="single"/>
          </w:rPr>
          <w:t>https://www.who.int/publications/i/item/9789241511766</w:t>
        </w:r>
      </w:hyperlink>
    </w:p>
    <w:p w14:paraId="5492E51F" w14:textId="77777777" w:rsidR="007F0A44" w:rsidRDefault="00000000">
      <w:pPr>
        <w:spacing w:after="100"/>
        <w:ind w:left="389" w:hanging="389"/>
      </w:pPr>
      <w:r>
        <w:t xml:space="preserve">World Health Organization. (2021). </w:t>
      </w:r>
      <w:r>
        <w:rPr>
          <w:i/>
        </w:rPr>
        <w:t>Global strategy on digital health 2020–2025</w:t>
      </w:r>
      <w:r>
        <w:t xml:space="preserve">. </w:t>
      </w:r>
      <w:hyperlink r:id="rId28">
        <w:r>
          <w:rPr>
            <w:color w:val="0563C1"/>
            <w:u w:val="single"/>
          </w:rPr>
          <w:t>https://www.who.int/publications/i/item/9789240020924</w:t>
        </w:r>
      </w:hyperlink>
    </w:p>
    <w:p w14:paraId="226CB160" w14:textId="77777777" w:rsidR="007F0A44" w:rsidRDefault="00000000">
      <w:pPr>
        <w:spacing w:after="100"/>
        <w:ind w:left="389" w:hanging="389"/>
      </w:pPr>
      <w:r>
        <w:t xml:space="preserve">Yew, S. Q., Trivedi, D., Adanan, N. I. H., &amp; Chew, B. H. (2025). Facilitators and barriers to the implementation of digital health technologies in hospital settings in lower- and middle-income countries since the onset of the COVID-19 pandemic: Scoping review. </w:t>
      </w:r>
      <w:r>
        <w:rPr>
          <w:i/>
        </w:rPr>
        <w:t>Journal of Medical Internet Research, 27</w:t>
      </w:r>
      <w:r>
        <w:t xml:space="preserve">, Article e63482. </w:t>
      </w:r>
      <w:hyperlink r:id="rId29">
        <w:r>
          <w:rPr>
            <w:color w:val="0563C1"/>
            <w:u w:val="single"/>
          </w:rPr>
          <w:t>https://doi.org/10.2196/63482</w:t>
        </w:r>
      </w:hyperlink>
    </w:p>
    <w:sectPr w:rsidR="007F0A44">
      <w:headerReference w:type="default" r:id="rId30"/>
      <w:footerReference w:type="default" r:id="rId31"/>
      <w:pgSz w:w="12240" w:h="15840"/>
      <w:pgMar w:top="1440" w:right="1800" w:bottom="1440" w:left="1800" w:header="720" w:footer="720"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9693C" w14:textId="77777777" w:rsidR="00141F50" w:rsidRDefault="00141F50">
      <w:pPr>
        <w:spacing w:after="0" w:line="240" w:lineRule="auto"/>
      </w:pPr>
      <w:r>
        <w:separator/>
      </w:r>
    </w:p>
  </w:endnote>
  <w:endnote w:type="continuationSeparator" w:id="0">
    <w:p w14:paraId="0E110D0D" w14:textId="77777777" w:rsidR="00141F50" w:rsidRDefault="00141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9B355" w14:textId="77777777" w:rsidR="00946C83" w:rsidRDefault="00000000">
    <w:pPr>
      <w:pStyle w:val="Footer"/>
      <w:jc w:val="center"/>
    </w:pPr>
    <w:r>
      <w:fldChar w:fldCharType="begin"/>
    </w:r>
    <w:r>
      <w:instrText xml:space="preserve"> PAGE </w:instrText>
    </w:r>
    <w:r>
      <w:fldChar w:fldCharType="separate"/>
    </w:r>
    <w:r>
      <w:t>22</w:t>
    </w:r>
    <w:r>
      <w:fldChar w:fldCharType="end"/>
    </w:r>
  </w:p>
  <w:p w14:paraId="6D51843D" w14:textId="77777777" w:rsidR="00946C83" w:rsidRDefault="00946C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7B532" w14:textId="77777777" w:rsidR="00141F50" w:rsidRDefault="00141F50">
      <w:pPr>
        <w:spacing w:after="0" w:line="240" w:lineRule="auto"/>
      </w:pPr>
      <w:r>
        <w:separator/>
      </w:r>
    </w:p>
  </w:footnote>
  <w:footnote w:type="continuationSeparator" w:id="0">
    <w:p w14:paraId="5F473485" w14:textId="77777777" w:rsidR="00141F50" w:rsidRDefault="00141F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CB3EE" w14:textId="77777777" w:rsidR="00946C83" w:rsidRDefault="00000000">
    <w:pPr>
      <w:pStyle w:val="Header"/>
      <w:rPr>
        <w:lang w:eastAsia="en-US"/>
      </w:rPr>
    </w:pPr>
    <w:r>
      <w:rPr>
        <w:lang w:eastAsia="en-US"/>
      </w:rPr>
      <w:pict w14:anchorId="67CBB8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656189" o:spid="_x0000_s1025" type="#_x0000_t136" style="position:absolute;margin-left:0;margin-top:0;width:548.05pt;height:65.85pt;rotation:315;z-index:1;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Times New Roman&quot;;font-size:1pt" trim="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4E40"/>
    <w:multiLevelType w:val="multilevel"/>
    <w:tmpl w:val="76CC13B2"/>
    <w:lvl w:ilvl="0">
      <w:start w:val="1"/>
      <w:numFmt w:val="bullet"/>
      <w:pStyle w:val="ListBullet21"/>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D77C32"/>
    <w:multiLevelType w:val="multilevel"/>
    <w:tmpl w:val="CB946AB0"/>
    <w:lvl w:ilvl="0">
      <w:start w:val="1"/>
      <w:numFmt w:val="decimal"/>
      <w:pStyle w:val="ListNumb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56356B"/>
    <w:multiLevelType w:val="multilevel"/>
    <w:tmpl w:val="F1144BAE"/>
    <w:lvl w:ilvl="0">
      <w:start w:val="1"/>
      <w:numFmt w:val="bullet"/>
      <w:pStyle w:val="ListBullet31"/>
      <w:lvlText w:val=""/>
      <w:lvlJc w:val="left"/>
      <w:pPr>
        <w:tabs>
          <w:tab w:val="num" w:pos="1080"/>
        </w:tabs>
        <w:ind w:left="108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0D09F4"/>
    <w:multiLevelType w:val="multilevel"/>
    <w:tmpl w:val="13D65644"/>
    <w:lvl w:ilvl="0">
      <w:start w:val="1"/>
      <w:numFmt w:val="decimal"/>
      <w:pStyle w:val="ListNumber3"/>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842521"/>
    <w:multiLevelType w:val="multilevel"/>
    <w:tmpl w:val="57ACB454"/>
    <w:lvl w:ilvl="0">
      <w:start w:val="1"/>
      <w:numFmt w:val="decimal"/>
      <w:pStyle w:val="ListNumber2"/>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D614380"/>
    <w:multiLevelType w:val="multilevel"/>
    <w:tmpl w:val="82568028"/>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6" w15:restartNumberingAfterBreak="0">
    <w:nsid w:val="668D0B3B"/>
    <w:multiLevelType w:val="multilevel"/>
    <w:tmpl w:val="2836FA76"/>
    <w:lvl w:ilvl="0">
      <w:start w:val="1"/>
      <w:numFmt w:val="bullet"/>
      <w:pStyle w:val="List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94047727">
    <w:abstractNumId w:val="5"/>
  </w:num>
  <w:num w:numId="2" w16cid:durableId="1593589773">
    <w:abstractNumId w:val="3"/>
  </w:num>
  <w:num w:numId="3" w16cid:durableId="1700399160">
    <w:abstractNumId w:val="4"/>
  </w:num>
  <w:num w:numId="4" w16cid:durableId="1313564959">
    <w:abstractNumId w:val="2"/>
  </w:num>
  <w:num w:numId="5" w16cid:durableId="1766001861">
    <w:abstractNumId w:val="0"/>
  </w:num>
  <w:num w:numId="6" w16cid:durableId="1107969503">
    <w:abstractNumId w:val="1"/>
  </w:num>
  <w:num w:numId="7" w16cid:durableId="17310724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NotTrackMoves/>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MyMzW0NDEytzQxNLRQ0lEKTi0uzszPAykwrAUATl+pcSwAAAA="/>
  </w:docVars>
  <w:rsids>
    <w:rsidRoot w:val="00946C83"/>
    <w:rsid w:val="000F6C3F"/>
    <w:rsid w:val="00141F50"/>
    <w:rsid w:val="00251090"/>
    <w:rsid w:val="00376AA6"/>
    <w:rsid w:val="007572F3"/>
    <w:rsid w:val="007F0A44"/>
    <w:rsid w:val="00805286"/>
    <w:rsid w:val="00946C83"/>
    <w:rsid w:val="009E1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D7961"/>
  <w15:docId w15:val="{76949DD4-892F-4E0C-B200-2EF2B6EB9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Times New Roman" w:eastAsia="Times New Roman" w:hAnsi="Times New Roman" w:cs="Times New Roman"/>
      <w:sz w:val="24"/>
      <w:szCs w:val="22"/>
      <w:lang w:eastAsia="zh-CN"/>
    </w:rPr>
  </w:style>
  <w:style w:type="paragraph" w:styleId="Heading1">
    <w:name w:val="heading 1"/>
    <w:basedOn w:val="Normal"/>
    <w:next w:val="Normal"/>
    <w:uiPriority w:val="9"/>
    <w:qFormat/>
    <w:pPr>
      <w:keepNext/>
      <w:keepLines/>
      <w:numPr>
        <w:numId w:val="1"/>
      </w:numPr>
      <w:spacing w:before="480" w:after="0"/>
      <w:outlineLvl w:val="0"/>
    </w:pPr>
    <w:rPr>
      <w:rFonts w:ascii="Calibri" w:hAnsi="Calibri"/>
      <w:b/>
      <w:bCs/>
      <w:color w:val="365F91"/>
      <w:sz w:val="28"/>
      <w:szCs w:val="28"/>
    </w:rPr>
  </w:style>
  <w:style w:type="paragraph" w:styleId="Heading2">
    <w:name w:val="heading 2"/>
    <w:basedOn w:val="Normal"/>
    <w:next w:val="Normal"/>
    <w:uiPriority w:val="9"/>
    <w:semiHidden/>
    <w:unhideWhenUsed/>
    <w:qFormat/>
    <w:pPr>
      <w:keepNext/>
      <w:keepLines/>
      <w:numPr>
        <w:ilvl w:val="1"/>
        <w:numId w:val="1"/>
      </w:numPr>
      <w:spacing w:before="200" w:after="0"/>
      <w:outlineLvl w:val="1"/>
    </w:pPr>
    <w:rPr>
      <w:rFonts w:ascii="Calibri" w:hAnsi="Calibri"/>
      <w:b/>
      <w:bCs/>
      <w:color w:val="4F81BD"/>
      <w:sz w:val="26"/>
      <w:szCs w:val="26"/>
    </w:rPr>
  </w:style>
  <w:style w:type="paragraph" w:styleId="Heading3">
    <w:name w:val="heading 3"/>
    <w:basedOn w:val="Normal"/>
    <w:next w:val="Normal"/>
    <w:uiPriority w:val="9"/>
    <w:semiHidden/>
    <w:unhideWhenUsed/>
    <w:qFormat/>
    <w:pPr>
      <w:keepNext/>
      <w:keepLines/>
      <w:numPr>
        <w:ilvl w:val="2"/>
        <w:numId w:val="1"/>
      </w:numPr>
      <w:spacing w:before="200" w:after="0"/>
      <w:outlineLvl w:val="2"/>
    </w:pPr>
    <w:rPr>
      <w:rFonts w:ascii="Calibri" w:hAnsi="Calibri"/>
      <w:b/>
      <w:bCs/>
      <w:color w:val="4F81BD"/>
    </w:rPr>
  </w:style>
  <w:style w:type="paragraph" w:styleId="Heading4">
    <w:name w:val="heading 4"/>
    <w:basedOn w:val="Normal"/>
    <w:next w:val="Normal"/>
    <w:uiPriority w:val="9"/>
    <w:semiHidden/>
    <w:unhideWhenUsed/>
    <w:qFormat/>
    <w:pPr>
      <w:keepNext/>
      <w:keepLines/>
      <w:numPr>
        <w:ilvl w:val="3"/>
        <w:numId w:val="1"/>
      </w:numPr>
      <w:spacing w:before="200" w:after="0"/>
      <w:outlineLvl w:val="3"/>
    </w:pPr>
    <w:rPr>
      <w:rFonts w:ascii="Calibri" w:hAnsi="Calibri"/>
      <w:b/>
      <w:bCs/>
      <w:i/>
      <w:iCs/>
      <w:color w:val="4F81BD"/>
    </w:rPr>
  </w:style>
  <w:style w:type="paragraph" w:styleId="Heading5">
    <w:name w:val="heading 5"/>
    <w:basedOn w:val="Normal"/>
    <w:next w:val="Normal"/>
    <w:uiPriority w:val="9"/>
    <w:semiHidden/>
    <w:unhideWhenUsed/>
    <w:qFormat/>
    <w:pPr>
      <w:keepNext/>
      <w:keepLines/>
      <w:numPr>
        <w:ilvl w:val="4"/>
        <w:numId w:val="1"/>
      </w:numPr>
      <w:spacing w:before="200" w:after="0"/>
      <w:outlineLvl w:val="4"/>
    </w:pPr>
    <w:rPr>
      <w:rFonts w:ascii="Calibri" w:hAnsi="Calibri"/>
      <w:color w:val="244061"/>
    </w:rPr>
  </w:style>
  <w:style w:type="paragraph" w:styleId="Heading6">
    <w:name w:val="heading 6"/>
    <w:basedOn w:val="Normal"/>
    <w:next w:val="Normal"/>
    <w:uiPriority w:val="9"/>
    <w:semiHidden/>
    <w:unhideWhenUsed/>
    <w:qFormat/>
    <w:pPr>
      <w:keepNext/>
      <w:keepLines/>
      <w:numPr>
        <w:ilvl w:val="5"/>
        <w:numId w:val="1"/>
      </w:numPr>
      <w:spacing w:before="200" w:after="0"/>
      <w:outlineLvl w:val="5"/>
    </w:pPr>
    <w:rPr>
      <w:rFonts w:ascii="Calibri" w:hAnsi="Calibri"/>
      <w:i/>
      <w:iCs/>
      <w:color w:val="244061"/>
    </w:rPr>
  </w:style>
  <w:style w:type="paragraph" w:styleId="Heading7">
    <w:name w:val="heading 7"/>
    <w:basedOn w:val="Normal"/>
    <w:next w:val="Normal"/>
    <w:qFormat/>
    <w:pPr>
      <w:keepNext/>
      <w:keepLines/>
      <w:numPr>
        <w:ilvl w:val="6"/>
        <w:numId w:val="1"/>
      </w:numPr>
      <w:spacing w:before="200" w:after="0"/>
      <w:outlineLvl w:val="6"/>
    </w:pPr>
    <w:rPr>
      <w:rFonts w:ascii="Calibri" w:hAnsi="Calibri"/>
      <w:i/>
      <w:iCs/>
      <w:color w:val="404040"/>
    </w:rPr>
  </w:style>
  <w:style w:type="paragraph" w:styleId="Heading8">
    <w:name w:val="heading 8"/>
    <w:basedOn w:val="Normal"/>
    <w:next w:val="Normal"/>
    <w:qFormat/>
    <w:pPr>
      <w:keepNext/>
      <w:keepLines/>
      <w:numPr>
        <w:ilvl w:val="7"/>
        <w:numId w:val="1"/>
      </w:numPr>
      <w:spacing w:before="200" w:after="0"/>
      <w:outlineLvl w:val="7"/>
    </w:pPr>
    <w:rPr>
      <w:rFonts w:ascii="Calibri" w:hAnsi="Calibri"/>
      <w:color w:val="4F81BD"/>
      <w:sz w:val="20"/>
      <w:szCs w:val="20"/>
    </w:rPr>
  </w:style>
  <w:style w:type="paragraph" w:styleId="Heading9">
    <w:name w:val="heading 9"/>
    <w:basedOn w:val="Normal"/>
    <w:next w:val="Normal"/>
    <w:qFormat/>
    <w:pPr>
      <w:keepNext/>
      <w:keepLines/>
      <w:numPr>
        <w:ilvl w:val="8"/>
        <w:numId w:val="1"/>
      </w:numPr>
      <w:spacing w:before="200" w:after="0"/>
      <w:outlineLvl w:val="8"/>
    </w:pPr>
    <w:rPr>
      <w:rFonts w:ascii="Calibri"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1z0">
    <w:name w:val="WW8Num11z0"/>
    <w:qFormat/>
    <w:rPr>
      <w:rFonts w:ascii="Symbol" w:hAnsi="Symbol" w:cs="Symbol"/>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styleId="Emphasis">
    <w:name w:val="Emphasis"/>
    <w:qFormat/>
    <w:rPr>
      <w:i/>
      <w:iCs/>
    </w:rPr>
  </w:style>
  <w:style w:type="character" w:styleId="Strong">
    <w:name w:val="Strong"/>
    <w:qFormat/>
    <w:rPr>
      <w:b/>
      <w:bCs/>
    </w:rPr>
  </w:style>
  <w:style w:type="character" w:customStyle="1" w:styleId="HeaderChar">
    <w:name w:val="Header Char"/>
    <w:basedOn w:val="DefaultParagraphFont"/>
    <w:qFormat/>
  </w:style>
  <w:style w:type="character" w:customStyle="1" w:styleId="FooterChar">
    <w:name w:val="Footer Char"/>
    <w:basedOn w:val="DefaultParagraphFont"/>
    <w:qFormat/>
  </w:style>
  <w:style w:type="character" w:customStyle="1" w:styleId="Heading1Char">
    <w:name w:val="Heading 1 Char"/>
    <w:qFormat/>
    <w:rPr>
      <w:rFonts w:ascii="Calibri" w:eastAsia="Times New Roman" w:hAnsi="Calibri" w:cs="Times New Roman"/>
      <w:b/>
      <w:bCs/>
      <w:color w:val="365F91"/>
      <w:sz w:val="28"/>
      <w:szCs w:val="28"/>
    </w:rPr>
  </w:style>
  <w:style w:type="character" w:customStyle="1" w:styleId="Heading2Char">
    <w:name w:val="Heading 2 Char"/>
    <w:qFormat/>
    <w:rPr>
      <w:rFonts w:ascii="Calibri" w:eastAsia="Times New Roman" w:hAnsi="Calibri" w:cs="Times New Roman"/>
      <w:b/>
      <w:bCs/>
      <w:color w:val="4F81BD"/>
      <w:sz w:val="26"/>
      <w:szCs w:val="26"/>
    </w:rPr>
  </w:style>
  <w:style w:type="character" w:customStyle="1" w:styleId="Heading3Char">
    <w:name w:val="Heading 3 Char"/>
    <w:qFormat/>
    <w:rPr>
      <w:rFonts w:ascii="Calibri" w:eastAsia="Times New Roman" w:hAnsi="Calibri" w:cs="Times New Roman"/>
      <w:b/>
      <w:bCs/>
      <w:color w:val="4F81BD"/>
    </w:rPr>
  </w:style>
  <w:style w:type="character" w:customStyle="1" w:styleId="TitleChar">
    <w:name w:val="Title Char"/>
    <w:qFormat/>
    <w:rPr>
      <w:rFonts w:ascii="Calibri" w:eastAsia="Times New Roman" w:hAnsi="Calibri" w:cs="Times New Roman"/>
      <w:color w:val="17365D"/>
      <w:spacing w:val="5"/>
      <w:kern w:val="2"/>
      <w:sz w:val="52"/>
      <w:szCs w:val="52"/>
    </w:rPr>
  </w:style>
  <w:style w:type="character" w:customStyle="1" w:styleId="SubtitleChar">
    <w:name w:val="Subtitle Char"/>
    <w:qFormat/>
    <w:rPr>
      <w:rFonts w:ascii="Calibri" w:eastAsia="Times New Roman" w:hAnsi="Calibri" w:cs="Times New Roman"/>
      <w:i/>
      <w:iCs/>
      <w:color w:val="4F81BD"/>
      <w:spacing w:val="15"/>
      <w:sz w:val="24"/>
      <w:szCs w:val="24"/>
    </w:rPr>
  </w:style>
  <w:style w:type="character" w:customStyle="1" w:styleId="BodyTextChar">
    <w:name w:val="Body Text Char"/>
    <w:basedOn w:val="DefaultParagraphFont"/>
    <w:qFormat/>
  </w:style>
  <w:style w:type="character" w:customStyle="1" w:styleId="BodyText2Char">
    <w:name w:val="Body Text 2 Char"/>
    <w:basedOn w:val="DefaultParagraphFont"/>
    <w:qFormat/>
  </w:style>
  <w:style w:type="character" w:customStyle="1" w:styleId="BodyText3Char">
    <w:name w:val="Body Text 3 Char"/>
    <w:qFormat/>
    <w:rPr>
      <w:sz w:val="16"/>
      <w:szCs w:val="16"/>
    </w:rPr>
  </w:style>
  <w:style w:type="character" w:customStyle="1" w:styleId="MacroTextChar">
    <w:name w:val="Macro Text Char"/>
    <w:qFormat/>
    <w:rPr>
      <w:rFonts w:ascii="Courier" w:hAnsi="Courier" w:cs="Courier"/>
      <w:sz w:val="20"/>
      <w:szCs w:val="20"/>
    </w:rPr>
  </w:style>
  <w:style w:type="character" w:customStyle="1" w:styleId="QuoteChar">
    <w:name w:val="Quote Char"/>
    <w:qFormat/>
    <w:rPr>
      <w:i/>
      <w:iCs/>
      <w:color w:val="000000"/>
    </w:rPr>
  </w:style>
  <w:style w:type="character" w:customStyle="1" w:styleId="Heading4Char">
    <w:name w:val="Heading 4 Char"/>
    <w:qFormat/>
    <w:rPr>
      <w:rFonts w:ascii="Calibri" w:eastAsia="Times New Roman" w:hAnsi="Calibri" w:cs="Times New Roman"/>
      <w:b/>
      <w:bCs/>
      <w:i/>
      <w:iCs/>
      <w:color w:val="4F81BD"/>
    </w:rPr>
  </w:style>
  <w:style w:type="character" w:customStyle="1" w:styleId="Heading5Char">
    <w:name w:val="Heading 5 Char"/>
    <w:qFormat/>
    <w:rPr>
      <w:rFonts w:ascii="Calibri" w:eastAsia="Times New Roman" w:hAnsi="Calibri" w:cs="Times New Roman"/>
      <w:color w:val="244061"/>
    </w:rPr>
  </w:style>
  <w:style w:type="character" w:customStyle="1" w:styleId="Heading6Char">
    <w:name w:val="Heading 6 Char"/>
    <w:qFormat/>
    <w:rPr>
      <w:rFonts w:ascii="Calibri" w:eastAsia="Times New Roman" w:hAnsi="Calibri" w:cs="Times New Roman"/>
      <w:i/>
      <w:iCs/>
      <w:color w:val="244061"/>
    </w:rPr>
  </w:style>
  <w:style w:type="character" w:customStyle="1" w:styleId="Heading7Char">
    <w:name w:val="Heading 7 Char"/>
    <w:qFormat/>
    <w:rPr>
      <w:rFonts w:ascii="Calibri" w:eastAsia="Times New Roman" w:hAnsi="Calibri" w:cs="Times New Roman"/>
      <w:i/>
      <w:iCs/>
      <w:color w:val="404040"/>
    </w:rPr>
  </w:style>
  <w:style w:type="character" w:customStyle="1" w:styleId="Heading8Char">
    <w:name w:val="Heading 8 Char"/>
    <w:qFormat/>
    <w:rPr>
      <w:rFonts w:ascii="Calibri" w:eastAsia="Times New Roman" w:hAnsi="Calibri" w:cs="Times New Roman"/>
      <w:color w:val="4F81BD"/>
      <w:sz w:val="20"/>
      <w:szCs w:val="20"/>
    </w:rPr>
  </w:style>
  <w:style w:type="character" w:customStyle="1" w:styleId="Heading9Char">
    <w:name w:val="Heading 9 Char"/>
    <w:qFormat/>
    <w:rPr>
      <w:rFonts w:ascii="Calibri" w:eastAsia="Times New Roman" w:hAnsi="Calibri" w:cs="Times New Roman"/>
      <w:i/>
      <w:iCs/>
      <w:color w:val="404040"/>
      <w:sz w:val="20"/>
      <w:szCs w:val="20"/>
    </w:rPr>
  </w:style>
  <w:style w:type="character" w:customStyle="1" w:styleId="IntenseQuoteChar">
    <w:name w:val="Intense Quote Char"/>
    <w:qFormat/>
    <w:rPr>
      <w:b/>
      <w:bCs/>
      <w:i/>
      <w:iCs/>
      <w:color w:val="4F81BD"/>
    </w:rPr>
  </w:style>
  <w:style w:type="character" w:customStyle="1" w:styleId="SubtleEmphasis1">
    <w:name w:val="Subtle Emphasis1"/>
    <w:qFormat/>
    <w:rPr>
      <w:i/>
      <w:iCs/>
      <w:color w:val="7F7F7F"/>
    </w:rPr>
  </w:style>
  <w:style w:type="character" w:customStyle="1" w:styleId="IntenseEmphasis1">
    <w:name w:val="Intense Emphasis1"/>
    <w:qFormat/>
    <w:rPr>
      <w:b/>
      <w:bCs/>
      <w:i/>
      <w:iCs/>
      <w:color w:val="4F81BD"/>
    </w:rPr>
  </w:style>
  <w:style w:type="character" w:customStyle="1" w:styleId="SubtleReference1">
    <w:name w:val="Subtle Reference1"/>
    <w:qFormat/>
    <w:rPr>
      <w:smallCaps/>
      <w:color w:val="C0504D"/>
      <w:u w:val="single"/>
    </w:rPr>
  </w:style>
  <w:style w:type="character" w:customStyle="1" w:styleId="IntenseReference1">
    <w:name w:val="Intense Reference1"/>
    <w:qFormat/>
    <w:rPr>
      <w:b/>
      <w:bCs/>
      <w:smallCaps/>
      <w:color w:val="C0504D"/>
      <w:spacing w:val="5"/>
      <w:u w:val="single"/>
    </w:rPr>
  </w:style>
  <w:style w:type="character" w:customStyle="1" w:styleId="BookTitle1">
    <w:name w:val="Book Title1"/>
    <w:qFormat/>
    <w:rPr>
      <w:b/>
      <w:bCs/>
      <w:smallCaps/>
      <w:spacing w:val="5"/>
    </w:rPr>
  </w:style>
  <w:style w:type="character" w:customStyle="1" w:styleId="BalloonTextChar">
    <w:name w:val="Balloon Text Char"/>
    <w:qFormat/>
    <w:rPr>
      <w:rFonts w:ascii="Tahoma" w:hAnsi="Tahoma" w:cs="Tahoma"/>
      <w:sz w:val="16"/>
      <w:szCs w:val="16"/>
    </w:rPr>
  </w:style>
  <w:style w:type="character" w:customStyle="1" w:styleId="katex-mathml">
    <w:name w:val="katex-mathml"/>
    <w:basedOn w:val="DefaultParagraphFont"/>
    <w:qFormat/>
  </w:style>
  <w:style w:type="character" w:customStyle="1" w:styleId="mord">
    <w:name w:val="mord"/>
    <w:basedOn w:val="DefaultParagraphFont"/>
    <w:qFormat/>
  </w:style>
  <w:style w:type="character" w:customStyle="1" w:styleId="vlist-s">
    <w:name w:val="vlist-s"/>
    <w:basedOn w:val="DefaultParagraphFont"/>
    <w:qFormat/>
  </w:style>
  <w:style w:type="character" w:customStyle="1" w:styleId="EndnoteCharacters">
    <w:name w:val="Endnote Characters"/>
    <w:qFormat/>
    <w:rPr>
      <w:rFonts w:ascii="Times New Roman" w:hAnsi="Times New Roman" w:cs="Times New Roman"/>
      <w:sz w:val="22"/>
      <w:vertAlign w:val="superscript"/>
    </w:rPr>
  </w:style>
  <w:style w:type="character" w:customStyle="1" w:styleId="TitleChar1">
    <w:name w:val="Title Char1"/>
    <w:qFormat/>
    <w:rPr>
      <w:rFonts w:ascii="Calibri" w:eastAsia="Times New Roman" w:hAnsi="Calibri" w:cs="Times New Roman"/>
      <w:color w:val="17365D"/>
      <w:spacing w:val="5"/>
      <w:kern w:val="2"/>
      <w:sz w:val="52"/>
      <w:szCs w:val="52"/>
    </w:rPr>
  </w:style>
  <w:style w:type="character" w:customStyle="1" w:styleId="HeaderChar1">
    <w:name w:val="Header Char1"/>
    <w:qFormat/>
    <w:rPr>
      <w:rFonts w:ascii="Calibri" w:eastAsia="Calibri" w:hAnsi="Calibri" w:cs="Times New Roman"/>
    </w:rPr>
  </w:style>
  <w:style w:type="character" w:customStyle="1" w:styleId="FooterChar1">
    <w:name w:val="Footer Char1"/>
    <w:qFormat/>
    <w:rPr>
      <w:rFonts w:ascii="Calibri" w:eastAsia="Calibri" w:hAnsi="Calibri" w:cs="Times New Roman"/>
    </w:rPr>
  </w:style>
  <w:style w:type="character" w:styleId="Hyperlink">
    <w:name w:val="Hyperlink"/>
    <w:rPr>
      <w:color w:val="0000FF"/>
      <w:u w:val="single"/>
    </w:rPr>
  </w:style>
  <w:style w:type="character" w:styleId="UnresolvedMention">
    <w:name w:val="Unresolved Mention"/>
    <w:qFormat/>
    <w:rPr>
      <w:color w:val="605E5C"/>
      <w:shd w:val="clear" w:color="auto" w:fill="E1DFDD"/>
    </w:rPr>
  </w:style>
  <w:style w:type="paragraph" w:customStyle="1" w:styleId="Heading">
    <w:name w:val="Heading"/>
    <w:basedOn w:val="Normal"/>
    <w:next w:val="Normal"/>
    <w:qFormat/>
    <w:pPr>
      <w:pBdr>
        <w:bottom w:val="single" w:sz="8" w:space="4" w:color="4F81BD"/>
      </w:pBdr>
      <w:spacing w:after="300" w:line="240" w:lineRule="auto"/>
      <w:contextualSpacing/>
    </w:pPr>
    <w:rPr>
      <w:rFonts w:ascii="Calibri" w:hAnsi="Calibri"/>
      <w:color w:val="17365D"/>
      <w:spacing w:val="5"/>
      <w:kern w:val="2"/>
      <w:sz w:val="52"/>
      <w:szCs w:val="52"/>
    </w:rPr>
  </w:style>
  <w:style w:type="paragraph" w:styleId="BodyText">
    <w:name w:val="Body Text"/>
    <w:basedOn w:val="Normal"/>
    <w:pPr>
      <w:spacing w:after="120"/>
    </w:pPr>
  </w:style>
  <w:style w:type="paragraph" w:styleId="List">
    <w:name w:val="List"/>
    <w:basedOn w:val="Normal"/>
    <w:pPr>
      <w:ind w:left="360" w:hanging="360"/>
      <w:contextualSpacing/>
    </w:pPr>
  </w:style>
  <w:style w:type="paragraph" w:styleId="Caption">
    <w:name w:val="caption"/>
    <w:basedOn w:val="Normal"/>
    <w:next w:val="Normal"/>
    <w:qFormat/>
    <w:pPr>
      <w:spacing w:line="240" w:lineRule="auto"/>
    </w:pPr>
    <w:rPr>
      <w:b/>
      <w:bCs/>
      <w:color w:val="4F81BD"/>
      <w:sz w:val="18"/>
      <w:szCs w:val="18"/>
    </w:rPr>
  </w:style>
  <w:style w:type="paragraph" w:customStyle="1" w:styleId="Index">
    <w:name w:val="Index"/>
    <w:basedOn w:val="Normal"/>
    <w:qFormat/>
    <w:pPr>
      <w:suppressLineNumbers/>
    </w:pPr>
    <w:rPr>
      <w:rFonts w:cs="Lohit Devanagari"/>
    </w:rPr>
  </w:style>
  <w:style w:type="paragraph" w:styleId="BodyText2">
    <w:name w:val="Body Text 2"/>
    <w:basedOn w:val="Normal"/>
    <w:qFormat/>
    <w:pPr>
      <w:spacing w:after="120" w:line="480" w:lineRule="auto"/>
    </w:pPr>
  </w:style>
  <w:style w:type="paragraph" w:styleId="BodyText3">
    <w:name w:val="Body Text 3"/>
    <w:basedOn w:val="Normal"/>
    <w:qFormat/>
    <w:pPr>
      <w:spacing w:after="120"/>
    </w:pPr>
    <w:rPr>
      <w:sz w:val="16"/>
      <w:szCs w:val="16"/>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spacing w:after="0" w:line="240" w:lineRule="auto"/>
    </w:pPr>
  </w:style>
  <w:style w:type="paragraph" w:styleId="Header">
    <w:name w:val="header"/>
    <w:basedOn w:val="Normal"/>
    <w:pPr>
      <w:spacing w:after="0" w:line="240" w:lineRule="auto"/>
    </w:pPr>
  </w:style>
  <w:style w:type="paragraph" w:styleId="ListBullet2">
    <w:name w:val="List Bullet 2"/>
    <w:basedOn w:val="Normal"/>
    <w:pPr>
      <w:ind w:left="720" w:hanging="360"/>
      <w:contextualSpacing/>
    </w:pPr>
  </w:style>
  <w:style w:type="paragraph" w:styleId="ListBullet3">
    <w:name w:val="List Bullet 3"/>
    <w:basedOn w:val="Normal"/>
    <w:pPr>
      <w:ind w:left="1080" w:hanging="360"/>
      <w:contextualSpacing/>
    </w:pPr>
  </w:style>
  <w:style w:type="paragraph" w:styleId="ListBullet">
    <w:name w:val="List Bullet"/>
    <w:basedOn w:val="Normal"/>
    <w:qFormat/>
    <w:pPr>
      <w:numPr>
        <w:numId w:val="7"/>
      </w:numPr>
      <w:contextualSpacing/>
    </w:pPr>
  </w:style>
  <w:style w:type="paragraph" w:customStyle="1" w:styleId="ListBullet21">
    <w:name w:val="List Bullet 21"/>
    <w:basedOn w:val="Normal"/>
    <w:qFormat/>
    <w:pPr>
      <w:numPr>
        <w:numId w:val="5"/>
      </w:numPr>
      <w:contextualSpacing/>
    </w:pPr>
  </w:style>
  <w:style w:type="paragraph" w:customStyle="1" w:styleId="ListBullet31">
    <w:name w:val="List Bullet 31"/>
    <w:basedOn w:val="Normal"/>
    <w:qFormat/>
    <w:pPr>
      <w:numPr>
        <w:numId w:val="4"/>
      </w:numPr>
      <w:contextualSpacing/>
    </w:pPr>
  </w:style>
  <w:style w:type="paragraph" w:styleId="ListContinue">
    <w:name w:val="List Continue"/>
    <w:basedOn w:val="Normal"/>
    <w:qFormat/>
    <w:pPr>
      <w:spacing w:after="120"/>
      <w:ind w:left="360"/>
      <w:contextualSpacing/>
    </w:pPr>
  </w:style>
  <w:style w:type="paragraph" w:styleId="ListContinue2">
    <w:name w:val="List Continue 2"/>
    <w:basedOn w:val="Normal"/>
    <w:qFormat/>
    <w:pPr>
      <w:spacing w:after="120"/>
      <w:ind w:left="720"/>
      <w:contextualSpacing/>
    </w:pPr>
  </w:style>
  <w:style w:type="paragraph" w:styleId="ListContinue3">
    <w:name w:val="List Continue 3"/>
    <w:basedOn w:val="Normal"/>
    <w:qFormat/>
    <w:pPr>
      <w:spacing w:after="120"/>
      <w:ind w:left="1080"/>
      <w:contextualSpacing/>
    </w:pPr>
  </w:style>
  <w:style w:type="paragraph" w:styleId="ListNumber">
    <w:name w:val="List Number"/>
    <w:basedOn w:val="Normal"/>
    <w:qFormat/>
    <w:pPr>
      <w:numPr>
        <w:numId w:val="6"/>
      </w:numPr>
      <w:contextualSpacing/>
    </w:pPr>
  </w:style>
  <w:style w:type="paragraph" w:styleId="ListNumber2">
    <w:name w:val="List Number 2"/>
    <w:basedOn w:val="Normal"/>
    <w:qFormat/>
    <w:pPr>
      <w:numPr>
        <w:numId w:val="3"/>
      </w:numPr>
      <w:contextualSpacing/>
    </w:pPr>
  </w:style>
  <w:style w:type="paragraph" w:styleId="ListNumber3">
    <w:name w:val="List Number 3"/>
    <w:basedOn w:val="Normal"/>
    <w:qFormat/>
    <w:pPr>
      <w:numPr>
        <w:numId w:val="2"/>
      </w:numPr>
      <w:contextualSpacing/>
    </w:pPr>
  </w:style>
  <w:style w:type="paragraph" w:styleId="MacroText">
    <w:name w:val="macro"/>
    <w:qFormat/>
    <w:pPr>
      <w:tabs>
        <w:tab w:val="left" w:pos="576"/>
        <w:tab w:val="left" w:pos="1152"/>
        <w:tab w:val="left" w:pos="1728"/>
        <w:tab w:val="left" w:pos="2304"/>
        <w:tab w:val="left" w:pos="2880"/>
        <w:tab w:val="left" w:pos="3456"/>
        <w:tab w:val="left" w:pos="4032"/>
      </w:tabs>
      <w:suppressAutoHyphens/>
      <w:spacing w:after="200" w:line="276" w:lineRule="auto"/>
    </w:pPr>
    <w:rPr>
      <w:rFonts w:ascii="Courier" w:eastAsia="Times New Roman" w:hAnsi="Courier" w:cs="Courier"/>
      <w:lang w:eastAsia="zh-CN"/>
    </w:rPr>
  </w:style>
  <w:style w:type="paragraph" w:styleId="Subtitle">
    <w:name w:val="Subtitle"/>
    <w:basedOn w:val="Normal"/>
    <w:next w:val="Normal"/>
    <w:uiPriority w:val="11"/>
    <w:qFormat/>
    <w:rPr>
      <w:rFonts w:ascii="Calibri" w:hAnsi="Calibri"/>
      <w:i/>
      <w:iCs/>
      <w:color w:val="4F81BD"/>
      <w:spacing w:val="15"/>
      <w:szCs w:val="24"/>
    </w:rPr>
  </w:style>
  <w:style w:type="paragraph" w:styleId="NoSpacing">
    <w:name w:val="No Spacing"/>
    <w:qFormat/>
    <w:pPr>
      <w:suppressAutoHyphens/>
    </w:pPr>
    <w:rPr>
      <w:rFonts w:ascii="Cambria" w:eastAsia="Times New Roman" w:hAnsi="Cambria" w:cs="Times New Roman"/>
      <w:sz w:val="22"/>
      <w:szCs w:val="22"/>
      <w:lang w:eastAsia="zh-CN"/>
    </w:rPr>
  </w:style>
  <w:style w:type="paragraph" w:styleId="ListParagraph">
    <w:name w:val="List Paragraph"/>
    <w:basedOn w:val="Normal"/>
    <w:qFormat/>
    <w:pPr>
      <w:ind w:left="720"/>
      <w:contextualSpacing/>
    </w:pPr>
  </w:style>
  <w:style w:type="paragraph" w:styleId="Quote">
    <w:name w:val="Quote"/>
    <w:basedOn w:val="Normal"/>
    <w:next w:val="Normal"/>
    <w:qFormat/>
    <w:rPr>
      <w:i/>
      <w:iCs/>
      <w:color w:val="000000"/>
    </w:rPr>
  </w:style>
  <w:style w:type="paragraph" w:styleId="IntenseQuote">
    <w:name w:val="Intense Quote"/>
    <w:basedOn w:val="Normal"/>
    <w:next w:val="Normal"/>
    <w:qFormat/>
    <w:pPr>
      <w:pBdr>
        <w:bottom w:val="single" w:sz="4" w:space="4" w:color="4F81BD"/>
      </w:pBdr>
      <w:spacing w:before="200" w:after="280"/>
      <w:ind w:left="936" w:right="936"/>
    </w:pPr>
    <w:rPr>
      <w:b/>
      <w:bCs/>
      <w:i/>
      <w:iCs/>
      <w:color w:val="4F81BD"/>
    </w:rPr>
  </w:style>
  <w:style w:type="paragraph" w:customStyle="1" w:styleId="TOCHeading1">
    <w:name w:val="TOC Heading1"/>
    <w:basedOn w:val="Heading1"/>
    <w:next w:val="Normal"/>
    <w:qFormat/>
    <w:pPr>
      <w:numPr>
        <w:numId w:val="0"/>
      </w:numPr>
      <w:outlineLvl w:val="9"/>
    </w:pPr>
  </w:style>
  <w:style w:type="paragraph" w:styleId="BalloonText">
    <w:name w:val="Balloon Text"/>
    <w:basedOn w:val="Normal"/>
    <w:qFormat/>
    <w:pPr>
      <w:spacing w:after="0" w:line="240" w:lineRule="auto"/>
    </w:pPr>
    <w:rPr>
      <w:rFonts w:ascii="Tahoma" w:hAnsi="Tahoma" w:cs="Tahoma"/>
      <w:sz w:val="16"/>
      <w:szCs w:val="16"/>
    </w:rPr>
  </w:style>
  <w:style w:type="paragraph" w:styleId="NormalWeb">
    <w:name w:val="Normal (Web)"/>
    <w:basedOn w:val="Normal"/>
    <w:uiPriority w:val="99"/>
    <w:qFormat/>
    <w:pPr>
      <w:spacing w:before="280" w:after="280" w:line="240" w:lineRule="auto"/>
    </w:pPr>
    <w:rPr>
      <w:szCs w:val="24"/>
    </w:rPr>
  </w:style>
  <w:style w:type="paragraph" w:customStyle="1" w:styleId="ds-markdown-paragraph">
    <w:name w:val="ds-markdown-paragraph"/>
    <w:basedOn w:val="Normal"/>
    <w:qFormat/>
    <w:pPr>
      <w:spacing w:before="280" w:after="280" w:line="240" w:lineRule="auto"/>
    </w:pPr>
    <w:rPr>
      <w:szCs w:val="24"/>
    </w:rPr>
  </w:style>
  <w:style w:type="paragraph" w:styleId="TOCHeading">
    <w:name w:val="TOC Heading"/>
    <w:basedOn w:val="Heading1"/>
    <w:next w:val="Normal"/>
    <w:qFormat/>
    <w:pPr>
      <w:numPr>
        <w:numId w:val="0"/>
      </w:numPr>
      <w:outlineLvl w:val="9"/>
    </w:pPr>
  </w:style>
  <w:style w:type="paragraph" w:styleId="TOC1">
    <w:name w:val="toc 1"/>
    <w:basedOn w:val="Normal"/>
    <w:next w:val="Normal"/>
    <w:pPr>
      <w:spacing w:after="100"/>
    </w:pPr>
  </w:style>
  <w:style w:type="paragraph" w:styleId="TOC3">
    <w:name w:val="toc 3"/>
    <w:basedOn w:val="Normal"/>
    <w:next w:val="Normal"/>
    <w:pPr>
      <w:spacing w:after="100"/>
      <w:ind w:left="480"/>
    </w:pPr>
  </w:style>
  <w:style w:type="paragraph" w:styleId="TOC2">
    <w:name w:val="toc 2"/>
    <w:basedOn w:val="Normal"/>
    <w:next w:val="Normal"/>
    <w:pPr>
      <w:spacing w:after="100"/>
      <w:ind w:left="220"/>
    </w:pPr>
    <w:rPr>
      <w:rFonts w:ascii="Cambria" w:hAnsi="Cambria" w:cs="Cambria"/>
      <w:sz w:val="22"/>
    </w:rPr>
  </w:style>
  <w:style w:type="paragraph" w:styleId="TOC4">
    <w:name w:val="toc 4"/>
    <w:basedOn w:val="Normal"/>
    <w:next w:val="Normal"/>
    <w:pPr>
      <w:spacing w:after="100"/>
      <w:ind w:left="660"/>
    </w:pPr>
    <w:rPr>
      <w:rFonts w:ascii="Cambria" w:hAnsi="Cambria" w:cs="Cambria"/>
      <w:sz w:val="22"/>
    </w:rPr>
  </w:style>
  <w:style w:type="paragraph" w:styleId="TOC5">
    <w:name w:val="toc 5"/>
    <w:basedOn w:val="Normal"/>
    <w:next w:val="Normal"/>
    <w:pPr>
      <w:spacing w:after="100"/>
      <w:ind w:left="880"/>
    </w:pPr>
    <w:rPr>
      <w:rFonts w:ascii="Cambria" w:hAnsi="Cambria" w:cs="Cambria"/>
      <w:sz w:val="22"/>
    </w:rPr>
  </w:style>
  <w:style w:type="paragraph" w:styleId="TOC6">
    <w:name w:val="toc 6"/>
    <w:basedOn w:val="Normal"/>
    <w:next w:val="Normal"/>
    <w:pPr>
      <w:spacing w:after="100"/>
      <w:ind w:left="1100"/>
    </w:pPr>
    <w:rPr>
      <w:rFonts w:ascii="Cambria" w:hAnsi="Cambria" w:cs="Cambria"/>
      <w:sz w:val="22"/>
    </w:rPr>
  </w:style>
  <w:style w:type="paragraph" w:styleId="TOC7">
    <w:name w:val="toc 7"/>
    <w:basedOn w:val="Normal"/>
    <w:next w:val="Normal"/>
    <w:pPr>
      <w:spacing w:after="100"/>
      <w:ind w:left="1320"/>
    </w:pPr>
    <w:rPr>
      <w:rFonts w:ascii="Cambria" w:hAnsi="Cambria" w:cs="Cambria"/>
      <w:sz w:val="22"/>
    </w:rPr>
  </w:style>
  <w:style w:type="paragraph" w:styleId="TOC8">
    <w:name w:val="toc 8"/>
    <w:basedOn w:val="Normal"/>
    <w:next w:val="Normal"/>
    <w:pPr>
      <w:spacing w:after="100"/>
      <w:ind w:left="1540"/>
    </w:pPr>
    <w:rPr>
      <w:rFonts w:ascii="Cambria" w:hAnsi="Cambria" w:cs="Cambria"/>
      <w:sz w:val="22"/>
    </w:rPr>
  </w:style>
  <w:style w:type="paragraph" w:styleId="TOC9">
    <w:name w:val="toc 9"/>
    <w:basedOn w:val="Normal"/>
    <w:next w:val="Normal"/>
    <w:pPr>
      <w:spacing w:after="100"/>
      <w:ind w:left="1760"/>
    </w:pPr>
    <w:rPr>
      <w:rFonts w:ascii="Cambria" w:hAnsi="Cambria" w:cs="Cambria"/>
      <w:sz w:val="22"/>
    </w:rPr>
  </w:style>
  <w:style w:type="paragraph" w:customStyle="1" w:styleId="pdq2pgselectionanchorcontainer">
    <w:name w:val="pdq2pg_selectionanchorcontainer"/>
    <w:basedOn w:val="Normal"/>
    <w:qFormat/>
    <w:pPr>
      <w:spacing w:before="280" w:after="280" w:line="240" w:lineRule="auto"/>
    </w:pPr>
    <w:rPr>
      <w:szCs w:val="24"/>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catalog.library.tamu.edu/Record/in00004649313/Cite" TargetMode="External"/><Relationship Id="rId18" Type="http://schemas.openxmlformats.org/officeDocument/2006/relationships/hyperlink" Target="https://extranet.who.int/countryplanningcycles/planning-cycle-files/kenya-health-sector-strategic-plan-2018-2023" TargetMode="External"/><Relationship Id="rId26" Type="http://schemas.openxmlformats.org/officeDocument/2006/relationships/hyperlink" Target="https://www.undp.org/samoa/press-releases/digital-data-analytics-monitoring-and-evaluation" TargetMode="External"/><Relationship Id="rId3" Type="http://schemas.openxmlformats.org/officeDocument/2006/relationships/settings" Target="settings.xml"/><Relationship Id="rId21" Type="http://schemas.openxmlformats.org/officeDocument/2006/relationships/hyperlink" Target="https://www.nakuru.go.ke/wp-content/uploads/2025/01/Nakuru-CIDP-2023-2027.pdf" TargetMode="External"/><Relationship Id="rId7" Type="http://schemas.openxmlformats.org/officeDocument/2006/relationships/hyperlink" Target="https://www.afdb.org/en/documents/african-economic-outlook-2023" TargetMode="External"/><Relationship Id="rId12" Type="http://schemas.openxmlformats.org/officeDocument/2006/relationships/hyperlink" Target="https://discover.library.unt.edu/catalog/b4540781" TargetMode="External"/><Relationship Id="rId17" Type="http://schemas.openxmlformats.org/officeDocument/2006/relationships/hyperlink" Target="https://doi.org/10.12856/JHIA-2018-v5-i2-210" TargetMode="External"/><Relationship Id="rId25" Type="http://schemas.openxmlformats.org/officeDocument/2006/relationships/hyperlink" Target="https://catalog.library.tamu.edu/Record/in00004094133/TOC"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gyankosh.cvmu.edu.in/cgi-bin/koha/opac-detail.pl?biblionumber=178871" TargetMode="External"/><Relationship Id="rId20" Type="http://schemas.openxmlformats.org/officeDocument/2006/relationships/hyperlink" Target="https://opac.ueab.ac.ke/cgi-bin/koha/opac-detail.pl?biblionumber=43702" TargetMode="External"/><Relationship Id="rId29" Type="http://schemas.openxmlformats.org/officeDocument/2006/relationships/hyperlink" Target="https://doi.org/10.2196/6348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2/j.1681-4835.2004.tb00129.x" TargetMode="External"/><Relationship Id="rId24" Type="http://schemas.openxmlformats.org/officeDocument/2006/relationships/hyperlink" Target="https://doi.org/10.4102/aej.v13i1.785"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4102/aej.v5i2.240" TargetMode="External"/><Relationship Id="rId23" Type="http://schemas.openxmlformats.org/officeDocument/2006/relationships/hyperlink" Target="https://doi.org/10.1371/journal.pgph.0004508" TargetMode="External"/><Relationship Id="rId28" Type="http://schemas.openxmlformats.org/officeDocument/2006/relationships/hyperlink" Target="https://www.who.int/publications/i/item/9789240020924" TargetMode="External"/><Relationship Id="rId10" Type="http://schemas.openxmlformats.org/officeDocument/2006/relationships/hyperlink" Target="https://doi.org/10.1371/journal.pdig.0000870" TargetMode="External"/><Relationship Id="rId19" Type="http://schemas.openxmlformats.org/officeDocument/2006/relationships/hyperlink" Target="https://www.health.go.ke/ministry-health-accelerates-digital-transformation-healthcare"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cuments1.worldbank.org/curated/en/131521594177485720/pdf/Connecting-Africa-Through-Broadband-A-Strategy-for-Doubling-Connectivity-by-2021-and-Reaching-Universal-Access-by-2030.pdf" TargetMode="External"/><Relationship Id="rId14" Type="http://schemas.openxmlformats.org/officeDocument/2006/relationships/hyperlink" Target="https://doi.org/10.2307/249008" TargetMode="External"/><Relationship Id="rId22" Type="http://schemas.openxmlformats.org/officeDocument/2006/relationships/hyperlink" Target="https://doi.org/10.56557/ajocr/2026/v11i310807" TargetMode="External"/><Relationship Id="rId27" Type="http://schemas.openxmlformats.org/officeDocument/2006/relationships/hyperlink" Target="https://www.who.int/publications/i/item/9789241511766" TargetMode="External"/><Relationship Id="rId30" Type="http://schemas.openxmlformats.org/officeDocument/2006/relationships/header" Target="header1.xml"/><Relationship Id="rId8" Type="http://schemas.openxmlformats.org/officeDocument/2006/relationships/hyperlink" Target="https://doi.org/10.9734/ijtdh/2025/v46i91687"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3350</TotalTime>
  <Pages>23</Pages>
  <Words>6729</Words>
  <Characters>38358</Characters>
  <Application>Microsoft Office Word</Application>
  <DocSecurity>0</DocSecurity>
  <Lines>319</Lines>
  <Paragraphs>89</Paragraphs>
  <ScaleCrop>false</ScaleCrop>
  <Company/>
  <LinksUpToDate>false</LinksUpToDate>
  <CharactersWithSpaces>44998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CPU 1117</cp:lastModifiedBy>
  <cp:revision>19</cp:revision>
  <dcterms:created xsi:type="dcterms:W3CDTF">2026-09-27T12:07:00Z</dcterms:created>
  <dcterms:modified xsi:type="dcterms:W3CDTF">2026-10-13T07:48:00Z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414421569CDD4E06BF2BBE9F238B853F_13</vt:lpwstr>
  </property>
  <property fmtid="{D5CDD505-2E9C-101B-9397-08002B2CF9AE}" pid="3" name="KSOProductBuildVer">
    <vt:lpwstr>1033-12.2.0.21546</vt:lpwstr>
  </property>
</Properties>
</file>