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B40FC1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B40FC1" w:rsidRDefault="004017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bookmarkStart w:id="0" w:name="_GoBack"/>
            <w:bookmarkEnd w:id="0"/>
            <w:r w:rsidRPr="00B40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B40FC1" w:rsidRDefault="00966D96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="00EE0195" w:rsidRPr="00B40FC1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B40FC1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B40FC1" w:rsidRDefault="004017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4AADFB87" w:rsidR="00EE0195" w:rsidRPr="00B40FC1" w:rsidRDefault="00215B8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Ms_AJMRCR_2906</w:t>
            </w:r>
          </w:p>
        </w:tc>
      </w:tr>
      <w:tr w:rsidR="00EE0195" w:rsidRPr="00B40FC1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B40FC1" w:rsidRDefault="004017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744142FE" w:rsidR="00EE0195" w:rsidRPr="00B40FC1" w:rsidRDefault="00215B81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Autoimmune </w:t>
            </w:r>
            <w:proofErr w:type="spellStart"/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hemolytic</w:t>
            </w:r>
            <w:proofErr w:type="spellEnd"/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anemia</w:t>
            </w:r>
            <w:proofErr w:type="spellEnd"/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as the revealing manifestation of common variable immunodeficiency: A Case report</w:t>
            </w:r>
          </w:p>
        </w:tc>
      </w:tr>
      <w:tr w:rsidR="00EE0195" w:rsidRPr="00B40FC1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B40FC1" w:rsidRDefault="00401773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B40FC1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0958E68" w14:textId="77777777" w:rsidR="00EE0195" w:rsidRPr="00B40FC1" w:rsidRDefault="00EE0195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0F3B1F13" w14:textId="77777777" w:rsidR="00EE0195" w:rsidRPr="00B40FC1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A23E674" w14:textId="77777777" w:rsidR="00EE0195" w:rsidRPr="00B40FC1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B40FC1" w:rsidRDefault="00401773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40FC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40FC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B40FC1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B40FC1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B40FC1" w:rsidRDefault="0040177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40FC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40FC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B40FC1" w:rsidRDefault="0040177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684D2F08" w:rsidR="00EE0195" w:rsidRPr="00B40FC1" w:rsidRDefault="00166E25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sz w:val="20"/>
                <w:szCs w:val="20"/>
              </w:rPr>
              <w:t xml:space="preserve">This case highlights autoimmune hemolytic anemia as a possible first sign of underlying immunodeficiency, a link that is easily missed. It reminds clinicians to check serum immunoglobulins in patients with refractory or relapsing AIHA. Recognizing </w:t>
            </w:r>
            <w:proofErr w:type="gramStart"/>
            <w:r w:rsidRPr="00B40FC1">
              <w:rPr>
                <w:rFonts w:ascii="Arial" w:hAnsi="Arial" w:cs="Arial"/>
                <w:sz w:val="20"/>
                <w:szCs w:val="20"/>
              </w:rPr>
              <w:t>this early changes</w:t>
            </w:r>
            <w:proofErr w:type="gramEnd"/>
            <w:r w:rsidRPr="00B40FC1">
              <w:rPr>
                <w:rFonts w:ascii="Arial" w:hAnsi="Arial" w:cs="Arial"/>
                <w:sz w:val="20"/>
                <w:szCs w:val="20"/>
              </w:rPr>
              <w:t xml:space="preserve"> management, including immunosuppression, immunoglobulin replacement and infection prophylaxis. A more complete diagnostic workup would make the report more valuable</w:t>
            </w:r>
          </w:p>
        </w:tc>
        <w:tc>
          <w:tcPr>
            <w:tcW w:w="1667" w:type="pct"/>
          </w:tcPr>
          <w:p w14:paraId="6C77AB09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50DD654" w14:textId="77777777" w:rsidR="00EE0195" w:rsidRPr="00B40FC1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1EE42298" w14:textId="77777777" w:rsidR="00EE0195" w:rsidRPr="00B40FC1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B40FC1" w:rsidRDefault="0040177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40FC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B40FC1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B40FC1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B40FC1" w:rsidRDefault="00401773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40FC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B40FC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B40FC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B40FC1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B40FC1" w:rsidRDefault="004017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36B376C9" w:rsidR="00EE0195" w:rsidRPr="00B40FC1" w:rsidRDefault="00166E2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3, </w:t>
            </w:r>
            <w:r w:rsidRPr="00B40FC1">
              <w:rPr>
                <w:rFonts w:ascii="Arial" w:hAnsi="Arial" w:cs="Arial"/>
                <w:sz w:val="20"/>
                <w:szCs w:val="20"/>
              </w:rPr>
              <w:t>“Revealing manifestation” isn’t established: the infection timeline and pre-treatment immunoglobulin levels are missing.</w:t>
            </w:r>
          </w:p>
        </w:tc>
        <w:tc>
          <w:tcPr>
            <w:tcW w:w="1667" w:type="pct"/>
          </w:tcPr>
          <w:p w14:paraId="2C6478B2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29483D0F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3, </w:t>
            </w:r>
            <w:r w:rsidRPr="00B40FC1">
              <w:rPr>
                <w:rFonts w:ascii="Arial" w:hAnsi="Arial" w:cs="Arial"/>
                <w:sz w:val="20"/>
                <w:szCs w:val="20"/>
              </w:rPr>
              <w:t>Structured, but no key lab values; it ends on “IVIG was considered” with no outcome.</w:t>
            </w:r>
          </w:p>
        </w:tc>
        <w:tc>
          <w:tcPr>
            <w:tcW w:w="1667" w:type="pct"/>
          </w:tcPr>
          <w:p w14:paraId="085C9571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20FDA961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669339B7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proofErr w:type="gramStart"/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3, </w:t>
            </w:r>
            <w:r w:rsidRPr="00B40FC1">
              <w:rPr>
                <w:rFonts w:ascii="Arial" w:hAnsi="Arial" w:cs="Arial"/>
                <w:sz w:val="20"/>
                <w:szCs w:val="20"/>
              </w:rPr>
              <w:t xml:space="preserve"> No</w:t>
            </w:r>
            <w:proofErr w:type="gramEnd"/>
            <w:r w:rsidRPr="00B40FC1">
              <w:rPr>
                <w:rFonts w:ascii="Arial" w:hAnsi="Arial" w:cs="Arial"/>
                <w:sz w:val="20"/>
                <w:szCs w:val="20"/>
              </w:rPr>
              <w:t xml:space="preserve"> prevalence data on autoimmune cytopenias in CVID, and no references cited.</w:t>
            </w:r>
          </w:p>
        </w:tc>
        <w:tc>
          <w:tcPr>
            <w:tcW w:w="1667" w:type="pct"/>
          </w:tcPr>
          <w:p w14:paraId="5B96A294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59FC806A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3, </w:t>
            </w:r>
            <w:r w:rsidRPr="00B40FC1">
              <w:rPr>
                <w:rFonts w:ascii="Arial" w:hAnsi="Arial" w:cs="Arial"/>
                <w:sz w:val="20"/>
                <w:szCs w:val="20"/>
              </w:rPr>
              <w:t>Implied (an AIHA–CVID link) but not stated explicitly.</w:t>
            </w:r>
          </w:p>
        </w:tc>
        <w:tc>
          <w:tcPr>
            <w:tcW w:w="1667" w:type="pct"/>
          </w:tcPr>
          <w:p w14:paraId="0DAE3CF2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7B95534F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3, </w:t>
            </w:r>
            <w:r w:rsidRPr="00B40FC1">
              <w:rPr>
                <w:rFonts w:ascii="Arial" w:hAnsi="Arial" w:cs="Arial"/>
                <w:sz w:val="20"/>
                <w:szCs w:val="20"/>
              </w:rPr>
              <w:t>Only 6 references, none newer than 2023, no in-text citations, no comparison with similar cases.</w:t>
            </w:r>
          </w:p>
        </w:tc>
        <w:tc>
          <w:tcPr>
            <w:tcW w:w="1667" w:type="pct"/>
          </w:tcPr>
          <w:p w14:paraId="13A1E0C4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3E5542EB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2, </w:t>
            </w:r>
            <w:r w:rsidRPr="00B40FC1">
              <w:rPr>
                <w:rFonts w:ascii="Arial" w:hAnsi="Arial" w:cs="Arial"/>
                <w:sz w:val="20"/>
                <w:szCs w:val="20"/>
              </w:rPr>
              <w:t>Diagnostic workup incomplete: no exact IgG/IgA/IgM values, vaccine response, T-cell subsets, chest CT for thymoma (Good syndrome), or exclusion of drug-induced or protein-losing causes.</w:t>
            </w:r>
          </w:p>
        </w:tc>
        <w:tc>
          <w:tcPr>
            <w:tcW w:w="1667" w:type="pct"/>
          </w:tcPr>
          <w:p w14:paraId="0FF95342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35BD2846" w:rsidR="00EE0195" w:rsidRPr="00B40FC1" w:rsidRDefault="00166E25" w:rsidP="00AE039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D1A691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C1E3D47" w14:textId="38F5F7E6" w:rsidR="00EE0195" w:rsidRPr="00B40FC1" w:rsidRDefault="00AE039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  <w:r w:rsidR="00166E25"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 </w:t>
            </w:r>
            <w:r w:rsidR="00166E25" w:rsidRPr="00B40FC1">
              <w:rPr>
                <w:rFonts w:ascii="Arial" w:hAnsi="Arial" w:cs="Arial"/>
                <w:sz w:val="20"/>
                <w:szCs w:val="20"/>
              </w:rPr>
              <w:t>No hemolysis lab values (Hb, reticulocytes, LDH, bilirubin, haptoglobin), no Coombs specificity, no treatment details or follow-up.</w:t>
            </w:r>
          </w:p>
        </w:tc>
        <w:tc>
          <w:tcPr>
            <w:tcW w:w="1667" w:type="pct"/>
          </w:tcPr>
          <w:p w14:paraId="2F21C115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  <w:p w14:paraId="6F0072F4" w14:textId="77777777" w:rsidR="00EE0195" w:rsidRPr="00B40FC1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B40FC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609503EB" w:rsidR="00EE0195" w:rsidRPr="00B40FC1" w:rsidRDefault="00166E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1 </w:t>
            </w:r>
            <w:r w:rsidRPr="00B40FC1">
              <w:rPr>
                <w:rFonts w:ascii="Arial" w:hAnsi="Arial" w:cs="Arial"/>
                <w:sz w:val="20"/>
                <w:szCs w:val="20"/>
              </w:rPr>
              <w:t>None provided,</w:t>
            </w:r>
          </w:p>
        </w:tc>
        <w:tc>
          <w:tcPr>
            <w:tcW w:w="1667" w:type="pct"/>
          </w:tcPr>
          <w:p w14:paraId="1B3DDEC2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4E9AB778" w:rsidR="00EE0195" w:rsidRPr="00B40FC1" w:rsidRDefault="00166E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2, </w:t>
            </w:r>
            <w:r w:rsidRPr="00B40FC1">
              <w:rPr>
                <w:rFonts w:ascii="Arial" w:hAnsi="Arial" w:cs="Arial"/>
                <w:sz w:val="20"/>
                <w:szCs w:val="20"/>
              </w:rPr>
              <w:t>A generic review of mechanisms, unreferenced and not tied back to this patient.</w:t>
            </w:r>
          </w:p>
        </w:tc>
        <w:tc>
          <w:tcPr>
            <w:tcW w:w="1667" w:type="pct"/>
          </w:tcPr>
          <w:p w14:paraId="07DA4651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7255B0B4" w:rsidR="00EE0195" w:rsidRPr="00B40FC1" w:rsidRDefault="00166E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2, </w:t>
            </w:r>
            <w:r w:rsidRPr="00B40FC1">
              <w:rPr>
                <w:rFonts w:ascii="Arial" w:hAnsi="Arial" w:cs="Arial"/>
                <w:sz w:val="20"/>
                <w:szCs w:val="20"/>
              </w:rPr>
              <w:t>Recommends IVIG, rituximab and avoiding splenectomy, none of which were used or tested in this case.</w:t>
            </w:r>
          </w:p>
        </w:tc>
        <w:tc>
          <w:tcPr>
            <w:tcW w:w="1667" w:type="pct"/>
          </w:tcPr>
          <w:p w14:paraId="44B23CAB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11CE20DF" w:rsidR="00EE0195" w:rsidRPr="00B40FC1" w:rsidRDefault="00166E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2, </w:t>
            </w:r>
            <w:r w:rsidRPr="00B40FC1">
              <w:rPr>
                <w:rFonts w:ascii="Arial" w:hAnsi="Arial" w:cs="Arial"/>
                <w:sz w:val="20"/>
                <w:szCs w:val="20"/>
              </w:rPr>
              <w:t>Not discussed</w:t>
            </w:r>
          </w:p>
        </w:tc>
        <w:tc>
          <w:tcPr>
            <w:tcW w:w="1667" w:type="pct"/>
          </w:tcPr>
          <w:p w14:paraId="194C88B1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66304D9F" w:rsidR="00EE0195" w:rsidRPr="00B40FC1" w:rsidRDefault="00166E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2, </w:t>
            </w:r>
            <w:r w:rsidRPr="00B40FC1">
              <w:rPr>
                <w:rFonts w:ascii="Arial" w:hAnsi="Arial" w:cs="Arial"/>
                <w:sz w:val="20"/>
                <w:szCs w:val="20"/>
              </w:rPr>
              <w:t>Relevant but too few and not current. Add the ESID 2019 criteria and the USIDNET/European cohort data.</w:t>
            </w:r>
          </w:p>
        </w:tc>
        <w:tc>
          <w:tcPr>
            <w:tcW w:w="1667" w:type="pct"/>
          </w:tcPr>
          <w:p w14:paraId="68DB955B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B40FC1" w:rsidRDefault="00401773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B40FC1" w:rsidRDefault="0040177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41607AB5" w:rsidR="00EE0195" w:rsidRPr="00B40FC1" w:rsidRDefault="00166E25" w:rsidP="00166E2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3, </w:t>
            </w:r>
            <w:r w:rsidRPr="00B40FC1">
              <w:rPr>
                <w:rFonts w:ascii="Arial" w:hAnsi="Arial" w:cs="Arial"/>
                <w:sz w:val="20"/>
                <w:szCs w:val="20"/>
              </w:rPr>
              <w:t>Understandable, but has typos (“</w:t>
            </w:r>
            <w:proofErr w:type="spellStart"/>
            <w:r w:rsidRPr="00B40FC1">
              <w:rPr>
                <w:rFonts w:ascii="Arial" w:hAnsi="Arial" w:cs="Arial"/>
                <w:sz w:val="20"/>
                <w:szCs w:val="20"/>
              </w:rPr>
              <w:t>conflit</w:t>
            </w:r>
            <w:proofErr w:type="spellEnd"/>
            <w:r w:rsidRPr="00B40FC1">
              <w:rPr>
                <w:rFonts w:ascii="Arial" w:hAnsi="Arial" w:cs="Arial"/>
                <w:sz w:val="20"/>
                <w:szCs w:val="20"/>
              </w:rPr>
              <w:t xml:space="preserve">”) </w:t>
            </w:r>
          </w:p>
        </w:tc>
        <w:tc>
          <w:tcPr>
            <w:tcW w:w="1667" w:type="pct"/>
          </w:tcPr>
          <w:p w14:paraId="157C08AD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6DF25D" w14:textId="77777777" w:rsidR="00EE0195" w:rsidRPr="00B40FC1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3F79042" w14:textId="77777777" w:rsidR="00EE0195" w:rsidRPr="00B40FC1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B40FC1" w:rsidRDefault="00401773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40FC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B40FC1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B40FC1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B40FC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B40FC1" w:rsidRDefault="00401773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40FC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40FC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B40FC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B40FC1" w:rsidRDefault="004017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B40FC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B40FC1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0C0D88AE" w:rsidR="00EE0195" w:rsidRPr="00B40FC1" w:rsidRDefault="0008543F" w:rsidP="000854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sz w:val="20"/>
                <w:szCs w:val="20"/>
              </w:rPr>
              <w:t>NO,</w:t>
            </w:r>
            <w:r w:rsidR="00166E25" w:rsidRPr="00B40FC1">
              <w:rPr>
                <w:rFonts w:ascii="Arial" w:hAnsi="Arial" w:cs="Arial"/>
                <w:sz w:val="20"/>
                <w:szCs w:val="20"/>
              </w:rPr>
              <w:t xml:space="preserve"> “Revealing manifestation” isn’t fully supported</w:t>
            </w:r>
          </w:p>
        </w:tc>
        <w:tc>
          <w:tcPr>
            <w:tcW w:w="1667" w:type="pct"/>
          </w:tcPr>
          <w:p w14:paraId="6E56B637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05833D81" w:rsidR="00EE0195" w:rsidRPr="00B40FC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5D308F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B40FC1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1D604FAD" w:rsidR="00EE0195" w:rsidRPr="00B40FC1" w:rsidRDefault="0008543F" w:rsidP="0008543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sz w:val="20"/>
                <w:szCs w:val="20"/>
              </w:rPr>
              <w:t xml:space="preserve">NO, </w:t>
            </w:r>
            <w:proofErr w:type="gramStart"/>
            <w:r w:rsidRPr="00B40FC1">
              <w:rPr>
                <w:rFonts w:ascii="Arial" w:hAnsi="Arial" w:cs="Arial"/>
                <w:sz w:val="20"/>
                <w:szCs w:val="20"/>
              </w:rPr>
              <w:t>Please</w:t>
            </w:r>
            <w:proofErr w:type="gramEnd"/>
            <w:r w:rsidRPr="00B40FC1">
              <w:rPr>
                <w:rFonts w:ascii="Arial" w:hAnsi="Arial" w:cs="Arial"/>
                <w:sz w:val="20"/>
                <w:szCs w:val="20"/>
              </w:rPr>
              <w:t xml:space="preserve"> add the key lab values (Hb, LDH, haptoglobin, DAT type, IgG/IgA/IgM levels) and state the treatment outcome and follow-up.</w:t>
            </w:r>
          </w:p>
        </w:tc>
        <w:tc>
          <w:tcPr>
            <w:tcW w:w="1667" w:type="pct"/>
          </w:tcPr>
          <w:p w14:paraId="2570BEEF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B40FC1" w:rsidRDefault="00401773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40FC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B40FC1" w:rsidRDefault="00401773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5714F1E9" w:rsidR="00EE0195" w:rsidRPr="00B40FC1" w:rsidRDefault="0008543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sz w:val="20"/>
                <w:szCs w:val="20"/>
              </w:rPr>
              <w:t>Partly, The CVID diagnosis needs stronger support</w:t>
            </w:r>
          </w:p>
        </w:tc>
        <w:tc>
          <w:tcPr>
            <w:tcW w:w="1667" w:type="pct"/>
          </w:tcPr>
          <w:p w14:paraId="26DBADE8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B40FC1" w:rsidRDefault="004017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B40FC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B40FC1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7B7CFA4B" w:rsidR="00EE0195" w:rsidRPr="00B40FC1" w:rsidRDefault="0008543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sz w:val="20"/>
                <w:szCs w:val="20"/>
              </w:rPr>
              <w:t xml:space="preserve">No, </w:t>
            </w:r>
            <w:proofErr w:type="gramStart"/>
            <w:r w:rsidRPr="00B40FC1">
              <w:rPr>
                <w:rFonts w:ascii="Arial" w:hAnsi="Arial" w:cs="Arial"/>
                <w:sz w:val="20"/>
                <w:szCs w:val="20"/>
              </w:rPr>
              <w:t>There</w:t>
            </w:r>
            <w:proofErr w:type="gramEnd"/>
            <w:r w:rsidRPr="00B40FC1">
              <w:rPr>
                <w:rFonts w:ascii="Arial" w:hAnsi="Arial" w:cs="Arial"/>
                <w:sz w:val="20"/>
                <w:szCs w:val="20"/>
              </w:rPr>
              <w:t xml:space="preserve"> are only 6 references, none after 2023</w:t>
            </w:r>
          </w:p>
        </w:tc>
        <w:tc>
          <w:tcPr>
            <w:tcW w:w="1667" w:type="pct"/>
          </w:tcPr>
          <w:p w14:paraId="5A6278DE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B40FC1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B40FC1" w:rsidRDefault="0040177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B40FC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B40FC1" w:rsidRDefault="0040177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B40FC1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3562FF10" w:rsidR="00EE0195" w:rsidRPr="00B40FC1" w:rsidRDefault="0008543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40FC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B40FC1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5B5424" w14:textId="4EBBAD94" w:rsidR="00EE0195" w:rsidRPr="00B40FC1" w:rsidRDefault="00B40FC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40FC1"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  <w:t>Reviewer details:</w:t>
      </w:r>
    </w:p>
    <w:p w14:paraId="10FEF896" w14:textId="77777777" w:rsidR="00B40FC1" w:rsidRPr="00B40FC1" w:rsidRDefault="00B40FC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EC1A3AB" w14:textId="30808D5B" w:rsidR="00B40FC1" w:rsidRPr="00B40FC1" w:rsidRDefault="00B40FC1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B40FC1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Madan Raju </w:t>
      </w:r>
      <w:proofErr w:type="spellStart"/>
      <w:r w:rsidRPr="00B40FC1">
        <w:rPr>
          <w:rFonts w:ascii="Arial" w:eastAsia="MS Mincho" w:hAnsi="Arial" w:cs="Arial"/>
          <w:b/>
          <w:bCs/>
          <w:sz w:val="20"/>
          <w:szCs w:val="20"/>
          <w:lang w:val="en-GB"/>
        </w:rPr>
        <w:t>Sahu</w:t>
      </w:r>
      <w:proofErr w:type="spellEnd"/>
      <w:r w:rsidRPr="00B40FC1">
        <w:rPr>
          <w:rFonts w:ascii="Arial" w:eastAsia="MS Mincho" w:hAnsi="Arial" w:cs="Arial"/>
          <w:b/>
          <w:bCs/>
          <w:sz w:val="20"/>
          <w:szCs w:val="20"/>
          <w:lang w:val="en-GB"/>
        </w:rPr>
        <w:t>, Dr Babasaheb Ambedkar Memorial Hospital, India</w:t>
      </w:r>
    </w:p>
    <w:sectPr w:rsidR="00B40FC1" w:rsidRPr="00B40FC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B8591C" w14:textId="77777777" w:rsidR="00966D96" w:rsidRDefault="00966D96">
      <w:r>
        <w:separator/>
      </w:r>
    </w:p>
  </w:endnote>
  <w:endnote w:type="continuationSeparator" w:id="0">
    <w:p w14:paraId="22E15421" w14:textId="77777777" w:rsidR="00966D96" w:rsidRDefault="00966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2B850B" w14:textId="77777777" w:rsidR="00EE0195" w:rsidRDefault="00EE0195">
    <w:pPr>
      <w:pStyle w:val="Footer"/>
      <w:jc w:val="right"/>
    </w:pPr>
  </w:p>
  <w:p w14:paraId="1F9BBFD4" w14:textId="47102C9A" w:rsidR="00EE0195" w:rsidRDefault="00401773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AE0393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AE039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51AF0C6" w14:textId="77777777" w:rsidR="00EE0195" w:rsidRDefault="00401773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B48004" w14:textId="77777777" w:rsidR="00966D96" w:rsidRDefault="00966D96">
      <w:r>
        <w:separator/>
      </w:r>
    </w:p>
  </w:footnote>
  <w:footnote w:type="continuationSeparator" w:id="0">
    <w:p w14:paraId="1019075E" w14:textId="77777777" w:rsidR="00966D96" w:rsidRDefault="00966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401773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9"/>
  </w:num>
  <w:num w:numId="5">
    <w:abstractNumId w:val="6"/>
  </w:num>
  <w:num w:numId="6">
    <w:abstractNumId w:val="0"/>
  </w:num>
  <w:num w:numId="7">
    <w:abstractNumId w:val="3"/>
  </w:num>
  <w:num w:numId="8">
    <w:abstractNumId w:val="11"/>
  </w:num>
  <w:num w:numId="9">
    <w:abstractNumId w:val="10"/>
  </w:num>
  <w:num w:numId="10">
    <w:abstractNumId w:val="2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013D15"/>
    <w:rsid w:val="0008543F"/>
    <w:rsid w:val="00166E25"/>
    <w:rsid w:val="001C12F8"/>
    <w:rsid w:val="001F121C"/>
    <w:rsid w:val="00215B81"/>
    <w:rsid w:val="00246FCD"/>
    <w:rsid w:val="003B77D3"/>
    <w:rsid w:val="00401773"/>
    <w:rsid w:val="004F025F"/>
    <w:rsid w:val="005411F1"/>
    <w:rsid w:val="0059388E"/>
    <w:rsid w:val="006E7693"/>
    <w:rsid w:val="007408AF"/>
    <w:rsid w:val="00966D96"/>
    <w:rsid w:val="009E085D"/>
    <w:rsid w:val="00A032DD"/>
    <w:rsid w:val="00AA6501"/>
    <w:rsid w:val="00AE0393"/>
    <w:rsid w:val="00B40FC1"/>
    <w:rsid w:val="00B451CE"/>
    <w:rsid w:val="00B86979"/>
    <w:rsid w:val="00C023EC"/>
    <w:rsid w:val="00E07D14"/>
    <w:rsid w:val="00EE0195"/>
    <w:rsid w:val="00EE1944"/>
    <w:rsid w:val="00F6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899</Words>
  <Characters>5129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1165</cp:lastModifiedBy>
  <cp:revision>41</cp:revision>
  <dcterms:created xsi:type="dcterms:W3CDTF">2026-03-24T06:15:00Z</dcterms:created>
  <dcterms:modified xsi:type="dcterms:W3CDTF">2026-10-29T05:40:00Z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