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A6311" w14:textId="77777777" w:rsidR="00544F3B" w:rsidRDefault="0012217E">
      <w:pPr>
        <w:pStyle w:val="IEEETitle"/>
        <w:keepNext/>
        <w:spacing w:after="120" w:line="240" w:lineRule="auto"/>
        <w:jc w:val="center"/>
      </w:pPr>
      <w:r>
        <w:t>Design and Implementation of a Web-Based Blood Donation Management System for Donor, Recipient, and Inventory Coordination</w:t>
      </w:r>
    </w:p>
    <w:p w14:paraId="6DDC420F" w14:textId="77777777" w:rsidR="002B7BC4" w:rsidRDefault="002B7BC4">
      <w:pPr>
        <w:pStyle w:val="IEEETitle"/>
        <w:keepNext/>
        <w:spacing w:after="120" w:line="240" w:lineRule="auto"/>
        <w:jc w:val="center"/>
      </w:pPr>
    </w:p>
    <w:p w14:paraId="6C5D5EF8" w14:textId="77777777" w:rsidR="003F619C" w:rsidRPr="003F619C" w:rsidRDefault="0012217E" w:rsidP="003F619C">
      <w:pPr>
        <w:pStyle w:val="IEEEAbstract"/>
        <w:spacing w:after="60" w:line="360" w:lineRule="auto"/>
        <w:jc w:val="both"/>
        <w:rPr>
          <w:rFonts w:asciiTheme="majorBidi" w:hAnsiTheme="majorBidi" w:cstheme="majorBidi"/>
          <w:sz w:val="24"/>
          <w:szCs w:val="24"/>
          <w:lang w:val="en-IN"/>
        </w:rPr>
      </w:pPr>
      <w:r w:rsidRPr="00FE33AB">
        <w:rPr>
          <w:rFonts w:asciiTheme="majorBidi" w:hAnsiTheme="majorBidi" w:cstheme="majorBidi"/>
          <w:b/>
          <w:sz w:val="24"/>
          <w:szCs w:val="24"/>
        </w:rPr>
        <w:t>Abstract—</w:t>
      </w:r>
      <w:r w:rsidR="00AB5659" w:rsidRPr="00AB5659">
        <w:rPr>
          <w:rFonts w:ascii="Segoe UI" w:hAnsi="Segoe UI" w:cs="Segoe UI"/>
          <w:color w:val="2B2D38"/>
          <w:sz w:val="23"/>
          <w:szCs w:val="23"/>
          <w:shd w:val="clear" w:color="auto" w:fill="FFFFFF"/>
        </w:rPr>
        <w:t xml:space="preserve"> </w:t>
      </w:r>
      <w:r w:rsidR="003F619C" w:rsidRPr="003F619C">
        <w:rPr>
          <w:rFonts w:asciiTheme="majorBidi" w:hAnsiTheme="majorBidi" w:cstheme="majorBidi"/>
          <w:sz w:val="24"/>
          <w:szCs w:val="24"/>
          <w:lang w:val="en-IN"/>
        </w:rPr>
        <w:t>Blood plays a crucial role in medical treatment for emergencies, surgeries, childbirth, injuries, and chronic health issues. There is always a greater demand for blood than the available supply. Moreover, blood has a limited shelf life, and not everyone can easily access blood services. This indicates a necessity for effective methods to handle blood-related information. This research presents the development and design of a Blood Donation Management System. It is an online application designed to assist in registering donors, managing requests from individuals requiring blood, monitoring available blood supplies, documenting donations, and generating reports for those responsible. The server-side operations are handled by PHP, data is managed with MySQL, and Bootstrap is utilized to ensure the website appears appealing on all devices. The system is designed in sections to allow the responsible parties, donors, and those managing requests to all utilize it. The section that monitors blood maintains a log of when blood is added post-donation and when it is utilized. In the absence of blood, the system issues an alert. The program was developed through a sequential approach known as Waterfall, involving planning, designing, constructing, testing, deploying, and maintaining it.</w:t>
      </w:r>
    </w:p>
    <w:p w14:paraId="6438106B" w14:textId="5511310D" w:rsidR="00AB5659" w:rsidRDefault="00AB5659" w:rsidP="00AB5659">
      <w:pPr>
        <w:pStyle w:val="IEEEAbstract"/>
        <w:spacing w:after="60" w:line="360" w:lineRule="auto"/>
        <w:jc w:val="both"/>
        <w:rPr>
          <w:rFonts w:asciiTheme="majorBidi" w:hAnsiTheme="majorBidi" w:cstheme="majorBidi"/>
          <w:sz w:val="24"/>
          <w:szCs w:val="24"/>
        </w:rPr>
      </w:pPr>
      <w:r w:rsidRPr="00AB5659">
        <w:rPr>
          <w:rFonts w:asciiTheme="majorBidi" w:hAnsiTheme="majorBidi" w:cstheme="majorBidi"/>
          <w:sz w:val="24"/>
          <w:szCs w:val="24"/>
        </w:rPr>
        <w:t xml:space="preserve">Testing was done using situations to check if the system works. These tests included checking if the people in charge can log in if donors can sign up and update their records if people who need blood can ask and track their request if the blood stock is updated if past donations are linked with the people and if data can be found easily. All the main tests worked in the test environment. </w:t>
      </w:r>
      <w:proofErr w:type="gramStart"/>
      <w:r w:rsidRPr="00AB5659">
        <w:rPr>
          <w:rFonts w:asciiTheme="majorBidi" w:hAnsiTheme="majorBidi" w:cstheme="majorBidi"/>
          <w:sz w:val="24"/>
          <w:szCs w:val="24"/>
        </w:rPr>
        <w:t>However</w:t>
      </w:r>
      <w:proofErr w:type="gramEnd"/>
      <w:r w:rsidRPr="00AB5659">
        <w:rPr>
          <w:rFonts w:asciiTheme="majorBidi" w:hAnsiTheme="majorBidi" w:cstheme="majorBidi"/>
          <w:sz w:val="24"/>
          <w:szCs w:val="24"/>
        </w:rPr>
        <w:t xml:space="preserve"> the study only checked if the system works, not how well it does it. Things, like how fast it works how quickly it sends messages how accurate it is how much blood is. How people feel about it were not measured. </w:t>
      </w:r>
      <w:proofErr w:type="gramStart"/>
      <w:r w:rsidRPr="00AB5659">
        <w:rPr>
          <w:rFonts w:asciiTheme="majorBidi" w:hAnsiTheme="majorBidi" w:cstheme="majorBidi"/>
          <w:sz w:val="24"/>
          <w:szCs w:val="24"/>
        </w:rPr>
        <w:t>Also</w:t>
      </w:r>
      <w:proofErr w:type="gramEnd"/>
      <w:r w:rsidRPr="00AB5659">
        <w:rPr>
          <w:rFonts w:asciiTheme="majorBidi" w:hAnsiTheme="majorBidi" w:cstheme="majorBidi"/>
          <w:sz w:val="24"/>
          <w:szCs w:val="24"/>
        </w:rPr>
        <w:t xml:space="preserve"> the system hasn't been tested in life on a big scale. The study offers a low-cost way to manage blood resources and shows a clear path to adding things like location tracking, automatic messages predicting how much blood will be needed, making different systems work together and using data to get more people to donate blood.</w:t>
      </w:r>
    </w:p>
    <w:p w14:paraId="1D28341F" w14:textId="16B33E84" w:rsidR="00544F3B" w:rsidRPr="00FE33AB" w:rsidRDefault="00A64F46" w:rsidP="00AB5659">
      <w:pPr>
        <w:pStyle w:val="IEEEAbstract"/>
        <w:spacing w:after="60" w:line="360" w:lineRule="auto"/>
        <w:jc w:val="both"/>
        <w:rPr>
          <w:rFonts w:asciiTheme="majorBidi" w:hAnsiTheme="majorBidi" w:cstheme="majorBidi"/>
          <w:sz w:val="24"/>
          <w:szCs w:val="24"/>
        </w:rPr>
      </w:pPr>
      <w:r>
        <w:rPr>
          <w:rFonts w:asciiTheme="majorBidi" w:hAnsiTheme="majorBidi" w:cstheme="majorBidi"/>
          <w:b/>
          <w:sz w:val="24"/>
          <w:szCs w:val="24"/>
        </w:rPr>
        <w:t>keywords</w:t>
      </w:r>
      <w:r w:rsidR="0012217E" w:rsidRPr="00FE33AB">
        <w:rPr>
          <w:rFonts w:asciiTheme="majorBidi" w:hAnsiTheme="majorBidi" w:cstheme="majorBidi"/>
          <w:b/>
          <w:sz w:val="24"/>
          <w:szCs w:val="24"/>
        </w:rPr>
        <w:t>—</w:t>
      </w:r>
      <w:r w:rsidR="0012217E" w:rsidRPr="00FE33AB">
        <w:rPr>
          <w:rFonts w:asciiTheme="majorBidi" w:hAnsiTheme="majorBidi" w:cstheme="majorBidi"/>
          <w:sz w:val="24"/>
          <w:szCs w:val="24"/>
        </w:rPr>
        <w:t>blood donation management; blood bank; health informatics; inventory management; PHP; MySQL; web application; donor management; blood supply chain</w:t>
      </w:r>
    </w:p>
    <w:p w14:paraId="2A6448CD" w14:textId="77777777" w:rsidR="00544F3B" w:rsidRPr="00FE33AB" w:rsidRDefault="00544F3B">
      <w:pPr>
        <w:rPr>
          <w:rFonts w:asciiTheme="majorBidi" w:hAnsiTheme="majorBidi" w:cstheme="majorBidi"/>
          <w:sz w:val="24"/>
          <w:szCs w:val="24"/>
        </w:rPr>
        <w:sectPr w:rsidR="00544F3B" w:rsidRPr="00FE33AB" w:rsidSect="00FE33AB">
          <w:headerReference w:type="even" r:id="rId8"/>
          <w:headerReference w:type="default" r:id="rId9"/>
          <w:footerReference w:type="even" r:id="rId10"/>
          <w:footerReference w:type="default" r:id="rId11"/>
          <w:headerReference w:type="first" r:id="rId12"/>
          <w:footerReference w:type="first" r:id="rId13"/>
          <w:pgSz w:w="12240" w:h="15840"/>
          <w:pgMar w:top="1080" w:right="900" w:bottom="1440" w:left="900" w:header="720" w:footer="720" w:gutter="0"/>
          <w:cols w:space="720"/>
          <w:docGrid w:linePitch="360"/>
        </w:sectPr>
      </w:pPr>
    </w:p>
    <w:p w14:paraId="6449BB82" w14:textId="77777777" w:rsidR="00544F3B" w:rsidRPr="00FE33AB" w:rsidRDefault="0012217E" w:rsidP="00FE33AB">
      <w:pPr>
        <w:pStyle w:val="IEEESection"/>
        <w:keepNext/>
        <w:spacing w:after="60" w:line="360" w:lineRule="auto"/>
        <w:jc w:val="both"/>
        <w:rPr>
          <w:rFonts w:asciiTheme="majorBidi" w:hAnsiTheme="majorBidi" w:cstheme="majorBidi"/>
          <w:sz w:val="24"/>
          <w:szCs w:val="24"/>
        </w:rPr>
      </w:pPr>
      <w:r w:rsidRPr="00FE33AB">
        <w:rPr>
          <w:rFonts w:asciiTheme="majorBidi" w:hAnsiTheme="majorBidi" w:cstheme="majorBidi"/>
          <w:sz w:val="24"/>
          <w:szCs w:val="24"/>
        </w:rPr>
        <w:lastRenderedPageBreak/>
        <w:t>I. INTRODUCTION</w:t>
      </w:r>
    </w:p>
    <w:p w14:paraId="7BAB5EA9" w14:textId="77777777" w:rsidR="00544F3B" w:rsidRPr="00FE33AB" w:rsidRDefault="0012217E" w:rsidP="00FE33AB">
      <w:pPr>
        <w:pStyle w:val="IEEESubsection"/>
        <w:keepNext/>
        <w:spacing w:after="40" w:line="360" w:lineRule="auto"/>
        <w:jc w:val="both"/>
        <w:rPr>
          <w:rFonts w:asciiTheme="majorBidi" w:hAnsiTheme="majorBidi" w:cstheme="majorBidi"/>
          <w:b/>
          <w:bCs/>
          <w:sz w:val="24"/>
          <w:szCs w:val="24"/>
        </w:rPr>
      </w:pPr>
      <w:r w:rsidRPr="00FE33AB">
        <w:rPr>
          <w:rFonts w:asciiTheme="majorBidi" w:hAnsiTheme="majorBidi" w:cstheme="majorBidi"/>
          <w:b/>
          <w:bCs/>
          <w:sz w:val="24"/>
          <w:szCs w:val="24"/>
        </w:rPr>
        <w:t>A. BACKGROUND AND MOTIVATION</w:t>
      </w:r>
    </w:p>
    <w:p w14:paraId="5B654483" w14:textId="77777777" w:rsidR="00F962DF" w:rsidRPr="00F962DF" w:rsidRDefault="00F962DF" w:rsidP="00F962DF">
      <w:pPr>
        <w:pStyle w:val="IEEEBody"/>
        <w:spacing w:after="60" w:line="360" w:lineRule="auto"/>
        <w:jc w:val="both"/>
        <w:rPr>
          <w:rFonts w:asciiTheme="majorBidi" w:hAnsiTheme="majorBidi" w:cstheme="majorBidi"/>
          <w:sz w:val="24"/>
          <w:szCs w:val="24"/>
          <w:lang w:val="en-IN"/>
        </w:rPr>
      </w:pPr>
      <w:r w:rsidRPr="00F962DF">
        <w:rPr>
          <w:rFonts w:asciiTheme="majorBidi" w:hAnsiTheme="majorBidi" w:cstheme="majorBidi"/>
          <w:sz w:val="24"/>
          <w:szCs w:val="24"/>
          <w:lang w:val="en-IN"/>
        </w:rPr>
        <w:t>Blood donation services play a role in contemporary healthcare systems. The World Health Organization (WHO) continues to emphasize the significance of coordinated blood collection, testing, processing, storage, and clinical transfusion services. Worldwide data reveals variations in blood availability across various countries and regions, making dependable information systems an essential support for blood transfusion services [1]. In India, national research estimated the clinical requirement at 14.6 million whole-blood units, translating to 36.3 donations for every 1,000 eligible donors. The supply meets 93% of the demand. The difference amounts to 2.5 donations for every 1,000 qualified individuals, or about one million units [2].</w:t>
      </w:r>
    </w:p>
    <w:p w14:paraId="3ACD9BD4" w14:textId="77777777" w:rsidR="00A25D63" w:rsidRPr="00A25D63" w:rsidRDefault="00A25D63" w:rsidP="00A25D63">
      <w:pPr>
        <w:pStyle w:val="IEEESubsection"/>
        <w:keepNext/>
        <w:spacing w:after="40" w:line="360" w:lineRule="auto"/>
        <w:jc w:val="both"/>
        <w:rPr>
          <w:rFonts w:asciiTheme="majorBidi" w:hAnsiTheme="majorBidi" w:cstheme="majorBidi"/>
          <w:sz w:val="24"/>
          <w:szCs w:val="24"/>
          <w:lang w:val="en-IN"/>
        </w:rPr>
      </w:pPr>
      <w:r w:rsidRPr="00A25D63">
        <w:rPr>
          <w:rFonts w:asciiTheme="majorBidi" w:hAnsiTheme="majorBidi" w:cstheme="majorBidi"/>
          <w:sz w:val="24"/>
          <w:szCs w:val="24"/>
          <w:lang w:val="en-IN"/>
        </w:rPr>
        <w:t>A nationwide evaluation indicated variations in the performance of Indian blood banks and their facilities, highlighting the necessity for evidence-based oversight and coordinated data management for blood transfusion services [3]. A recent geospatial study by Empowered Action Group revealed that blood availability is limited and many individuals cannot access a blood-equipped facility within an hour, highlighting the significance of timely information and geographic coordination for blood transfusion services [4].</w:t>
      </w:r>
      <w:r w:rsidRPr="00A25D63">
        <w:rPr>
          <w:rFonts w:asciiTheme="majorBidi" w:hAnsiTheme="majorBidi" w:cstheme="majorBidi"/>
          <w:sz w:val="24"/>
          <w:szCs w:val="24"/>
          <w:lang w:val="en-IN"/>
        </w:rPr>
        <w:br/>
        <w:t>Blood management operations face challenges due to unpredictable demand, the limited shelf life of certain blood components, and the necessity to manage shortages while minimizing waste. Inventory research has thus regarded blood as a supply chain asset, where details regarding stock quantities, demand, expiration, and restocking are essential for operations. Keeping records manually can hinder timely access to information. Heighten the chances of data input and coordination mistakes. Digitization can thus establish a basis for prompt donor management, request handling, inventory transparency, and reporting.</w:t>
      </w:r>
    </w:p>
    <w:p w14:paraId="11DFDB87" w14:textId="77777777" w:rsidR="00607FE5" w:rsidRPr="00607FE5" w:rsidRDefault="00607FE5" w:rsidP="00607FE5">
      <w:pPr>
        <w:pStyle w:val="IEEESubsection"/>
        <w:keepNext/>
        <w:spacing w:after="40" w:line="360" w:lineRule="auto"/>
        <w:jc w:val="both"/>
        <w:rPr>
          <w:rFonts w:asciiTheme="majorBidi" w:hAnsiTheme="majorBidi" w:cstheme="majorBidi"/>
          <w:sz w:val="24"/>
          <w:szCs w:val="24"/>
          <w:lang w:val="en-IN"/>
        </w:rPr>
      </w:pPr>
      <w:r w:rsidRPr="00607FE5">
        <w:rPr>
          <w:rFonts w:asciiTheme="majorBidi" w:hAnsiTheme="majorBidi" w:cstheme="majorBidi"/>
          <w:sz w:val="24"/>
          <w:szCs w:val="24"/>
          <w:lang w:val="en-IN"/>
        </w:rPr>
        <w:t>The initiative presented in this document creates a BDMS aimed at hospitals, blood banks, and entities involved in blood donation efforts. The system integrates donor information, recipient demands, blood stock, donation records, and management oversight through a relational application. The aim is not to substitute for clinical eligibility evaluation, blood typing, screening, cross-matching, or transfusion choices; instead, it is to offer an additional layer that can aid those operational tasks.</w:t>
      </w:r>
    </w:p>
    <w:p w14:paraId="0CD5F6A0" w14:textId="77777777" w:rsidR="00544F3B" w:rsidRPr="00FE33AB" w:rsidRDefault="0012217E" w:rsidP="00FE33AB">
      <w:pPr>
        <w:pStyle w:val="IEEESubsection"/>
        <w:keepNext/>
        <w:spacing w:after="40" w:line="360" w:lineRule="auto"/>
        <w:jc w:val="both"/>
        <w:rPr>
          <w:rFonts w:asciiTheme="majorBidi" w:hAnsiTheme="majorBidi" w:cstheme="majorBidi"/>
          <w:b/>
          <w:bCs/>
          <w:sz w:val="24"/>
          <w:szCs w:val="24"/>
        </w:rPr>
      </w:pPr>
      <w:r w:rsidRPr="00FE33AB">
        <w:rPr>
          <w:rFonts w:asciiTheme="majorBidi" w:hAnsiTheme="majorBidi" w:cstheme="majorBidi"/>
          <w:b/>
          <w:bCs/>
          <w:sz w:val="24"/>
          <w:szCs w:val="24"/>
        </w:rPr>
        <w:t>B. PROBLEM STATEMENT</w:t>
      </w:r>
    </w:p>
    <w:p w14:paraId="6DA99E8F" w14:textId="77777777" w:rsidR="00135052" w:rsidRPr="00135052" w:rsidRDefault="00135052" w:rsidP="00135052">
      <w:pPr>
        <w:pStyle w:val="IEEESubsection"/>
        <w:keepNext/>
        <w:spacing w:after="40" w:line="360" w:lineRule="auto"/>
        <w:jc w:val="both"/>
        <w:rPr>
          <w:rFonts w:asciiTheme="majorBidi" w:hAnsiTheme="majorBidi" w:cstheme="majorBidi"/>
          <w:sz w:val="24"/>
          <w:szCs w:val="24"/>
          <w:lang w:val="en-IN"/>
        </w:rPr>
      </w:pPr>
      <w:r w:rsidRPr="00135052">
        <w:rPr>
          <w:rFonts w:asciiTheme="majorBidi" w:hAnsiTheme="majorBidi" w:cstheme="majorBidi"/>
          <w:sz w:val="24"/>
          <w:szCs w:val="24"/>
          <w:lang w:val="en-IN"/>
        </w:rPr>
        <w:t xml:space="preserve">Conventional or somewhat manual methods of handling blood commonly distribute donor information requests and inventory records among paper documents, spreadsheets, ledgers, and various communication tools. This disorganized arrangement is ineffective in crisis situations. When time is limited, personnel must </w:t>
      </w:r>
      <w:r w:rsidRPr="00135052">
        <w:rPr>
          <w:rFonts w:asciiTheme="majorBidi" w:hAnsiTheme="majorBidi" w:cstheme="majorBidi"/>
          <w:sz w:val="24"/>
          <w:szCs w:val="24"/>
          <w:lang w:val="en-IN"/>
        </w:rPr>
        <w:lastRenderedPageBreak/>
        <w:t>verify if a blood type is available, locate the appropriate records, update the inventory, and maintain a clear record of the events. This is why the study emphasizes creating a unified, affordable web platform. This system will maintain all documentation from donor sign-up to blood requests, inventory updates, and donation records.</w:t>
      </w:r>
    </w:p>
    <w:p w14:paraId="0041E7C8" w14:textId="6AF7F198" w:rsidR="00544F3B" w:rsidRPr="00FE33AB" w:rsidRDefault="0012217E" w:rsidP="00B839A7">
      <w:pPr>
        <w:pStyle w:val="IEEESubsection"/>
        <w:keepNext/>
        <w:spacing w:after="40" w:line="360" w:lineRule="auto"/>
        <w:jc w:val="both"/>
        <w:rPr>
          <w:rFonts w:asciiTheme="majorBidi" w:hAnsiTheme="majorBidi" w:cstheme="majorBidi"/>
          <w:b/>
          <w:bCs/>
          <w:sz w:val="24"/>
          <w:szCs w:val="24"/>
        </w:rPr>
      </w:pPr>
      <w:r w:rsidRPr="00FE33AB">
        <w:rPr>
          <w:rFonts w:asciiTheme="majorBidi" w:hAnsiTheme="majorBidi" w:cstheme="majorBidi"/>
          <w:b/>
          <w:bCs/>
          <w:sz w:val="24"/>
          <w:szCs w:val="24"/>
        </w:rPr>
        <w:t>C. OBJECTIVES</w:t>
      </w:r>
    </w:p>
    <w:p w14:paraId="205E0AE8" w14:textId="77777777" w:rsidR="00433441" w:rsidRPr="00433441" w:rsidRDefault="00433441" w:rsidP="00433441">
      <w:pPr>
        <w:pStyle w:val="IEEESubsection"/>
        <w:keepNext/>
        <w:numPr>
          <w:ilvl w:val="0"/>
          <w:numId w:val="14"/>
        </w:numPr>
        <w:spacing w:after="40" w:line="360" w:lineRule="auto"/>
        <w:jc w:val="both"/>
        <w:rPr>
          <w:rFonts w:asciiTheme="majorBidi" w:hAnsiTheme="majorBidi" w:cstheme="majorBidi"/>
          <w:sz w:val="24"/>
          <w:szCs w:val="24"/>
          <w:lang w:val="en-IN"/>
        </w:rPr>
      </w:pPr>
      <w:r w:rsidRPr="00433441">
        <w:rPr>
          <w:rFonts w:asciiTheme="majorBidi" w:hAnsiTheme="majorBidi" w:cstheme="majorBidi"/>
          <w:sz w:val="24"/>
          <w:szCs w:val="24"/>
          <w:lang w:val="en-IN"/>
        </w:rPr>
        <w:t>To build an easy-to-use website that helps manage records of blood donations.</w:t>
      </w:r>
    </w:p>
    <w:p w14:paraId="52D53B79" w14:textId="77777777" w:rsidR="00433441" w:rsidRPr="00433441" w:rsidRDefault="00433441" w:rsidP="00433441">
      <w:pPr>
        <w:pStyle w:val="IEEESubsection"/>
        <w:keepNext/>
        <w:numPr>
          <w:ilvl w:val="0"/>
          <w:numId w:val="14"/>
        </w:numPr>
        <w:spacing w:after="40" w:line="360" w:lineRule="auto"/>
        <w:jc w:val="both"/>
        <w:rPr>
          <w:rFonts w:asciiTheme="majorBidi" w:hAnsiTheme="majorBidi" w:cstheme="majorBidi"/>
          <w:sz w:val="24"/>
          <w:szCs w:val="24"/>
          <w:lang w:val="en-IN"/>
        </w:rPr>
      </w:pPr>
      <w:r w:rsidRPr="00433441">
        <w:rPr>
          <w:rFonts w:asciiTheme="majorBidi" w:hAnsiTheme="majorBidi" w:cstheme="majorBidi"/>
          <w:sz w:val="24"/>
          <w:szCs w:val="24"/>
          <w:lang w:val="en-IN"/>
        </w:rPr>
        <w:t>To give one place where administrators can control everything about donors, people who need blood, blood requests, stock and reports.</w:t>
      </w:r>
    </w:p>
    <w:p w14:paraId="59577EF3" w14:textId="77777777" w:rsidR="00433441" w:rsidRPr="00433441" w:rsidRDefault="00433441" w:rsidP="00433441">
      <w:pPr>
        <w:pStyle w:val="IEEESubsection"/>
        <w:keepNext/>
        <w:numPr>
          <w:ilvl w:val="0"/>
          <w:numId w:val="14"/>
        </w:numPr>
        <w:spacing w:after="40" w:line="360" w:lineRule="auto"/>
        <w:jc w:val="both"/>
        <w:rPr>
          <w:rFonts w:asciiTheme="majorBidi" w:hAnsiTheme="majorBidi" w:cstheme="majorBidi"/>
          <w:sz w:val="24"/>
          <w:szCs w:val="24"/>
          <w:lang w:val="en-IN"/>
        </w:rPr>
      </w:pPr>
      <w:r w:rsidRPr="00433441">
        <w:rPr>
          <w:rFonts w:asciiTheme="majorBidi" w:hAnsiTheme="majorBidi" w:cstheme="majorBidi"/>
          <w:sz w:val="24"/>
          <w:szCs w:val="24"/>
          <w:lang w:val="en-IN"/>
        </w:rPr>
        <w:t>To let people quickly search and see if blood is available by blood type.</w:t>
      </w:r>
    </w:p>
    <w:p w14:paraId="0CAE22FF" w14:textId="77777777" w:rsidR="00433441" w:rsidRPr="00433441" w:rsidRDefault="00433441" w:rsidP="00433441">
      <w:pPr>
        <w:pStyle w:val="IEEESubsection"/>
        <w:keepNext/>
        <w:numPr>
          <w:ilvl w:val="0"/>
          <w:numId w:val="14"/>
        </w:numPr>
        <w:spacing w:after="40" w:line="360" w:lineRule="auto"/>
        <w:jc w:val="both"/>
        <w:rPr>
          <w:rFonts w:asciiTheme="majorBidi" w:hAnsiTheme="majorBidi" w:cstheme="majorBidi"/>
          <w:sz w:val="24"/>
          <w:szCs w:val="24"/>
          <w:lang w:val="en-IN"/>
        </w:rPr>
      </w:pPr>
      <w:r w:rsidRPr="00433441">
        <w:rPr>
          <w:rFonts w:asciiTheme="majorBidi" w:hAnsiTheme="majorBidi" w:cstheme="majorBidi"/>
          <w:sz w:val="24"/>
          <w:szCs w:val="24"/>
          <w:lang w:val="en-IN"/>
        </w:rPr>
        <w:t>To cut down on using paper records and doing the work over and over again by hand.</w:t>
      </w:r>
    </w:p>
    <w:p w14:paraId="0F8147A3" w14:textId="77777777" w:rsidR="00433441" w:rsidRPr="00433441" w:rsidRDefault="00433441" w:rsidP="00433441">
      <w:pPr>
        <w:pStyle w:val="IEEESubsection"/>
        <w:keepNext/>
        <w:numPr>
          <w:ilvl w:val="0"/>
          <w:numId w:val="14"/>
        </w:numPr>
        <w:spacing w:after="40" w:line="360" w:lineRule="auto"/>
        <w:jc w:val="both"/>
        <w:rPr>
          <w:rFonts w:asciiTheme="majorBidi" w:hAnsiTheme="majorBidi" w:cstheme="majorBidi"/>
          <w:sz w:val="24"/>
          <w:szCs w:val="24"/>
          <w:lang w:val="en-IN"/>
        </w:rPr>
      </w:pPr>
      <w:r w:rsidRPr="00433441">
        <w:rPr>
          <w:rFonts w:asciiTheme="majorBidi" w:hAnsiTheme="majorBidi" w:cstheme="majorBidi"/>
          <w:sz w:val="24"/>
          <w:szCs w:val="24"/>
          <w:lang w:val="en-IN"/>
        </w:rPr>
        <w:t>To keep track of how each donation's connected to changes in the blood stock.</w:t>
      </w:r>
    </w:p>
    <w:p w14:paraId="6DA5F820" w14:textId="77777777" w:rsidR="00433441" w:rsidRPr="00433441" w:rsidRDefault="00433441" w:rsidP="00433441">
      <w:pPr>
        <w:pStyle w:val="IEEESubsection"/>
        <w:keepNext/>
        <w:numPr>
          <w:ilvl w:val="0"/>
          <w:numId w:val="14"/>
        </w:numPr>
        <w:spacing w:after="40" w:line="360" w:lineRule="auto"/>
        <w:jc w:val="both"/>
        <w:rPr>
          <w:rFonts w:asciiTheme="majorBidi" w:hAnsiTheme="majorBidi" w:cstheme="majorBidi"/>
          <w:sz w:val="24"/>
          <w:szCs w:val="24"/>
          <w:lang w:val="en-IN"/>
        </w:rPr>
      </w:pPr>
      <w:r w:rsidRPr="00433441">
        <w:rPr>
          <w:rFonts w:asciiTheme="majorBidi" w:hAnsiTheme="majorBidi" w:cstheme="majorBidi"/>
          <w:sz w:val="24"/>
          <w:szCs w:val="24"/>
          <w:lang w:val="en-IN"/>
        </w:rPr>
        <w:t>To set up a base, for features that can come later like sending messages finding locations predicting needs and working with other systems.</w:t>
      </w:r>
    </w:p>
    <w:p w14:paraId="68646ABA" w14:textId="77777777" w:rsidR="00544F3B" w:rsidRPr="00FE33AB" w:rsidRDefault="0012217E" w:rsidP="00FE33AB">
      <w:pPr>
        <w:pStyle w:val="IEEESubsection"/>
        <w:keepNext/>
        <w:spacing w:after="40" w:line="360" w:lineRule="auto"/>
        <w:jc w:val="both"/>
        <w:rPr>
          <w:rFonts w:asciiTheme="majorBidi" w:hAnsiTheme="majorBidi" w:cstheme="majorBidi"/>
          <w:b/>
          <w:bCs/>
          <w:sz w:val="24"/>
          <w:szCs w:val="24"/>
        </w:rPr>
      </w:pPr>
      <w:r w:rsidRPr="00FE33AB">
        <w:rPr>
          <w:rFonts w:asciiTheme="majorBidi" w:hAnsiTheme="majorBidi" w:cstheme="majorBidi"/>
          <w:b/>
          <w:bCs/>
          <w:sz w:val="24"/>
          <w:szCs w:val="24"/>
        </w:rPr>
        <w:t>D. CONTRIBUTIONS</w:t>
      </w:r>
    </w:p>
    <w:p w14:paraId="02F220F5" w14:textId="77777777" w:rsidR="001E17C8" w:rsidRPr="001E17C8" w:rsidRDefault="001E17C8" w:rsidP="001E17C8">
      <w:pPr>
        <w:pStyle w:val="IEEESection"/>
        <w:keepNext/>
        <w:spacing w:after="60" w:line="360" w:lineRule="auto"/>
        <w:jc w:val="both"/>
        <w:rPr>
          <w:rFonts w:asciiTheme="majorBidi" w:hAnsiTheme="majorBidi" w:cstheme="majorBidi"/>
          <w:b w:val="0"/>
          <w:bCs/>
          <w:sz w:val="24"/>
          <w:szCs w:val="24"/>
          <w:lang w:val="en-IN"/>
        </w:rPr>
      </w:pPr>
      <w:r w:rsidRPr="001E17C8">
        <w:rPr>
          <w:rFonts w:asciiTheme="majorBidi" w:hAnsiTheme="majorBidi" w:cstheme="majorBidi"/>
          <w:b w:val="0"/>
          <w:bCs/>
          <w:sz w:val="24"/>
          <w:szCs w:val="24"/>
          <w:lang w:val="en-IN"/>
        </w:rPr>
        <w:t>The key contributions of the research include: (</w:t>
      </w:r>
      <w:proofErr w:type="spellStart"/>
      <w:r w:rsidRPr="001E17C8">
        <w:rPr>
          <w:rFonts w:asciiTheme="majorBidi" w:hAnsiTheme="majorBidi" w:cstheme="majorBidi"/>
          <w:b w:val="0"/>
          <w:bCs/>
          <w:sz w:val="24"/>
          <w:szCs w:val="24"/>
          <w:lang w:val="en-IN"/>
        </w:rPr>
        <w:t>i</w:t>
      </w:r>
      <w:proofErr w:type="spellEnd"/>
      <w:r w:rsidRPr="001E17C8">
        <w:rPr>
          <w:rFonts w:asciiTheme="majorBidi" w:hAnsiTheme="majorBidi" w:cstheme="majorBidi"/>
          <w:b w:val="0"/>
          <w:bCs/>
          <w:sz w:val="24"/>
          <w:szCs w:val="24"/>
          <w:lang w:val="en-IN"/>
        </w:rPr>
        <w:t>) a unified architecture for donor, request, and administrative roles; (ii) a relational data structure connecting donors, requests, inventory, and donation records; (iii) inventory updates driven by transactions that mirror logged donations and distributed units; (iv) alert and reporting tools for shortages; and (v) a practical black-box assessment that records the function of the main modules while clearly noting the lack of comprehensive empirical validation.</w:t>
      </w:r>
    </w:p>
    <w:p w14:paraId="61944BFE" w14:textId="77777777" w:rsidR="00B6425A" w:rsidRPr="001E17C8" w:rsidRDefault="00B6425A" w:rsidP="00B6425A">
      <w:pPr>
        <w:pStyle w:val="IEEESection"/>
        <w:keepNext/>
        <w:spacing w:after="60" w:line="360" w:lineRule="auto"/>
        <w:jc w:val="both"/>
        <w:rPr>
          <w:rFonts w:asciiTheme="majorBidi" w:hAnsiTheme="majorBidi" w:cstheme="majorBidi"/>
          <w:b w:val="0"/>
          <w:sz w:val="24"/>
          <w:szCs w:val="24"/>
          <w:lang w:val="en-IN"/>
        </w:rPr>
      </w:pPr>
    </w:p>
    <w:p w14:paraId="35B30315" w14:textId="638E3501" w:rsidR="00544F3B" w:rsidRPr="00FE33AB" w:rsidRDefault="0012217E" w:rsidP="00B6425A">
      <w:pPr>
        <w:pStyle w:val="IEEESection"/>
        <w:keepNext/>
        <w:spacing w:after="60" w:line="360" w:lineRule="auto"/>
        <w:jc w:val="both"/>
        <w:rPr>
          <w:rFonts w:asciiTheme="majorBidi" w:hAnsiTheme="majorBidi" w:cstheme="majorBidi"/>
          <w:sz w:val="24"/>
          <w:szCs w:val="24"/>
        </w:rPr>
      </w:pPr>
      <w:r w:rsidRPr="00FE33AB">
        <w:rPr>
          <w:rFonts w:asciiTheme="majorBidi" w:hAnsiTheme="majorBidi" w:cstheme="majorBidi"/>
          <w:sz w:val="24"/>
          <w:szCs w:val="24"/>
        </w:rPr>
        <w:t>II. RELATED WORK</w:t>
      </w:r>
    </w:p>
    <w:p w14:paraId="2F8A07A2" w14:textId="77777777" w:rsidR="00544F3B" w:rsidRPr="00FE33AB" w:rsidRDefault="0012217E" w:rsidP="00FE33AB">
      <w:pPr>
        <w:pStyle w:val="IEEESubsection"/>
        <w:keepNext/>
        <w:spacing w:after="40" w:line="360" w:lineRule="auto"/>
        <w:jc w:val="both"/>
        <w:rPr>
          <w:rFonts w:asciiTheme="majorBidi" w:hAnsiTheme="majorBidi" w:cstheme="majorBidi"/>
          <w:b/>
          <w:bCs/>
          <w:sz w:val="24"/>
          <w:szCs w:val="24"/>
        </w:rPr>
      </w:pPr>
      <w:r w:rsidRPr="00FE33AB">
        <w:rPr>
          <w:rFonts w:asciiTheme="majorBidi" w:hAnsiTheme="majorBidi" w:cstheme="majorBidi"/>
          <w:b/>
          <w:bCs/>
          <w:sz w:val="24"/>
          <w:szCs w:val="24"/>
        </w:rPr>
        <w:t>A. DIGITALIZATION OF BLOOD SERVICES</w:t>
      </w:r>
    </w:p>
    <w:p w14:paraId="645B07CF" w14:textId="77777777" w:rsidR="002F408D" w:rsidRPr="002F408D" w:rsidRDefault="002F408D" w:rsidP="002F408D">
      <w:pPr>
        <w:pStyle w:val="IEEESubsection"/>
        <w:keepNext/>
        <w:spacing w:after="40" w:line="360" w:lineRule="auto"/>
        <w:jc w:val="both"/>
        <w:rPr>
          <w:rFonts w:asciiTheme="majorBidi" w:hAnsiTheme="majorBidi" w:cstheme="majorBidi"/>
          <w:sz w:val="24"/>
          <w:szCs w:val="24"/>
          <w:lang w:val="en-IN"/>
        </w:rPr>
      </w:pPr>
      <w:r w:rsidRPr="002F408D">
        <w:rPr>
          <w:rFonts w:asciiTheme="majorBidi" w:hAnsiTheme="majorBidi" w:cstheme="majorBidi"/>
          <w:sz w:val="24"/>
          <w:szCs w:val="24"/>
          <w:lang w:val="en-IN"/>
        </w:rPr>
        <w:t xml:space="preserve">The conversation around digitalization is increasingly focusing on enhancing clarity and coordination within the blood supply chain. A recent analysis of current research indicates that studies on digitalization within blood supply chains have examined technologies such as blockchain, machine learning, artificial intelligence, and big data. This study also highlights challenges related to organization and implementation [7]. A separate analysis spanning 2014 to 2025 revealed that key themes in blood supply chain studies encompass donor involvement, demand prediction, inventory and logistics enhancement, system robustness, and the use of digital technologies [8]. These findings emphasize the necessity for information systems. They also </w:t>
      </w:r>
      <w:r w:rsidRPr="002F408D">
        <w:rPr>
          <w:rFonts w:asciiTheme="majorBidi" w:hAnsiTheme="majorBidi" w:cstheme="majorBidi"/>
          <w:sz w:val="24"/>
          <w:szCs w:val="24"/>
          <w:lang w:val="en-IN"/>
        </w:rPr>
        <w:lastRenderedPageBreak/>
        <w:t>demonstrate that merely possessing a record-keeping system is insufficient; digital transformation encompasses significantly more than that.</w:t>
      </w:r>
    </w:p>
    <w:p w14:paraId="6CE8E2BD" w14:textId="2EDE93E5" w:rsidR="00544F3B" w:rsidRPr="00FE33AB" w:rsidRDefault="0012217E" w:rsidP="00A9242F">
      <w:pPr>
        <w:pStyle w:val="IEEESubsection"/>
        <w:keepNext/>
        <w:spacing w:after="40" w:line="360" w:lineRule="auto"/>
        <w:jc w:val="both"/>
        <w:rPr>
          <w:rFonts w:asciiTheme="majorBidi" w:hAnsiTheme="majorBidi" w:cstheme="majorBidi"/>
          <w:b/>
          <w:bCs/>
          <w:sz w:val="24"/>
          <w:szCs w:val="24"/>
        </w:rPr>
      </w:pPr>
      <w:r w:rsidRPr="00FE33AB">
        <w:rPr>
          <w:rFonts w:asciiTheme="majorBidi" w:hAnsiTheme="majorBidi" w:cstheme="majorBidi"/>
          <w:b/>
          <w:bCs/>
          <w:sz w:val="24"/>
          <w:szCs w:val="24"/>
        </w:rPr>
        <w:t>B. BLOOD DONATION AND DONOR ENGAGEMENT</w:t>
      </w:r>
    </w:p>
    <w:p w14:paraId="74DB3A12" w14:textId="77777777" w:rsidR="004F262A" w:rsidRPr="004F262A" w:rsidRDefault="004F262A" w:rsidP="004F262A">
      <w:pPr>
        <w:pStyle w:val="IEEESubsection"/>
        <w:keepNext/>
        <w:spacing w:after="40" w:line="360" w:lineRule="auto"/>
        <w:jc w:val="both"/>
        <w:rPr>
          <w:rFonts w:asciiTheme="majorBidi" w:hAnsiTheme="majorBidi" w:cstheme="majorBidi"/>
          <w:sz w:val="24"/>
          <w:szCs w:val="24"/>
          <w:lang w:val="en-IN"/>
        </w:rPr>
      </w:pPr>
      <w:r w:rsidRPr="004F262A">
        <w:rPr>
          <w:rFonts w:asciiTheme="majorBidi" w:hAnsiTheme="majorBidi" w:cstheme="majorBidi"/>
          <w:sz w:val="24"/>
          <w:szCs w:val="24"/>
          <w:lang w:val="en-IN"/>
        </w:rPr>
        <w:t xml:space="preserve">The availability of donors is essential for the operation of any blood service. A comprehensive analysis of research indicated that individuals are more inclined to give when the process is straightforward, when they believe it benefits others, and when it aligns with their values. Factors such as fear of insufficient time, inadequate information, lack of knowledge, or negative experiences at donation </w:t>
      </w:r>
      <w:proofErr w:type="spellStart"/>
      <w:r w:rsidRPr="004F262A">
        <w:rPr>
          <w:rFonts w:asciiTheme="majorBidi" w:hAnsiTheme="majorBidi" w:cstheme="majorBidi"/>
          <w:sz w:val="24"/>
          <w:szCs w:val="24"/>
          <w:lang w:val="en-IN"/>
        </w:rPr>
        <w:t>centers</w:t>
      </w:r>
      <w:proofErr w:type="spellEnd"/>
      <w:r w:rsidRPr="004F262A">
        <w:rPr>
          <w:rFonts w:asciiTheme="majorBidi" w:hAnsiTheme="majorBidi" w:cstheme="majorBidi"/>
          <w:sz w:val="24"/>
          <w:szCs w:val="24"/>
          <w:lang w:val="en-IN"/>
        </w:rPr>
        <w:t xml:space="preserve"> can prevent individuals from donating blood. Another evaluation examined the factors that motivate individuals to make donations. Discovered that believing in their capacity to give, feeling empowered, holding optimistic perspectives, identifying as a donor, and having prior donation experience all significantly contribute. These findings indicate that upcoming digital systems for blood services must do more than simply monitor the quantity of blood on hand. They ought to assist with communication, maintain donor engagement, and ensure the entire process is simple and seamless for all involved.</w:t>
      </w:r>
    </w:p>
    <w:p w14:paraId="29B45BC2" w14:textId="43936BD3" w:rsidR="00544F3B" w:rsidRPr="00FE33AB" w:rsidRDefault="0012217E" w:rsidP="00B53239">
      <w:pPr>
        <w:pStyle w:val="IEEESubsection"/>
        <w:keepNext/>
        <w:spacing w:after="40" w:line="360" w:lineRule="auto"/>
        <w:jc w:val="both"/>
        <w:rPr>
          <w:rFonts w:asciiTheme="majorBidi" w:hAnsiTheme="majorBidi" w:cstheme="majorBidi"/>
          <w:b/>
          <w:bCs/>
          <w:sz w:val="24"/>
          <w:szCs w:val="24"/>
        </w:rPr>
      </w:pPr>
      <w:r w:rsidRPr="00FE33AB">
        <w:rPr>
          <w:rFonts w:asciiTheme="majorBidi" w:hAnsiTheme="majorBidi" w:cstheme="majorBidi"/>
          <w:b/>
          <w:bCs/>
          <w:sz w:val="24"/>
          <w:szCs w:val="24"/>
        </w:rPr>
        <w:t>C. INVENTORY AND PERISHABILITY</w:t>
      </w:r>
    </w:p>
    <w:p w14:paraId="7998B1E8" w14:textId="77777777" w:rsidR="00950347" w:rsidRPr="00950347" w:rsidRDefault="00950347" w:rsidP="00950347">
      <w:pPr>
        <w:pStyle w:val="IEEESubsection"/>
        <w:keepNext/>
        <w:spacing w:after="40" w:line="360" w:lineRule="auto"/>
        <w:jc w:val="both"/>
        <w:rPr>
          <w:rFonts w:asciiTheme="majorBidi" w:hAnsiTheme="majorBidi" w:cstheme="majorBidi"/>
          <w:sz w:val="24"/>
          <w:szCs w:val="24"/>
          <w:lang w:val="en-IN"/>
        </w:rPr>
      </w:pPr>
      <w:r w:rsidRPr="00950347">
        <w:rPr>
          <w:rFonts w:asciiTheme="majorBidi" w:hAnsiTheme="majorBidi" w:cstheme="majorBidi"/>
          <w:sz w:val="24"/>
          <w:szCs w:val="24"/>
          <w:lang w:val="en-IN"/>
        </w:rPr>
        <w:t>Blood products cannot be kept for extended periods. It's challenging to determine how much will be required. Research on platelet management indicates that their limited shelf life can result in waste or shortages, prompting individuals to employ mathematical methods for inventory control [5]. Recent research has examined the unpredictability of platelet shelf life and utilized data to inform inventory decisions [6]. The existing system fails to utilize mathematics or foresee when problems may arise. Rather, it establishes the information systems. Documentation of transactions showing the quantity of each blood type available, information regarding donations, and instances when blood is utilized. Essential for future planning and improved decision-making.</w:t>
      </w:r>
    </w:p>
    <w:p w14:paraId="7968EF29" w14:textId="7F42597B" w:rsidR="00544F3B" w:rsidRPr="00FE33AB" w:rsidRDefault="0012217E" w:rsidP="00184434">
      <w:pPr>
        <w:pStyle w:val="IEEESubsection"/>
        <w:keepNext/>
        <w:spacing w:after="40" w:line="360" w:lineRule="auto"/>
        <w:jc w:val="both"/>
        <w:rPr>
          <w:rFonts w:asciiTheme="majorBidi" w:hAnsiTheme="majorBidi" w:cstheme="majorBidi"/>
          <w:b/>
          <w:bCs/>
          <w:sz w:val="24"/>
          <w:szCs w:val="24"/>
        </w:rPr>
      </w:pPr>
      <w:r w:rsidRPr="00FE33AB">
        <w:rPr>
          <w:rFonts w:asciiTheme="majorBidi" w:hAnsiTheme="majorBidi" w:cstheme="majorBidi"/>
          <w:b/>
          <w:bCs/>
          <w:sz w:val="24"/>
          <w:szCs w:val="24"/>
        </w:rPr>
        <w:t>D. DIGITAL BLOOD-MANAGEMENT PLATFORMS</w:t>
      </w:r>
    </w:p>
    <w:p w14:paraId="76822FD7" w14:textId="77777777" w:rsidR="00814B51" w:rsidRPr="00814B51" w:rsidRDefault="00814B51" w:rsidP="00814B51">
      <w:pPr>
        <w:pStyle w:val="IEEESubsection"/>
        <w:keepNext/>
        <w:spacing w:after="40" w:line="360" w:lineRule="auto"/>
        <w:jc w:val="both"/>
        <w:rPr>
          <w:rFonts w:asciiTheme="majorBidi" w:hAnsiTheme="majorBidi" w:cstheme="majorBidi"/>
          <w:sz w:val="24"/>
          <w:szCs w:val="24"/>
          <w:lang w:val="en-IN"/>
        </w:rPr>
      </w:pPr>
      <w:r w:rsidRPr="00814B51">
        <w:rPr>
          <w:rFonts w:asciiTheme="majorBidi" w:hAnsiTheme="majorBidi" w:cstheme="majorBidi"/>
          <w:sz w:val="24"/>
          <w:szCs w:val="24"/>
          <w:lang w:val="en-IN"/>
        </w:rPr>
        <w:t xml:space="preserve">Past blood bank and donor management systems have demonstrated that web and mobile platforms effectively facilitate donor registration, process requests, search for blood types, and manage tasks. Recent concepts include features such as location-based matching, notification alerts, dashboard creation, and the application of analytics. In contrast to these sophisticated systems, the present study </w:t>
      </w:r>
      <w:proofErr w:type="spellStart"/>
      <w:r w:rsidRPr="00814B51">
        <w:rPr>
          <w:rFonts w:asciiTheme="majorBidi" w:hAnsiTheme="majorBidi" w:cstheme="majorBidi"/>
          <w:sz w:val="24"/>
          <w:szCs w:val="24"/>
          <w:lang w:val="en-IN"/>
        </w:rPr>
        <w:t>centers</w:t>
      </w:r>
      <w:proofErr w:type="spellEnd"/>
      <w:r w:rsidRPr="00814B51">
        <w:rPr>
          <w:rFonts w:asciiTheme="majorBidi" w:hAnsiTheme="majorBidi" w:cstheme="majorBidi"/>
          <w:sz w:val="24"/>
          <w:szCs w:val="24"/>
          <w:lang w:val="en-IN"/>
        </w:rPr>
        <w:t xml:space="preserve"> on a basic open-source </w:t>
      </w:r>
      <w:r w:rsidRPr="00814B51">
        <w:rPr>
          <w:rFonts w:asciiTheme="majorBidi" w:hAnsiTheme="majorBidi" w:cstheme="majorBidi"/>
          <w:sz w:val="24"/>
          <w:szCs w:val="24"/>
          <w:lang w:val="en-IN"/>
        </w:rPr>
        <w:lastRenderedPageBreak/>
        <w:t>version utilizing PHP, MySQL, and Bootstrap. The significance of this study lies in demonstrating a framework that can be developed further without requiring costly technology.</w:t>
      </w:r>
    </w:p>
    <w:p w14:paraId="63F818A9" w14:textId="77777777" w:rsidR="00544F3B" w:rsidRPr="00FE33AB" w:rsidRDefault="0012217E" w:rsidP="00FE33AB">
      <w:pPr>
        <w:pStyle w:val="IEEESubsection"/>
        <w:keepNext/>
        <w:spacing w:after="40" w:line="360" w:lineRule="auto"/>
        <w:jc w:val="both"/>
        <w:rPr>
          <w:rFonts w:asciiTheme="majorBidi" w:hAnsiTheme="majorBidi" w:cstheme="majorBidi"/>
          <w:b/>
          <w:bCs/>
          <w:sz w:val="24"/>
          <w:szCs w:val="24"/>
        </w:rPr>
      </w:pPr>
      <w:r w:rsidRPr="00FE33AB">
        <w:rPr>
          <w:rFonts w:asciiTheme="majorBidi" w:hAnsiTheme="majorBidi" w:cstheme="majorBidi"/>
          <w:b/>
          <w:bCs/>
          <w:sz w:val="24"/>
          <w:szCs w:val="24"/>
        </w:rPr>
        <w:t>E. RESEARCH GAP</w:t>
      </w:r>
    </w:p>
    <w:p w14:paraId="7FAF8D0A" w14:textId="77777777" w:rsidR="0058602D" w:rsidRPr="0058602D" w:rsidRDefault="0058602D" w:rsidP="0058602D">
      <w:pPr>
        <w:pStyle w:val="IEEESection"/>
        <w:keepNext/>
        <w:spacing w:after="60" w:line="360" w:lineRule="auto"/>
        <w:jc w:val="both"/>
        <w:rPr>
          <w:rFonts w:asciiTheme="majorBidi" w:hAnsiTheme="majorBidi" w:cstheme="majorBidi"/>
          <w:b w:val="0"/>
          <w:bCs/>
          <w:sz w:val="24"/>
          <w:szCs w:val="24"/>
          <w:lang w:val="en-IN"/>
        </w:rPr>
      </w:pPr>
      <w:r w:rsidRPr="0058602D">
        <w:rPr>
          <w:rFonts w:asciiTheme="majorBidi" w:hAnsiTheme="majorBidi" w:cstheme="majorBidi"/>
          <w:b w:val="0"/>
          <w:bCs/>
          <w:sz w:val="24"/>
          <w:szCs w:val="24"/>
          <w:lang w:val="en-IN"/>
        </w:rPr>
        <w:t>The literature shows the importance of blood management, but many advanced proposals emphasize one specific feature—matching, forecasting, geospatial search, or visual analytics—rather than a straightforward, integrated administrative platform suitable for an academic or resource-limited setting. This work addresses that gap by uniting donor information, recipient requests, blood group inventory, donation history, shortage alerts, and reporting into a single application. The study also mentions that functional correctness by itself does not demonstrate real-world impact; field assessments and quantitative performance evaluations remain essential.</w:t>
      </w:r>
    </w:p>
    <w:p w14:paraId="334D1326" w14:textId="36A2E440" w:rsidR="00544F3B" w:rsidRPr="00FE33AB" w:rsidRDefault="0012217E" w:rsidP="00AE5893">
      <w:pPr>
        <w:pStyle w:val="IEEESection"/>
        <w:keepNext/>
        <w:spacing w:after="60" w:line="360" w:lineRule="auto"/>
        <w:jc w:val="both"/>
        <w:rPr>
          <w:rFonts w:asciiTheme="majorBidi" w:hAnsiTheme="majorBidi" w:cstheme="majorBidi"/>
          <w:sz w:val="24"/>
          <w:szCs w:val="24"/>
        </w:rPr>
      </w:pPr>
      <w:r w:rsidRPr="00FE33AB">
        <w:rPr>
          <w:rFonts w:asciiTheme="majorBidi" w:hAnsiTheme="majorBidi" w:cstheme="majorBidi"/>
          <w:sz w:val="24"/>
          <w:szCs w:val="24"/>
        </w:rPr>
        <w:t>III. MATERIALS AND METHODS</w:t>
      </w:r>
    </w:p>
    <w:p w14:paraId="2EE46FB9" w14:textId="77777777" w:rsidR="00544F3B" w:rsidRPr="00FE33AB" w:rsidRDefault="0012217E" w:rsidP="00FE33AB">
      <w:pPr>
        <w:pStyle w:val="IEEESubsection"/>
        <w:keepNext/>
        <w:spacing w:after="40" w:line="360" w:lineRule="auto"/>
        <w:jc w:val="both"/>
        <w:rPr>
          <w:rFonts w:asciiTheme="majorBidi" w:hAnsiTheme="majorBidi" w:cstheme="majorBidi"/>
          <w:b/>
          <w:bCs/>
          <w:sz w:val="24"/>
          <w:szCs w:val="24"/>
        </w:rPr>
      </w:pPr>
      <w:r w:rsidRPr="00FE33AB">
        <w:rPr>
          <w:rFonts w:asciiTheme="majorBidi" w:hAnsiTheme="majorBidi" w:cstheme="majorBidi"/>
          <w:b/>
          <w:bCs/>
          <w:sz w:val="24"/>
          <w:szCs w:val="24"/>
        </w:rPr>
        <w:t>A. RESEARCH AND DEVELOPMENT APPROACH</w:t>
      </w:r>
    </w:p>
    <w:p w14:paraId="1F60D0E2" w14:textId="77777777" w:rsidR="008E1881" w:rsidRDefault="008E1881" w:rsidP="008E1881">
      <w:pPr>
        <w:pStyle w:val="IEEESubsection"/>
        <w:keepNext/>
        <w:spacing w:after="40" w:line="360" w:lineRule="auto"/>
        <w:jc w:val="both"/>
        <w:rPr>
          <w:rFonts w:asciiTheme="majorBidi" w:hAnsiTheme="majorBidi" w:cstheme="majorBidi"/>
          <w:sz w:val="24"/>
          <w:szCs w:val="24"/>
        </w:rPr>
      </w:pPr>
      <w:r w:rsidRPr="008E1881">
        <w:rPr>
          <w:rFonts w:asciiTheme="majorBidi" w:hAnsiTheme="majorBidi" w:cstheme="majorBidi"/>
          <w:sz w:val="24"/>
          <w:szCs w:val="24"/>
        </w:rPr>
        <w:t>The study uses a design and development method. The current project requirements were looked at the software structure and database layout were set the application was built and the finished parts were checked to make sure they work. The development process used a Waterfall style because the main requirements were known ahead of time and the project was created as a school software system.</w:t>
      </w:r>
    </w:p>
    <w:p w14:paraId="45373FB0" w14:textId="7B55A326" w:rsidR="00544F3B" w:rsidRDefault="0012217E" w:rsidP="008E1881">
      <w:pPr>
        <w:pStyle w:val="IEEESubsection"/>
        <w:keepNext/>
        <w:spacing w:after="40" w:line="360" w:lineRule="auto"/>
        <w:jc w:val="both"/>
        <w:rPr>
          <w:rFonts w:asciiTheme="majorBidi" w:hAnsiTheme="majorBidi" w:cstheme="majorBidi"/>
          <w:b/>
          <w:bCs/>
          <w:sz w:val="24"/>
          <w:szCs w:val="24"/>
        </w:rPr>
      </w:pPr>
      <w:r w:rsidRPr="00FE33AB">
        <w:rPr>
          <w:rFonts w:asciiTheme="majorBidi" w:hAnsiTheme="majorBidi" w:cstheme="majorBidi"/>
          <w:b/>
          <w:bCs/>
          <w:sz w:val="24"/>
          <w:szCs w:val="24"/>
        </w:rPr>
        <w:t>B. SOFTWARE DEVELOPMENT LIFE CYCLE</w:t>
      </w:r>
    </w:p>
    <w:p w14:paraId="7AC52816" w14:textId="0E3DCBAB" w:rsidR="00FE33AB" w:rsidRPr="00FE33AB" w:rsidRDefault="00FE33AB" w:rsidP="00067498">
      <w:pPr>
        <w:pStyle w:val="IEEEReferences"/>
        <w:keepNext/>
        <w:spacing w:after="80" w:line="360" w:lineRule="auto"/>
        <w:rPr>
          <w:rFonts w:asciiTheme="majorBidi" w:hAnsiTheme="majorBidi" w:cstheme="majorBidi"/>
          <w:sz w:val="24"/>
          <w:szCs w:val="24"/>
        </w:rPr>
      </w:pPr>
      <w:r w:rsidRPr="00FE33AB">
        <w:rPr>
          <w:rFonts w:asciiTheme="majorBidi" w:hAnsiTheme="majorBidi" w:cstheme="majorBidi"/>
          <w:b/>
          <w:sz w:val="24"/>
          <w:szCs w:val="24"/>
        </w:rPr>
        <w:t>TABLE 1</w:t>
      </w:r>
      <w:r w:rsidR="00067498">
        <w:rPr>
          <w:rFonts w:asciiTheme="majorBidi" w:hAnsiTheme="majorBidi" w:cstheme="majorBidi"/>
          <w:b/>
          <w:sz w:val="24"/>
          <w:szCs w:val="24"/>
        </w:rPr>
        <w:t>:</w:t>
      </w:r>
      <w:r w:rsidR="00067498" w:rsidRPr="00067498">
        <w:rPr>
          <w:b/>
          <w:bCs/>
          <w:sz w:val="20"/>
        </w:rPr>
        <w:t xml:space="preserve"> </w:t>
      </w:r>
      <w:r w:rsidR="00067498" w:rsidRPr="00067498">
        <w:rPr>
          <w:rFonts w:asciiTheme="majorBidi" w:hAnsiTheme="majorBidi" w:cstheme="majorBidi"/>
          <w:sz w:val="24"/>
          <w:szCs w:val="24"/>
        </w:rPr>
        <w:t>Software Development Life Cycle</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09"/>
        <w:gridCol w:w="4545"/>
        <w:gridCol w:w="3476"/>
      </w:tblGrid>
      <w:tr w:rsidR="00544F3B" w:rsidRPr="00FE33AB" w14:paraId="28D80469" w14:textId="77777777" w:rsidTr="00FE33AB">
        <w:trPr>
          <w:jc w:val="center"/>
        </w:trPr>
        <w:tc>
          <w:tcPr>
            <w:tcW w:w="2410" w:type="dxa"/>
            <w:vAlign w:val="center"/>
          </w:tcPr>
          <w:p w14:paraId="739328E9"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b/>
                <w:sz w:val="24"/>
                <w:szCs w:val="24"/>
              </w:rPr>
              <w:t>Phase</w:t>
            </w:r>
          </w:p>
        </w:tc>
        <w:tc>
          <w:tcPr>
            <w:tcW w:w="4550" w:type="dxa"/>
            <w:vAlign w:val="center"/>
          </w:tcPr>
          <w:p w14:paraId="6F957B03"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b/>
                <w:sz w:val="24"/>
                <w:szCs w:val="24"/>
              </w:rPr>
              <w:t>Activities</w:t>
            </w:r>
          </w:p>
        </w:tc>
        <w:tc>
          <w:tcPr>
            <w:tcW w:w="3480" w:type="dxa"/>
            <w:vAlign w:val="center"/>
          </w:tcPr>
          <w:p w14:paraId="549D1268"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b/>
                <w:sz w:val="24"/>
                <w:szCs w:val="24"/>
              </w:rPr>
              <w:t>Output</w:t>
            </w:r>
          </w:p>
        </w:tc>
      </w:tr>
      <w:tr w:rsidR="00544F3B" w:rsidRPr="00FE33AB" w14:paraId="03EF4EA6" w14:textId="77777777" w:rsidTr="00FE33AB">
        <w:trPr>
          <w:jc w:val="center"/>
        </w:trPr>
        <w:tc>
          <w:tcPr>
            <w:tcW w:w="2410" w:type="dxa"/>
            <w:vAlign w:val="center"/>
          </w:tcPr>
          <w:p w14:paraId="022E07D1"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Requirements analysis</w:t>
            </w:r>
          </w:p>
        </w:tc>
        <w:tc>
          <w:tcPr>
            <w:tcW w:w="4550" w:type="dxa"/>
            <w:vAlign w:val="center"/>
          </w:tcPr>
          <w:p w14:paraId="3AEE7DF8"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Identify donor, recipient, request, inventory, reporting, and authentication requirements.</w:t>
            </w:r>
          </w:p>
        </w:tc>
        <w:tc>
          <w:tcPr>
            <w:tcW w:w="3480" w:type="dxa"/>
            <w:vAlign w:val="center"/>
          </w:tcPr>
          <w:p w14:paraId="6A6370E7"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Functional and non-functional requirements</w:t>
            </w:r>
          </w:p>
        </w:tc>
      </w:tr>
      <w:tr w:rsidR="00544F3B" w:rsidRPr="00FE33AB" w14:paraId="08E77298" w14:textId="77777777" w:rsidTr="00FE33AB">
        <w:trPr>
          <w:jc w:val="center"/>
        </w:trPr>
        <w:tc>
          <w:tcPr>
            <w:tcW w:w="2410" w:type="dxa"/>
            <w:vAlign w:val="center"/>
          </w:tcPr>
          <w:p w14:paraId="0EA8EC08"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System design</w:t>
            </w:r>
          </w:p>
        </w:tc>
        <w:tc>
          <w:tcPr>
            <w:tcW w:w="4550" w:type="dxa"/>
            <w:vAlign w:val="center"/>
          </w:tcPr>
          <w:p w14:paraId="0173AB74"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Define modules, data flows, entities, relationships, and database tables.</w:t>
            </w:r>
          </w:p>
        </w:tc>
        <w:tc>
          <w:tcPr>
            <w:tcW w:w="3480" w:type="dxa"/>
            <w:vAlign w:val="center"/>
          </w:tcPr>
          <w:p w14:paraId="4D852BA0"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Architecture and database design</w:t>
            </w:r>
          </w:p>
        </w:tc>
      </w:tr>
      <w:tr w:rsidR="00544F3B" w:rsidRPr="00FE33AB" w14:paraId="5E624587" w14:textId="77777777" w:rsidTr="00FE33AB">
        <w:trPr>
          <w:jc w:val="center"/>
        </w:trPr>
        <w:tc>
          <w:tcPr>
            <w:tcW w:w="2410" w:type="dxa"/>
            <w:vAlign w:val="center"/>
          </w:tcPr>
          <w:p w14:paraId="3223EB84"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Implementation</w:t>
            </w:r>
          </w:p>
        </w:tc>
        <w:tc>
          <w:tcPr>
            <w:tcW w:w="4550" w:type="dxa"/>
            <w:vAlign w:val="center"/>
          </w:tcPr>
          <w:p w14:paraId="270EE692"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Develop PHP application, MySQL database, and Bootstrap interfaces.</w:t>
            </w:r>
          </w:p>
        </w:tc>
        <w:tc>
          <w:tcPr>
            <w:tcW w:w="3480" w:type="dxa"/>
            <w:vAlign w:val="center"/>
          </w:tcPr>
          <w:p w14:paraId="01B02AB0"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Working web application</w:t>
            </w:r>
          </w:p>
        </w:tc>
      </w:tr>
      <w:tr w:rsidR="00544F3B" w:rsidRPr="00FE33AB" w14:paraId="52785271" w14:textId="77777777" w:rsidTr="00FE33AB">
        <w:trPr>
          <w:jc w:val="center"/>
        </w:trPr>
        <w:tc>
          <w:tcPr>
            <w:tcW w:w="2410" w:type="dxa"/>
            <w:vAlign w:val="center"/>
          </w:tcPr>
          <w:p w14:paraId="7B123099"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Testing</w:t>
            </w:r>
          </w:p>
        </w:tc>
        <w:tc>
          <w:tcPr>
            <w:tcW w:w="4550" w:type="dxa"/>
            <w:vAlign w:val="center"/>
          </w:tcPr>
          <w:p w14:paraId="03DF4549"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Execute black-box functional test cases for major modules.</w:t>
            </w:r>
          </w:p>
        </w:tc>
        <w:tc>
          <w:tcPr>
            <w:tcW w:w="3480" w:type="dxa"/>
            <w:vAlign w:val="center"/>
          </w:tcPr>
          <w:p w14:paraId="2771C3FC"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Verified test cases and defect observations</w:t>
            </w:r>
          </w:p>
        </w:tc>
      </w:tr>
      <w:tr w:rsidR="00544F3B" w:rsidRPr="00FE33AB" w14:paraId="36C20E5E" w14:textId="77777777" w:rsidTr="00FE33AB">
        <w:trPr>
          <w:jc w:val="center"/>
        </w:trPr>
        <w:tc>
          <w:tcPr>
            <w:tcW w:w="2410" w:type="dxa"/>
            <w:vAlign w:val="center"/>
          </w:tcPr>
          <w:p w14:paraId="6CFFA638"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lastRenderedPageBreak/>
              <w:t>Deployment</w:t>
            </w:r>
          </w:p>
        </w:tc>
        <w:tc>
          <w:tcPr>
            <w:tcW w:w="4550" w:type="dxa"/>
            <w:vAlign w:val="center"/>
          </w:tcPr>
          <w:p w14:paraId="2698A523"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Run the application in a local XAMPP/WAMP environment for demonstration.</w:t>
            </w:r>
          </w:p>
        </w:tc>
        <w:tc>
          <w:tcPr>
            <w:tcW w:w="3480" w:type="dxa"/>
            <w:vAlign w:val="center"/>
          </w:tcPr>
          <w:p w14:paraId="4903EDAE"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Demonstration deployment</w:t>
            </w:r>
          </w:p>
        </w:tc>
      </w:tr>
      <w:tr w:rsidR="00544F3B" w:rsidRPr="00FE33AB" w14:paraId="4507DC45" w14:textId="77777777" w:rsidTr="00FE33AB">
        <w:trPr>
          <w:jc w:val="center"/>
        </w:trPr>
        <w:tc>
          <w:tcPr>
            <w:tcW w:w="2410" w:type="dxa"/>
            <w:vAlign w:val="center"/>
          </w:tcPr>
          <w:p w14:paraId="4DAE040A"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Maintenance</w:t>
            </w:r>
          </w:p>
        </w:tc>
        <w:tc>
          <w:tcPr>
            <w:tcW w:w="4550" w:type="dxa"/>
            <w:vAlign w:val="center"/>
          </w:tcPr>
          <w:p w14:paraId="27DDCFF2"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Plan database backup, bug fixing, security improvements, and feature extensions.</w:t>
            </w:r>
          </w:p>
        </w:tc>
        <w:tc>
          <w:tcPr>
            <w:tcW w:w="3480" w:type="dxa"/>
            <w:vAlign w:val="center"/>
          </w:tcPr>
          <w:p w14:paraId="037F485D"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Maintenance roadmap</w:t>
            </w:r>
          </w:p>
        </w:tc>
      </w:tr>
    </w:tbl>
    <w:p w14:paraId="317BAAAF" w14:textId="77777777" w:rsidR="008E1881" w:rsidRDefault="008E1881" w:rsidP="00FE33AB">
      <w:pPr>
        <w:pStyle w:val="IEEESubsection"/>
        <w:keepNext/>
        <w:spacing w:after="40" w:line="360" w:lineRule="auto"/>
        <w:jc w:val="both"/>
        <w:rPr>
          <w:rFonts w:asciiTheme="majorBidi" w:hAnsiTheme="majorBidi" w:cstheme="majorBidi"/>
          <w:sz w:val="24"/>
          <w:szCs w:val="24"/>
        </w:rPr>
      </w:pPr>
    </w:p>
    <w:p w14:paraId="087080AA" w14:textId="74D88538" w:rsidR="00544F3B" w:rsidRDefault="0012217E" w:rsidP="00FE33AB">
      <w:pPr>
        <w:pStyle w:val="IEEESubsection"/>
        <w:keepNext/>
        <w:spacing w:after="40" w:line="360" w:lineRule="auto"/>
        <w:jc w:val="both"/>
        <w:rPr>
          <w:rFonts w:asciiTheme="majorBidi" w:hAnsiTheme="majorBidi" w:cstheme="majorBidi"/>
          <w:sz w:val="24"/>
          <w:szCs w:val="24"/>
        </w:rPr>
      </w:pPr>
      <w:r w:rsidRPr="00FE33AB">
        <w:rPr>
          <w:rFonts w:asciiTheme="majorBidi" w:hAnsiTheme="majorBidi" w:cstheme="majorBidi"/>
          <w:b/>
          <w:bCs/>
          <w:sz w:val="24"/>
          <w:szCs w:val="24"/>
        </w:rPr>
        <w:t>C. FUNCTIONAL REQUIREMENTS</w:t>
      </w:r>
    </w:p>
    <w:p w14:paraId="4213D0BA" w14:textId="0B1B467A" w:rsidR="00FE33AB" w:rsidRPr="00FE33AB" w:rsidRDefault="00FE33AB" w:rsidP="00067498">
      <w:pPr>
        <w:pStyle w:val="IEEEReferences"/>
        <w:keepNext/>
        <w:spacing w:after="80" w:line="360" w:lineRule="auto"/>
        <w:rPr>
          <w:rFonts w:asciiTheme="majorBidi" w:hAnsiTheme="majorBidi" w:cstheme="majorBidi"/>
          <w:sz w:val="24"/>
          <w:szCs w:val="24"/>
        </w:rPr>
      </w:pPr>
      <w:r w:rsidRPr="00FE33AB">
        <w:rPr>
          <w:rFonts w:asciiTheme="majorBidi" w:hAnsiTheme="majorBidi" w:cstheme="majorBidi"/>
          <w:b/>
          <w:sz w:val="24"/>
          <w:szCs w:val="24"/>
        </w:rPr>
        <w:t>TABLE 2</w:t>
      </w:r>
      <w:r w:rsidR="00067498" w:rsidRPr="00067498">
        <w:rPr>
          <w:rFonts w:asciiTheme="majorBidi" w:hAnsiTheme="majorBidi" w:cstheme="majorBidi"/>
          <w:bCs/>
          <w:sz w:val="24"/>
          <w:szCs w:val="24"/>
        </w:rPr>
        <w:t>:</w:t>
      </w:r>
      <w:r w:rsidR="00067498" w:rsidRPr="00067498">
        <w:rPr>
          <w:bCs/>
          <w:sz w:val="20"/>
        </w:rPr>
        <w:t xml:space="preserve"> </w:t>
      </w:r>
      <w:r w:rsidR="00067498" w:rsidRPr="00067498">
        <w:rPr>
          <w:rFonts w:asciiTheme="majorBidi" w:hAnsiTheme="majorBidi" w:cstheme="majorBidi"/>
          <w:bCs/>
          <w:sz w:val="24"/>
          <w:szCs w:val="24"/>
        </w:rPr>
        <w:t>Functional Requirements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75"/>
        <w:gridCol w:w="7455"/>
      </w:tblGrid>
      <w:tr w:rsidR="00544F3B" w:rsidRPr="00FE33AB" w14:paraId="5C0FA9CB" w14:textId="77777777" w:rsidTr="00FE33AB">
        <w:trPr>
          <w:jc w:val="center"/>
        </w:trPr>
        <w:tc>
          <w:tcPr>
            <w:tcW w:w="2977" w:type="dxa"/>
            <w:vAlign w:val="center"/>
          </w:tcPr>
          <w:p w14:paraId="5F04A9EF"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b/>
                <w:sz w:val="24"/>
                <w:szCs w:val="24"/>
              </w:rPr>
              <w:t>Module</w:t>
            </w:r>
          </w:p>
        </w:tc>
        <w:tc>
          <w:tcPr>
            <w:tcW w:w="7463" w:type="dxa"/>
            <w:vAlign w:val="center"/>
          </w:tcPr>
          <w:p w14:paraId="50F82E29"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b/>
                <w:sz w:val="24"/>
                <w:szCs w:val="24"/>
              </w:rPr>
              <w:t>Principal functions</w:t>
            </w:r>
          </w:p>
        </w:tc>
      </w:tr>
      <w:tr w:rsidR="00544F3B" w:rsidRPr="00FE33AB" w14:paraId="4D1CE5AB" w14:textId="77777777" w:rsidTr="00FE33AB">
        <w:trPr>
          <w:jc w:val="center"/>
        </w:trPr>
        <w:tc>
          <w:tcPr>
            <w:tcW w:w="2977" w:type="dxa"/>
            <w:vAlign w:val="center"/>
          </w:tcPr>
          <w:p w14:paraId="5FF1B4D9"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Administrator</w:t>
            </w:r>
          </w:p>
        </w:tc>
        <w:tc>
          <w:tcPr>
            <w:tcW w:w="7463" w:type="dxa"/>
            <w:vAlign w:val="center"/>
          </w:tcPr>
          <w:p w14:paraId="56B3DC72"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Secure login/logout; manage donors, recipients, requests, inventory, donation history, and reports.</w:t>
            </w:r>
          </w:p>
        </w:tc>
      </w:tr>
      <w:tr w:rsidR="00544F3B" w:rsidRPr="00FE33AB" w14:paraId="700AD80D" w14:textId="77777777" w:rsidTr="00FE33AB">
        <w:trPr>
          <w:jc w:val="center"/>
        </w:trPr>
        <w:tc>
          <w:tcPr>
            <w:tcW w:w="2977" w:type="dxa"/>
            <w:vAlign w:val="center"/>
          </w:tcPr>
          <w:p w14:paraId="68A3AC4F"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Donor</w:t>
            </w:r>
          </w:p>
        </w:tc>
        <w:tc>
          <w:tcPr>
            <w:tcW w:w="7463" w:type="dxa"/>
            <w:vAlign w:val="center"/>
          </w:tcPr>
          <w:p w14:paraId="6A162EB5"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Register donor details and maintain donor information.</w:t>
            </w:r>
          </w:p>
        </w:tc>
      </w:tr>
      <w:tr w:rsidR="00544F3B" w:rsidRPr="00FE33AB" w14:paraId="2ED856E1" w14:textId="77777777" w:rsidTr="00FE33AB">
        <w:trPr>
          <w:jc w:val="center"/>
        </w:trPr>
        <w:tc>
          <w:tcPr>
            <w:tcW w:w="2977" w:type="dxa"/>
            <w:vAlign w:val="center"/>
          </w:tcPr>
          <w:p w14:paraId="6B0F660D"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Recipient / Request</w:t>
            </w:r>
          </w:p>
        </w:tc>
        <w:tc>
          <w:tcPr>
            <w:tcW w:w="7463" w:type="dxa"/>
            <w:vAlign w:val="center"/>
          </w:tcPr>
          <w:p w14:paraId="48CB0053"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Submit blood requests and track request status.</w:t>
            </w:r>
          </w:p>
        </w:tc>
      </w:tr>
      <w:tr w:rsidR="00544F3B" w:rsidRPr="00FE33AB" w14:paraId="55D50070" w14:textId="77777777" w:rsidTr="00FE33AB">
        <w:trPr>
          <w:jc w:val="center"/>
        </w:trPr>
        <w:tc>
          <w:tcPr>
            <w:tcW w:w="2977" w:type="dxa"/>
            <w:vAlign w:val="center"/>
          </w:tcPr>
          <w:p w14:paraId="3C89D0B4"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Blood inventory</w:t>
            </w:r>
          </w:p>
        </w:tc>
        <w:tc>
          <w:tcPr>
            <w:tcW w:w="7463" w:type="dxa"/>
            <w:vAlign w:val="center"/>
          </w:tcPr>
          <w:p w14:paraId="0E185080"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Maintain stock by blood group; increase stock after donation; decrease stock after issue; flag critical shortages.</w:t>
            </w:r>
          </w:p>
        </w:tc>
      </w:tr>
      <w:tr w:rsidR="00544F3B" w:rsidRPr="00FE33AB" w14:paraId="05F7BC9F" w14:textId="77777777" w:rsidTr="00FE33AB">
        <w:trPr>
          <w:jc w:val="center"/>
        </w:trPr>
        <w:tc>
          <w:tcPr>
            <w:tcW w:w="2977" w:type="dxa"/>
            <w:vAlign w:val="center"/>
          </w:tcPr>
          <w:p w14:paraId="677E9C88"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Donation history</w:t>
            </w:r>
          </w:p>
        </w:tc>
        <w:tc>
          <w:tcPr>
            <w:tcW w:w="7463" w:type="dxa"/>
            <w:vAlign w:val="center"/>
          </w:tcPr>
          <w:p w14:paraId="7F47F10F"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Record donor, donation date, units donated, and linkage to inventory.</w:t>
            </w:r>
          </w:p>
        </w:tc>
      </w:tr>
      <w:tr w:rsidR="00544F3B" w:rsidRPr="00FE33AB" w14:paraId="3A07115C" w14:textId="77777777" w:rsidTr="00FE33AB">
        <w:trPr>
          <w:jc w:val="center"/>
        </w:trPr>
        <w:tc>
          <w:tcPr>
            <w:tcW w:w="2977" w:type="dxa"/>
            <w:vAlign w:val="center"/>
          </w:tcPr>
          <w:p w14:paraId="0C0BD018"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Reports and analytics</w:t>
            </w:r>
          </w:p>
        </w:tc>
        <w:tc>
          <w:tcPr>
            <w:tcW w:w="7463" w:type="dxa"/>
            <w:vAlign w:val="center"/>
          </w:tcPr>
          <w:p w14:paraId="3C3AE244"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Summarize donors, requests, donations, inventory, and blood-group demand/supply.</w:t>
            </w:r>
          </w:p>
        </w:tc>
      </w:tr>
    </w:tbl>
    <w:p w14:paraId="5FB5F900" w14:textId="77777777" w:rsidR="00544F3B" w:rsidRPr="00FE33AB" w:rsidRDefault="0012217E" w:rsidP="00FE33AB">
      <w:pPr>
        <w:pStyle w:val="IEEESubsection"/>
        <w:keepNext/>
        <w:spacing w:after="40" w:line="360" w:lineRule="auto"/>
        <w:jc w:val="both"/>
        <w:rPr>
          <w:rFonts w:asciiTheme="majorBidi" w:hAnsiTheme="majorBidi" w:cstheme="majorBidi"/>
          <w:b/>
          <w:bCs/>
          <w:sz w:val="24"/>
          <w:szCs w:val="24"/>
        </w:rPr>
      </w:pPr>
      <w:r w:rsidRPr="00FE33AB">
        <w:rPr>
          <w:rFonts w:asciiTheme="majorBidi" w:hAnsiTheme="majorBidi" w:cstheme="majorBidi"/>
          <w:b/>
          <w:bCs/>
          <w:sz w:val="24"/>
          <w:szCs w:val="24"/>
        </w:rPr>
        <w:t>D. SYSTEM ARCHITECTURE</w:t>
      </w:r>
    </w:p>
    <w:p w14:paraId="1706780C" w14:textId="77777777" w:rsidR="007F64A2" w:rsidRPr="007F64A2" w:rsidRDefault="007F64A2" w:rsidP="007F64A2">
      <w:pPr>
        <w:pStyle w:val="IEEESubsection"/>
        <w:keepNext/>
        <w:spacing w:after="40" w:line="360" w:lineRule="auto"/>
        <w:jc w:val="both"/>
        <w:rPr>
          <w:rFonts w:asciiTheme="majorBidi" w:hAnsiTheme="majorBidi" w:cstheme="majorBidi"/>
          <w:sz w:val="24"/>
          <w:szCs w:val="24"/>
          <w:lang w:val="en-IN"/>
        </w:rPr>
      </w:pPr>
      <w:r w:rsidRPr="007F64A2">
        <w:rPr>
          <w:rFonts w:asciiTheme="majorBidi" w:hAnsiTheme="majorBidi" w:cstheme="majorBidi"/>
          <w:sz w:val="24"/>
          <w:szCs w:val="24"/>
          <w:lang w:val="en-IN"/>
        </w:rPr>
        <w:t>The application consists of three components: presentation, application logic, and relational data storage. The presentation layer employs a Bootstrap-driven interface to provide web pages. PHP manages server-side processing and business logic. Data that remains available over time is saved in MySQL. Administrative tasks are distinct from donor and request tasks. The system for inventory operates through transactions. When a contribution occurs, units are included in the inventory for the blood type. Upon approval of a request, the available balance decreases. Donation history monitors each alteration connecting donor activities to inventory changes. This generates an audit trail.</w:t>
      </w:r>
    </w:p>
    <w:p w14:paraId="1DE5B2B8" w14:textId="08FD22E0" w:rsidR="00544F3B" w:rsidRDefault="0012217E" w:rsidP="00FE33AB">
      <w:pPr>
        <w:pStyle w:val="IEEESubsection"/>
        <w:keepNext/>
        <w:spacing w:after="40" w:line="360" w:lineRule="auto"/>
        <w:jc w:val="both"/>
        <w:rPr>
          <w:rFonts w:asciiTheme="majorBidi" w:hAnsiTheme="majorBidi" w:cstheme="majorBidi"/>
          <w:b/>
          <w:bCs/>
          <w:sz w:val="24"/>
          <w:szCs w:val="24"/>
        </w:rPr>
      </w:pPr>
      <w:r w:rsidRPr="00FE33AB">
        <w:rPr>
          <w:rFonts w:asciiTheme="majorBidi" w:hAnsiTheme="majorBidi" w:cstheme="majorBidi"/>
          <w:b/>
          <w:bCs/>
          <w:sz w:val="24"/>
          <w:szCs w:val="24"/>
        </w:rPr>
        <w:t>E. DATABASE DESIGN</w:t>
      </w:r>
    </w:p>
    <w:p w14:paraId="2570800F" w14:textId="7D62607A" w:rsidR="00FE33AB" w:rsidRPr="00FE33AB" w:rsidRDefault="00FE33AB" w:rsidP="00067498">
      <w:pPr>
        <w:pStyle w:val="IEEEReferences"/>
        <w:keepNext/>
        <w:spacing w:after="80" w:line="360" w:lineRule="auto"/>
        <w:rPr>
          <w:rFonts w:asciiTheme="majorBidi" w:hAnsiTheme="majorBidi" w:cstheme="majorBidi"/>
          <w:sz w:val="24"/>
          <w:szCs w:val="24"/>
        </w:rPr>
      </w:pPr>
      <w:r w:rsidRPr="00FE33AB">
        <w:rPr>
          <w:rFonts w:asciiTheme="majorBidi" w:hAnsiTheme="majorBidi" w:cstheme="majorBidi"/>
          <w:b/>
          <w:sz w:val="24"/>
          <w:szCs w:val="24"/>
        </w:rPr>
        <w:t>TABLE 3</w:t>
      </w:r>
      <w:r w:rsidR="00067498">
        <w:rPr>
          <w:rFonts w:asciiTheme="majorBidi" w:hAnsiTheme="majorBidi" w:cstheme="majorBidi"/>
          <w:b/>
          <w:sz w:val="24"/>
          <w:szCs w:val="24"/>
        </w:rPr>
        <w:t>:</w:t>
      </w:r>
      <w:r w:rsidR="00067498" w:rsidRPr="00067498">
        <w:rPr>
          <w:b/>
          <w:bCs/>
          <w:sz w:val="20"/>
        </w:rPr>
        <w:t xml:space="preserve"> </w:t>
      </w:r>
      <w:r w:rsidR="00067498" w:rsidRPr="00067498">
        <w:rPr>
          <w:rFonts w:asciiTheme="majorBidi" w:hAnsiTheme="majorBidi" w:cstheme="majorBidi"/>
          <w:sz w:val="24"/>
          <w:szCs w:val="24"/>
        </w:rPr>
        <w:t>Database Design</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13"/>
        <w:gridCol w:w="4536"/>
        <w:gridCol w:w="4481"/>
      </w:tblGrid>
      <w:tr w:rsidR="00544F3B" w:rsidRPr="00FE33AB" w14:paraId="1FCB3B9A" w14:textId="77777777" w:rsidTr="000C681B">
        <w:trPr>
          <w:jc w:val="center"/>
        </w:trPr>
        <w:tc>
          <w:tcPr>
            <w:tcW w:w="1413" w:type="dxa"/>
            <w:vAlign w:val="center"/>
          </w:tcPr>
          <w:p w14:paraId="1005F5A5"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b/>
                <w:sz w:val="24"/>
                <w:szCs w:val="24"/>
              </w:rPr>
              <w:t>Table</w:t>
            </w:r>
          </w:p>
        </w:tc>
        <w:tc>
          <w:tcPr>
            <w:tcW w:w="4536" w:type="dxa"/>
            <w:vAlign w:val="center"/>
          </w:tcPr>
          <w:p w14:paraId="4FAD6247"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b/>
                <w:sz w:val="24"/>
                <w:szCs w:val="24"/>
              </w:rPr>
              <w:t>Purpose</w:t>
            </w:r>
          </w:p>
        </w:tc>
        <w:tc>
          <w:tcPr>
            <w:tcW w:w="4481" w:type="dxa"/>
            <w:vAlign w:val="center"/>
          </w:tcPr>
          <w:p w14:paraId="49A0257E"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b/>
                <w:sz w:val="24"/>
                <w:szCs w:val="24"/>
              </w:rPr>
              <w:t>Representative data</w:t>
            </w:r>
          </w:p>
        </w:tc>
      </w:tr>
      <w:tr w:rsidR="00544F3B" w:rsidRPr="00FE33AB" w14:paraId="1BEF27AD" w14:textId="77777777" w:rsidTr="000C681B">
        <w:trPr>
          <w:jc w:val="center"/>
        </w:trPr>
        <w:tc>
          <w:tcPr>
            <w:tcW w:w="1413" w:type="dxa"/>
            <w:vAlign w:val="center"/>
          </w:tcPr>
          <w:p w14:paraId="52BA3AD7"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lastRenderedPageBreak/>
              <w:t>Admin</w:t>
            </w:r>
          </w:p>
        </w:tc>
        <w:tc>
          <w:tcPr>
            <w:tcW w:w="4536" w:type="dxa"/>
            <w:vAlign w:val="center"/>
          </w:tcPr>
          <w:p w14:paraId="4D703747"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Authentication and administrative access</w:t>
            </w:r>
          </w:p>
        </w:tc>
        <w:tc>
          <w:tcPr>
            <w:tcW w:w="4481" w:type="dxa"/>
            <w:vAlign w:val="center"/>
          </w:tcPr>
          <w:p w14:paraId="65056B38"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Credentials, login information</w:t>
            </w:r>
          </w:p>
        </w:tc>
      </w:tr>
      <w:tr w:rsidR="00544F3B" w:rsidRPr="00FE33AB" w14:paraId="689ED2BA" w14:textId="77777777" w:rsidTr="000C681B">
        <w:trPr>
          <w:jc w:val="center"/>
        </w:trPr>
        <w:tc>
          <w:tcPr>
            <w:tcW w:w="1413" w:type="dxa"/>
            <w:vAlign w:val="center"/>
          </w:tcPr>
          <w:p w14:paraId="40D1D3A4"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Donor</w:t>
            </w:r>
          </w:p>
        </w:tc>
        <w:tc>
          <w:tcPr>
            <w:tcW w:w="4536" w:type="dxa"/>
            <w:vAlign w:val="center"/>
          </w:tcPr>
          <w:p w14:paraId="4CB11278"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Donor master records</w:t>
            </w:r>
          </w:p>
        </w:tc>
        <w:tc>
          <w:tcPr>
            <w:tcW w:w="4481" w:type="dxa"/>
            <w:vAlign w:val="center"/>
          </w:tcPr>
          <w:p w14:paraId="401E61E8"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Name, age, blood group, contact information</w:t>
            </w:r>
          </w:p>
        </w:tc>
      </w:tr>
      <w:tr w:rsidR="00544F3B" w:rsidRPr="00FE33AB" w14:paraId="693072AD" w14:textId="77777777" w:rsidTr="000C681B">
        <w:trPr>
          <w:jc w:val="center"/>
        </w:trPr>
        <w:tc>
          <w:tcPr>
            <w:tcW w:w="1413" w:type="dxa"/>
            <w:vAlign w:val="center"/>
          </w:tcPr>
          <w:p w14:paraId="3007146B"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Requests</w:t>
            </w:r>
          </w:p>
        </w:tc>
        <w:tc>
          <w:tcPr>
            <w:tcW w:w="4536" w:type="dxa"/>
            <w:vAlign w:val="center"/>
          </w:tcPr>
          <w:p w14:paraId="1AA72776"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Recipient/patient blood requests</w:t>
            </w:r>
          </w:p>
        </w:tc>
        <w:tc>
          <w:tcPr>
            <w:tcW w:w="4481" w:type="dxa"/>
            <w:vAlign w:val="center"/>
          </w:tcPr>
          <w:p w14:paraId="19A1A480"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Request details, blood group, status</w:t>
            </w:r>
          </w:p>
        </w:tc>
      </w:tr>
      <w:tr w:rsidR="00544F3B" w:rsidRPr="00FE33AB" w14:paraId="08F74892" w14:textId="77777777" w:rsidTr="000C681B">
        <w:trPr>
          <w:jc w:val="center"/>
        </w:trPr>
        <w:tc>
          <w:tcPr>
            <w:tcW w:w="1413" w:type="dxa"/>
            <w:vAlign w:val="center"/>
          </w:tcPr>
          <w:p w14:paraId="02AC4F30"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Blood Inventory</w:t>
            </w:r>
          </w:p>
        </w:tc>
        <w:tc>
          <w:tcPr>
            <w:tcW w:w="4536" w:type="dxa"/>
            <w:vAlign w:val="center"/>
          </w:tcPr>
          <w:p w14:paraId="27668CFA"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Current stock</w:t>
            </w:r>
          </w:p>
        </w:tc>
        <w:tc>
          <w:tcPr>
            <w:tcW w:w="4481" w:type="dxa"/>
            <w:vAlign w:val="center"/>
          </w:tcPr>
          <w:p w14:paraId="243B1091"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Blood group, available units</w:t>
            </w:r>
          </w:p>
        </w:tc>
      </w:tr>
      <w:tr w:rsidR="00544F3B" w:rsidRPr="00FE33AB" w14:paraId="05E4ADE8" w14:textId="77777777" w:rsidTr="000C681B">
        <w:trPr>
          <w:jc w:val="center"/>
        </w:trPr>
        <w:tc>
          <w:tcPr>
            <w:tcW w:w="1413" w:type="dxa"/>
            <w:vAlign w:val="center"/>
          </w:tcPr>
          <w:p w14:paraId="11A7BDDE"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Donation History</w:t>
            </w:r>
          </w:p>
        </w:tc>
        <w:tc>
          <w:tcPr>
            <w:tcW w:w="4536" w:type="dxa"/>
            <w:vAlign w:val="center"/>
          </w:tcPr>
          <w:p w14:paraId="6B2BA34B"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Historical donation transactions</w:t>
            </w:r>
          </w:p>
        </w:tc>
        <w:tc>
          <w:tcPr>
            <w:tcW w:w="4481" w:type="dxa"/>
            <w:vAlign w:val="center"/>
          </w:tcPr>
          <w:p w14:paraId="0424768D"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Donor, date, units donated, inventory linkage</w:t>
            </w:r>
          </w:p>
        </w:tc>
      </w:tr>
    </w:tbl>
    <w:p w14:paraId="156C2DA2" w14:textId="77777777" w:rsidR="00FE33AB" w:rsidRDefault="00FE33AB" w:rsidP="00FE33AB">
      <w:pPr>
        <w:pStyle w:val="IEEESubsection"/>
        <w:keepNext/>
        <w:spacing w:after="40" w:line="360" w:lineRule="auto"/>
        <w:jc w:val="both"/>
        <w:rPr>
          <w:rFonts w:asciiTheme="majorBidi" w:hAnsiTheme="majorBidi" w:cstheme="majorBidi"/>
          <w:sz w:val="24"/>
          <w:szCs w:val="24"/>
        </w:rPr>
      </w:pPr>
    </w:p>
    <w:p w14:paraId="0F45896B" w14:textId="2863BD91" w:rsidR="00544F3B" w:rsidRPr="00FE33AB" w:rsidRDefault="0012217E" w:rsidP="00FE33AB">
      <w:pPr>
        <w:pStyle w:val="IEEESubsection"/>
        <w:keepNext/>
        <w:spacing w:after="40" w:line="360" w:lineRule="auto"/>
        <w:jc w:val="both"/>
        <w:rPr>
          <w:rFonts w:asciiTheme="majorBidi" w:hAnsiTheme="majorBidi" w:cstheme="majorBidi"/>
          <w:b/>
          <w:bCs/>
          <w:sz w:val="24"/>
          <w:szCs w:val="24"/>
        </w:rPr>
      </w:pPr>
      <w:r w:rsidRPr="00FE33AB">
        <w:rPr>
          <w:rFonts w:asciiTheme="majorBidi" w:hAnsiTheme="majorBidi" w:cstheme="majorBidi"/>
          <w:b/>
          <w:bCs/>
          <w:sz w:val="24"/>
          <w:szCs w:val="24"/>
        </w:rPr>
        <w:t>F. TECHNOLOGY STACK</w:t>
      </w:r>
    </w:p>
    <w:p w14:paraId="79F32443" w14:textId="330E1879" w:rsidR="00FE33AB" w:rsidRPr="00FE33AB" w:rsidRDefault="00FE33AB" w:rsidP="00067498">
      <w:pPr>
        <w:pStyle w:val="IEEEReferences"/>
        <w:keepNext/>
        <w:spacing w:after="80" w:line="360" w:lineRule="auto"/>
        <w:rPr>
          <w:rFonts w:asciiTheme="majorBidi" w:hAnsiTheme="majorBidi" w:cstheme="majorBidi"/>
          <w:sz w:val="24"/>
          <w:szCs w:val="24"/>
        </w:rPr>
      </w:pPr>
      <w:r w:rsidRPr="00FE33AB">
        <w:rPr>
          <w:rFonts w:asciiTheme="majorBidi" w:hAnsiTheme="majorBidi" w:cstheme="majorBidi"/>
          <w:b/>
          <w:sz w:val="24"/>
          <w:szCs w:val="24"/>
        </w:rPr>
        <w:t>TABLE 4</w:t>
      </w:r>
      <w:r w:rsidR="00067498">
        <w:rPr>
          <w:rFonts w:asciiTheme="majorBidi" w:hAnsiTheme="majorBidi" w:cstheme="majorBidi"/>
          <w:b/>
          <w:sz w:val="24"/>
          <w:szCs w:val="24"/>
        </w:rPr>
        <w:t>:</w:t>
      </w:r>
      <w:r w:rsidR="00067498" w:rsidRPr="00067498">
        <w:rPr>
          <w:sz w:val="20"/>
        </w:rPr>
        <w:t xml:space="preserve"> </w:t>
      </w:r>
      <w:r w:rsidR="00067498" w:rsidRPr="00067498">
        <w:rPr>
          <w:rFonts w:asciiTheme="majorBidi" w:hAnsiTheme="majorBidi" w:cstheme="majorBidi"/>
          <w:bCs/>
          <w:sz w:val="24"/>
          <w:szCs w:val="24"/>
        </w:rPr>
        <w:t>Technology Stack</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01"/>
        <w:gridCol w:w="7029"/>
      </w:tblGrid>
      <w:tr w:rsidR="00544F3B" w:rsidRPr="00FE33AB" w14:paraId="146A1EC9" w14:textId="77777777" w:rsidTr="00FE33AB">
        <w:trPr>
          <w:jc w:val="center"/>
        </w:trPr>
        <w:tc>
          <w:tcPr>
            <w:tcW w:w="3402" w:type="dxa"/>
            <w:vAlign w:val="center"/>
          </w:tcPr>
          <w:p w14:paraId="79B5841E"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b/>
                <w:sz w:val="24"/>
                <w:szCs w:val="24"/>
              </w:rPr>
              <w:t>Technology</w:t>
            </w:r>
          </w:p>
        </w:tc>
        <w:tc>
          <w:tcPr>
            <w:tcW w:w="7038" w:type="dxa"/>
            <w:vAlign w:val="center"/>
          </w:tcPr>
          <w:p w14:paraId="439A6038"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b/>
                <w:sz w:val="24"/>
                <w:szCs w:val="24"/>
              </w:rPr>
              <w:t>Role in the system</w:t>
            </w:r>
          </w:p>
        </w:tc>
      </w:tr>
      <w:tr w:rsidR="00544F3B" w:rsidRPr="00FE33AB" w14:paraId="52F40C24" w14:textId="77777777" w:rsidTr="00FE33AB">
        <w:trPr>
          <w:jc w:val="center"/>
        </w:trPr>
        <w:tc>
          <w:tcPr>
            <w:tcW w:w="3402" w:type="dxa"/>
            <w:vAlign w:val="center"/>
          </w:tcPr>
          <w:p w14:paraId="462BC1B6"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PHP</w:t>
            </w:r>
          </w:p>
        </w:tc>
        <w:tc>
          <w:tcPr>
            <w:tcW w:w="7038" w:type="dxa"/>
            <w:vAlign w:val="center"/>
          </w:tcPr>
          <w:p w14:paraId="17B341E7"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Server-side application logic and CRUD operations.</w:t>
            </w:r>
          </w:p>
        </w:tc>
      </w:tr>
      <w:tr w:rsidR="00544F3B" w:rsidRPr="00FE33AB" w14:paraId="5DC72C38" w14:textId="77777777" w:rsidTr="00FE33AB">
        <w:trPr>
          <w:jc w:val="center"/>
        </w:trPr>
        <w:tc>
          <w:tcPr>
            <w:tcW w:w="3402" w:type="dxa"/>
            <w:vAlign w:val="center"/>
          </w:tcPr>
          <w:p w14:paraId="77829705"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MySQL</w:t>
            </w:r>
          </w:p>
        </w:tc>
        <w:tc>
          <w:tcPr>
            <w:tcW w:w="7038" w:type="dxa"/>
            <w:vAlign w:val="center"/>
          </w:tcPr>
          <w:p w14:paraId="67E881C4"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Relational storage and retrieval of application data.</w:t>
            </w:r>
          </w:p>
        </w:tc>
      </w:tr>
      <w:tr w:rsidR="00544F3B" w:rsidRPr="00FE33AB" w14:paraId="3396FDD6" w14:textId="77777777" w:rsidTr="00FE33AB">
        <w:trPr>
          <w:jc w:val="center"/>
        </w:trPr>
        <w:tc>
          <w:tcPr>
            <w:tcW w:w="3402" w:type="dxa"/>
            <w:vAlign w:val="center"/>
          </w:tcPr>
          <w:p w14:paraId="3CF84F63"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Bootstrap</w:t>
            </w:r>
          </w:p>
        </w:tc>
        <w:tc>
          <w:tcPr>
            <w:tcW w:w="7038" w:type="dxa"/>
            <w:vAlign w:val="center"/>
          </w:tcPr>
          <w:p w14:paraId="1D0A6A26"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Responsive front-end layout and interface components.</w:t>
            </w:r>
          </w:p>
        </w:tc>
      </w:tr>
      <w:tr w:rsidR="00544F3B" w:rsidRPr="00FE33AB" w14:paraId="1DE24D0B" w14:textId="77777777" w:rsidTr="00FE33AB">
        <w:trPr>
          <w:jc w:val="center"/>
        </w:trPr>
        <w:tc>
          <w:tcPr>
            <w:tcW w:w="3402" w:type="dxa"/>
            <w:vAlign w:val="center"/>
          </w:tcPr>
          <w:p w14:paraId="4294BFE7"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HTML/CSS/JavaScript</w:t>
            </w:r>
          </w:p>
        </w:tc>
        <w:tc>
          <w:tcPr>
            <w:tcW w:w="7038" w:type="dxa"/>
            <w:vAlign w:val="center"/>
          </w:tcPr>
          <w:p w14:paraId="5F92CD7E"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Browser-side presentation and interaction.</w:t>
            </w:r>
          </w:p>
        </w:tc>
      </w:tr>
      <w:tr w:rsidR="00544F3B" w:rsidRPr="00FE33AB" w14:paraId="11480CC6" w14:textId="77777777" w:rsidTr="00FE33AB">
        <w:trPr>
          <w:jc w:val="center"/>
        </w:trPr>
        <w:tc>
          <w:tcPr>
            <w:tcW w:w="3402" w:type="dxa"/>
            <w:vAlign w:val="center"/>
          </w:tcPr>
          <w:p w14:paraId="0DB2528D"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XAMPP/WAMP</w:t>
            </w:r>
          </w:p>
        </w:tc>
        <w:tc>
          <w:tcPr>
            <w:tcW w:w="7038" w:type="dxa"/>
            <w:vAlign w:val="center"/>
          </w:tcPr>
          <w:p w14:paraId="0D159D81"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Local development and demonstration environment.</w:t>
            </w:r>
          </w:p>
        </w:tc>
      </w:tr>
    </w:tbl>
    <w:p w14:paraId="785929D9" w14:textId="77777777" w:rsidR="00544F3B" w:rsidRPr="00FE33AB" w:rsidRDefault="0012217E" w:rsidP="00FE33AB">
      <w:pPr>
        <w:pStyle w:val="IEEESection"/>
        <w:keepNext/>
        <w:spacing w:after="60" w:line="360" w:lineRule="auto"/>
        <w:jc w:val="both"/>
        <w:rPr>
          <w:rFonts w:asciiTheme="majorBidi" w:hAnsiTheme="majorBidi" w:cstheme="majorBidi"/>
          <w:sz w:val="24"/>
          <w:szCs w:val="24"/>
        </w:rPr>
      </w:pPr>
      <w:r w:rsidRPr="00FE33AB">
        <w:rPr>
          <w:rFonts w:asciiTheme="majorBidi" w:hAnsiTheme="majorBidi" w:cstheme="majorBidi"/>
          <w:sz w:val="24"/>
          <w:szCs w:val="24"/>
        </w:rPr>
        <w:lastRenderedPageBreak/>
        <w:t>IV. SYSTEM IMPLEMENTATION</w:t>
      </w:r>
    </w:p>
    <w:p w14:paraId="1CE1898B" w14:textId="77777777" w:rsidR="00C70859" w:rsidRPr="00C70859" w:rsidRDefault="00C70859" w:rsidP="00C70859">
      <w:pPr>
        <w:pStyle w:val="IEEESection"/>
        <w:keepNext/>
        <w:spacing w:after="60" w:line="360" w:lineRule="auto"/>
        <w:jc w:val="both"/>
        <w:rPr>
          <w:rFonts w:asciiTheme="majorBidi" w:hAnsiTheme="majorBidi" w:cstheme="majorBidi"/>
          <w:sz w:val="24"/>
          <w:szCs w:val="24"/>
          <w:lang w:val="en-IN"/>
        </w:rPr>
      </w:pPr>
      <w:r w:rsidRPr="00C70859">
        <w:rPr>
          <w:rFonts w:asciiTheme="majorBidi" w:hAnsiTheme="majorBidi" w:cstheme="majorBidi"/>
          <w:sz w:val="24"/>
          <w:szCs w:val="24"/>
          <w:lang w:val="en-IN"/>
        </w:rPr>
        <w:t>A. ADMINISTRATOR AUTHENTICATION</w:t>
      </w:r>
    </w:p>
    <w:p w14:paraId="02469419" w14:textId="77777777" w:rsidR="00EF7A99" w:rsidRPr="00EF7A99" w:rsidRDefault="00EF7A99" w:rsidP="00EF7A99">
      <w:pPr>
        <w:pStyle w:val="IEEESection"/>
        <w:keepNext/>
        <w:spacing w:after="60" w:line="360" w:lineRule="auto"/>
        <w:jc w:val="both"/>
        <w:rPr>
          <w:rFonts w:asciiTheme="majorBidi" w:hAnsiTheme="majorBidi" w:cstheme="majorBidi"/>
          <w:b w:val="0"/>
          <w:sz w:val="24"/>
          <w:szCs w:val="24"/>
          <w:lang w:val="en-IN"/>
        </w:rPr>
      </w:pPr>
      <w:r w:rsidRPr="00EF7A99">
        <w:rPr>
          <w:rFonts w:asciiTheme="majorBidi" w:hAnsiTheme="majorBidi" w:cstheme="majorBidi"/>
          <w:b w:val="0"/>
          <w:sz w:val="24"/>
          <w:szCs w:val="24"/>
          <w:lang w:val="en-IN"/>
        </w:rPr>
        <w:t>The admin authentication module provides entry to all management capabilities. After successfully logging in, the administrator can access the modules for donor, recipient, request, inventory, donation history, and reporting. The project records indicate that access without authorization was prevented during testing.</w:t>
      </w:r>
    </w:p>
    <w:p w14:paraId="5A1076AF" w14:textId="77777777" w:rsidR="00C70859" w:rsidRPr="00C70859" w:rsidRDefault="00C70859" w:rsidP="00C70859">
      <w:pPr>
        <w:pStyle w:val="IEEESection"/>
        <w:keepNext/>
        <w:spacing w:after="60" w:line="360" w:lineRule="auto"/>
        <w:jc w:val="both"/>
        <w:rPr>
          <w:rFonts w:asciiTheme="majorBidi" w:hAnsiTheme="majorBidi" w:cstheme="majorBidi"/>
          <w:sz w:val="24"/>
          <w:szCs w:val="24"/>
          <w:lang w:val="en-IN"/>
        </w:rPr>
      </w:pPr>
      <w:r w:rsidRPr="00C70859">
        <w:rPr>
          <w:rFonts w:asciiTheme="majorBidi" w:hAnsiTheme="majorBidi" w:cstheme="majorBidi"/>
          <w:sz w:val="24"/>
          <w:szCs w:val="24"/>
          <w:lang w:val="en-IN"/>
        </w:rPr>
        <w:t>B. DONOR MANAGEMENT</w:t>
      </w:r>
    </w:p>
    <w:p w14:paraId="457A54A0" w14:textId="77777777" w:rsidR="00F614D1" w:rsidRPr="00F614D1" w:rsidRDefault="00F614D1" w:rsidP="00F614D1">
      <w:pPr>
        <w:pStyle w:val="IEEESection"/>
        <w:keepNext/>
        <w:spacing w:after="60" w:line="360" w:lineRule="auto"/>
        <w:jc w:val="both"/>
        <w:rPr>
          <w:rFonts w:asciiTheme="majorBidi" w:hAnsiTheme="majorBidi" w:cstheme="majorBidi"/>
          <w:b w:val="0"/>
          <w:sz w:val="24"/>
          <w:szCs w:val="24"/>
          <w:lang w:val="en-IN"/>
        </w:rPr>
      </w:pPr>
      <w:r w:rsidRPr="00F614D1">
        <w:rPr>
          <w:rFonts w:asciiTheme="majorBidi" w:hAnsiTheme="majorBidi" w:cstheme="majorBidi"/>
          <w:b w:val="0"/>
          <w:sz w:val="24"/>
          <w:szCs w:val="24"/>
          <w:lang w:val="en-IN"/>
        </w:rPr>
        <w:t>The module for donors keeps records. Maintains donor records including identity specifics, age, blood type, and contact details. Administrators are able to add, modify, remove, search for, and view donor records. The module creates a donor database that aids in future donor communication and retention activities.</w:t>
      </w:r>
    </w:p>
    <w:p w14:paraId="2E75D24F" w14:textId="77777777" w:rsidR="00C70859" w:rsidRPr="00C70859" w:rsidRDefault="00C70859" w:rsidP="00C70859">
      <w:pPr>
        <w:pStyle w:val="IEEESection"/>
        <w:keepNext/>
        <w:spacing w:after="60" w:line="360" w:lineRule="auto"/>
        <w:jc w:val="both"/>
        <w:rPr>
          <w:rFonts w:asciiTheme="majorBidi" w:hAnsiTheme="majorBidi" w:cstheme="majorBidi"/>
          <w:sz w:val="24"/>
          <w:szCs w:val="24"/>
          <w:lang w:val="en-IN"/>
        </w:rPr>
      </w:pPr>
      <w:r w:rsidRPr="00C70859">
        <w:rPr>
          <w:rFonts w:asciiTheme="majorBidi" w:hAnsiTheme="majorBidi" w:cstheme="majorBidi"/>
          <w:sz w:val="24"/>
          <w:szCs w:val="24"/>
          <w:lang w:val="en-IN"/>
        </w:rPr>
        <w:t>C. BLOOD REQUEST MANAGEMENT</w:t>
      </w:r>
    </w:p>
    <w:p w14:paraId="44399AFF" w14:textId="77777777" w:rsidR="007C07DD" w:rsidRPr="007C07DD" w:rsidRDefault="007C07DD" w:rsidP="007C07DD">
      <w:pPr>
        <w:pStyle w:val="IEEESection"/>
        <w:keepNext/>
        <w:spacing w:after="60" w:line="360" w:lineRule="auto"/>
        <w:jc w:val="both"/>
        <w:rPr>
          <w:rFonts w:asciiTheme="majorBidi" w:hAnsiTheme="majorBidi" w:cstheme="majorBidi"/>
          <w:b w:val="0"/>
          <w:sz w:val="24"/>
          <w:szCs w:val="24"/>
          <w:lang w:val="en-IN"/>
        </w:rPr>
      </w:pPr>
      <w:r w:rsidRPr="007C07DD">
        <w:rPr>
          <w:rFonts w:asciiTheme="majorBidi" w:hAnsiTheme="majorBidi" w:cstheme="majorBidi"/>
          <w:b w:val="0"/>
          <w:sz w:val="24"/>
          <w:szCs w:val="24"/>
          <w:lang w:val="en-IN"/>
        </w:rPr>
        <w:t>Blood requests can be sent by recipients or patients. The administrator has the ability to read requests, either approve or reject them, and modify their status. The process provides a unified log of every request rather than individual documents or unofficial communication records.</w:t>
      </w:r>
    </w:p>
    <w:p w14:paraId="3FABC9FD" w14:textId="77777777" w:rsidR="00C70859" w:rsidRPr="00C70859" w:rsidRDefault="00C70859" w:rsidP="00C70859">
      <w:pPr>
        <w:pStyle w:val="IEEESection"/>
        <w:keepNext/>
        <w:spacing w:after="60" w:line="360" w:lineRule="auto"/>
        <w:jc w:val="both"/>
        <w:rPr>
          <w:rFonts w:asciiTheme="majorBidi" w:hAnsiTheme="majorBidi" w:cstheme="majorBidi"/>
          <w:sz w:val="24"/>
          <w:szCs w:val="24"/>
          <w:lang w:val="en-IN"/>
        </w:rPr>
      </w:pPr>
      <w:r w:rsidRPr="00C70859">
        <w:rPr>
          <w:rFonts w:asciiTheme="majorBidi" w:hAnsiTheme="majorBidi" w:cstheme="majorBidi"/>
          <w:sz w:val="24"/>
          <w:szCs w:val="24"/>
          <w:lang w:val="en-IN"/>
        </w:rPr>
        <w:t>D. BLOOD INVENTORY MANAGEMENT</w:t>
      </w:r>
    </w:p>
    <w:p w14:paraId="4A27BDFA" w14:textId="77777777" w:rsidR="00B03608" w:rsidRPr="00B03608" w:rsidRDefault="00B03608" w:rsidP="00B03608">
      <w:pPr>
        <w:pStyle w:val="IEEESection"/>
        <w:keepNext/>
        <w:spacing w:after="60" w:line="360" w:lineRule="auto"/>
        <w:jc w:val="both"/>
        <w:rPr>
          <w:rFonts w:asciiTheme="majorBidi" w:hAnsiTheme="majorBidi" w:cstheme="majorBidi"/>
          <w:b w:val="0"/>
          <w:sz w:val="24"/>
          <w:szCs w:val="24"/>
          <w:lang w:val="en-IN"/>
        </w:rPr>
      </w:pPr>
      <w:r w:rsidRPr="00B03608">
        <w:rPr>
          <w:rFonts w:asciiTheme="majorBidi" w:hAnsiTheme="majorBidi" w:cstheme="majorBidi"/>
          <w:b w:val="0"/>
          <w:sz w:val="24"/>
          <w:szCs w:val="24"/>
          <w:lang w:val="en-IN"/>
        </w:rPr>
        <w:t>The inventory module monitors the number of units available for each blood type. Donations that are logged increase the inventory, whereas blood provided for validated requests decreases the inventory. Conditions of low inventory and critical shortages can be highlighted to attract the administrator’s notice. The existing implementation should be regarded as an inventory log, rather than a clinical blood bank information system, since laboratory screening, cross-matching, component expiry management, and transfusion verification are excluded from the defined scope.</w:t>
      </w:r>
    </w:p>
    <w:p w14:paraId="4E453A40" w14:textId="77777777" w:rsidR="00C70859" w:rsidRPr="00C70859" w:rsidRDefault="00C70859" w:rsidP="00C70859">
      <w:pPr>
        <w:pStyle w:val="IEEESection"/>
        <w:keepNext/>
        <w:spacing w:after="60" w:line="360" w:lineRule="auto"/>
        <w:jc w:val="both"/>
        <w:rPr>
          <w:rFonts w:asciiTheme="majorBidi" w:hAnsiTheme="majorBidi" w:cstheme="majorBidi"/>
          <w:sz w:val="24"/>
          <w:szCs w:val="24"/>
          <w:lang w:val="en-IN"/>
        </w:rPr>
      </w:pPr>
      <w:r w:rsidRPr="00C70859">
        <w:rPr>
          <w:rFonts w:asciiTheme="majorBidi" w:hAnsiTheme="majorBidi" w:cstheme="majorBidi"/>
          <w:sz w:val="24"/>
          <w:szCs w:val="24"/>
          <w:lang w:val="en-IN"/>
        </w:rPr>
        <w:t>E. DONATION HISTORY AND REPORTING</w:t>
      </w:r>
    </w:p>
    <w:p w14:paraId="77BCB62E" w14:textId="77777777" w:rsidR="00765BB5" w:rsidRPr="00765BB5" w:rsidRDefault="00765BB5" w:rsidP="00765BB5">
      <w:pPr>
        <w:pStyle w:val="IEEESection"/>
        <w:keepNext/>
        <w:spacing w:after="60" w:line="360" w:lineRule="auto"/>
        <w:jc w:val="both"/>
        <w:rPr>
          <w:rFonts w:asciiTheme="majorBidi" w:hAnsiTheme="majorBidi" w:cstheme="majorBidi"/>
          <w:b w:val="0"/>
          <w:sz w:val="24"/>
          <w:szCs w:val="24"/>
          <w:lang w:val="en-IN"/>
        </w:rPr>
      </w:pPr>
      <w:r w:rsidRPr="00765BB5">
        <w:rPr>
          <w:rFonts w:asciiTheme="majorBidi" w:hAnsiTheme="majorBidi" w:cstheme="majorBidi"/>
          <w:b w:val="0"/>
          <w:sz w:val="24"/>
          <w:szCs w:val="24"/>
          <w:lang w:val="en-IN"/>
        </w:rPr>
        <w:t>Each contribution is recorded with the contributor, date of donation, and quantity donated. The donation records link to inventory changes, allowing the application to maintain a trace from donor actions to stock shifts. Reporting functions provide overviews of donors, requests, inventory, and donation activities. Can assist with the monthly or yearly administrator evaluation.</w:t>
      </w:r>
    </w:p>
    <w:p w14:paraId="30963453" w14:textId="77777777" w:rsidR="00544F3B" w:rsidRPr="00FE33AB" w:rsidRDefault="0012217E" w:rsidP="00FE33AB">
      <w:pPr>
        <w:pStyle w:val="IEEESection"/>
        <w:keepNext/>
        <w:spacing w:after="60" w:line="360" w:lineRule="auto"/>
        <w:jc w:val="both"/>
        <w:rPr>
          <w:rFonts w:asciiTheme="majorBidi" w:hAnsiTheme="majorBidi" w:cstheme="majorBidi"/>
          <w:sz w:val="24"/>
          <w:szCs w:val="24"/>
        </w:rPr>
      </w:pPr>
      <w:r w:rsidRPr="00FE33AB">
        <w:rPr>
          <w:rFonts w:asciiTheme="majorBidi" w:hAnsiTheme="majorBidi" w:cstheme="majorBidi"/>
          <w:sz w:val="24"/>
          <w:szCs w:val="24"/>
        </w:rPr>
        <w:t>V. TESTING AND RESULTS</w:t>
      </w:r>
    </w:p>
    <w:p w14:paraId="5DF99EB3" w14:textId="77777777" w:rsidR="00A511BB" w:rsidRPr="00A511BB" w:rsidRDefault="00A511BB" w:rsidP="00A511BB">
      <w:pPr>
        <w:pStyle w:val="IEEEBody"/>
        <w:spacing w:after="60" w:line="360" w:lineRule="auto"/>
        <w:jc w:val="both"/>
        <w:rPr>
          <w:rFonts w:asciiTheme="majorBidi" w:hAnsiTheme="majorBidi" w:cstheme="majorBidi"/>
          <w:sz w:val="24"/>
          <w:szCs w:val="24"/>
          <w:lang w:val="en-IN"/>
        </w:rPr>
      </w:pPr>
      <w:r w:rsidRPr="00A511BB">
        <w:rPr>
          <w:rFonts w:asciiTheme="majorBidi" w:hAnsiTheme="majorBidi" w:cstheme="majorBidi"/>
          <w:sz w:val="24"/>
          <w:szCs w:val="24"/>
          <w:lang w:val="en-IN"/>
        </w:rPr>
        <w:t xml:space="preserve">Testing is crucial for web applications since functional issues can impact data integrity and user processes. Systematic mapping studies on web-application testing illustrate the wide range of testing methods and the significance of organized assessment [11]. In this project, black-box testing was chosen because the main goal </w:t>
      </w:r>
      <w:r w:rsidRPr="00A511BB">
        <w:rPr>
          <w:rFonts w:asciiTheme="majorBidi" w:hAnsiTheme="majorBidi" w:cstheme="majorBidi"/>
          <w:sz w:val="24"/>
          <w:szCs w:val="24"/>
          <w:lang w:val="en-IN"/>
        </w:rPr>
        <w:lastRenderedPageBreak/>
        <w:t xml:space="preserve">was to validate observable </w:t>
      </w:r>
      <w:proofErr w:type="spellStart"/>
      <w:r w:rsidRPr="00A511BB">
        <w:rPr>
          <w:rFonts w:asciiTheme="majorBidi" w:hAnsiTheme="majorBidi" w:cstheme="majorBidi"/>
          <w:sz w:val="24"/>
          <w:szCs w:val="24"/>
          <w:lang w:val="en-IN"/>
        </w:rPr>
        <w:t>behavior</w:t>
      </w:r>
      <w:proofErr w:type="spellEnd"/>
      <w:r w:rsidRPr="00A511BB">
        <w:rPr>
          <w:rFonts w:asciiTheme="majorBidi" w:hAnsiTheme="majorBidi" w:cstheme="majorBidi"/>
          <w:sz w:val="24"/>
          <w:szCs w:val="24"/>
          <w:lang w:val="en-IN"/>
        </w:rPr>
        <w:t xml:space="preserve"> against functional requirements instead of examining the internal program structure.</w:t>
      </w:r>
    </w:p>
    <w:p w14:paraId="085429A6" w14:textId="77777777" w:rsidR="00FE33AB" w:rsidRPr="00A511BB" w:rsidRDefault="00FE33AB" w:rsidP="00FE33AB">
      <w:pPr>
        <w:pStyle w:val="IEEEBody"/>
        <w:spacing w:after="60" w:line="360" w:lineRule="auto"/>
        <w:ind w:firstLine="173"/>
        <w:jc w:val="both"/>
        <w:rPr>
          <w:rFonts w:asciiTheme="majorBidi" w:hAnsiTheme="majorBidi" w:cstheme="majorBidi"/>
          <w:sz w:val="24"/>
          <w:szCs w:val="24"/>
          <w:lang w:val="en-IN"/>
        </w:rPr>
      </w:pPr>
    </w:p>
    <w:p w14:paraId="5073A321" w14:textId="41D1EA72" w:rsidR="00FE33AB" w:rsidRPr="00FE33AB" w:rsidRDefault="00FE33AB" w:rsidP="00067498">
      <w:pPr>
        <w:pStyle w:val="IEEEReferences"/>
        <w:keepNext/>
        <w:spacing w:after="80" w:line="360" w:lineRule="auto"/>
        <w:rPr>
          <w:rFonts w:asciiTheme="majorBidi" w:hAnsiTheme="majorBidi" w:cstheme="majorBidi"/>
          <w:sz w:val="24"/>
          <w:szCs w:val="24"/>
        </w:rPr>
      </w:pPr>
      <w:r w:rsidRPr="00FE33AB">
        <w:rPr>
          <w:rFonts w:asciiTheme="majorBidi" w:hAnsiTheme="majorBidi" w:cstheme="majorBidi"/>
          <w:b/>
          <w:sz w:val="24"/>
          <w:szCs w:val="24"/>
        </w:rPr>
        <w:t>TABLE 5</w:t>
      </w:r>
      <w:r w:rsidR="00067498">
        <w:rPr>
          <w:rFonts w:asciiTheme="majorBidi" w:hAnsiTheme="majorBidi" w:cstheme="majorBidi"/>
          <w:b/>
          <w:sz w:val="24"/>
          <w:szCs w:val="24"/>
        </w:rPr>
        <w:t>:</w:t>
      </w:r>
      <w:r w:rsidR="00067498" w:rsidRPr="00067498">
        <w:rPr>
          <w:sz w:val="20"/>
        </w:rPr>
        <w:t xml:space="preserve"> </w:t>
      </w:r>
      <w:r w:rsidR="00067498" w:rsidRPr="00067498">
        <w:rPr>
          <w:rFonts w:asciiTheme="majorBidi" w:hAnsiTheme="majorBidi" w:cstheme="majorBidi"/>
          <w:bCs/>
          <w:sz w:val="24"/>
          <w:szCs w:val="24"/>
        </w:rPr>
        <w:t>Black-Box Testing Result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7"/>
        <w:gridCol w:w="3070"/>
        <w:gridCol w:w="5207"/>
        <w:gridCol w:w="1176"/>
      </w:tblGrid>
      <w:tr w:rsidR="00544F3B" w:rsidRPr="00FE33AB" w14:paraId="1C9351AE" w14:textId="77777777" w:rsidTr="007023C6">
        <w:trPr>
          <w:jc w:val="center"/>
        </w:trPr>
        <w:tc>
          <w:tcPr>
            <w:tcW w:w="977" w:type="dxa"/>
            <w:vAlign w:val="center"/>
          </w:tcPr>
          <w:p w14:paraId="0852148E"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b/>
                <w:sz w:val="24"/>
                <w:szCs w:val="24"/>
              </w:rPr>
              <w:t>Test ID</w:t>
            </w:r>
          </w:p>
        </w:tc>
        <w:tc>
          <w:tcPr>
            <w:tcW w:w="3070" w:type="dxa"/>
            <w:vAlign w:val="center"/>
          </w:tcPr>
          <w:p w14:paraId="4FEB48F4"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b/>
                <w:sz w:val="24"/>
                <w:szCs w:val="24"/>
              </w:rPr>
              <w:t>Function tested</w:t>
            </w:r>
          </w:p>
        </w:tc>
        <w:tc>
          <w:tcPr>
            <w:tcW w:w="5207" w:type="dxa"/>
            <w:vAlign w:val="center"/>
          </w:tcPr>
          <w:p w14:paraId="105A896B"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b/>
                <w:sz w:val="24"/>
                <w:szCs w:val="24"/>
              </w:rPr>
              <w:t>Expected result</w:t>
            </w:r>
          </w:p>
        </w:tc>
        <w:tc>
          <w:tcPr>
            <w:tcW w:w="1176" w:type="dxa"/>
            <w:vAlign w:val="center"/>
          </w:tcPr>
          <w:p w14:paraId="7C567A00"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b/>
                <w:sz w:val="24"/>
                <w:szCs w:val="24"/>
              </w:rPr>
              <w:t>Reported result</w:t>
            </w:r>
          </w:p>
        </w:tc>
      </w:tr>
      <w:tr w:rsidR="00544F3B" w:rsidRPr="00FE33AB" w14:paraId="1AA96ACE" w14:textId="77777777" w:rsidTr="007023C6">
        <w:trPr>
          <w:jc w:val="center"/>
        </w:trPr>
        <w:tc>
          <w:tcPr>
            <w:tcW w:w="977" w:type="dxa"/>
            <w:vAlign w:val="center"/>
          </w:tcPr>
          <w:p w14:paraId="5AB14777"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T01</w:t>
            </w:r>
          </w:p>
        </w:tc>
        <w:tc>
          <w:tcPr>
            <w:tcW w:w="3070" w:type="dxa"/>
            <w:vAlign w:val="center"/>
          </w:tcPr>
          <w:p w14:paraId="5E0F9677"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Administrator login</w:t>
            </w:r>
          </w:p>
        </w:tc>
        <w:tc>
          <w:tcPr>
            <w:tcW w:w="5207" w:type="dxa"/>
            <w:vAlign w:val="center"/>
          </w:tcPr>
          <w:p w14:paraId="170C4533"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Authorized user gains access; invalid access is blocked.</w:t>
            </w:r>
          </w:p>
        </w:tc>
        <w:tc>
          <w:tcPr>
            <w:tcW w:w="1176" w:type="dxa"/>
            <w:vAlign w:val="center"/>
          </w:tcPr>
          <w:p w14:paraId="4CC77391"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Pass</w:t>
            </w:r>
          </w:p>
        </w:tc>
      </w:tr>
      <w:tr w:rsidR="00544F3B" w:rsidRPr="00FE33AB" w14:paraId="42D65903" w14:textId="77777777" w:rsidTr="007023C6">
        <w:trPr>
          <w:jc w:val="center"/>
        </w:trPr>
        <w:tc>
          <w:tcPr>
            <w:tcW w:w="977" w:type="dxa"/>
            <w:vAlign w:val="center"/>
          </w:tcPr>
          <w:p w14:paraId="70730E3D"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T02</w:t>
            </w:r>
          </w:p>
        </w:tc>
        <w:tc>
          <w:tcPr>
            <w:tcW w:w="3070" w:type="dxa"/>
            <w:vAlign w:val="center"/>
          </w:tcPr>
          <w:p w14:paraId="08F63D37"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Donor registration</w:t>
            </w:r>
          </w:p>
        </w:tc>
        <w:tc>
          <w:tcPr>
            <w:tcW w:w="5207" w:type="dxa"/>
            <w:vAlign w:val="center"/>
          </w:tcPr>
          <w:p w14:paraId="69970E9E"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New donor record is stored and retrievable.</w:t>
            </w:r>
          </w:p>
        </w:tc>
        <w:tc>
          <w:tcPr>
            <w:tcW w:w="1176" w:type="dxa"/>
            <w:vAlign w:val="center"/>
          </w:tcPr>
          <w:p w14:paraId="6318A09B"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Pass</w:t>
            </w:r>
          </w:p>
        </w:tc>
      </w:tr>
      <w:tr w:rsidR="00544F3B" w:rsidRPr="00FE33AB" w14:paraId="4852BA27" w14:textId="77777777" w:rsidTr="007023C6">
        <w:trPr>
          <w:jc w:val="center"/>
        </w:trPr>
        <w:tc>
          <w:tcPr>
            <w:tcW w:w="977" w:type="dxa"/>
            <w:vAlign w:val="center"/>
          </w:tcPr>
          <w:p w14:paraId="3421A7D9"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T03</w:t>
            </w:r>
          </w:p>
        </w:tc>
        <w:tc>
          <w:tcPr>
            <w:tcW w:w="3070" w:type="dxa"/>
            <w:vAlign w:val="center"/>
          </w:tcPr>
          <w:p w14:paraId="0A310EEB"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Donor update/delete/search</w:t>
            </w:r>
          </w:p>
        </w:tc>
        <w:tc>
          <w:tcPr>
            <w:tcW w:w="5207" w:type="dxa"/>
            <w:vAlign w:val="center"/>
          </w:tcPr>
          <w:p w14:paraId="1716141B"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Records can be modified, removed, viewed, and searched.</w:t>
            </w:r>
          </w:p>
        </w:tc>
        <w:tc>
          <w:tcPr>
            <w:tcW w:w="1176" w:type="dxa"/>
            <w:vAlign w:val="center"/>
          </w:tcPr>
          <w:p w14:paraId="450E1544"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Pass</w:t>
            </w:r>
          </w:p>
        </w:tc>
      </w:tr>
      <w:tr w:rsidR="00544F3B" w:rsidRPr="00FE33AB" w14:paraId="113DCF73" w14:textId="77777777" w:rsidTr="007023C6">
        <w:trPr>
          <w:jc w:val="center"/>
        </w:trPr>
        <w:tc>
          <w:tcPr>
            <w:tcW w:w="977" w:type="dxa"/>
            <w:vAlign w:val="center"/>
          </w:tcPr>
          <w:p w14:paraId="28BC4BF3"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T04</w:t>
            </w:r>
          </w:p>
        </w:tc>
        <w:tc>
          <w:tcPr>
            <w:tcW w:w="3070" w:type="dxa"/>
            <w:vAlign w:val="center"/>
          </w:tcPr>
          <w:p w14:paraId="5ABA84B0"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Blood request submission</w:t>
            </w:r>
          </w:p>
        </w:tc>
        <w:tc>
          <w:tcPr>
            <w:tcW w:w="5207" w:type="dxa"/>
            <w:vAlign w:val="center"/>
          </w:tcPr>
          <w:p w14:paraId="408144DB"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Request is stored with appropriate status.</w:t>
            </w:r>
          </w:p>
        </w:tc>
        <w:tc>
          <w:tcPr>
            <w:tcW w:w="1176" w:type="dxa"/>
            <w:vAlign w:val="center"/>
          </w:tcPr>
          <w:p w14:paraId="3A3B5522"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Pass</w:t>
            </w:r>
          </w:p>
        </w:tc>
      </w:tr>
      <w:tr w:rsidR="00544F3B" w:rsidRPr="00FE33AB" w14:paraId="13056F8D" w14:textId="77777777" w:rsidTr="007023C6">
        <w:trPr>
          <w:jc w:val="center"/>
        </w:trPr>
        <w:tc>
          <w:tcPr>
            <w:tcW w:w="977" w:type="dxa"/>
            <w:vAlign w:val="center"/>
          </w:tcPr>
          <w:p w14:paraId="0B4C16F1"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T05</w:t>
            </w:r>
          </w:p>
        </w:tc>
        <w:tc>
          <w:tcPr>
            <w:tcW w:w="3070" w:type="dxa"/>
            <w:vAlign w:val="center"/>
          </w:tcPr>
          <w:p w14:paraId="0118DCD1"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Request approval/rejection</w:t>
            </w:r>
          </w:p>
        </w:tc>
        <w:tc>
          <w:tcPr>
            <w:tcW w:w="5207" w:type="dxa"/>
            <w:vAlign w:val="center"/>
          </w:tcPr>
          <w:p w14:paraId="31DBF96C"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Administrator can change request status.</w:t>
            </w:r>
          </w:p>
        </w:tc>
        <w:tc>
          <w:tcPr>
            <w:tcW w:w="1176" w:type="dxa"/>
            <w:vAlign w:val="center"/>
          </w:tcPr>
          <w:p w14:paraId="5EFC6040"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Pass</w:t>
            </w:r>
          </w:p>
        </w:tc>
      </w:tr>
      <w:tr w:rsidR="00544F3B" w:rsidRPr="00FE33AB" w14:paraId="4887BD15" w14:textId="77777777" w:rsidTr="007023C6">
        <w:trPr>
          <w:jc w:val="center"/>
        </w:trPr>
        <w:tc>
          <w:tcPr>
            <w:tcW w:w="977" w:type="dxa"/>
            <w:vAlign w:val="center"/>
          </w:tcPr>
          <w:p w14:paraId="52952C6B"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T06</w:t>
            </w:r>
          </w:p>
        </w:tc>
        <w:tc>
          <w:tcPr>
            <w:tcW w:w="3070" w:type="dxa"/>
            <w:vAlign w:val="center"/>
          </w:tcPr>
          <w:p w14:paraId="3FD5E78D"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Inventory after donation</w:t>
            </w:r>
          </w:p>
        </w:tc>
        <w:tc>
          <w:tcPr>
            <w:tcW w:w="5207" w:type="dxa"/>
            <w:vAlign w:val="center"/>
          </w:tcPr>
          <w:p w14:paraId="0C20EE88"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Available units increase for the relevant blood group.</w:t>
            </w:r>
          </w:p>
        </w:tc>
        <w:tc>
          <w:tcPr>
            <w:tcW w:w="1176" w:type="dxa"/>
            <w:vAlign w:val="center"/>
          </w:tcPr>
          <w:p w14:paraId="666B96DE"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Pass</w:t>
            </w:r>
          </w:p>
        </w:tc>
      </w:tr>
      <w:tr w:rsidR="00544F3B" w:rsidRPr="00FE33AB" w14:paraId="399030E7" w14:textId="77777777" w:rsidTr="007023C6">
        <w:trPr>
          <w:jc w:val="center"/>
        </w:trPr>
        <w:tc>
          <w:tcPr>
            <w:tcW w:w="977" w:type="dxa"/>
            <w:vAlign w:val="center"/>
          </w:tcPr>
          <w:p w14:paraId="1A6DA0D4"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T07</w:t>
            </w:r>
          </w:p>
        </w:tc>
        <w:tc>
          <w:tcPr>
            <w:tcW w:w="3070" w:type="dxa"/>
            <w:vAlign w:val="center"/>
          </w:tcPr>
          <w:p w14:paraId="7ABFA274"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Inventory after issue</w:t>
            </w:r>
          </w:p>
        </w:tc>
        <w:tc>
          <w:tcPr>
            <w:tcW w:w="5207" w:type="dxa"/>
            <w:vAlign w:val="center"/>
          </w:tcPr>
          <w:p w14:paraId="24C83A3F"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Available units decrease for the relevant blood group.</w:t>
            </w:r>
          </w:p>
        </w:tc>
        <w:tc>
          <w:tcPr>
            <w:tcW w:w="1176" w:type="dxa"/>
            <w:vAlign w:val="center"/>
          </w:tcPr>
          <w:p w14:paraId="306F5157"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Pass</w:t>
            </w:r>
          </w:p>
        </w:tc>
      </w:tr>
      <w:tr w:rsidR="00544F3B" w:rsidRPr="00FE33AB" w14:paraId="325CFEE1" w14:textId="77777777" w:rsidTr="007023C6">
        <w:trPr>
          <w:jc w:val="center"/>
        </w:trPr>
        <w:tc>
          <w:tcPr>
            <w:tcW w:w="977" w:type="dxa"/>
            <w:vAlign w:val="center"/>
          </w:tcPr>
          <w:p w14:paraId="6BB0CD88"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T08</w:t>
            </w:r>
          </w:p>
        </w:tc>
        <w:tc>
          <w:tcPr>
            <w:tcW w:w="3070" w:type="dxa"/>
            <w:vAlign w:val="center"/>
          </w:tcPr>
          <w:p w14:paraId="78C9BC69"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Shortage alert</w:t>
            </w:r>
          </w:p>
        </w:tc>
        <w:tc>
          <w:tcPr>
            <w:tcW w:w="5207" w:type="dxa"/>
            <w:vAlign w:val="center"/>
          </w:tcPr>
          <w:p w14:paraId="6E4DF876"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Critical low-stock condition is identified.</w:t>
            </w:r>
          </w:p>
        </w:tc>
        <w:tc>
          <w:tcPr>
            <w:tcW w:w="1176" w:type="dxa"/>
            <w:vAlign w:val="center"/>
          </w:tcPr>
          <w:p w14:paraId="4041AB7F"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Pass</w:t>
            </w:r>
          </w:p>
        </w:tc>
      </w:tr>
      <w:tr w:rsidR="00544F3B" w:rsidRPr="00FE33AB" w14:paraId="02EA2313" w14:textId="77777777" w:rsidTr="007023C6">
        <w:trPr>
          <w:jc w:val="center"/>
        </w:trPr>
        <w:tc>
          <w:tcPr>
            <w:tcW w:w="977" w:type="dxa"/>
            <w:vAlign w:val="center"/>
          </w:tcPr>
          <w:p w14:paraId="34AACC1D"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T09</w:t>
            </w:r>
          </w:p>
        </w:tc>
        <w:tc>
          <w:tcPr>
            <w:tcW w:w="3070" w:type="dxa"/>
            <w:vAlign w:val="center"/>
          </w:tcPr>
          <w:p w14:paraId="17654E3A"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Donation history</w:t>
            </w:r>
          </w:p>
        </w:tc>
        <w:tc>
          <w:tcPr>
            <w:tcW w:w="5207" w:type="dxa"/>
            <w:vAlign w:val="center"/>
          </w:tcPr>
          <w:p w14:paraId="2476CACF"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Donation date and units are recorded and linked to donor/inventory.</w:t>
            </w:r>
          </w:p>
        </w:tc>
        <w:tc>
          <w:tcPr>
            <w:tcW w:w="1176" w:type="dxa"/>
            <w:vAlign w:val="center"/>
          </w:tcPr>
          <w:p w14:paraId="7C4F2277"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Pass</w:t>
            </w:r>
          </w:p>
        </w:tc>
      </w:tr>
      <w:tr w:rsidR="00544F3B" w:rsidRPr="00FE33AB" w14:paraId="078166A8" w14:textId="77777777" w:rsidTr="007023C6">
        <w:trPr>
          <w:jc w:val="center"/>
        </w:trPr>
        <w:tc>
          <w:tcPr>
            <w:tcW w:w="977" w:type="dxa"/>
            <w:vAlign w:val="center"/>
          </w:tcPr>
          <w:p w14:paraId="6B503C7B"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T10</w:t>
            </w:r>
          </w:p>
        </w:tc>
        <w:tc>
          <w:tcPr>
            <w:tcW w:w="3070" w:type="dxa"/>
            <w:vAlign w:val="center"/>
          </w:tcPr>
          <w:p w14:paraId="002D3DD1"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Data retrieval/reporting</w:t>
            </w:r>
          </w:p>
        </w:tc>
        <w:tc>
          <w:tcPr>
            <w:tcW w:w="5207" w:type="dxa"/>
            <w:vAlign w:val="center"/>
          </w:tcPr>
          <w:p w14:paraId="62A91A2B"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Relevant records and summaries are displayed.</w:t>
            </w:r>
          </w:p>
        </w:tc>
        <w:tc>
          <w:tcPr>
            <w:tcW w:w="1176" w:type="dxa"/>
            <w:vAlign w:val="center"/>
          </w:tcPr>
          <w:p w14:paraId="0C5DDA03"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Pass</w:t>
            </w:r>
          </w:p>
        </w:tc>
      </w:tr>
    </w:tbl>
    <w:p w14:paraId="24282BA5" w14:textId="0039D21C" w:rsidR="007023C6" w:rsidRPr="009D0247" w:rsidRDefault="009D0247" w:rsidP="009D0247">
      <w:pPr>
        <w:pStyle w:val="IEEESection"/>
        <w:keepNext/>
        <w:spacing w:after="60" w:line="360" w:lineRule="auto"/>
        <w:jc w:val="both"/>
        <w:rPr>
          <w:rFonts w:asciiTheme="majorBidi" w:hAnsiTheme="majorBidi" w:cstheme="majorBidi"/>
          <w:b w:val="0"/>
          <w:bCs/>
          <w:sz w:val="24"/>
          <w:szCs w:val="24"/>
          <w:lang w:val="en-IN"/>
        </w:rPr>
      </w:pPr>
      <w:r w:rsidRPr="009D0247">
        <w:rPr>
          <w:rFonts w:asciiTheme="majorBidi" w:hAnsiTheme="majorBidi" w:cstheme="majorBidi"/>
          <w:b w:val="0"/>
          <w:bCs/>
          <w:sz w:val="24"/>
          <w:szCs w:val="24"/>
          <w:lang w:val="en-IN"/>
        </w:rPr>
        <w:t xml:space="preserve">The results obtained indicate that all significant functional modules successfully cleared the projects black-box verification. These findings confirm that the system </w:t>
      </w:r>
      <w:proofErr w:type="spellStart"/>
      <w:r w:rsidRPr="009D0247">
        <w:rPr>
          <w:rFonts w:asciiTheme="majorBidi" w:hAnsiTheme="majorBidi" w:cstheme="majorBidi"/>
          <w:b w:val="0"/>
          <w:bCs/>
          <w:sz w:val="24"/>
          <w:szCs w:val="24"/>
          <w:lang w:val="en-IN"/>
        </w:rPr>
        <w:t>fulfills</w:t>
      </w:r>
      <w:proofErr w:type="spellEnd"/>
      <w:r w:rsidRPr="009D0247">
        <w:rPr>
          <w:rFonts w:asciiTheme="majorBidi" w:hAnsiTheme="majorBidi" w:cstheme="majorBidi"/>
          <w:b w:val="0"/>
          <w:bCs/>
          <w:sz w:val="24"/>
          <w:szCs w:val="24"/>
          <w:lang w:val="en-IN"/>
        </w:rPr>
        <w:t xml:space="preserve"> the outlined project requirements under the demonstration conditions. These findings do not demonstrate clinical efficacy or performance at full-scale production. Response time, user count, notification delay, match effectiveness, inventory waste, and user satisfaction figures were not provided. Furthermore, the system was not evaluated in a hospital or blood bank environment.</w:t>
      </w:r>
    </w:p>
    <w:p w14:paraId="4073248D" w14:textId="2481D72A" w:rsidR="00544F3B" w:rsidRPr="00FE33AB" w:rsidRDefault="0012217E" w:rsidP="007023C6">
      <w:pPr>
        <w:pStyle w:val="IEEESection"/>
        <w:keepNext/>
        <w:spacing w:after="60" w:line="360" w:lineRule="auto"/>
        <w:jc w:val="both"/>
        <w:rPr>
          <w:rFonts w:asciiTheme="majorBidi" w:hAnsiTheme="majorBidi" w:cstheme="majorBidi"/>
          <w:sz w:val="24"/>
          <w:szCs w:val="24"/>
        </w:rPr>
      </w:pPr>
      <w:r w:rsidRPr="00FE33AB">
        <w:rPr>
          <w:rFonts w:asciiTheme="majorBidi" w:hAnsiTheme="majorBidi" w:cstheme="majorBidi"/>
          <w:sz w:val="24"/>
          <w:szCs w:val="24"/>
        </w:rPr>
        <w:t>VI. DISCUSSION</w:t>
      </w:r>
    </w:p>
    <w:p w14:paraId="65216918" w14:textId="77777777" w:rsidR="00FA3207" w:rsidRDefault="00FA3207" w:rsidP="00FA3207">
      <w:pPr>
        <w:pStyle w:val="IEEESection"/>
        <w:keepNext/>
        <w:spacing w:after="60" w:line="360" w:lineRule="auto"/>
        <w:jc w:val="both"/>
        <w:rPr>
          <w:rFonts w:asciiTheme="majorBidi" w:hAnsiTheme="majorBidi" w:cstheme="majorBidi"/>
          <w:b w:val="0"/>
          <w:sz w:val="24"/>
          <w:szCs w:val="24"/>
          <w:lang w:val="en-IN"/>
        </w:rPr>
      </w:pPr>
      <w:r w:rsidRPr="00FA3207">
        <w:rPr>
          <w:rFonts w:asciiTheme="majorBidi" w:hAnsiTheme="majorBidi" w:cstheme="majorBidi"/>
          <w:b w:val="0"/>
          <w:sz w:val="24"/>
          <w:szCs w:val="24"/>
          <w:lang w:val="en-IN"/>
        </w:rPr>
        <w:t xml:space="preserve">The BDMS we developed demonstrates that it can integrate donor, recipient, request, and inventory data within a web-based framework. This addresses an issue for employees: they can utilize a single common data </w:t>
      </w:r>
      <w:r w:rsidRPr="00FA3207">
        <w:rPr>
          <w:rFonts w:asciiTheme="majorBidi" w:hAnsiTheme="majorBidi" w:cstheme="majorBidi"/>
          <w:b w:val="0"/>
          <w:sz w:val="24"/>
          <w:szCs w:val="24"/>
          <w:lang w:val="en-IN"/>
        </w:rPr>
        <w:lastRenderedPageBreak/>
        <w:t>repository rather than maintaining individual paper records. The design aligns with numerous studies indicating that improved information management benefits blood services. It remains much more straightforward than optimization or AI systems [7,8].</w:t>
      </w:r>
    </w:p>
    <w:p w14:paraId="10DAD848" w14:textId="03FEE846" w:rsidR="00FA3207" w:rsidRPr="00FA3207" w:rsidRDefault="00FA3207" w:rsidP="00FA3207">
      <w:pPr>
        <w:pStyle w:val="IEEESection"/>
        <w:keepNext/>
        <w:spacing w:after="60" w:line="360" w:lineRule="auto"/>
        <w:jc w:val="both"/>
        <w:rPr>
          <w:rFonts w:asciiTheme="majorBidi" w:hAnsiTheme="majorBidi" w:cstheme="majorBidi"/>
          <w:b w:val="0"/>
          <w:sz w:val="24"/>
          <w:szCs w:val="24"/>
          <w:lang w:val="en-IN"/>
        </w:rPr>
      </w:pPr>
      <w:r w:rsidRPr="00FA3207">
        <w:rPr>
          <w:rFonts w:asciiTheme="majorBidi" w:hAnsiTheme="majorBidi" w:cstheme="majorBidi"/>
          <w:b w:val="0"/>
          <w:sz w:val="24"/>
          <w:szCs w:val="24"/>
          <w:lang w:val="en-IN"/>
        </w:rPr>
        <w:br/>
        <w:t xml:space="preserve">A key component of the design links donation records to inventory. This creates a record: when inventory increases, it corresponds to a logged donation, and when inventory decreases, it relates to an outgoing transaction. Traceability is important since blood is stock; decisions must consider availability in relation to waste [5,6]. The existing model has not yet recorded expiry at the component level. Apply a First </w:t>
      </w:r>
      <w:proofErr w:type="gramStart"/>
      <w:r w:rsidRPr="00FA3207">
        <w:rPr>
          <w:rFonts w:asciiTheme="majorBidi" w:hAnsiTheme="majorBidi" w:cstheme="majorBidi"/>
          <w:b w:val="0"/>
          <w:sz w:val="24"/>
          <w:szCs w:val="24"/>
          <w:lang w:val="en-IN"/>
        </w:rPr>
        <w:t>In</w:t>
      </w:r>
      <w:proofErr w:type="gramEnd"/>
      <w:r w:rsidRPr="00FA3207">
        <w:rPr>
          <w:rFonts w:asciiTheme="majorBidi" w:hAnsiTheme="majorBidi" w:cstheme="majorBidi"/>
          <w:b w:val="0"/>
          <w:sz w:val="24"/>
          <w:szCs w:val="24"/>
          <w:lang w:val="en-IN"/>
        </w:rPr>
        <w:t xml:space="preserve"> First Out/First Expire First Out approach so that those features need to be incorporated prior to the BDMS being utilized in an actual blood bank.</w:t>
      </w:r>
    </w:p>
    <w:p w14:paraId="6D3B7927" w14:textId="77777777" w:rsidR="00A66978" w:rsidRDefault="00A66978" w:rsidP="00A66978">
      <w:pPr>
        <w:pStyle w:val="IEEESection"/>
        <w:keepNext/>
        <w:spacing w:after="60" w:line="360" w:lineRule="auto"/>
        <w:jc w:val="both"/>
        <w:rPr>
          <w:rFonts w:asciiTheme="majorBidi" w:hAnsiTheme="majorBidi" w:cstheme="majorBidi"/>
          <w:b w:val="0"/>
          <w:sz w:val="24"/>
          <w:szCs w:val="24"/>
          <w:lang w:val="en-IN"/>
        </w:rPr>
      </w:pPr>
      <w:r w:rsidRPr="00A66978">
        <w:rPr>
          <w:rFonts w:asciiTheme="majorBidi" w:hAnsiTheme="majorBidi" w:cstheme="majorBidi"/>
          <w:b w:val="0"/>
          <w:sz w:val="24"/>
          <w:szCs w:val="24"/>
          <w:lang w:val="en-IN"/>
        </w:rPr>
        <w:t xml:space="preserve">The donor management aspect also lays the groundwork for methods to involve donors. Research on donor </w:t>
      </w:r>
      <w:proofErr w:type="spellStart"/>
      <w:r w:rsidRPr="00A66978">
        <w:rPr>
          <w:rFonts w:asciiTheme="majorBidi" w:hAnsiTheme="majorBidi" w:cstheme="majorBidi"/>
          <w:b w:val="0"/>
          <w:sz w:val="24"/>
          <w:szCs w:val="24"/>
          <w:lang w:val="en-IN"/>
        </w:rPr>
        <w:t>behavior</w:t>
      </w:r>
      <w:proofErr w:type="spellEnd"/>
      <w:r w:rsidRPr="00A66978">
        <w:rPr>
          <w:rFonts w:asciiTheme="majorBidi" w:hAnsiTheme="majorBidi" w:cstheme="majorBidi"/>
          <w:b w:val="0"/>
          <w:sz w:val="24"/>
          <w:szCs w:val="24"/>
          <w:lang w:val="en-IN"/>
        </w:rPr>
        <w:t xml:space="preserve"> indicates that convenience, prosocial motivation, self-efficacy, communication, and service experience influence donation patterns [9,10]. Subsequent iterations of the BDMS may dispatch consent-based SMS or email notifications to remind donors of their eligibility, provide customized messages, and conduct community initiatives. These attributes need to be designed thoughtfully because studies also raise concerns regarding privacy and excessive messaging.</w:t>
      </w:r>
    </w:p>
    <w:p w14:paraId="242110A8" w14:textId="1A4892FB" w:rsidR="00A66978" w:rsidRPr="00A66978" w:rsidRDefault="00A66978" w:rsidP="00A66978">
      <w:pPr>
        <w:pStyle w:val="IEEESection"/>
        <w:keepNext/>
        <w:spacing w:after="60" w:line="360" w:lineRule="auto"/>
        <w:jc w:val="both"/>
        <w:rPr>
          <w:rFonts w:asciiTheme="majorBidi" w:hAnsiTheme="majorBidi" w:cstheme="majorBidi"/>
          <w:b w:val="0"/>
          <w:sz w:val="24"/>
          <w:szCs w:val="24"/>
          <w:lang w:val="en-IN"/>
        </w:rPr>
      </w:pPr>
      <w:r w:rsidRPr="00A66978">
        <w:rPr>
          <w:rFonts w:asciiTheme="majorBidi" w:hAnsiTheme="majorBidi" w:cstheme="majorBidi"/>
          <w:b w:val="0"/>
          <w:sz w:val="24"/>
          <w:szCs w:val="24"/>
          <w:lang w:val="en-IN"/>
        </w:rPr>
        <w:br/>
        <w:t xml:space="preserve">From a research perspective, the primary limitation lies in the manner in which the evaluation was conducted. The present research demonstrates that the BDMS is effective. It doesn’t assess it in relation to a manual process or an alternative digital system. Therefore, discussions about efficiency, quicker emergency responses, or reduced waste are merely potential benefits, not established ones. Future research ought to assess request processing times, availability confirmation durations, data entry errors, inventory precision, </w:t>
      </w:r>
      <w:proofErr w:type="spellStart"/>
      <w:r w:rsidRPr="00A66978">
        <w:rPr>
          <w:rFonts w:asciiTheme="majorBidi" w:hAnsiTheme="majorBidi" w:cstheme="majorBidi"/>
          <w:b w:val="0"/>
          <w:sz w:val="24"/>
          <w:szCs w:val="24"/>
          <w:lang w:val="en-IN"/>
        </w:rPr>
        <w:lastRenderedPageBreak/>
        <w:t>fulfillment</w:t>
      </w:r>
      <w:proofErr w:type="spellEnd"/>
      <w:r w:rsidRPr="00A66978">
        <w:rPr>
          <w:rFonts w:asciiTheme="majorBidi" w:hAnsiTheme="majorBidi" w:cstheme="majorBidi"/>
          <w:b w:val="0"/>
          <w:sz w:val="24"/>
          <w:szCs w:val="24"/>
          <w:lang w:val="en-IN"/>
        </w:rPr>
        <w:t xml:space="preserve"> times for requests, frequency of stock shortages, waste due to expiry, system response times, and user satisfaction levels.</w:t>
      </w:r>
    </w:p>
    <w:p w14:paraId="06C2718F" w14:textId="77777777" w:rsidR="00544F3B" w:rsidRPr="00FE33AB" w:rsidRDefault="0012217E" w:rsidP="00FE33AB">
      <w:pPr>
        <w:pStyle w:val="IEEESection"/>
        <w:keepNext/>
        <w:spacing w:after="60" w:line="360" w:lineRule="auto"/>
        <w:jc w:val="both"/>
        <w:rPr>
          <w:rFonts w:asciiTheme="majorBidi" w:hAnsiTheme="majorBidi" w:cstheme="majorBidi"/>
          <w:sz w:val="24"/>
          <w:szCs w:val="24"/>
        </w:rPr>
      </w:pPr>
      <w:r w:rsidRPr="00FE33AB">
        <w:rPr>
          <w:rFonts w:asciiTheme="majorBidi" w:hAnsiTheme="majorBidi" w:cstheme="majorBidi"/>
          <w:sz w:val="24"/>
          <w:szCs w:val="24"/>
        </w:rPr>
        <w:t>VII. LIMITATIONS</w:t>
      </w:r>
    </w:p>
    <w:p w14:paraId="0F100EF4" w14:textId="2C9D83E6" w:rsidR="007C754C" w:rsidRPr="000C681B" w:rsidRDefault="007C754C" w:rsidP="000C681B">
      <w:pPr>
        <w:pStyle w:val="IEEESection"/>
        <w:keepNext/>
        <w:numPr>
          <w:ilvl w:val="0"/>
          <w:numId w:val="15"/>
        </w:numPr>
        <w:spacing w:after="60" w:line="360" w:lineRule="auto"/>
        <w:jc w:val="both"/>
        <w:rPr>
          <w:rFonts w:asciiTheme="majorBidi" w:hAnsiTheme="majorBidi" w:cstheme="majorBidi"/>
          <w:b w:val="0"/>
          <w:bCs/>
          <w:sz w:val="24"/>
          <w:szCs w:val="24"/>
          <w:lang w:val="en-IN"/>
        </w:rPr>
      </w:pPr>
      <w:r w:rsidRPr="000C681B">
        <w:rPr>
          <w:rFonts w:asciiTheme="majorBidi" w:hAnsiTheme="majorBidi" w:cstheme="majorBidi"/>
          <w:b w:val="0"/>
          <w:bCs/>
          <w:sz w:val="24"/>
          <w:szCs w:val="24"/>
          <w:lang w:val="en-IN"/>
        </w:rPr>
        <w:t>Evaluation is limited to black</w:t>
      </w:r>
      <w:r w:rsidRPr="000C681B">
        <w:rPr>
          <w:rFonts w:asciiTheme="majorBidi" w:hAnsiTheme="majorBidi" w:cstheme="majorBidi"/>
          <w:b w:val="0"/>
          <w:bCs/>
          <w:sz w:val="24"/>
          <w:szCs w:val="24"/>
          <w:lang w:val="en-IN"/>
        </w:rPr>
        <w:noBreakHyphen/>
        <w:t>box testing done in a demo or local server setup.</w:t>
      </w:r>
    </w:p>
    <w:p w14:paraId="761A4EA7" w14:textId="13803557" w:rsidR="007C754C" w:rsidRPr="000C681B" w:rsidRDefault="007C754C" w:rsidP="000C681B">
      <w:pPr>
        <w:pStyle w:val="IEEESection"/>
        <w:keepNext/>
        <w:numPr>
          <w:ilvl w:val="0"/>
          <w:numId w:val="15"/>
        </w:numPr>
        <w:spacing w:after="60" w:line="360" w:lineRule="auto"/>
        <w:jc w:val="both"/>
        <w:rPr>
          <w:rFonts w:asciiTheme="majorBidi" w:hAnsiTheme="majorBidi" w:cstheme="majorBidi"/>
          <w:b w:val="0"/>
          <w:bCs/>
          <w:sz w:val="24"/>
          <w:szCs w:val="24"/>
          <w:lang w:val="en-IN"/>
        </w:rPr>
      </w:pPr>
      <w:r w:rsidRPr="000C681B">
        <w:rPr>
          <w:rFonts w:asciiTheme="majorBidi" w:hAnsiTheme="majorBidi" w:cstheme="majorBidi"/>
          <w:b w:val="0"/>
          <w:bCs/>
          <w:sz w:val="24"/>
          <w:szCs w:val="24"/>
          <w:lang w:val="en-IN"/>
        </w:rPr>
        <w:t xml:space="preserve">No field deployment with </w:t>
      </w:r>
      <w:proofErr w:type="gramStart"/>
      <w:r w:rsidRPr="000C681B">
        <w:rPr>
          <w:rFonts w:asciiTheme="majorBidi" w:hAnsiTheme="majorBidi" w:cstheme="majorBidi"/>
          <w:b w:val="0"/>
          <w:bCs/>
          <w:sz w:val="24"/>
          <w:szCs w:val="24"/>
          <w:lang w:val="en-IN"/>
        </w:rPr>
        <w:t>donors</w:t>
      </w:r>
      <w:proofErr w:type="gramEnd"/>
      <w:r w:rsidRPr="000C681B">
        <w:rPr>
          <w:rFonts w:asciiTheme="majorBidi" w:hAnsiTheme="majorBidi" w:cstheme="majorBidi"/>
          <w:b w:val="0"/>
          <w:bCs/>
          <w:sz w:val="24"/>
          <w:szCs w:val="24"/>
          <w:lang w:val="en-IN"/>
        </w:rPr>
        <w:t xml:space="preserve"> real recipients, hospitals or blood banks has been reported.</w:t>
      </w:r>
    </w:p>
    <w:p w14:paraId="6A484D5C" w14:textId="388B1310" w:rsidR="007C754C" w:rsidRPr="000C681B" w:rsidRDefault="007C754C" w:rsidP="000C681B">
      <w:pPr>
        <w:pStyle w:val="IEEESection"/>
        <w:keepNext/>
        <w:numPr>
          <w:ilvl w:val="0"/>
          <w:numId w:val="15"/>
        </w:numPr>
        <w:spacing w:after="60" w:line="360" w:lineRule="auto"/>
        <w:jc w:val="both"/>
        <w:rPr>
          <w:rFonts w:asciiTheme="majorBidi" w:hAnsiTheme="majorBidi" w:cstheme="majorBidi"/>
          <w:b w:val="0"/>
          <w:bCs/>
          <w:sz w:val="24"/>
          <w:szCs w:val="24"/>
          <w:lang w:val="en-IN"/>
        </w:rPr>
      </w:pPr>
      <w:r w:rsidRPr="000C681B">
        <w:rPr>
          <w:rFonts w:asciiTheme="majorBidi" w:hAnsiTheme="majorBidi" w:cstheme="majorBidi"/>
          <w:b w:val="0"/>
          <w:bCs/>
          <w:sz w:val="24"/>
          <w:szCs w:val="24"/>
          <w:lang w:val="en-IN"/>
        </w:rPr>
        <w:t>No quantitative comparison between the system and manual record keeping has been done.</w:t>
      </w:r>
    </w:p>
    <w:p w14:paraId="72CCA374" w14:textId="4A671917" w:rsidR="007C754C" w:rsidRPr="000C681B" w:rsidRDefault="007C754C" w:rsidP="000C681B">
      <w:pPr>
        <w:pStyle w:val="IEEESection"/>
        <w:keepNext/>
        <w:numPr>
          <w:ilvl w:val="0"/>
          <w:numId w:val="15"/>
        </w:numPr>
        <w:spacing w:after="60" w:line="360" w:lineRule="auto"/>
        <w:jc w:val="both"/>
        <w:rPr>
          <w:rFonts w:asciiTheme="majorBidi" w:hAnsiTheme="majorBidi" w:cstheme="majorBidi"/>
          <w:b w:val="0"/>
          <w:bCs/>
          <w:sz w:val="24"/>
          <w:szCs w:val="24"/>
          <w:lang w:val="en-IN"/>
        </w:rPr>
      </w:pPr>
      <w:r w:rsidRPr="000C681B">
        <w:rPr>
          <w:rFonts w:asciiTheme="majorBidi" w:hAnsiTheme="majorBidi" w:cstheme="majorBidi"/>
          <w:b w:val="0"/>
          <w:bCs/>
          <w:sz w:val="24"/>
          <w:szCs w:val="24"/>
          <w:lang w:val="en-IN"/>
        </w:rPr>
        <w:t>The current system does not use geolocation to match donors or send automated SMS or email notifications.</w:t>
      </w:r>
    </w:p>
    <w:p w14:paraId="2FA77B99" w14:textId="77777777" w:rsidR="007C754C" w:rsidRPr="000C681B" w:rsidRDefault="007C754C" w:rsidP="000C681B">
      <w:pPr>
        <w:pStyle w:val="IEEESection"/>
        <w:keepNext/>
        <w:spacing w:after="60" w:line="360" w:lineRule="auto"/>
        <w:jc w:val="both"/>
        <w:rPr>
          <w:rFonts w:asciiTheme="majorBidi" w:hAnsiTheme="majorBidi" w:cstheme="majorBidi"/>
          <w:b w:val="0"/>
          <w:bCs/>
          <w:sz w:val="24"/>
          <w:szCs w:val="24"/>
          <w:lang w:val="en-IN"/>
        </w:rPr>
      </w:pPr>
      <w:r w:rsidRPr="000C681B">
        <w:rPr>
          <w:rFonts w:asciiTheme="majorBidi" w:hAnsiTheme="majorBidi" w:cstheme="majorBidi"/>
          <w:b w:val="0"/>
          <w:bCs/>
          <w:sz w:val="24"/>
          <w:szCs w:val="24"/>
          <w:lang w:val="en-IN"/>
        </w:rPr>
        <w:t>Clinical blood</w:t>
      </w:r>
      <w:r w:rsidRPr="000C681B">
        <w:rPr>
          <w:rFonts w:asciiTheme="majorBidi" w:hAnsiTheme="majorBidi" w:cstheme="majorBidi"/>
          <w:b w:val="0"/>
          <w:bCs/>
          <w:sz w:val="24"/>
          <w:szCs w:val="24"/>
          <w:lang w:val="en-IN"/>
        </w:rPr>
        <w:noBreakHyphen/>
        <w:t>bank functions, like laboratory screening, cross</w:t>
      </w:r>
      <w:r w:rsidRPr="000C681B">
        <w:rPr>
          <w:rFonts w:asciiTheme="majorBidi" w:hAnsiTheme="majorBidi" w:cstheme="majorBidi"/>
          <w:b w:val="0"/>
          <w:bCs/>
          <w:sz w:val="24"/>
          <w:szCs w:val="24"/>
          <w:lang w:val="en-IN"/>
        </w:rPr>
        <w:noBreakHyphen/>
        <w:t>matching, component expiry management, transfusion verification and regulatory workflows are not covered in this report.</w:t>
      </w:r>
    </w:p>
    <w:p w14:paraId="473D6A22" w14:textId="77777777" w:rsidR="007C754C" w:rsidRPr="000C681B" w:rsidRDefault="007C754C" w:rsidP="000C681B">
      <w:pPr>
        <w:pStyle w:val="IEEESection"/>
        <w:keepNext/>
        <w:spacing w:after="60" w:line="360" w:lineRule="auto"/>
        <w:jc w:val="both"/>
        <w:rPr>
          <w:rFonts w:asciiTheme="majorBidi" w:hAnsiTheme="majorBidi" w:cstheme="majorBidi"/>
          <w:b w:val="0"/>
          <w:bCs/>
          <w:sz w:val="24"/>
          <w:szCs w:val="24"/>
          <w:lang w:val="en-IN"/>
        </w:rPr>
      </w:pPr>
      <w:r w:rsidRPr="000C681B">
        <w:rPr>
          <w:rFonts w:asciiTheme="majorBidi" w:hAnsiTheme="majorBidi" w:cstheme="majorBidi"/>
          <w:b w:val="0"/>
          <w:bCs/>
          <w:sz w:val="24"/>
          <w:szCs w:val="24"/>
          <w:lang w:val="en-IN"/>
        </w:rPr>
        <w:t>Security has been considered at the authentication level but no formal security assessment, penetration test, privacy impact assessment or compliance audit has been reported.</w:t>
      </w:r>
    </w:p>
    <w:p w14:paraId="7804922F" w14:textId="77777777" w:rsidR="00544F3B" w:rsidRPr="00FE33AB" w:rsidRDefault="0012217E" w:rsidP="00FE33AB">
      <w:pPr>
        <w:pStyle w:val="IEEESection"/>
        <w:keepNext/>
        <w:spacing w:after="60" w:line="360" w:lineRule="auto"/>
        <w:jc w:val="both"/>
        <w:rPr>
          <w:rFonts w:asciiTheme="majorBidi" w:hAnsiTheme="majorBidi" w:cstheme="majorBidi"/>
          <w:sz w:val="24"/>
          <w:szCs w:val="24"/>
        </w:rPr>
      </w:pPr>
      <w:r w:rsidRPr="00FE33AB">
        <w:rPr>
          <w:rFonts w:asciiTheme="majorBidi" w:hAnsiTheme="majorBidi" w:cstheme="majorBidi"/>
          <w:sz w:val="24"/>
          <w:szCs w:val="24"/>
        </w:rPr>
        <w:t>VIII. FUTURE SCOPE</w:t>
      </w:r>
    </w:p>
    <w:p w14:paraId="4E3E2D1A" w14:textId="77777777" w:rsidR="009F62CB" w:rsidRPr="009F62CB" w:rsidRDefault="009F62CB" w:rsidP="009F62CB">
      <w:pPr>
        <w:pStyle w:val="IEEESection"/>
        <w:keepNext/>
        <w:spacing w:after="60" w:line="360" w:lineRule="auto"/>
        <w:jc w:val="both"/>
        <w:rPr>
          <w:rFonts w:asciiTheme="majorBidi" w:hAnsiTheme="majorBidi" w:cstheme="majorBidi"/>
          <w:b w:val="0"/>
          <w:sz w:val="24"/>
          <w:szCs w:val="24"/>
          <w:lang w:val="en-IN"/>
        </w:rPr>
      </w:pPr>
      <w:r w:rsidRPr="009F62CB">
        <w:rPr>
          <w:rFonts w:asciiTheme="majorBidi" w:hAnsiTheme="majorBidi" w:cstheme="majorBidi"/>
          <w:b w:val="0"/>
          <w:sz w:val="24"/>
          <w:szCs w:val="24"/>
          <w:lang w:val="en-IN"/>
        </w:rPr>
        <w:t>Future progress should be executed gradually. Initially, the application may feature consent-driven SMS or email notifications, mobile accessibility for donors, and a location-based search functionality. Subsequently, the system can link to hospital and blood-bank systems through APIs and regulated data sharing. Historical data can aid in forecasting demand by identifying potential shortages and comprehending ways to maintain donor engagement. Finally, improved methods for managing inventory can include considerations for the type of blood components, their shelf life, demand, and transferring blood between various locations.</w:t>
      </w:r>
    </w:p>
    <w:p w14:paraId="2E158B89" w14:textId="34D0EDC3" w:rsidR="009F62CB" w:rsidRPr="009F62CB" w:rsidRDefault="009F62CB" w:rsidP="009F62CB">
      <w:pPr>
        <w:pStyle w:val="IEEESection"/>
        <w:keepNext/>
        <w:spacing w:after="60" w:line="360" w:lineRule="auto"/>
        <w:jc w:val="both"/>
        <w:rPr>
          <w:rFonts w:asciiTheme="majorBidi" w:hAnsiTheme="majorBidi" w:cstheme="majorBidi"/>
          <w:b w:val="0"/>
          <w:sz w:val="24"/>
          <w:szCs w:val="24"/>
          <w:lang w:val="en-IN"/>
        </w:rPr>
      </w:pPr>
      <w:r w:rsidRPr="009F62CB">
        <w:rPr>
          <w:rFonts w:asciiTheme="majorBidi" w:hAnsiTheme="majorBidi" w:cstheme="majorBidi"/>
          <w:b w:val="0"/>
          <w:sz w:val="24"/>
          <w:szCs w:val="24"/>
          <w:lang w:val="en-IN"/>
        </w:rPr>
        <w:br/>
        <w:t>Predictive analytics proves valuable as the system gathers information on factors such as blood type requirements, donations, and usage levels. Features of machine learning should be implemented only when there is sufficient high-quality data and the system has been adequately tested. Future studies ought to disclose findings, such as the accuracy of predictions, the speed of match-making, the promptness of alerts, the frequency of filled orders, the extent of waste reduction, the instances of blood shortages, and user satisfaction levels.</w:t>
      </w:r>
    </w:p>
    <w:p w14:paraId="17455F8A" w14:textId="77777777" w:rsidR="00544F3B" w:rsidRPr="00FE33AB" w:rsidRDefault="0012217E" w:rsidP="00FE33AB">
      <w:pPr>
        <w:pStyle w:val="IEEESection"/>
        <w:keepNext/>
        <w:spacing w:after="60" w:line="360" w:lineRule="auto"/>
        <w:jc w:val="both"/>
        <w:rPr>
          <w:rFonts w:asciiTheme="majorBidi" w:hAnsiTheme="majorBidi" w:cstheme="majorBidi"/>
          <w:sz w:val="24"/>
          <w:szCs w:val="24"/>
        </w:rPr>
      </w:pPr>
      <w:r w:rsidRPr="00FE33AB">
        <w:rPr>
          <w:rFonts w:asciiTheme="majorBidi" w:hAnsiTheme="majorBidi" w:cstheme="majorBidi"/>
          <w:sz w:val="24"/>
          <w:szCs w:val="24"/>
        </w:rPr>
        <w:t>IX. CONCLUSION</w:t>
      </w:r>
    </w:p>
    <w:p w14:paraId="7AEA3BAE" w14:textId="77777777" w:rsidR="00A16FE0" w:rsidRDefault="00A16FE0" w:rsidP="00A16FE0">
      <w:pPr>
        <w:pStyle w:val="IEEESection"/>
        <w:keepNext/>
        <w:spacing w:after="60" w:line="360" w:lineRule="auto"/>
        <w:jc w:val="both"/>
        <w:rPr>
          <w:rFonts w:asciiTheme="majorBidi" w:hAnsiTheme="majorBidi" w:cstheme="majorBidi"/>
          <w:b w:val="0"/>
          <w:bCs/>
          <w:sz w:val="24"/>
          <w:szCs w:val="24"/>
          <w:lang w:val="en-IN"/>
        </w:rPr>
      </w:pPr>
      <w:r w:rsidRPr="00A16FE0">
        <w:rPr>
          <w:rFonts w:asciiTheme="majorBidi" w:hAnsiTheme="majorBidi" w:cstheme="majorBidi"/>
          <w:b w:val="0"/>
          <w:bCs/>
          <w:sz w:val="24"/>
          <w:szCs w:val="24"/>
          <w:lang w:val="en-IN"/>
        </w:rPr>
        <w:t xml:space="preserve">This document demonstrates the creation of a Blood Donation Management System that integrates donor records, recipient requests, blood inventory, previous donations, admin access, and reports. The Blood </w:t>
      </w:r>
      <w:r w:rsidRPr="00A16FE0">
        <w:rPr>
          <w:rFonts w:asciiTheme="majorBidi" w:hAnsiTheme="majorBidi" w:cstheme="majorBidi"/>
          <w:b w:val="0"/>
          <w:bCs/>
          <w:sz w:val="24"/>
          <w:szCs w:val="24"/>
          <w:lang w:val="en-IN"/>
        </w:rPr>
        <w:lastRenderedPageBreak/>
        <w:t>Donation Management System was developed using PHP, MySQL, and Bootstrap. Adhered to a Waterfall design strategy. During our black box testing of the features, the Blood Donation Management System performed effectively in our testing environment. The Blood Donation Management System provides a foundation to transform faulty paper lists into a digital system and establishes a data strategy that can subsequently aid in analysis and facilitate data sharing with other tools. We distinctly differentiate between demonstrating that the Blood Donation Management System is functional and indicating that it actually benefits hospitals or clinics. Prior to implementing the Blood Donation Management System, we need to evaluate its security, privacy, usability, capacity, and specific regulations, followed by a thorough field test. The subsequent vital step is to assess the Blood Donation Management System in conjunction with blood banks or hospitals and to incorporate functionalities such as permission-based notifications, location tracking, forecasting, inventory that monitors expiration dates, and data sharing that is compatible across platforms.</w:t>
      </w:r>
    </w:p>
    <w:p w14:paraId="294DC3FA" w14:textId="77777777" w:rsidR="00E70F01" w:rsidRDefault="00E70F01" w:rsidP="00A16FE0">
      <w:pPr>
        <w:pStyle w:val="IEEESection"/>
        <w:keepNext/>
        <w:spacing w:after="60" w:line="360" w:lineRule="auto"/>
        <w:jc w:val="both"/>
        <w:rPr>
          <w:rFonts w:asciiTheme="majorBidi" w:hAnsiTheme="majorBidi" w:cstheme="majorBidi"/>
          <w:b w:val="0"/>
          <w:bCs/>
          <w:sz w:val="24"/>
          <w:szCs w:val="24"/>
          <w:lang w:val="en-IN"/>
        </w:rPr>
      </w:pPr>
    </w:p>
    <w:p w14:paraId="7B1C2387" w14:textId="77777777" w:rsidR="00E70F01" w:rsidRPr="00E70F01" w:rsidRDefault="00E70F01" w:rsidP="00E70F01">
      <w:pPr>
        <w:spacing w:after="0" w:line="240" w:lineRule="auto"/>
        <w:rPr>
          <w:rFonts w:ascii="Arial" w:eastAsia="Calibri" w:hAnsi="Arial" w:cs="Arial"/>
          <w:b/>
          <w:szCs w:val="20"/>
        </w:rPr>
      </w:pPr>
      <w:bookmarkStart w:id="0" w:name="_Hlk238550938"/>
      <w:bookmarkStart w:id="1" w:name="_Hlk237856463"/>
      <w:r w:rsidRPr="00E70F01">
        <w:rPr>
          <w:rFonts w:ascii="Arial" w:eastAsia="Calibri" w:hAnsi="Arial" w:cs="Arial"/>
          <w:b/>
          <w:szCs w:val="20"/>
        </w:rPr>
        <w:t>Declaration of AI Use</w:t>
      </w:r>
    </w:p>
    <w:p w14:paraId="018BEB0E" w14:textId="77777777" w:rsidR="00E70F01" w:rsidRPr="00E70F01" w:rsidRDefault="00E70F01" w:rsidP="00E70F01">
      <w:pPr>
        <w:spacing w:after="0" w:line="240" w:lineRule="auto"/>
        <w:rPr>
          <w:rFonts w:ascii="Arial" w:eastAsia="Calibri" w:hAnsi="Arial" w:cs="Arial"/>
          <w:szCs w:val="20"/>
        </w:rPr>
      </w:pPr>
      <w:bookmarkStart w:id="2" w:name="_Hlk239068730"/>
    </w:p>
    <w:p w14:paraId="6FC5390C" w14:textId="77777777" w:rsidR="00E70F01" w:rsidRPr="00E70F01" w:rsidRDefault="00E70F01" w:rsidP="00E70F01">
      <w:pPr>
        <w:spacing w:after="0" w:line="240" w:lineRule="auto"/>
        <w:rPr>
          <w:rFonts w:ascii="Arial" w:eastAsia="Calibri" w:hAnsi="Arial" w:cs="Arial"/>
          <w:szCs w:val="20"/>
        </w:rPr>
      </w:pPr>
      <w:bookmarkStart w:id="3" w:name="_Hlk237862032"/>
      <w:r w:rsidRPr="00E70F01">
        <w:rPr>
          <w:rFonts w:ascii="Arial" w:eastAsia="Calibri" w:hAnsi="Arial" w:cs="Arial"/>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0"/>
      <w:r w:rsidRPr="00E70F01">
        <w:rPr>
          <w:rFonts w:ascii="Arial" w:eastAsia="Calibri" w:hAnsi="Arial" w:cs="Arial"/>
          <w:szCs w:val="20"/>
        </w:rPr>
        <w:t>.</w:t>
      </w:r>
    </w:p>
    <w:bookmarkEnd w:id="1"/>
    <w:bookmarkEnd w:id="2"/>
    <w:bookmarkEnd w:id="3"/>
    <w:p w14:paraId="481E9265" w14:textId="77777777" w:rsidR="00E70F01" w:rsidRPr="00A16FE0" w:rsidRDefault="00E70F01" w:rsidP="00A16FE0">
      <w:pPr>
        <w:pStyle w:val="IEEESection"/>
        <w:keepNext/>
        <w:spacing w:after="60" w:line="360" w:lineRule="auto"/>
        <w:jc w:val="both"/>
        <w:rPr>
          <w:rFonts w:asciiTheme="majorBidi" w:hAnsiTheme="majorBidi" w:cstheme="majorBidi"/>
          <w:b w:val="0"/>
          <w:bCs/>
          <w:sz w:val="24"/>
          <w:szCs w:val="24"/>
          <w:lang w:val="en-IN"/>
        </w:rPr>
      </w:pPr>
    </w:p>
    <w:p w14:paraId="51103241" w14:textId="70B32C2F" w:rsidR="00544F3B" w:rsidRPr="00FE33AB" w:rsidRDefault="0012217E" w:rsidP="000C681B">
      <w:pPr>
        <w:pStyle w:val="IEEESection"/>
        <w:keepNext/>
        <w:spacing w:after="60" w:line="360" w:lineRule="auto"/>
        <w:jc w:val="both"/>
        <w:rPr>
          <w:rFonts w:asciiTheme="majorBidi" w:hAnsiTheme="majorBidi" w:cstheme="majorBidi"/>
          <w:sz w:val="24"/>
          <w:szCs w:val="24"/>
        </w:rPr>
      </w:pPr>
      <w:r w:rsidRPr="00FE33AB">
        <w:rPr>
          <w:rFonts w:asciiTheme="majorBidi" w:hAnsiTheme="majorBidi" w:cstheme="majorBidi"/>
          <w:sz w:val="24"/>
          <w:szCs w:val="24"/>
        </w:rPr>
        <w:t>REFERENCES</w:t>
      </w:r>
    </w:p>
    <w:p w14:paraId="7564BBD4" w14:textId="77777777" w:rsidR="00544F3B" w:rsidRPr="00FE33AB" w:rsidRDefault="0012217E" w:rsidP="00FE33AB">
      <w:pPr>
        <w:pStyle w:val="IEEEReferences"/>
        <w:spacing w:after="20" w:line="360" w:lineRule="auto"/>
        <w:ind w:left="230" w:hanging="230"/>
        <w:jc w:val="both"/>
        <w:rPr>
          <w:rFonts w:asciiTheme="majorBidi" w:hAnsiTheme="majorBidi" w:cstheme="majorBidi"/>
          <w:sz w:val="24"/>
          <w:szCs w:val="24"/>
        </w:rPr>
      </w:pPr>
      <w:r w:rsidRPr="00FE33AB">
        <w:rPr>
          <w:rFonts w:asciiTheme="majorBidi" w:hAnsiTheme="majorBidi" w:cstheme="majorBidi"/>
          <w:sz w:val="24"/>
          <w:szCs w:val="24"/>
        </w:rPr>
        <w:t>[1] World Health Organization, Global Status Report on Blood Safety and Availability 2021. Geneva: WHO, 2022. ISBN 978-92-4-005168-3.</w:t>
      </w:r>
    </w:p>
    <w:p w14:paraId="3486BA83" w14:textId="77777777" w:rsidR="00544F3B" w:rsidRPr="00FE33AB" w:rsidRDefault="0012217E" w:rsidP="00FE33AB">
      <w:pPr>
        <w:pStyle w:val="IEEEReferences"/>
        <w:spacing w:after="20" w:line="360" w:lineRule="auto"/>
        <w:ind w:left="230" w:hanging="230"/>
        <w:jc w:val="both"/>
        <w:rPr>
          <w:rFonts w:asciiTheme="majorBidi" w:hAnsiTheme="majorBidi" w:cstheme="majorBidi"/>
          <w:sz w:val="24"/>
          <w:szCs w:val="24"/>
        </w:rPr>
      </w:pPr>
      <w:r w:rsidRPr="00FE33AB">
        <w:rPr>
          <w:rFonts w:asciiTheme="majorBidi" w:hAnsiTheme="majorBidi" w:cstheme="majorBidi"/>
          <w:sz w:val="24"/>
          <w:szCs w:val="24"/>
        </w:rPr>
        <w:t xml:space="preserve">[2] J. J. Mammen, E. S. </w:t>
      </w:r>
      <w:proofErr w:type="spellStart"/>
      <w:r w:rsidRPr="00FE33AB">
        <w:rPr>
          <w:rFonts w:asciiTheme="majorBidi" w:hAnsiTheme="majorBidi" w:cstheme="majorBidi"/>
          <w:sz w:val="24"/>
          <w:szCs w:val="24"/>
        </w:rPr>
        <w:t>Asirvatham</w:t>
      </w:r>
      <w:proofErr w:type="spellEnd"/>
      <w:r w:rsidRPr="00FE33AB">
        <w:rPr>
          <w:rFonts w:asciiTheme="majorBidi" w:hAnsiTheme="majorBidi" w:cstheme="majorBidi"/>
          <w:sz w:val="24"/>
          <w:szCs w:val="24"/>
        </w:rPr>
        <w:t xml:space="preserve">, J. Lakshmanan, C. J. Sarman, V. Ranjan, A. Pandey, B. Charles, S. D. </w:t>
      </w:r>
      <w:proofErr w:type="spellStart"/>
      <w:r w:rsidRPr="00FE33AB">
        <w:rPr>
          <w:rFonts w:asciiTheme="majorBidi" w:hAnsiTheme="majorBidi" w:cstheme="majorBidi"/>
          <w:sz w:val="24"/>
          <w:szCs w:val="24"/>
        </w:rPr>
        <w:t>Khaparde</w:t>
      </w:r>
      <w:proofErr w:type="spellEnd"/>
      <w:r w:rsidRPr="00FE33AB">
        <w:rPr>
          <w:rFonts w:asciiTheme="majorBidi" w:hAnsiTheme="majorBidi" w:cstheme="majorBidi"/>
          <w:sz w:val="24"/>
          <w:szCs w:val="24"/>
        </w:rPr>
        <w:t xml:space="preserve">, S. Upadhyaya, and S. Rajan, “The clinical demand and supply of blood in India: A national level estimation study,” PLOS ONE, vol. 17, no. 4, e0265951, 2022. </w:t>
      </w:r>
      <w:proofErr w:type="spellStart"/>
      <w:r w:rsidRPr="00FE33AB">
        <w:rPr>
          <w:rFonts w:asciiTheme="majorBidi" w:hAnsiTheme="majorBidi" w:cstheme="majorBidi"/>
          <w:sz w:val="24"/>
          <w:szCs w:val="24"/>
        </w:rPr>
        <w:t>doi</w:t>
      </w:r>
      <w:proofErr w:type="spellEnd"/>
      <w:r w:rsidRPr="00FE33AB">
        <w:rPr>
          <w:rFonts w:asciiTheme="majorBidi" w:hAnsiTheme="majorBidi" w:cstheme="majorBidi"/>
          <w:sz w:val="24"/>
          <w:szCs w:val="24"/>
        </w:rPr>
        <w:t>: 10.1371/journal.pone.0265951.</w:t>
      </w:r>
    </w:p>
    <w:p w14:paraId="2FAE0F3A" w14:textId="77777777" w:rsidR="00544F3B" w:rsidRPr="00FE33AB" w:rsidRDefault="0012217E" w:rsidP="00FE33AB">
      <w:pPr>
        <w:pStyle w:val="IEEEReferences"/>
        <w:spacing w:after="20" w:line="360" w:lineRule="auto"/>
        <w:ind w:left="230" w:hanging="230"/>
        <w:jc w:val="both"/>
        <w:rPr>
          <w:rFonts w:asciiTheme="majorBidi" w:hAnsiTheme="majorBidi" w:cstheme="majorBidi"/>
          <w:sz w:val="24"/>
          <w:szCs w:val="24"/>
        </w:rPr>
      </w:pPr>
      <w:r w:rsidRPr="00FE33AB">
        <w:rPr>
          <w:rFonts w:asciiTheme="majorBidi" w:hAnsiTheme="majorBidi" w:cstheme="majorBidi"/>
          <w:sz w:val="24"/>
          <w:szCs w:val="24"/>
        </w:rPr>
        <w:t xml:space="preserve">[3] E. S. </w:t>
      </w:r>
      <w:proofErr w:type="spellStart"/>
      <w:r w:rsidRPr="00FE33AB">
        <w:rPr>
          <w:rFonts w:asciiTheme="majorBidi" w:hAnsiTheme="majorBidi" w:cstheme="majorBidi"/>
          <w:sz w:val="24"/>
          <w:szCs w:val="24"/>
        </w:rPr>
        <w:t>Asirvatham</w:t>
      </w:r>
      <w:proofErr w:type="spellEnd"/>
      <w:r w:rsidRPr="00FE33AB">
        <w:rPr>
          <w:rFonts w:asciiTheme="majorBidi" w:hAnsiTheme="majorBidi" w:cstheme="majorBidi"/>
          <w:sz w:val="24"/>
          <w:szCs w:val="24"/>
        </w:rPr>
        <w:t xml:space="preserve">, J. J. Mammen, J. Lakshmanan, C. J. Sarman, B. Charles, S. Upadhyaya, and S. Rajan, “Assessment of Performance of Blood Banks in India: A National Level Cross Sectional Study,” Indian Journal of Hematology and Blood Transfusion, vol. 37, no. 4, pp. 640–647, 2021. </w:t>
      </w:r>
      <w:proofErr w:type="spellStart"/>
      <w:r w:rsidRPr="00FE33AB">
        <w:rPr>
          <w:rFonts w:asciiTheme="majorBidi" w:hAnsiTheme="majorBidi" w:cstheme="majorBidi"/>
          <w:sz w:val="24"/>
          <w:szCs w:val="24"/>
        </w:rPr>
        <w:t>doi</w:t>
      </w:r>
      <w:proofErr w:type="spellEnd"/>
      <w:r w:rsidRPr="00FE33AB">
        <w:rPr>
          <w:rFonts w:asciiTheme="majorBidi" w:hAnsiTheme="majorBidi" w:cstheme="majorBidi"/>
          <w:sz w:val="24"/>
          <w:szCs w:val="24"/>
        </w:rPr>
        <w:t>: 10.1007/s12288-021-01399-9.</w:t>
      </w:r>
    </w:p>
    <w:p w14:paraId="438B0387" w14:textId="77777777" w:rsidR="00544F3B" w:rsidRPr="00FE33AB" w:rsidRDefault="0012217E" w:rsidP="00FE33AB">
      <w:pPr>
        <w:pStyle w:val="IEEEReferences"/>
        <w:spacing w:after="20" w:line="360" w:lineRule="auto"/>
        <w:ind w:left="230" w:hanging="230"/>
        <w:jc w:val="both"/>
        <w:rPr>
          <w:rFonts w:asciiTheme="majorBidi" w:hAnsiTheme="majorBidi" w:cstheme="majorBidi"/>
          <w:sz w:val="24"/>
          <w:szCs w:val="24"/>
        </w:rPr>
      </w:pPr>
      <w:r w:rsidRPr="00FE33AB">
        <w:rPr>
          <w:rFonts w:asciiTheme="majorBidi" w:hAnsiTheme="majorBidi" w:cstheme="majorBidi"/>
          <w:sz w:val="24"/>
          <w:szCs w:val="24"/>
        </w:rPr>
        <w:t>[4] H. E. Jenny et al., “Defining blood deserts and access to blood products for 660 million people: a geospatial analysis of eight states in Northern India,” BMJ Global Health, 2024.</w:t>
      </w:r>
    </w:p>
    <w:p w14:paraId="47133B9E" w14:textId="77777777" w:rsidR="00544F3B" w:rsidRPr="00FE33AB" w:rsidRDefault="0012217E" w:rsidP="00FE33AB">
      <w:pPr>
        <w:pStyle w:val="IEEEReferences"/>
        <w:spacing w:after="20" w:line="360" w:lineRule="auto"/>
        <w:ind w:left="230" w:hanging="230"/>
        <w:jc w:val="both"/>
        <w:rPr>
          <w:rFonts w:asciiTheme="majorBidi" w:hAnsiTheme="majorBidi" w:cstheme="majorBidi"/>
          <w:sz w:val="24"/>
          <w:szCs w:val="24"/>
        </w:rPr>
      </w:pPr>
      <w:r w:rsidRPr="00FE33AB">
        <w:rPr>
          <w:rFonts w:asciiTheme="majorBidi" w:hAnsiTheme="majorBidi" w:cstheme="majorBidi"/>
          <w:sz w:val="24"/>
          <w:szCs w:val="24"/>
        </w:rPr>
        <w:lastRenderedPageBreak/>
        <w:t xml:space="preserve">[5] S. Rajendran and A. R. Ravindran, “Inventory management of platelets along blood supply chain to minimize wastage and shortage,” Computers &amp; Industrial Engineering, vol. 130, pp. 714–730, 2019. </w:t>
      </w:r>
      <w:proofErr w:type="spellStart"/>
      <w:r w:rsidRPr="00FE33AB">
        <w:rPr>
          <w:rFonts w:asciiTheme="majorBidi" w:hAnsiTheme="majorBidi" w:cstheme="majorBidi"/>
          <w:sz w:val="24"/>
          <w:szCs w:val="24"/>
        </w:rPr>
        <w:t>doi</w:t>
      </w:r>
      <w:proofErr w:type="spellEnd"/>
      <w:r w:rsidRPr="00FE33AB">
        <w:rPr>
          <w:rFonts w:asciiTheme="majorBidi" w:hAnsiTheme="majorBidi" w:cstheme="majorBidi"/>
          <w:sz w:val="24"/>
          <w:szCs w:val="24"/>
        </w:rPr>
        <w:t>: 10.1016/j.cie.2019.03.010.</w:t>
      </w:r>
    </w:p>
    <w:p w14:paraId="47E2F39D" w14:textId="77777777" w:rsidR="00544F3B" w:rsidRPr="00FE33AB" w:rsidRDefault="0012217E" w:rsidP="00FE33AB">
      <w:pPr>
        <w:pStyle w:val="IEEEReferences"/>
        <w:spacing w:after="20" w:line="360" w:lineRule="auto"/>
        <w:ind w:left="230" w:hanging="230"/>
        <w:jc w:val="both"/>
        <w:rPr>
          <w:rFonts w:asciiTheme="majorBidi" w:hAnsiTheme="majorBidi" w:cstheme="majorBidi"/>
          <w:sz w:val="24"/>
          <w:szCs w:val="24"/>
        </w:rPr>
      </w:pPr>
      <w:r w:rsidRPr="00FE33AB">
        <w:rPr>
          <w:rFonts w:asciiTheme="majorBidi" w:hAnsiTheme="majorBidi" w:cstheme="majorBidi"/>
          <w:sz w:val="24"/>
          <w:szCs w:val="24"/>
        </w:rPr>
        <w:t xml:space="preserve">[6] M. </w:t>
      </w:r>
      <w:proofErr w:type="spellStart"/>
      <w:r w:rsidRPr="00FE33AB">
        <w:rPr>
          <w:rFonts w:asciiTheme="majorBidi" w:hAnsiTheme="majorBidi" w:cstheme="majorBidi"/>
          <w:sz w:val="24"/>
          <w:szCs w:val="24"/>
        </w:rPr>
        <w:t>Abouee-Mehrizi</w:t>
      </w:r>
      <w:proofErr w:type="spellEnd"/>
      <w:r w:rsidRPr="00FE33AB">
        <w:rPr>
          <w:rFonts w:asciiTheme="majorBidi" w:hAnsiTheme="majorBidi" w:cstheme="majorBidi"/>
          <w:sz w:val="24"/>
          <w:szCs w:val="24"/>
        </w:rPr>
        <w:t xml:space="preserve"> et al., “Data-driven platelet inventory management under uncertainty in the remaining shelf life of units,” Production and Operations Management, 2022. </w:t>
      </w:r>
      <w:proofErr w:type="spellStart"/>
      <w:r w:rsidRPr="00FE33AB">
        <w:rPr>
          <w:rFonts w:asciiTheme="majorBidi" w:hAnsiTheme="majorBidi" w:cstheme="majorBidi"/>
          <w:sz w:val="24"/>
          <w:szCs w:val="24"/>
        </w:rPr>
        <w:t>doi</w:t>
      </w:r>
      <w:proofErr w:type="spellEnd"/>
      <w:r w:rsidRPr="00FE33AB">
        <w:rPr>
          <w:rFonts w:asciiTheme="majorBidi" w:hAnsiTheme="majorBidi" w:cstheme="majorBidi"/>
          <w:sz w:val="24"/>
          <w:szCs w:val="24"/>
        </w:rPr>
        <w:t>: 10.1111/poms.13795.</w:t>
      </w:r>
    </w:p>
    <w:p w14:paraId="68A8B85B" w14:textId="77777777" w:rsidR="00544F3B" w:rsidRPr="00FE33AB" w:rsidRDefault="0012217E" w:rsidP="00FE33AB">
      <w:pPr>
        <w:pStyle w:val="IEEEReferences"/>
        <w:spacing w:after="20" w:line="360" w:lineRule="auto"/>
        <w:ind w:left="230" w:hanging="230"/>
        <w:jc w:val="both"/>
        <w:rPr>
          <w:rFonts w:asciiTheme="majorBidi" w:hAnsiTheme="majorBidi" w:cstheme="majorBidi"/>
          <w:sz w:val="24"/>
          <w:szCs w:val="24"/>
        </w:rPr>
      </w:pPr>
      <w:r w:rsidRPr="00FE33AB">
        <w:rPr>
          <w:rFonts w:asciiTheme="majorBidi" w:hAnsiTheme="majorBidi" w:cstheme="majorBidi"/>
          <w:sz w:val="24"/>
          <w:szCs w:val="24"/>
        </w:rPr>
        <w:t xml:space="preserve">[7] S. K. Pal, R. Roy, H. S. Shyam, P. S. Jha, and R. Kumar, “Digitalization in the blood supply chain: A systematic literature review,” Journal of Information and Optimization Sciences, vol. 45, no. 7, pp. 1911–1919, 2024. </w:t>
      </w:r>
      <w:proofErr w:type="spellStart"/>
      <w:r w:rsidRPr="00FE33AB">
        <w:rPr>
          <w:rFonts w:asciiTheme="majorBidi" w:hAnsiTheme="majorBidi" w:cstheme="majorBidi"/>
          <w:sz w:val="24"/>
          <w:szCs w:val="24"/>
        </w:rPr>
        <w:t>doi</w:t>
      </w:r>
      <w:proofErr w:type="spellEnd"/>
      <w:r w:rsidRPr="00FE33AB">
        <w:rPr>
          <w:rFonts w:asciiTheme="majorBidi" w:hAnsiTheme="majorBidi" w:cstheme="majorBidi"/>
          <w:sz w:val="24"/>
          <w:szCs w:val="24"/>
        </w:rPr>
        <w:t>: 10.47974/JIOS-1742.</w:t>
      </w:r>
    </w:p>
    <w:p w14:paraId="2BB57199" w14:textId="77777777" w:rsidR="00544F3B" w:rsidRPr="00FE33AB" w:rsidRDefault="0012217E" w:rsidP="00FE33AB">
      <w:pPr>
        <w:pStyle w:val="IEEEReferences"/>
        <w:spacing w:after="20" w:line="360" w:lineRule="auto"/>
        <w:ind w:left="230" w:hanging="230"/>
        <w:jc w:val="both"/>
        <w:rPr>
          <w:rFonts w:asciiTheme="majorBidi" w:hAnsiTheme="majorBidi" w:cstheme="majorBidi"/>
          <w:sz w:val="24"/>
          <w:szCs w:val="24"/>
        </w:rPr>
      </w:pPr>
      <w:r w:rsidRPr="00FE33AB">
        <w:rPr>
          <w:rFonts w:asciiTheme="majorBidi" w:hAnsiTheme="majorBidi" w:cstheme="majorBidi"/>
          <w:sz w:val="24"/>
          <w:szCs w:val="24"/>
        </w:rPr>
        <w:t xml:space="preserve">[8] “An analytical review of blood supply chain management literature through science mapping and strategic diagrams,” Health Care Analytics, vol. 8, 100433, 2025. </w:t>
      </w:r>
      <w:proofErr w:type="spellStart"/>
      <w:r w:rsidRPr="00FE33AB">
        <w:rPr>
          <w:rFonts w:asciiTheme="majorBidi" w:hAnsiTheme="majorBidi" w:cstheme="majorBidi"/>
          <w:sz w:val="24"/>
          <w:szCs w:val="24"/>
        </w:rPr>
        <w:t>doi</w:t>
      </w:r>
      <w:proofErr w:type="spellEnd"/>
      <w:r w:rsidRPr="00FE33AB">
        <w:rPr>
          <w:rFonts w:asciiTheme="majorBidi" w:hAnsiTheme="majorBidi" w:cstheme="majorBidi"/>
          <w:sz w:val="24"/>
          <w:szCs w:val="24"/>
        </w:rPr>
        <w:t>: 10.1016/j.health.2025.100433.</w:t>
      </w:r>
    </w:p>
    <w:p w14:paraId="6AD3BBB1" w14:textId="77777777" w:rsidR="00544F3B" w:rsidRPr="00FE33AB" w:rsidRDefault="0012217E" w:rsidP="00FE33AB">
      <w:pPr>
        <w:pStyle w:val="IEEEReferences"/>
        <w:spacing w:after="20" w:line="360" w:lineRule="auto"/>
        <w:ind w:left="230" w:hanging="230"/>
        <w:jc w:val="both"/>
        <w:rPr>
          <w:rFonts w:asciiTheme="majorBidi" w:hAnsiTheme="majorBidi" w:cstheme="majorBidi"/>
          <w:sz w:val="24"/>
          <w:szCs w:val="24"/>
        </w:rPr>
      </w:pPr>
      <w:r w:rsidRPr="00FE33AB">
        <w:rPr>
          <w:rFonts w:asciiTheme="majorBidi" w:hAnsiTheme="majorBidi" w:cstheme="majorBidi"/>
          <w:sz w:val="24"/>
          <w:szCs w:val="24"/>
        </w:rPr>
        <w:t xml:space="preserve">[9] T. C. </w:t>
      </w:r>
      <w:proofErr w:type="spellStart"/>
      <w:r w:rsidRPr="00FE33AB">
        <w:rPr>
          <w:rFonts w:asciiTheme="majorBidi" w:hAnsiTheme="majorBidi" w:cstheme="majorBidi"/>
          <w:sz w:val="24"/>
          <w:szCs w:val="24"/>
        </w:rPr>
        <w:t>Bednall</w:t>
      </w:r>
      <w:proofErr w:type="spellEnd"/>
      <w:r w:rsidRPr="00FE33AB">
        <w:rPr>
          <w:rFonts w:asciiTheme="majorBidi" w:hAnsiTheme="majorBidi" w:cstheme="majorBidi"/>
          <w:sz w:val="24"/>
          <w:szCs w:val="24"/>
        </w:rPr>
        <w:t xml:space="preserve"> and L. L. Bove, “Donating blood: A meta-analytic review of self-reported motivators and deterrents,” Transfusion Medicine Reviews, vol. 25, no. 4, pp. 317–334, 2011. </w:t>
      </w:r>
      <w:proofErr w:type="spellStart"/>
      <w:r w:rsidRPr="00FE33AB">
        <w:rPr>
          <w:rFonts w:asciiTheme="majorBidi" w:hAnsiTheme="majorBidi" w:cstheme="majorBidi"/>
          <w:sz w:val="24"/>
          <w:szCs w:val="24"/>
        </w:rPr>
        <w:t>doi</w:t>
      </w:r>
      <w:proofErr w:type="spellEnd"/>
      <w:r w:rsidRPr="00FE33AB">
        <w:rPr>
          <w:rFonts w:asciiTheme="majorBidi" w:hAnsiTheme="majorBidi" w:cstheme="majorBidi"/>
          <w:sz w:val="24"/>
          <w:szCs w:val="24"/>
        </w:rPr>
        <w:t>: 10.1016/j.tmrv.2011.04.005.</w:t>
      </w:r>
    </w:p>
    <w:p w14:paraId="57D46F95" w14:textId="77777777" w:rsidR="00544F3B" w:rsidRPr="00FE33AB" w:rsidRDefault="0012217E" w:rsidP="00FE33AB">
      <w:pPr>
        <w:pStyle w:val="IEEEReferences"/>
        <w:spacing w:after="20" w:line="360" w:lineRule="auto"/>
        <w:ind w:left="230" w:hanging="230"/>
        <w:jc w:val="both"/>
        <w:rPr>
          <w:rFonts w:asciiTheme="majorBidi" w:hAnsiTheme="majorBidi" w:cstheme="majorBidi"/>
          <w:sz w:val="24"/>
          <w:szCs w:val="24"/>
        </w:rPr>
      </w:pPr>
      <w:r w:rsidRPr="00FE33AB">
        <w:rPr>
          <w:rFonts w:asciiTheme="majorBidi" w:hAnsiTheme="majorBidi" w:cstheme="majorBidi"/>
          <w:sz w:val="24"/>
          <w:szCs w:val="24"/>
        </w:rPr>
        <w:t xml:space="preserve">[10] T. C. </w:t>
      </w:r>
      <w:proofErr w:type="spellStart"/>
      <w:r w:rsidRPr="00FE33AB">
        <w:rPr>
          <w:rFonts w:asciiTheme="majorBidi" w:hAnsiTheme="majorBidi" w:cstheme="majorBidi"/>
          <w:sz w:val="24"/>
          <w:szCs w:val="24"/>
        </w:rPr>
        <w:t>Bednall</w:t>
      </w:r>
      <w:proofErr w:type="spellEnd"/>
      <w:r w:rsidRPr="00FE33AB">
        <w:rPr>
          <w:rFonts w:asciiTheme="majorBidi" w:hAnsiTheme="majorBidi" w:cstheme="majorBidi"/>
          <w:sz w:val="24"/>
          <w:szCs w:val="24"/>
        </w:rPr>
        <w:t xml:space="preserve">, L. L. Bove, A. Cheetham, and A. L. Murray, “A systematic review and meta-analysis of antecedents of blood donation behavior and intentions,” Social Science &amp; Medicine, vol. 96, pp. 86–94, 2013. </w:t>
      </w:r>
      <w:proofErr w:type="spellStart"/>
      <w:r w:rsidRPr="00FE33AB">
        <w:rPr>
          <w:rFonts w:asciiTheme="majorBidi" w:hAnsiTheme="majorBidi" w:cstheme="majorBidi"/>
          <w:sz w:val="24"/>
          <w:szCs w:val="24"/>
        </w:rPr>
        <w:t>doi</w:t>
      </w:r>
      <w:proofErr w:type="spellEnd"/>
      <w:r w:rsidRPr="00FE33AB">
        <w:rPr>
          <w:rFonts w:asciiTheme="majorBidi" w:hAnsiTheme="majorBidi" w:cstheme="majorBidi"/>
          <w:sz w:val="24"/>
          <w:szCs w:val="24"/>
        </w:rPr>
        <w:t>: 10.1016/j.socscimed.2013.07.022.</w:t>
      </w:r>
    </w:p>
    <w:p w14:paraId="0BC991C1" w14:textId="77777777" w:rsidR="00544F3B" w:rsidRPr="00FE33AB" w:rsidRDefault="0012217E" w:rsidP="00FE33AB">
      <w:pPr>
        <w:pStyle w:val="IEEEReferences"/>
        <w:spacing w:after="20" w:line="360" w:lineRule="auto"/>
        <w:ind w:left="230" w:hanging="230"/>
        <w:jc w:val="both"/>
        <w:rPr>
          <w:rFonts w:asciiTheme="majorBidi" w:hAnsiTheme="majorBidi" w:cstheme="majorBidi"/>
          <w:sz w:val="24"/>
          <w:szCs w:val="24"/>
        </w:rPr>
      </w:pPr>
      <w:r w:rsidRPr="00FE33AB">
        <w:rPr>
          <w:rFonts w:asciiTheme="majorBidi" w:hAnsiTheme="majorBidi" w:cstheme="majorBidi"/>
          <w:sz w:val="24"/>
          <w:szCs w:val="24"/>
        </w:rPr>
        <w:t xml:space="preserve">[11] V. </w:t>
      </w:r>
      <w:proofErr w:type="spellStart"/>
      <w:r w:rsidRPr="00FE33AB">
        <w:rPr>
          <w:rFonts w:asciiTheme="majorBidi" w:hAnsiTheme="majorBidi" w:cstheme="majorBidi"/>
          <w:sz w:val="24"/>
          <w:szCs w:val="24"/>
        </w:rPr>
        <w:t>Garousi</w:t>
      </w:r>
      <w:proofErr w:type="spellEnd"/>
      <w:r w:rsidRPr="00FE33AB">
        <w:rPr>
          <w:rFonts w:asciiTheme="majorBidi" w:hAnsiTheme="majorBidi" w:cstheme="majorBidi"/>
          <w:sz w:val="24"/>
          <w:szCs w:val="24"/>
        </w:rPr>
        <w:t xml:space="preserve">, A. Mesbah, A. Betin-Can, and S. </w:t>
      </w:r>
      <w:proofErr w:type="spellStart"/>
      <w:r w:rsidRPr="00FE33AB">
        <w:rPr>
          <w:rFonts w:asciiTheme="majorBidi" w:hAnsiTheme="majorBidi" w:cstheme="majorBidi"/>
          <w:sz w:val="24"/>
          <w:szCs w:val="24"/>
        </w:rPr>
        <w:t>Mirshokraie</w:t>
      </w:r>
      <w:proofErr w:type="spellEnd"/>
      <w:r w:rsidRPr="00FE33AB">
        <w:rPr>
          <w:rFonts w:asciiTheme="majorBidi" w:hAnsiTheme="majorBidi" w:cstheme="majorBidi"/>
          <w:sz w:val="24"/>
          <w:szCs w:val="24"/>
        </w:rPr>
        <w:t xml:space="preserve">, “A systematic mapping study of web application testing,” Information and Software Technology, vol. 55, no. 8, pp. 1374–1396, 2013. </w:t>
      </w:r>
      <w:proofErr w:type="spellStart"/>
      <w:r w:rsidRPr="00FE33AB">
        <w:rPr>
          <w:rFonts w:asciiTheme="majorBidi" w:hAnsiTheme="majorBidi" w:cstheme="majorBidi"/>
          <w:sz w:val="24"/>
          <w:szCs w:val="24"/>
        </w:rPr>
        <w:t>doi</w:t>
      </w:r>
      <w:proofErr w:type="spellEnd"/>
      <w:r w:rsidRPr="00FE33AB">
        <w:rPr>
          <w:rFonts w:asciiTheme="majorBidi" w:hAnsiTheme="majorBidi" w:cstheme="majorBidi"/>
          <w:sz w:val="24"/>
          <w:szCs w:val="24"/>
        </w:rPr>
        <w:t>: 10.1016/j.infsof.2013.02.006.</w:t>
      </w:r>
    </w:p>
    <w:p w14:paraId="4EE95ECC" w14:textId="77777777" w:rsidR="00544F3B" w:rsidRPr="00FE33AB" w:rsidRDefault="0012217E" w:rsidP="00FE33AB">
      <w:pPr>
        <w:pStyle w:val="IEEEReferences"/>
        <w:spacing w:after="20" w:line="360" w:lineRule="auto"/>
        <w:ind w:left="230" w:hanging="230"/>
        <w:jc w:val="both"/>
        <w:rPr>
          <w:rFonts w:asciiTheme="majorBidi" w:hAnsiTheme="majorBidi" w:cstheme="majorBidi"/>
          <w:sz w:val="24"/>
          <w:szCs w:val="24"/>
        </w:rPr>
      </w:pPr>
      <w:r w:rsidRPr="00FE33AB">
        <w:rPr>
          <w:rFonts w:asciiTheme="majorBidi" w:hAnsiTheme="majorBidi" w:cstheme="majorBidi"/>
          <w:sz w:val="24"/>
          <w:szCs w:val="24"/>
        </w:rPr>
        <w:t xml:space="preserve">[12] V. </w:t>
      </w:r>
      <w:proofErr w:type="spellStart"/>
      <w:r w:rsidRPr="00FE33AB">
        <w:rPr>
          <w:rFonts w:asciiTheme="majorBidi" w:hAnsiTheme="majorBidi" w:cstheme="majorBidi"/>
          <w:sz w:val="24"/>
          <w:szCs w:val="24"/>
        </w:rPr>
        <w:t>Garousi</w:t>
      </w:r>
      <w:proofErr w:type="spellEnd"/>
      <w:r w:rsidRPr="00FE33AB">
        <w:rPr>
          <w:rFonts w:asciiTheme="majorBidi" w:hAnsiTheme="majorBidi" w:cstheme="majorBidi"/>
          <w:sz w:val="24"/>
          <w:szCs w:val="24"/>
        </w:rPr>
        <w:t xml:space="preserve">, M. </w:t>
      </w:r>
      <w:proofErr w:type="spellStart"/>
      <w:r w:rsidRPr="00FE33AB">
        <w:rPr>
          <w:rFonts w:asciiTheme="majorBidi" w:hAnsiTheme="majorBidi" w:cstheme="majorBidi"/>
          <w:sz w:val="24"/>
          <w:szCs w:val="24"/>
        </w:rPr>
        <w:t>Felderer</w:t>
      </w:r>
      <w:proofErr w:type="spellEnd"/>
      <w:r w:rsidRPr="00FE33AB">
        <w:rPr>
          <w:rFonts w:asciiTheme="majorBidi" w:hAnsiTheme="majorBidi" w:cstheme="majorBidi"/>
          <w:sz w:val="24"/>
          <w:szCs w:val="24"/>
        </w:rPr>
        <w:t>, and F. N. Kılıç, “Web application testing: A systematic literature review,” Journal of Systems and Software, 2015.</w:t>
      </w:r>
    </w:p>
    <w:p w14:paraId="69E68F19" w14:textId="77777777" w:rsidR="00544F3B" w:rsidRPr="00FE33AB" w:rsidRDefault="0012217E" w:rsidP="00FE33AB">
      <w:pPr>
        <w:pStyle w:val="IEEEReferences"/>
        <w:spacing w:after="20" w:line="360" w:lineRule="auto"/>
        <w:ind w:left="230" w:hanging="230"/>
        <w:jc w:val="both"/>
        <w:rPr>
          <w:rFonts w:asciiTheme="majorBidi" w:hAnsiTheme="majorBidi" w:cstheme="majorBidi"/>
          <w:sz w:val="24"/>
          <w:szCs w:val="24"/>
        </w:rPr>
      </w:pPr>
      <w:r w:rsidRPr="00FE33AB">
        <w:rPr>
          <w:rFonts w:asciiTheme="majorBidi" w:hAnsiTheme="majorBidi" w:cstheme="majorBidi"/>
          <w:sz w:val="24"/>
          <w:szCs w:val="24"/>
        </w:rPr>
        <w:t>[13] World Health Organization, Towards 100% Voluntary Blood Donation: A Global Framework for Action. Geneva: WHO, 2010.</w:t>
      </w:r>
    </w:p>
    <w:p w14:paraId="4D0CADDD" w14:textId="77777777" w:rsidR="00544F3B" w:rsidRPr="00FE33AB" w:rsidRDefault="0012217E" w:rsidP="00FE33AB">
      <w:pPr>
        <w:pStyle w:val="IEEEReferences"/>
        <w:spacing w:after="20" w:line="360" w:lineRule="auto"/>
        <w:ind w:left="230" w:hanging="230"/>
        <w:jc w:val="both"/>
        <w:rPr>
          <w:rFonts w:asciiTheme="majorBidi" w:hAnsiTheme="majorBidi" w:cstheme="majorBidi"/>
          <w:sz w:val="24"/>
          <w:szCs w:val="24"/>
        </w:rPr>
      </w:pPr>
      <w:r w:rsidRPr="00FE33AB">
        <w:rPr>
          <w:rFonts w:asciiTheme="majorBidi" w:hAnsiTheme="majorBidi" w:cstheme="majorBidi"/>
          <w:sz w:val="24"/>
          <w:szCs w:val="24"/>
        </w:rPr>
        <w:t xml:space="preserve">[14] J. J. Mammen and E. S. </w:t>
      </w:r>
      <w:proofErr w:type="spellStart"/>
      <w:r w:rsidRPr="00FE33AB">
        <w:rPr>
          <w:rFonts w:asciiTheme="majorBidi" w:hAnsiTheme="majorBidi" w:cstheme="majorBidi"/>
          <w:sz w:val="24"/>
          <w:szCs w:val="24"/>
        </w:rPr>
        <w:t>Asirvatham</w:t>
      </w:r>
      <w:proofErr w:type="spellEnd"/>
      <w:r w:rsidRPr="00FE33AB">
        <w:rPr>
          <w:rFonts w:asciiTheme="majorBidi" w:hAnsiTheme="majorBidi" w:cstheme="majorBidi"/>
          <w:sz w:val="24"/>
          <w:szCs w:val="24"/>
        </w:rPr>
        <w:t xml:space="preserve">, “The demand and supply of blood in India,” The Lancet </w:t>
      </w:r>
      <w:proofErr w:type="spellStart"/>
      <w:r w:rsidRPr="00FE33AB">
        <w:rPr>
          <w:rFonts w:asciiTheme="majorBidi" w:hAnsiTheme="majorBidi" w:cstheme="majorBidi"/>
          <w:sz w:val="24"/>
          <w:szCs w:val="24"/>
        </w:rPr>
        <w:t>Haematology</w:t>
      </w:r>
      <w:proofErr w:type="spellEnd"/>
      <w:r w:rsidRPr="00FE33AB">
        <w:rPr>
          <w:rFonts w:asciiTheme="majorBidi" w:hAnsiTheme="majorBidi" w:cstheme="majorBidi"/>
          <w:sz w:val="24"/>
          <w:szCs w:val="24"/>
        </w:rPr>
        <w:t xml:space="preserve">, vol. 7, no. 2, e94, 2020. </w:t>
      </w:r>
      <w:proofErr w:type="spellStart"/>
      <w:r w:rsidRPr="00FE33AB">
        <w:rPr>
          <w:rFonts w:asciiTheme="majorBidi" w:hAnsiTheme="majorBidi" w:cstheme="majorBidi"/>
          <w:sz w:val="24"/>
          <w:szCs w:val="24"/>
        </w:rPr>
        <w:t>doi</w:t>
      </w:r>
      <w:proofErr w:type="spellEnd"/>
      <w:r w:rsidRPr="00FE33AB">
        <w:rPr>
          <w:rFonts w:asciiTheme="majorBidi" w:hAnsiTheme="majorBidi" w:cstheme="majorBidi"/>
          <w:sz w:val="24"/>
          <w:szCs w:val="24"/>
        </w:rPr>
        <w:t>: 10.1016/S2352-3026(19)30262-9.</w:t>
      </w:r>
    </w:p>
    <w:p w14:paraId="7A76D3D1" w14:textId="77777777" w:rsidR="00544F3B" w:rsidRPr="00FE33AB" w:rsidRDefault="0012217E" w:rsidP="00FE33AB">
      <w:pPr>
        <w:pStyle w:val="IEEEReferences"/>
        <w:spacing w:after="20" w:line="360" w:lineRule="auto"/>
        <w:ind w:left="230" w:hanging="230"/>
        <w:jc w:val="both"/>
        <w:rPr>
          <w:rFonts w:asciiTheme="majorBidi" w:hAnsiTheme="majorBidi" w:cstheme="majorBidi"/>
          <w:sz w:val="24"/>
          <w:szCs w:val="24"/>
        </w:rPr>
      </w:pPr>
      <w:r w:rsidRPr="00FE33AB">
        <w:rPr>
          <w:rFonts w:asciiTheme="majorBidi" w:hAnsiTheme="majorBidi" w:cstheme="majorBidi"/>
          <w:sz w:val="24"/>
          <w:szCs w:val="24"/>
        </w:rPr>
        <w:t xml:space="preserve">[15] H. E. Jenny, S. Saluja, R. Sood, N. Raykar, R. Kataria, T. </w:t>
      </w:r>
      <w:proofErr w:type="spellStart"/>
      <w:r w:rsidRPr="00FE33AB">
        <w:rPr>
          <w:rFonts w:asciiTheme="majorBidi" w:hAnsiTheme="majorBidi" w:cstheme="majorBidi"/>
          <w:sz w:val="24"/>
          <w:szCs w:val="24"/>
        </w:rPr>
        <w:t>Tongaonkar</w:t>
      </w:r>
      <w:proofErr w:type="spellEnd"/>
      <w:r w:rsidRPr="00FE33AB">
        <w:rPr>
          <w:rFonts w:asciiTheme="majorBidi" w:hAnsiTheme="majorBidi" w:cstheme="majorBidi"/>
          <w:sz w:val="24"/>
          <w:szCs w:val="24"/>
        </w:rPr>
        <w:t>, et al., “Access to safe blood in low-income and middle-income countries: Lessons from India,” BMJ Global Health, vol. 2, no. 2, 2017.</w:t>
      </w:r>
    </w:p>
    <w:p w14:paraId="3BA905A4" w14:textId="77777777" w:rsidR="00544F3B" w:rsidRPr="00FE33AB" w:rsidRDefault="0012217E" w:rsidP="00FE33AB">
      <w:pPr>
        <w:pStyle w:val="IEEEReferences"/>
        <w:spacing w:after="20" w:line="360" w:lineRule="auto"/>
        <w:ind w:left="230" w:hanging="230"/>
        <w:jc w:val="both"/>
        <w:rPr>
          <w:rFonts w:asciiTheme="majorBidi" w:hAnsiTheme="majorBidi" w:cstheme="majorBidi"/>
          <w:sz w:val="24"/>
          <w:szCs w:val="24"/>
        </w:rPr>
      </w:pPr>
      <w:r w:rsidRPr="00FE33AB">
        <w:rPr>
          <w:rFonts w:asciiTheme="majorBidi" w:hAnsiTheme="majorBidi" w:cstheme="majorBidi"/>
          <w:sz w:val="24"/>
          <w:szCs w:val="24"/>
        </w:rPr>
        <w:t>[16] L. Goette, E. Stutzer, and M. Zehnder, “Prosocial motivation and blood donations: A survey of the empirical literature,” Transfusion Medicine and Hemotherapy, vol. 37, no. 5, pp. 275–283, 2010.</w:t>
      </w:r>
    </w:p>
    <w:p w14:paraId="5E4A4336" w14:textId="77777777" w:rsidR="00544F3B" w:rsidRPr="00FE33AB" w:rsidRDefault="0012217E" w:rsidP="00FE33AB">
      <w:pPr>
        <w:pStyle w:val="IEEEReferences"/>
        <w:spacing w:after="20" w:line="360" w:lineRule="auto"/>
        <w:ind w:left="230" w:hanging="230"/>
        <w:jc w:val="both"/>
        <w:rPr>
          <w:rFonts w:asciiTheme="majorBidi" w:hAnsiTheme="majorBidi" w:cstheme="majorBidi"/>
          <w:sz w:val="24"/>
          <w:szCs w:val="24"/>
        </w:rPr>
      </w:pPr>
      <w:r w:rsidRPr="00FE33AB">
        <w:rPr>
          <w:rFonts w:asciiTheme="majorBidi" w:hAnsiTheme="majorBidi" w:cstheme="majorBidi"/>
          <w:sz w:val="24"/>
          <w:szCs w:val="24"/>
        </w:rPr>
        <w:lastRenderedPageBreak/>
        <w:t xml:space="preserve">[17] M. Dillon, I. Vauhkonen, M. </w:t>
      </w:r>
      <w:proofErr w:type="spellStart"/>
      <w:r w:rsidRPr="00FE33AB">
        <w:rPr>
          <w:rFonts w:asciiTheme="majorBidi" w:hAnsiTheme="majorBidi" w:cstheme="majorBidi"/>
          <w:sz w:val="24"/>
          <w:szCs w:val="24"/>
        </w:rPr>
        <w:t>Arvas</w:t>
      </w:r>
      <w:proofErr w:type="spellEnd"/>
      <w:r w:rsidRPr="00FE33AB">
        <w:rPr>
          <w:rFonts w:asciiTheme="majorBidi" w:hAnsiTheme="majorBidi" w:cstheme="majorBidi"/>
          <w:sz w:val="24"/>
          <w:szCs w:val="24"/>
        </w:rPr>
        <w:t xml:space="preserve">, J. Ihalainen, E. </w:t>
      </w:r>
      <w:proofErr w:type="spellStart"/>
      <w:r w:rsidRPr="00FE33AB">
        <w:rPr>
          <w:rFonts w:asciiTheme="majorBidi" w:hAnsiTheme="majorBidi" w:cstheme="majorBidi"/>
          <w:sz w:val="24"/>
          <w:szCs w:val="24"/>
        </w:rPr>
        <w:t>Vilkkumaa</w:t>
      </w:r>
      <w:proofErr w:type="spellEnd"/>
      <w:r w:rsidRPr="00FE33AB">
        <w:rPr>
          <w:rFonts w:asciiTheme="majorBidi" w:hAnsiTheme="majorBidi" w:cstheme="majorBidi"/>
          <w:sz w:val="24"/>
          <w:szCs w:val="24"/>
        </w:rPr>
        <w:t xml:space="preserve">, and F. Oliveira, “Supporting platelet inventory management decisions: What is the effect of extending platelets’ shelf life?” European Journal of Operational Research, vol. 310, no. 2, pp. 640–654, 2023. </w:t>
      </w:r>
      <w:proofErr w:type="spellStart"/>
      <w:r w:rsidRPr="00FE33AB">
        <w:rPr>
          <w:rFonts w:asciiTheme="majorBidi" w:hAnsiTheme="majorBidi" w:cstheme="majorBidi"/>
          <w:sz w:val="24"/>
          <w:szCs w:val="24"/>
        </w:rPr>
        <w:t>doi</w:t>
      </w:r>
      <w:proofErr w:type="spellEnd"/>
      <w:r w:rsidRPr="00FE33AB">
        <w:rPr>
          <w:rFonts w:asciiTheme="majorBidi" w:hAnsiTheme="majorBidi" w:cstheme="majorBidi"/>
          <w:sz w:val="24"/>
          <w:szCs w:val="24"/>
        </w:rPr>
        <w:t>: 10.1016/j.ejor.2023.03.007.</w:t>
      </w:r>
    </w:p>
    <w:p w14:paraId="62015844" w14:textId="77777777" w:rsidR="00544F3B" w:rsidRDefault="0012217E" w:rsidP="00FE33AB">
      <w:pPr>
        <w:pStyle w:val="IEEEReferences"/>
        <w:spacing w:after="20" w:line="360" w:lineRule="auto"/>
        <w:ind w:left="230" w:hanging="230"/>
        <w:jc w:val="both"/>
      </w:pPr>
      <w:r w:rsidRPr="00FE33AB">
        <w:rPr>
          <w:rFonts w:asciiTheme="majorBidi" w:hAnsiTheme="majorBidi" w:cstheme="majorBidi"/>
          <w:sz w:val="24"/>
          <w:szCs w:val="24"/>
        </w:rPr>
        <w:t xml:space="preserve">[18] S. </w:t>
      </w:r>
      <w:proofErr w:type="spellStart"/>
      <w:r w:rsidRPr="00FE33AB">
        <w:rPr>
          <w:rFonts w:asciiTheme="majorBidi" w:hAnsiTheme="majorBidi" w:cstheme="majorBidi"/>
          <w:sz w:val="24"/>
          <w:szCs w:val="24"/>
        </w:rPr>
        <w:t>Haijema</w:t>
      </w:r>
      <w:proofErr w:type="spellEnd"/>
      <w:r w:rsidRPr="00FE33AB">
        <w:rPr>
          <w:rFonts w:asciiTheme="majorBidi" w:hAnsiTheme="majorBidi" w:cstheme="majorBidi"/>
          <w:sz w:val="24"/>
          <w:szCs w:val="24"/>
        </w:rPr>
        <w:t xml:space="preserve">, R. van der Wal, and N. van Dijk, “Blood platelet production: Optimization by dynamic programming and simulation,” Computers &amp; Operations Research, vol. 34, no. 3, pp. 760–779, 2007. </w:t>
      </w:r>
      <w:proofErr w:type="spellStart"/>
      <w:r w:rsidRPr="00FE33AB">
        <w:rPr>
          <w:rFonts w:asciiTheme="majorBidi" w:hAnsiTheme="majorBidi" w:cstheme="majorBidi"/>
          <w:sz w:val="24"/>
          <w:szCs w:val="24"/>
        </w:rPr>
        <w:t>doi</w:t>
      </w:r>
      <w:proofErr w:type="spellEnd"/>
      <w:r w:rsidRPr="00FE33AB">
        <w:rPr>
          <w:rFonts w:asciiTheme="majorBidi" w:hAnsiTheme="majorBidi" w:cstheme="majorBidi"/>
          <w:sz w:val="24"/>
          <w:szCs w:val="24"/>
        </w:rPr>
        <w:t>: 10.1016/j.cor.2005.03</w:t>
      </w:r>
      <w:r>
        <w:t>.023.</w:t>
      </w:r>
    </w:p>
    <w:sectPr w:rsidR="00544F3B" w:rsidSect="008E1881">
      <w:type w:val="continuous"/>
      <w:pgSz w:w="12240" w:h="15840"/>
      <w:pgMar w:top="1080" w:right="900" w:bottom="1440" w:left="900" w:header="1417" w:footer="720" w:gutter="0"/>
      <w:cols w:space="3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606336" w14:textId="77777777" w:rsidR="004D6676" w:rsidRDefault="004D6676">
      <w:pPr>
        <w:spacing w:after="0" w:line="240" w:lineRule="auto"/>
      </w:pPr>
      <w:r>
        <w:separator/>
      </w:r>
    </w:p>
  </w:endnote>
  <w:endnote w:type="continuationSeparator" w:id="0">
    <w:p w14:paraId="76DCCFCF" w14:textId="77777777" w:rsidR="004D6676" w:rsidRDefault="004D66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256A8" w14:textId="77777777" w:rsidR="00977C57" w:rsidRDefault="00977C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02E47" w14:textId="77777777" w:rsidR="00544F3B" w:rsidRDefault="0012217E">
    <w:pPr>
      <w:pStyle w:val="Footer"/>
      <w:jc w:val="center"/>
    </w:pPr>
    <w:r>
      <w:rPr>
        <w:sz w:val="16"/>
      </w:rPr>
      <w:fldChar w:fldCharType="begin"/>
    </w:r>
    <w:r>
      <w:rPr>
        <w:sz w:val="16"/>
      </w:rPr>
      <w:instrText>PAGE</w:instrText>
    </w:r>
    <w:r>
      <w:rPr>
        <w:sz w:val="16"/>
      </w:rPr>
      <w:fldChar w:fldCharType="separate"/>
    </w:r>
    <w:r w:rsidR="00FE33AB">
      <w:rPr>
        <w:noProof/>
        <w:sz w:val="16"/>
      </w:rPr>
      <w:t>1</w:t>
    </w:r>
    <w:r>
      <w:rPr>
        <w:sz w:val="16"/>
      </w:rPr>
      <w:fldChar w:fldCharType="end"/>
    </w:r>
    <w:r>
      <w:rPr>
        <w:sz w:val="16"/>
      </w:rPr>
      <w:fldChar w:fldCharType="begin"/>
    </w:r>
    <w:r>
      <w:rPr>
        <w:sz w:val="16"/>
      </w:rPr>
      <w:instrText>PAGE</w:instrText>
    </w:r>
    <w:r>
      <w:rPr>
        <w:sz w:val="16"/>
      </w:rPr>
      <w:fldChar w:fldCharType="separate"/>
    </w:r>
    <w:r w:rsidR="00FE33AB">
      <w:rPr>
        <w:noProof/>
        <w:sz w:val="16"/>
      </w:rPr>
      <w:t>1</w:t>
    </w:r>
    <w:r>
      <w:rP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14317" w14:textId="77777777" w:rsidR="00977C57" w:rsidRDefault="00977C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BFE6E" w14:textId="77777777" w:rsidR="004D6676" w:rsidRDefault="004D6676">
      <w:pPr>
        <w:spacing w:after="0" w:line="240" w:lineRule="auto"/>
      </w:pPr>
      <w:r>
        <w:separator/>
      </w:r>
    </w:p>
  </w:footnote>
  <w:footnote w:type="continuationSeparator" w:id="0">
    <w:p w14:paraId="25EAB4D2" w14:textId="77777777" w:rsidR="004D6676" w:rsidRDefault="004D66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27DD6" w14:textId="7FD69423" w:rsidR="00977C57" w:rsidRDefault="00977C57">
    <w:pPr>
      <w:pStyle w:val="Header"/>
    </w:pPr>
    <w:r>
      <w:rPr>
        <w:noProof/>
      </w:rPr>
      <w:pict w14:anchorId="3BF34C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5995704" o:spid="_x0000_s1026" type="#_x0000_t136" style="position:absolute;margin-left:0;margin-top:0;width:662.3pt;height:73.5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D0C43" w14:textId="5062CB0F" w:rsidR="00977C57" w:rsidRDefault="00977C57">
    <w:pPr>
      <w:pStyle w:val="Header"/>
    </w:pPr>
    <w:r>
      <w:rPr>
        <w:noProof/>
      </w:rPr>
      <w:pict w14:anchorId="3C4F7C5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5995705" o:spid="_x0000_s1027" type="#_x0000_t136" style="position:absolute;margin-left:0;margin-top:0;width:662.3pt;height:73.5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0B7B9" w14:textId="080C4453" w:rsidR="00977C57" w:rsidRDefault="00977C57">
    <w:pPr>
      <w:pStyle w:val="Header"/>
    </w:pPr>
    <w:r>
      <w:rPr>
        <w:noProof/>
      </w:rPr>
      <w:pict w14:anchorId="695BF67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5995703" o:spid="_x0000_s1025" type="#_x0000_t136" style="position:absolute;margin-left:0;margin-top:0;width:662.3pt;height:73.5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8150693"/>
    <w:multiLevelType w:val="hybridMultilevel"/>
    <w:tmpl w:val="A77CB750"/>
    <w:lvl w:ilvl="0" w:tplc="40090001">
      <w:start w:val="1"/>
      <w:numFmt w:val="bullet"/>
      <w:lvlText w:val=""/>
      <w:lvlJc w:val="left"/>
      <w:pPr>
        <w:ind w:left="778" w:hanging="360"/>
      </w:pPr>
      <w:rPr>
        <w:rFonts w:ascii="Symbol" w:hAnsi="Symbol" w:hint="default"/>
      </w:rPr>
    </w:lvl>
    <w:lvl w:ilvl="1" w:tplc="40090003" w:tentative="1">
      <w:start w:val="1"/>
      <w:numFmt w:val="bullet"/>
      <w:lvlText w:val="o"/>
      <w:lvlJc w:val="left"/>
      <w:pPr>
        <w:ind w:left="1498" w:hanging="360"/>
      </w:pPr>
      <w:rPr>
        <w:rFonts w:ascii="Courier New" w:hAnsi="Courier New" w:cs="Courier New" w:hint="default"/>
      </w:rPr>
    </w:lvl>
    <w:lvl w:ilvl="2" w:tplc="40090005" w:tentative="1">
      <w:start w:val="1"/>
      <w:numFmt w:val="bullet"/>
      <w:lvlText w:val=""/>
      <w:lvlJc w:val="left"/>
      <w:pPr>
        <w:ind w:left="2218" w:hanging="360"/>
      </w:pPr>
      <w:rPr>
        <w:rFonts w:ascii="Wingdings" w:hAnsi="Wingdings" w:hint="default"/>
      </w:rPr>
    </w:lvl>
    <w:lvl w:ilvl="3" w:tplc="40090001" w:tentative="1">
      <w:start w:val="1"/>
      <w:numFmt w:val="bullet"/>
      <w:lvlText w:val=""/>
      <w:lvlJc w:val="left"/>
      <w:pPr>
        <w:ind w:left="2938" w:hanging="360"/>
      </w:pPr>
      <w:rPr>
        <w:rFonts w:ascii="Symbol" w:hAnsi="Symbol" w:hint="default"/>
      </w:rPr>
    </w:lvl>
    <w:lvl w:ilvl="4" w:tplc="40090003" w:tentative="1">
      <w:start w:val="1"/>
      <w:numFmt w:val="bullet"/>
      <w:lvlText w:val="o"/>
      <w:lvlJc w:val="left"/>
      <w:pPr>
        <w:ind w:left="3658" w:hanging="360"/>
      </w:pPr>
      <w:rPr>
        <w:rFonts w:ascii="Courier New" w:hAnsi="Courier New" w:cs="Courier New" w:hint="default"/>
      </w:rPr>
    </w:lvl>
    <w:lvl w:ilvl="5" w:tplc="40090005" w:tentative="1">
      <w:start w:val="1"/>
      <w:numFmt w:val="bullet"/>
      <w:lvlText w:val=""/>
      <w:lvlJc w:val="left"/>
      <w:pPr>
        <w:ind w:left="4378" w:hanging="360"/>
      </w:pPr>
      <w:rPr>
        <w:rFonts w:ascii="Wingdings" w:hAnsi="Wingdings" w:hint="default"/>
      </w:rPr>
    </w:lvl>
    <w:lvl w:ilvl="6" w:tplc="40090001" w:tentative="1">
      <w:start w:val="1"/>
      <w:numFmt w:val="bullet"/>
      <w:lvlText w:val=""/>
      <w:lvlJc w:val="left"/>
      <w:pPr>
        <w:ind w:left="5098" w:hanging="360"/>
      </w:pPr>
      <w:rPr>
        <w:rFonts w:ascii="Symbol" w:hAnsi="Symbol" w:hint="default"/>
      </w:rPr>
    </w:lvl>
    <w:lvl w:ilvl="7" w:tplc="40090003" w:tentative="1">
      <w:start w:val="1"/>
      <w:numFmt w:val="bullet"/>
      <w:lvlText w:val="o"/>
      <w:lvlJc w:val="left"/>
      <w:pPr>
        <w:ind w:left="5818" w:hanging="360"/>
      </w:pPr>
      <w:rPr>
        <w:rFonts w:ascii="Courier New" w:hAnsi="Courier New" w:cs="Courier New" w:hint="default"/>
      </w:rPr>
    </w:lvl>
    <w:lvl w:ilvl="8" w:tplc="40090005" w:tentative="1">
      <w:start w:val="1"/>
      <w:numFmt w:val="bullet"/>
      <w:lvlText w:val=""/>
      <w:lvlJc w:val="left"/>
      <w:pPr>
        <w:ind w:left="6538" w:hanging="360"/>
      </w:pPr>
      <w:rPr>
        <w:rFonts w:ascii="Wingdings" w:hAnsi="Wingdings" w:hint="default"/>
      </w:rPr>
    </w:lvl>
  </w:abstractNum>
  <w:abstractNum w:abstractNumId="10" w15:restartNumberingAfterBreak="0">
    <w:nsid w:val="2E785B1C"/>
    <w:multiLevelType w:val="hybridMultilevel"/>
    <w:tmpl w:val="1842E316"/>
    <w:lvl w:ilvl="0" w:tplc="4009000F">
      <w:start w:val="1"/>
      <w:numFmt w:val="decimal"/>
      <w:lvlText w:val="%1."/>
      <w:lvlJc w:val="left"/>
      <w:pPr>
        <w:ind w:left="778" w:hanging="360"/>
      </w:pPr>
    </w:lvl>
    <w:lvl w:ilvl="1" w:tplc="40090019" w:tentative="1">
      <w:start w:val="1"/>
      <w:numFmt w:val="lowerLetter"/>
      <w:lvlText w:val="%2."/>
      <w:lvlJc w:val="left"/>
      <w:pPr>
        <w:ind w:left="1498" w:hanging="360"/>
      </w:pPr>
    </w:lvl>
    <w:lvl w:ilvl="2" w:tplc="4009001B" w:tentative="1">
      <w:start w:val="1"/>
      <w:numFmt w:val="lowerRoman"/>
      <w:lvlText w:val="%3."/>
      <w:lvlJc w:val="right"/>
      <w:pPr>
        <w:ind w:left="2218" w:hanging="180"/>
      </w:pPr>
    </w:lvl>
    <w:lvl w:ilvl="3" w:tplc="4009000F" w:tentative="1">
      <w:start w:val="1"/>
      <w:numFmt w:val="decimal"/>
      <w:lvlText w:val="%4."/>
      <w:lvlJc w:val="left"/>
      <w:pPr>
        <w:ind w:left="2938" w:hanging="360"/>
      </w:pPr>
    </w:lvl>
    <w:lvl w:ilvl="4" w:tplc="40090019" w:tentative="1">
      <w:start w:val="1"/>
      <w:numFmt w:val="lowerLetter"/>
      <w:lvlText w:val="%5."/>
      <w:lvlJc w:val="left"/>
      <w:pPr>
        <w:ind w:left="3658" w:hanging="360"/>
      </w:pPr>
    </w:lvl>
    <w:lvl w:ilvl="5" w:tplc="4009001B" w:tentative="1">
      <w:start w:val="1"/>
      <w:numFmt w:val="lowerRoman"/>
      <w:lvlText w:val="%6."/>
      <w:lvlJc w:val="right"/>
      <w:pPr>
        <w:ind w:left="4378" w:hanging="180"/>
      </w:pPr>
    </w:lvl>
    <w:lvl w:ilvl="6" w:tplc="4009000F" w:tentative="1">
      <w:start w:val="1"/>
      <w:numFmt w:val="decimal"/>
      <w:lvlText w:val="%7."/>
      <w:lvlJc w:val="left"/>
      <w:pPr>
        <w:ind w:left="5098" w:hanging="360"/>
      </w:pPr>
    </w:lvl>
    <w:lvl w:ilvl="7" w:tplc="40090019" w:tentative="1">
      <w:start w:val="1"/>
      <w:numFmt w:val="lowerLetter"/>
      <w:lvlText w:val="%8."/>
      <w:lvlJc w:val="left"/>
      <w:pPr>
        <w:ind w:left="5818" w:hanging="360"/>
      </w:pPr>
    </w:lvl>
    <w:lvl w:ilvl="8" w:tplc="4009001B" w:tentative="1">
      <w:start w:val="1"/>
      <w:numFmt w:val="lowerRoman"/>
      <w:lvlText w:val="%9."/>
      <w:lvlJc w:val="right"/>
      <w:pPr>
        <w:ind w:left="6538" w:hanging="180"/>
      </w:pPr>
    </w:lvl>
  </w:abstractNum>
  <w:abstractNum w:abstractNumId="11" w15:restartNumberingAfterBreak="0">
    <w:nsid w:val="30A152FF"/>
    <w:multiLevelType w:val="hybridMultilevel"/>
    <w:tmpl w:val="B58A1800"/>
    <w:lvl w:ilvl="0" w:tplc="40090001">
      <w:start w:val="1"/>
      <w:numFmt w:val="bullet"/>
      <w:lvlText w:val=""/>
      <w:lvlJc w:val="left"/>
      <w:pPr>
        <w:ind w:left="893" w:hanging="360"/>
      </w:pPr>
      <w:rPr>
        <w:rFonts w:ascii="Symbol" w:hAnsi="Symbol" w:hint="default"/>
      </w:rPr>
    </w:lvl>
    <w:lvl w:ilvl="1" w:tplc="40090003" w:tentative="1">
      <w:start w:val="1"/>
      <w:numFmt w:val="bullet"/>
      <w:lvlText w:val="o"/>
      <w:lvlJc w:val="left"/>
      <w:pPr>
        <w:ind w:left="1613" w:hanging="360"/>
      </w:pPr>
      <w:rPr>
        <w:rFonts w:ascii="Courier New" w:hAnsi="Courier New" w:cs="Courier New" w:hint="default"/>
      </w:rPr>
    </w:lvl>
    <w:lvl w:ilvl="2" w:tplc="40090005" w:tentative="1">
      <w:start w:val="1"/>
      <w:numFmt w:val="bullet"/>
      <w:lvlText w:val=""/>
      <w:lvlJc w:val="left"/>
      <w:pPr>
        <w:ind w:left="2333" w:hanging="360"/>
      </w:pPr>
      <w:rPr>
        <w:rFonts w:ascii="Wingdings" w:hAnsi="Wingdings" w:hint="default"/>
      </w:rPr>
    </w:lvl>
    <w:lvl w:ilvl="3" w:tplc="40090001" w:tentative="1">
      <w:start w:val="1"/>
      <w:numFmt w:val="bullet"/>
      <w:lvlText w:val=""/>
      <w:lvlJc w:val="left"/>
      <w:pPr>
        <w:ind w:left="3053" w:hanging="360"/>
      </w:pPr>
      <w:rPr>
        <w:rFonts w:ascii="Symbol" w:hAnsi="Symbol" w:hint="default"/>
      </w:rPr>
    </w:lvl>
    <w:lvl w:ilvl="4" w:tplc="40090003" w:tentative="1">
      <w:start w:val="1"/>
      <w:numFmt w:val="bullet"/>
      <w:lvlText w:val="o"/>
      <w:lvlJc w:val="left"/>
      <w:pPr>
        <w:ind w:left="3773" w:hanging="360"/>
      </w:pPr>
      <w:rPr>
        <w:rFonts w:ascii="Courier New" w:hAnsi="Courier New" w:cs="Courier New" w:hint="default"/>
      </w:rPr>
    </w:lvl>
    <w:lvl w:ilvl="5" w:tplc="40090005" w:tentative="1">
      <w:start w:val="1"/>
      <w:numFmt w:val="bullet"/>
      <w:lvlText w:val=""/>
      <w:lvlJc w:val="left"/>
      <w:pPr>
        <w:ind w:left="4493" w:hanging="360"/>
      </w:pPr>
      <w:rPr>
        <w:rFonts w:ascii="Wingdings" w:hAnsi="Wingdings" w:hint="default"/>
      </w:rPr>
    </w:lvl>
    <w:lvl w:ilvl="6" w:tplc="40090001" w:tentative="1">
      <w:start w:val="1"/>
      <w:numFmt w:val="bullet"/>
      <w:lvlText w:val=""/>
      <w:lvlJc w:val="left"/>
      <w:pPr>
        <w:ind w:left="5213" w:hanging="360"/>
      </w:pPr>
      <w:rPr>
        <w:rFonts w:ascii="Symbol" w:hAnsi="Symbol" w:hint="default"/>
      </w:rPr>
    </w:lvl>
    <w:lvl w:ilvl="7" w:tplc="40090003" w:tentative="1">
      <w:start w:val="1"/>
      <w:numFmt w:val="bullet"/>
      <w:lvlText w:val="o"/>
      <w:lvlJc w:val="left"/>
      <w:pPr>
        <w:ind w:left="5933" w:hanging="360"/>
      </w:pPr>
      <w:rPr>
        <w:rFonts w:ascii="Courier New" w:hAnsi="Courier New" w:cs="Courier New" w:hint="default"/>
      </w:rPr>
    </w:lvl>
    <w:lvl w:ilvl="8" w:tplc="40090005" w:tentative="1">
      <w:start w:val="1"/>
      <w:numFmt w:val="bullet"/>
      <w:lvlText w:val=""/>
      <w:lvlJc w:val="left"/>
      <w:pPr>
        <w:ind w:left="6653" w:hanging="360"/>
      </w:pPr>
      <w:rPr>
        <w:rFonts w:ascii="Wingdings" w:hAnsi="Wingdings" w:hint="default"/>
      </w:rPr>
    </w:lvl>
  </w:abstractNum>
  <w:abstractNum w:abstractNumId="12" w15:restartNumberingAfterBreak="0">
    <w:nsid w:val="44F0715C"/>
    <w:multiLevelType w:val="hybridMultilevel"/>
    <w:tmpl w:val="5928C578"/>
    <w:lvl w:ilvl="0" w:tplc="B768A56A">
      <w:numFmt w:val="bullet"/>
      <w:lvlText w:val="•"/>
      <w:lvlJc w:val="left"/>
      <w:pPr>
        <w:ind w:left="720" w:hanging="360"/>
      </w:pPr>
      <w:rPr>
        <w:rFonts w:ascii="Times New Roman" w:eastAsia="Times New Roman"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48ED746E"/>
    <w:multiLevelType w:val="hybridMultilevel"/>
    <w:tmpl w:val="29D64344"/>
    <w:lvl w:ilvl="0" w:tplc="40090013">
      <w:start w:val="1"/>
      <w:numFmt w:val="upperRoman"/>
      <w:lvlText w:val="%1."/>
      <w:lvlJc w:val="right"/>
      <w:pPr>
        <w:ind w:left="778" w:hanging="360"/>
      </w:pPr>
    </w:lvl>
    <w:lvl w:ilvl="1" w:tplc="FFFFFFFF" w:tentative="1">
      <w:start w:val="1"/>
      <w:numFmt w:val="lowerLetter"/>
      <w:lvlText w:val="%2."/>
      <w:lvlJc w:val="left"/>
      <w:pPr>
        <w:ind w:left="1498" w:hanging="360"/>
      </w:pPr>
    </w:lvl>
    <w:lvl w:ilvl="2" w:tplc="FFFFFFFF" w:tentative="1">
      <w:start w:val="1"/>
      <w:numFmt w:val="lowerRoman"/>
      <w:lvlText w:val="%3."/>
      <w:lvlJc w:val="right"/>
      <w:pPr>
        <w:ind w:left="2218" w:hanging="180"/>
      </w:pPr>
    </w:lvl>
    <w:lvl w:ilvl="3" w:tplc="FFFFFFFF" w:tentative="1">
      <w:start w:val="1"/>
      <w:numFmt w:val="decimal"/>
      <w:lvlText w:val="%4."/>
      <w:lvlJc w:val="left"/>
      <w:pPr>
        <w:ind w:left="2938" w:hanging="360"/>
      </w:pPr>
    </w:lvl>
    <w:lvl w:ilvl="4" w:tplc="FFFFFFFF" w:tentative="1">
      <w:start w:val="1"/>
      <w:numFmt w:val="lowerLetter"/>
      <w:lvlText w:val="%5."/>
      <w:lvlJc w:val="left"/>
      <w:pPr>
        <w:ind w:left="3658" w:hanging="360"/>
      </w:pPr>
    </w:lvl>
    <w:lvl w:ilvl="5" w:tplc="FFFFFFFF" w:tentative="1">
      <w:start w:val="1"/>
      <w:numFmt w:val="lowerRoman"/>
      <w:lvlText w:val="%6."/>
      <w:lvlJc w:val="right"/>
      <w:pPr>
        <w:ind w:left="4378" w:hanging="180"/>
      </w:pPr>
    </w:lvl>
    <w:lvl w:ilvl="6" w:tplc="FFFFFFFF" w:tentative="1">
      <w:start w:val="1"/>
      <w:numFmt w:val="decimal"/>
      <w:lvlText w:val="%7."/>
      <w:lvlJc w:val="left"/>
      <w:pPr>
        <w:ind w:left="5098" w:hanging="360"/>
      </w:pPr>
    </w:lvl>
    <w:lvl w:ilvl="7" w:tplc="FFFFFFFF" w:tentative="1">
      <w:start w:val="1"/>
      <w:numFmt w:val="lowerLetter"/>
      <w:lvlText w:val="%8."/>
      <w:lvlJc w:val="left"/>
      <w:pPr>
        <w:ind w:left="5818" w:hanging="360"/>
      </w:pPr>
    </w:lvl>
    <w:lvl w:ilvl="8" w:tplc="FFFFFFFF" w:tentative="1">
      <w:start w:val="1"/>
      <w:numFmt w:val="lowerRoman"/>
      <w:lvlText w:val="%9."/>
      <w:lvlJc w:val="right"/>
      <w:pPr>
        <w:ind w:left="6538" w:hanging="180"/>
      </w:pPr>
    </w:lvl>
  </w:abstractNum>
  <w:abstractNum w:abstractNumId="14" w15:restartNumberingAfterBreak="0">
    <w:nsid w:val="56751E46"/>
    <w:multiLevelType w:val="hybridMultilevel"/>
    <w:tmpl w:val="15F2625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75D4048F"/>
    <w:multiLevelType w:val="hybridMultilevel"/>
    <w:tmpl w:val="3FD6496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34807743">
    <w:abstractNumId w:val="8"/>
  </w:num>
  <w:num w:numId="2" w16cid:durableId="1302732835">
    <w:abstractNumId w:val="6"/>
  </w:num>
  <w:num w:numId="3" w16cid:durableId="1398478205">
    <w:abstractNumId w:val="5"/>
  </w:num>
  <w:num w:numId="4" w16cid:durableId="309287747">
    <w:abstractNumId w:val="4"/>
  </w:num>
  <w:num w:numId="5" w16cid:durableId="537594658">
    <w:abstractNumId w:val="7"/>
  </w:num>
  <w:num w:numId="6" w16cid:durableId="842471270">
    <w:abstractNumId w:val="3"/>
  </w:num>
  <w:num w:numId="7" w16cid:durableId="760373404">
    <w:abstractNumId w:val="2"/>
  </w:num>
  <w:num w:numId="8" w16cid:durableId="706876085">
    <w:abstractNumId w:val="1"/>
  </w:num>
  <w:num w:numId="9" w16cid:durableId="1367951180">
    <w:abstractNumId w:val="0"/>
  </w:num>
  <w:num w:numId="10" w16cid:durableId="2055422731">
    <w:abstractNumId w:val="10"/>
  </w:num>
  <w:num w:numId="11" w16cid:durableId="2145805962">
    <w:abstractNumId w:val="13"/>
  </w:num>
  <w:num w:numId="12" w16cid:durableId="1183666625">
    <w:abstractNumId w:val="9"/>
  </w:num>
  <w:num w:numId="13" w16cid:durableId="1752851883">
    <w:abstractNumId w:val="11"/>
  </w:num>
  <w:num w:numId="14" w16cid:durableId="1781413553">
    <w:abstractNumId w:val="15"/>
  </w:num>
  <w:num w:numId="15" w16cid:durableId="866407301">
    <w:abstractNumId w:val="14"/>
  </w:num>
  <w:num w:numId="16" w16cid:durableId="21851418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17ED"/>
    <w:rsid w:val="00034616"/>
    <w:rsid w:val="0006063C"/>
    <w:rsid w:val="00067498"/>
    <w:rsid w:val="000C42BC"/>
    <w:rsid w:val="000C681B"/>
    <w:rsid w:val="0012217E"/>
    <w:rsid w:val="00135052"/>
    <w:rsid w:val="00135DD6"/>
    <w:rsid w:val="0015074B"/>
    <w:rsid w:val="00184434"/>
    <w:rsid w:val="001E17C8"/>
    <w:rsid w:val="00274738"/>
    <w:rsid w:val="0029639D"/>
    <w:rsid w:val="002B7BC4"/>
    <w:rsid w:val="002F408D"/>
    <w:rsid w:val="00326F90"/>
    <w:rsid w:val="003F619C"/>
    <w:rsid w:val="00433441"/>
    <w:rsid w:val="00435FBF"/>
    <w:rsid w:val="004D6676"/>
    <w:rsid w:val="004F262A"/>
    <w:rsid w:val="00544F3B"/>
    <w:rsid w:val="0056250F"/>
    <w:rsid w:val="0058602D"/>
    <w:rsid w:val="00607FE5"/>
    <w:rsid w:val="006B6E7F"/>
    <w:rsid w:val="007023C6"/>
    <w:rsid w:val="007030B5"/>
    <w:rsid w:val="00765BB5"/>
    <w:rsid w:val="007C07DD"/>
    <w:rsid w:val="007C754C"/>
    <w:rsid w:val="007F64A2"/>
    <w:rsid w:val="00814B51"/>
    <w:rsid w:val="00865CB4"/>
    <w:rsid w:val="008E1881"/>
    <w:rsid w:val="00950347"/>
    <w:rsid w:val="00977C57"/>
    <w:rsid w:val="009D0247"/>
    <w:rsid w:val="009F62CB"/>
    <w:rsid w:val="00A16FE0"/>
    <w:rsid w:val="00A25D63"/>
    <w:rsid w:val="00A511BB"/>
    <w:rsid w:val="00A64F46"/>
    <w:rsid w:val="00A66978"/>
    <w:rsid w:val="00A9242F"/>
    <w:rsid w:val="00A95076"/>
    <w:rsid w:val="00AA1D8D"/>
    <w:rsid w:val="00AA5AF3"/>
    <w:rsid w:val="00AB5659"/>
    <w:rsid w:val="00AE5893"/>
    <w:rsid w:val="00AF3E04"/>
    <w:rsid w:val="00B03608"/>
    <w:rsid w:val="00B47730"/>
    <w:rsid w:val="00B53239"/>
    <w:rsid w:val="00B6425A"/>
    <w:rsid w:val="00B839A7"/>
    <w:rsid w:val="00BA7505"/>
    <w:rsid w:val="00C70859"/>
    <w:rsid w:val="00CB0664"/>
    <w:rsid w:val="00D95BB5"/>
    <w:rsid w:val="00DA65FF"/>
    <w:rsid w:val="00E70F01"/>
    <w:rsid w:val="00E9598E"/>
    <w:rsid w:val="00EB4F01"/>
    <w:rsid w:val="00EF0232"/>
    <w:rsid w:val="00EF7A99"/>
    <w:rsid w:val="00F343D2"/>
    <w:rsid w:val="00F614D1"/>
    <w:rsid w:val="00F64D8A"/>
    <w:rsid w:val="00F962DF"/>
    <w:rsid w:val="00FA3207"/>
    <w:rsid w:val="00FC1564"/>
    <w:rsid w:val="00FC693F"/>
    <w:rsid w:val="00FD5EB8"/>
    <w:rsid w:val="00FE33A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CFAB443"/>
  <w14:defaultImageDpi w14:val="300"/>
  <w15:docId w15:val="{0B4F36C5-5018-4771-84A8-D8AB6B68E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EEEBody">
    <w:name w:val="IEEE Body"/>
    <w:rPr>
      <w:rFonts w:ascii="Times New Roman" w:eastAsia="Times New Roman" w:hAnsi="Times New Roman"/>
      <w:sz w:val="20"/>
    </w:rPr>
  </w:style>
  <w:style w:type="paragraph" w:customStyle="1" w:styleId="IEEESection">
    <w:name w:val="IEEE Section"/>
    <w:rPr>
      <w:rFonts w:ascii="Times New Roman" w:eastAsia="Times New Roman" w:hAnsi="Times New Roman"/>
      <w:b/>
      <w:sz w:val="20"/>
    </w:rPr>
  </w:style>
  <w:style w:type="paragraph" w:customStyle="1" w:styleId="IEEESubsection">
    <w:name w:val="IEEE Subsection"/>
    <w:rPr>
      <w:rFonts w:ascii="Times New Roman" w:eastAsia="Times New Roman" w:hAnsi="Times New Roman"/>
      <w:sz w:val="20"/>
    </w:rPr>
  </w:style>
  <w:style w:type="paragraph" w:customStyle="1" w:styleId="IEEEAbstract">
    <w:name w:val="IEEE Abstract"/>
    <w:rPr>
      <w:rFonts w:ascii="Times New Roman" w:eastAsia="Times New Roman" w:hAnsi="Times New Roman"/>
      <w:sz w:val="18"/>
    </w:rPr>
  </w:style>
  <w:style w:type="paragraph" w:customStyle="1" w:styleId="IEEETitle">
    <w:name w:val="IEEE Title"/>
    <w:rPr>
      <w:rFonts w:ascii="Times New Roman" w:eastAsia="Times New Roman" w:hAnsi="Times New Roman"/>
      <w:sz w:val="48"/>
    </w:rPr>
  </w:style>
  <w:style w:type="paragraph" w:customStyle="1" w:styleId="IEEEAuthor">
    <w:name w:val="IEEE Author"/>
    <w:rPr>
      <w:rFonts w:ascii="Times New Roman" w:eastAsia="Times New Roman" w:hAnsi="Times New Roman"/>
    </w:rPr>
  </w:style>
  <w:style w:type="paragraph" w:customStyle="1" w:styleId="IEEEAffiliation">
    <w:name w:val="IEEE Affiliation"/>
    <w:rPr>
      <w:rFonts w:ascii="Times New Roman" w:eastAsia="Times New Roman" w:hAnsi="Times New Roman"/>
      <w:sz w:val="18"/>
    </w:rPr>
  </w:style>
  <w:style w:type="paragraph" w:customStyle="1" w:styleId="IEEEReferences">
    <w:name w:val="IEEE References"/>
    <w:rPr>
      <w:rFonts w:ascii="Times New Roman" w:eastAsia="Times New Roman" w:hAnsi="Times New Roman"/>
      <w:sz w:val="16"/>
    </w:rPr>
  </w:style>
  <w:style w:type="character" w:styleId="Hyperlink">
    <w:name w:val="Hyperlink"/>
    <w:basedOn w:val="DefaultParagraphFont"/>
    <w:uiPriority w:val="99"/>
    <w:unhideWhenUsed/>
    <w:rsid w:val="002B7BC4"/>
    <w:rPr>
      <w:color w:val="0000FF" w:themeColor="hyperlink"/>
      <w:u w:val="single"/>
    </w:rPr>
  </w:style>
  <w:style w:type="character" w:styleId="UnresolvedMention">
    <w:name w:val="Unresolved Mention"/>
    <w:basedOn w:val="DefaultParagraphFont"/>
    <w:uiPriority w:val="99"/>
    <w:semiHidden/>
    <w:unhideWhenUsed/>
    <w:rsid w:val="002B7B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14</Pages>
  <Words>4224</Words>
  <Characters>24080</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Design and Implementation of a Web-Based Blood Donation Management System for Donor, Recipient, and Inventory Coordination</vt:lpstr>
    </vt:vector>
  </TitlesOfParts>
  <Manager/>
  <Company/>
  <LinksUpToDate>false</LinksUpToDate>
  <CharactersWithSpaces>28248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 and Implementation of a Web-Based Blood Donation Management System for Donor, Recipient, and Inventory Coordination</dc:title>
  <dc:subject>IEEE-formatted research paper</dc:subject>
  <dc:creator>Suhani Rajesh Shah</dc:creator>
  <cp:keywords/>
  <dc:description>generated by python-docx</dc:description>
  <cp:lastModifiedBy>SDI 1166</cp:lastModifiedBy>
  <cp:revision>29</cp:revision>
  <dcterms:created xsi:type="dcterms:W3CDTF">2026-10-22T08:26:00Z</dcterms:created>
  <dcterms:modified xsi:type="dcterms:W3CDTF">2026-10-26T06:13:00Z</dcterms:modified>
  <cp:category/>
</cp:coreProperties>
</file>