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3C506" w14:textId="77777777" w:rsidR="00D611AC" w:rsidRPr="00DC26F6" w:rsidRDefault="00D611AC" w:rsidP="003A1836">
      <w:pPr>
        <w:jc w:val="center"/>
        <w:rPr>
          <w:rFonts w:ascii="Times New Roman" w:hAnsi="Times New Roman" w:cs="Times New Roman"/>
          <w:b/>
          <w:bCs/>
          <w:sz w:val="28"/>
          <w:szCs w:val="28"/>
        </w:rPr>
      </w:pPr>
      <w:r w:rsidRPr="00DC26F6">
        <w:rPr>
          <w:rFonts w:ascii="Times New Roman" w:hAnsi="Times New Roman" w:cs="Times New Roman"/>
          <w:b/>
          <w:bCs/>
          <w:sz w:val="28"/>
          <w:szCs w:val="28"/>
        </w:rPr>
        <w:t xml:space="preserve">Case Report </w:t>
      </w:r>
    </w:p>
    <w:p w14:paraId="5F9A5FA1" w14:textId="77777777" w:rsidR="00D611AC" w:rsidRPr="00DC26F6" w:rsidRDefault="00D611AC" w:rsidP="003A1836">
      <w:pPr>
        <w:jc w:val="center"/>
        <w:rPr>
          <w:rFonts w:ascii="Times New Roman" w:hAnsi="Times New Roman" w:cs="Times New Roman"/>
          <w:b/>
          <w:bCs/>
          <w:sz w:val="28"/>
          <w:szCs w:val="28"/>
        </w:rPr>
      </w:pPr>
    </w:p>
    <w:p w14:paraId="40538545" w14:textId="77777777" w:rsidR="00C70322" w:rsidRPr="00DC26F6" w:rsidRDefault="00C70322" w:rsidP="003A1836">
      <w:pPr>
        <w:jc w:val="center"/>
        <w:rPr>
          <w:rFonts w:ascii="Times New Roman" w:hAnsi="Times New Roman" w:cs="Times New Roman"/>
          <w:b/>
          <w:bCs/>
          <w:sz w:val="28"/>
          <w:szCs w:val="28"/>
        </w:rPr>
      </w:pPr>
      <w:r w:rsidRPr="00DC26F6">
        <w:rPr>
          <w:rFonts w:ascii="Times New Roman" w:hAnsi="Times New Roman" w:cs="Times New Roman"/>
          <w:b/>
          <w:bCs/>
          <w:sz w:val="28"/>
          <w:szCs w:val="28"/>
        </w:rPr>
        <w:t xml:space="preserve">Insulin-Induced </w:t>
      </w:r>
      <w:proofErr w:type="spellStart"/>
      <w:r w:rsidRPr="00DC26F6">
        <w:rPr>
          <w:rFonts w:ascii="Times New Roman" w:hAnsi="Times New Roman" w:cs="Times New Roman"/>
          <w:b/>
          <w:bCs/>
          <w:sz w:val="28"/>
          <w:szCs w:val="28"/>
        </w:rPr>
        <w:t>Hypoglycemic</w:t>
      </w:r>
      <w:proofErr w:type="spellEnd"/>
      <w:r w:rsidRPr="00DC26F6">
        <w:rPr>
          <w:rFonts w:ascii="Times New Roman" w:hAnsi="Times New Roman" w:cs="Times New Roman"/>
          <w:b/>
          <w:bCs/>
          <w:sz w:val="28"/>
          <w:szCs w:val="28"/>
        </w:rPr>
        <w:t xml:space="preserve"> Seizure in a Diabetic Patient with Acute Kidney Injury and Acute Decompensated Heart Failure</w:t>
      </w:r>
    </w:p>
    <w:p w14:paraId="5F2C837A" w14:textId="77777777" w:rsidR="00E716C6" w:rsidRPr="00DC26F6" w:rsidRDefault="00E716C6" w:rsidP="003A1836">
      <w:pPr>
        <w:jc w:val="center"/>
        <w:rPr>
          <w:rFonts w:ascii="Times New Roman" w:hAnsi="Times New Roman" w:cs="Times New Roman"/>
          <w:b/>
          <w:bCs/>
          <w:sz w:val="28"/>
          <w:szCs w:val="28"/>
        </w:rPr>
      </w:pPr>
    </w:p>
    <w:p w14:paraId="38205FEE" w14:textId="77777777" w:rsidR="00C70322" w:rsidRPr="00DC26F6" w:rsidRDefault="00C70322" w:rsidP="00C70322">
      <w:pPr>
        <w:rPr>
          <w:rFonts w:ascii="Times New Roman" w:hAnsi="Times New Roman" w:cs="Times New Roman"/>
          <w:b/>
          <w:bCs/>
        </w:rPr>
      </w:pPr>
      <w:r w:rsidRPr="00DC26F6">
        <w:rPr>
          <w:rFonts w:ascii="Times New Roman" w:hAnsi="Times New Roman" w:cs="Times New Roman"/>
          <w:b/>
          <w:bCs/>
        </w:rPr>
        <w:t>Abstract</w:t>
      </w:r>
    </w:p>
    <w:p w14:paraId="4D0CF5B1" w14:textId="77777777" w:rsidR="00C70322" w:rsidRPr="00DC26F6" w:rsidRDefault="00C70322" w:rsidP="00C70322">
      <w:pPr>
        <w:rPr>
          <w:rFonts w:ascii="Times New Roman" w:hAnsi="Times New Roman" w:cs="Times New Roman"/>
        </w:rPr>
      </w:pPr>
      <w:r w:rsidRPr="00DC26F6">
        <w:rPr>
          <w:rFonts w:ascii="Times New Roman" w:hAnsi="Times New Roman" w:cs="Times New Roman"/>
          <w:b/>
          <w:bCs/>
        </w:rPr>
        <w:t>Background:</w:t>
      </w:r>
      <w:r w:rsidRPr="00DC26F6">
        <w:rPr>
          <w:rFonts w:ascii="Times New Roman" w:hAnsi="Times New Roman" w:cs="Times New Roman"/>
        </w:rPr>
        <w:t xml:space="preserve"> Renal impairment prolongs insulin action and reduces renal gluconeogenesis, raising the risk of severe </w:t>
      </w:r>
      <w:proofErr w:type="spellStart"/>
      <w:r w:rsidRPr="00DC26F6">
        <w:rPr>
          <w:rFonts w:ascii="Times New Roman" w:hAnsi="Times New Roman" w:cs="Times New Roman"/>
        </w:rPr>
        <w:t>hypoglycemia</w:t>
      </w:r>
      <w:proofErr w:type="spellEnd"/>
      <w:r w:rsidRPr="00DC26F6">
        <w:rPr>
          <w:rFonts w:ascii="Times New Roman" w:hAnsi="Times New Roman" w:cs="Times New Roman"/>
        </w:rPr>
        <w:t>.</w:t>
      </w:r>
      <w:r w:rsidRPr="00DC26F6">
        <w:rPr>
          <w:rFonts w:ascii="Times New Roman" w:hAnsi="Times New Roman" w:cs="Times New Roman"/>
        </w:rPr>
        <w:br/>
      </w:r>
      <w:r w:rsidRPr="00DC26F6">
        <w:rPr>
          <w:rFonts w:ascii="Times New Roman" w:hAnsi="Times New Roman" w:cs="Times New Roman"/>
          <w:b/>
          <w:bCs/>
        </w:rPr>
        <w:t>Case:</w:t>
      </w:r>
      <w:r w:rsidRPr="00DC26F6">
        <w:rPr>
          <w:rFonts w:ascii="Times New Roman" w:hAnsi="Times New Roman" w:cs="Times New Roman"/>
        </w:rPr>
        <w:t xml:space="preserve"> A 57-year-old man with diabetes on isophane insulin presented with acute decompensated heart failure, myocardial injury (troponin I 0.360 ng/mL) and acute kidney injury (creatinine 3.1 mg/dL). On a basal-bolus regimen (NPH 6-0-4 U, </w:t>
      </w:r>
      <w:proofErr w:type="spellStart"/>
      <w:r w:rsidRPr="00DC26F6">
        <w:rPr>
          <w:rFonts w:ascii="Times New Roman" w:hAnsi="Times New Roman" w:cs="Times New Roman"/>
        </w:rPr>
        <w:t>Actrapid</w:t>
      </w:r>
      <w:proofErr w:type="spellEnd"/>
      <w:r w:rsidRPr="00DC26F6">
        <w:rPr>
          <w:rFonts w:ascii="Times New Roman" w:hAnsi="Times New Roman" w:cs="Times New Roman"/>
        </w:rPr>
        <w:t xml:space="preserve"> 4-4-2 U) with poor oral intake, he had a generalized tonic-</w:t>
      </w:r>
      <w:proofErr w:type="spellStart"/>
      <w:r w:rsidRPr="00DC26F6">
        <w:rPr>
          <w:rFonts w:ascii="Times New Roman" w:hAnsi="Times New Roman" w:cs="Times New Roman"/>
        </w:rPr>
        <w:t>clonic</w:t>
      </w:r>
      <w:proofErr w:type="spellEnd"/>
      <w:r w:rsidRPr="00DC26F6">
        <w:rPr>
          <w:rFonts w:ascii="Times New Roman" w:hAnsi="Times New Roman" w:cs="Times New Roman"/>
        </w:rPr>
        <w:t xml:space="preserve"> seizure at 03:30 on hospital day 3, with capillary glucose 38 mg/dL. The seizure resolved after IV dextrose. Insulin was reduced to NPH 6-0-2 U and </w:t>
      </w:r>
      <w:proofErr w:type="spellStart"/>
      <w:r w:rsidRPr="00DC26F6">
        <w:rPr>
          <w:rFonts w:ascii="Times New Roman" w:hAnsi="Times New Roman" w:cs="Times New Roman"/>
        </w:rPr>
        <w:t>Actrapid</w:t>
      </w:r>
      <w:proofErr w:type="spellEnd"/>
      <w:r w:rsidRPr="00DC26F6">
        <w:rPr>
          <w:rFonts w:ascii="Times New Roman" w:hAnsi="Times New Roman" w:cs="Times New Roman"/>
        </w:rPr>
        <w:t xml:space="preserve"> 4-4-1 U, with no recurrence.</w:t>
      </w:r>
      <w:r w:rsidRPr="00DC26F6">
        <w:rPr>
          <w:rFonts w:ascii="Times New Roman" w:hAnsi="Times New Roman" w:cs="Times New Roman"/>
        </w:rPr>
        <w:br/>
      </w:r>
      <w:r w:rsidRPr="00DC26F6">
        <w:rPr>
          <w:rFonts w:ascii="Times New Roman" w:hAnsi="Times New Roman" w:cs="Times New Roman"/>
          <w:b/>
          <w:bCs/>
        </w:rPr>
        <w:t>Conclusion:</w:t>
      </w:r>
      <w:r w:rsidRPr="00DC26F6">
        <w:rPr>
          <w:rFonts w:ascii="Times New Roman" w:hAnsi="Times New Roman" w:cs="Times New Roman"/>
        </w:rPr>
        <w:t xml:space="preserve"> Insulin should be reduced early in AKI and matched to actual intake. Evening NPH deserves particular caution.</w:t>
      </w:r>
    </w:p>
    <w:p w14:paraId="053A650A" w14:textId="77777777" w:rsidR="00C70322" w:rsidRPr="00DC26F6" w:rsidRDefault="00C70322" w:rsidP="00C70322">
      <w:pPr>
        <w:rPr>
          <w:rFonts w:ascii="Times New Roman" w:hAnsi="Times New Roman" w:cs="Times New Roman"/>
        </w:rPr>
      </w:pPr>
      <w:r w:rsidRPr="00DC26F6">
        <w:rPr>
          <w:rFonts w:ascii="Times New Roman" w:hAnsi="Times New Roman" w:cs="Times New Roman"/>
          <w:b/>
          <w:bCs/>
        </w:rPr>
        <w:t>Keywords:</w:t>
      </w:r>
      <w:r w:rsidRPr="00DC26F6">
        <w:rPr>
          <w:rFonts w:ascii="Times New Roman" w:hAnsi="Times New Roman" w:cs="Times New Roman"/>
        </w:rPr>
        <w:t xml:space="preserve"> </w:t>
      </w:r>
      <w:proofErr w:type="spellStart"/>
      <w:r w:rsidRPr="00DC26F6">
        <w:rPr>
          <w:rFonts w:ascii="Times New Roman" w:hAnsi="Times New Roman" w:cs="Times New Roman"/>
        </w:rPr>
        <w:t>hypoglycemia</w:t>
      </w:r>
      <w:proofErr w:type="spellEnd"/>
      <w:r w:rsidRPr="00DC26F6">
        <w:rPr>
          <w:rFonts w:ascii="Times New Roman" w:hAnsi="Times New Roman" w:cs="Times New Roman"/>
        </w:rPr>
        <w:t>, insulin, acute kidney injury, seizure, heart failure</w:t>
      </w:r>
    </w:p>
    <w:p w14:paraId="2C42ED07" w14:textId="77777777" w:rsidR="00C70322" w:rsidRPr="00DC26F6" w:rsidRDefault="00C70322" w:rsidP="00C70322">
      <w:pPr>
        <w:rPr>
          <w:rFonts w:ascii="Times New Roman" w:hAnsi="Times New Roman" w:cs="Times New Roman"/>
          <w:b/>
          <w:bCs/>
        </w:rPr>
      </w:pPr>
      <w:r w:rsidRPr="00DC26F6">
        <w:rPr>
          <w:rFonts w:ascii="Times New Roman" w:hAnsi="Times New Roman" w:cs="Times New Roman"/>
          <w:b/>
          <w:bCs/>
        </w:rPr>
        <w:t>Introduction</w:t>
      </w:r>
    </w:p>
    <w:p w14:paraId="1E8BE875"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 xml:space="preserve">The kidney clears a significant fraction of circulating insulin and contributes to fasting glucose production. In AKI, insulin half-life lengthens and counter-regulation weakens, so previously safe doses can cause profound </w:t>
      </w:r>
      <w:proofErr w:type="spellStart"/>
      <w:r w:rsidRPr="00DC26F6">
        <w:rPr>
          <w:rFonts w:ascii="Times New Roman" w:hAnsi="Times New Roman" w:cs="Times New Roman"/>
        </w:rPr>
        <w:t>hypoglycemia</w:t>
      </w:r>
      <w:proofErr w:type="spellEnd"/>
      <w:r w:rsidRPr="00DC26F6">
        <w:rPr>
          <w:rFonts w:ascii="Times New Roman" w:hAnsi="Times New Roman" w:cs="Times New Roman"/>
        </w:rPr>
        <w:t>. Anorexia, vomiting and beta-blockers add to the risk (Alsahli &amp; Gerich, 2015; Cryer et al., 2009). We describe a hospitalized patient in whom these factors converged.</w:t>
      </w:r>
    </w:p>
    <w:p w14:paraId="78618BD8" w14:textId="77777777" w:rsidR="005711EB" w:rsidRPr="00DC26F6" w:rsidRDefault="00000000">
      <w:pPr>
        <w:spacing w:after="140" w:line="271" w:lineRule="auto"/>
      </w:pPr>
      <w:r w:rsidRPr="00DC26F6">
        <w:t xml:space="preserve">The renal contribution to glucose regulation is especially relevant during acute illness because kidney dysfunction can alter both insulin disposition and endogenous glucose availability. Renal disease has been associated with decreased insulin clearance, impaired renal gluconeogenesis, and additional nutritional or metabolic contributors to </w:t>
      </w:r>
      <w:proofErr w:type="spellStart"/>
      <w:r w:rsidRPr="00DC26F6">
        <w:t>hypoglycemia</w:t>
      </w:r>
      <w:proofErr w:type="spellEnd"/>
      <w:r w:rsidRPr="00DC26F6">
        <w:t>; however, these mechanisms may differ according to the degree and duration of renal dysfunction (Alsahli &amp; Gerich, 2015; Snyder &amp; Berns, 2004). These considerations support individual reassessment of insulin requirements when kidney function changes rather than reliance on a fixed outpatient regimen.</w:t>
      </w:r>
    </w:p>
    <w:p w14:paraId="513ED847" w14:textId="77777777" w:rsidR="005711EB" w:rsidRPr="00DC26F6" w:rsidRDefault="00000000">
      <w:pPr>
        <w:spacing w:after="140" w:line="271" w:lineRule="auto"/>
      </w:pPr>
      <w:r w:rsidRPr="00DC26F6">
        <w:t xml:space="preserve">Observational evidence also links acute kidney injury to clinically important subsequent </w:t>
      </w:r>
      <w:proofErr w:type="spellStart"/>
      <w:r w:rsidRPr="00DC26F6">
        <w:t>hypoglycemia</w:t>
      </w:r>
      <w:proofErr w:type="spellEnd"/>
      <w:r w:rsidRPr="00DC26F6">
        <w:t xml:space="preserve">. In a large propensity-matched cohort of hospitalized adults with diabetes, acute kidney injury was associated with a higher risk of </w:t>
      </w:r>
      <w:proofErr w:type="spellStart"/>
      <w:r w:rsidRPr="00DC26F6">
        <w:t>hypoglycemia</w:t>
      </w:r>
      <w:proofErr w:type="spellEnd"/>
      <w:r w:rsidRPr="00DC26F6">
        <w:t xml:space="preserve"> during the 90 days after discharge, with greater risk among patients whose renal function had not fully recovered (Hung et al., 2018). Although these observations concern </w:t>
      </w:r>
      <w:proofErr w:type="spellStart"/>
      <w:r w:rsidRPr="00DC26F6">
        <w:t>postdischarge</w:t>
      </w:r>
      <w:proofErr w:type="spellEnd"/>
      <w:r w:rsidRPr="00DC26F6">
        <w:t xml:space="preserve"> outcomes and cannot establish the mechanism of an individual inpatient event, they reinforce the importance of monitoring glucose during and following changes in renal function.</w:t>
      </w:r>
    </w:p>
    <w:p w14:paraId="72FBEA8A" w14:textId="77777777" w:rsidR="005711EB" w:rsidRPr="00DC26F6" w:rsidRDefault="00000000">
      <w:pPr>
        <w:spacing w:after="140" w:line="271" w:lineRule="auto"/>
      </w:pPr>
      <w:r w:rsidRPr="00DC26F6">
        <w:t xml:space="preserve">Insulin dose selection during hospitalization must also account for variation in dietary intake. In a randomized study involving hospitalized patients with type 2 diabetes and renal insufficiency, a lower initial weight-based basal-bolus insulin dose provided comparable </w:t>
      </w:r>
      <w:proofErr w:type="spellStart"/>
      <w:r w:rsidRPr="00DC26F6">
        <w:t>glycemic</w:t>
      </w:r>
      <w:proofErr w:type="spellEnd"/>
      <w:r w:rsidRPr="00DC26F6">
        <w:t xml:space="preserve"> control </w:t>
      </w:r>
      <w:r w:rsidRPr="00DC26F6">
        <w:lastRenderedPageBreak/>
        <w:t xml:space="preserve">with fewer observed episodes of </w:t>
      </w:r>
      <w:proofErr w:type="spellStart"/>
      <w:r w:rsidRPr="00DC26F6">
        <w:t>hypoglycemia</w:t>
      </w:r>
      <w:proofErr w:type="spellEnd"/>
      <w:r w:rsidRPr="00DC26F6">
        <w:t xml:space="preserve"> than a higher dose (Baldwin et al., 2012). Another </w:t>
      </w:r>
      <w:proofErr w:type="spellStart"/>
      <w:r w:rsidRPr="00DC26F6">
        <w:t>multicenter</w:t>
      </w:r>
      <w:proofErr w:type="spellEnd"/>
      <w:r w:rsidRPr="00DC26F6">
        <w:t xml:space="preserve"> trial found that a basal-plus-correction approach achieved </w:t>
      </w:r>
      <w:proofErr w:type="spellStart"/>
      <w:r w:rsidRPr="00DC26F6">
        <w:t>glycemic</w:t>
      </w:r>
      <w:proofErr w:type="spellEnd"/>
      <w:r w:rsidRPr="00DC26F6">
        <w:t xml:space="preserve"> control similar to a scheduled basal-bolus regimen in selected noncritically ill medical and surgical patients (Umpierrez et al., 2013). These results support individualized assessment of treatment intensity but do not establish a single preferred regimen for patients with acute kidney injury.</w:t>
      </w:r>
    </w:p>
    <w:p w14:paraId="4561ACAA" w14:textId="77777777" w:rsidR="005711EB" w:rsidRPr="00DC26F6" w:rsidRDefault="00000000">
      <w:pPr>
        <w:spacing w:after="140" w:line="271" w:lineRule="auto"/>
      </w:pPr>
      <w:r w:rsidRPr="00DC26F6">
        <w:t xml:space="preserve">Insulin formulation and administration time are additional considerations. A patient-level meta-analysis of randomized trials reported a lower frequency of nocturnal </w:t>
      </w:r>
      <w:proofErr w:type="spellStart"/>
      <w:r w:rsidRPr="00DC26F6">
        <w:t>hypoglycemia</w:t>
      </w:r>
      <w:proofErr w:type="spellEnd"/>
      <w:r w:rsidRPr="00DC26F6">
        <w:t xml:space="preserve"> with insulin glargine than with evening neutral protamine Hagedorn (NPH) insulin in the populations studied (Home et al., 2010). Severe </w:t>
      </w:r>
      <w:proofErr w:type="spellStart"/>
      <w:r w:rsidRPr="00DC26F6">
        <w:t>hypoglycemia</w:t>
      </w:r>
      <w:proofErr w:type="spellEnd"/>
      <w:r w:rsidRPr="00DC26F6">
        <w:t xml:space="preserve"> has also been associated with cardiovascular electrophysiological disturbances, providing a further reason for caution when cardiac disease coexists with insulin treatment (Chow et al., 2014; Frier et al., 2011).</w:t>
      </w:r>
    </w:p>
    <w:p w14:paraId="4F29CB66" w14:textId="77777777" w:rsidR="00C70322" w:rsidRPr="00DC26F6" w:rsidRDefault="00C70322" w:rsidP="00C70322">
      <w:pPr>
        <w:rPr>
          <w:rFonts w:ascii="Times New Roman" w:hAnsi="Times New Roman" w:cs="Times New Roman"/>
          <w:b/>
          <w:bCs/>
        </w:rPr>
      </w:pPr>
      <w:r w:rsidRPr="00DC26F6">
        <w:rPr>
          <w:rFonts w:ascii="Times New Roman" w:hAnsi="Times New Roman" w:cs="Times New Roman"/>
          <w:b/>
          <w:bCs/>
        </w:rPr>
        <w:t>Case Presentation</w:t>
      </w:r>
    </w:p>
    <w:p w14:paraId="116CF980" w14:textId="77777777" w:rsidR="00C70322" w:rsidRPr="00DC26F6" w:rsidRDefault="00C70322" w:rsidP="00C70322">
      <w:pPr>
        <w:rPr>
          <w:rFonts w:ascii="Times New Roman" w:hAnsi="Times New Roman" w:cs="Times New Roman"/>
        </w:rPr>
      </w:pPr>
      <w:r w:rsidRPr="00DC26F6">
        <w:rPr>
          <w:rFonts w:ascii="Times New Roman" w:hAnsi="Times New Roman" w:cs="Times New Roman"/>
          <w:b/>
          <w:bCs/>
        </w:rPr>
        <w:t>Patient:</w:t>
      </w:r>
      <w:r w:rsidRPr="00DC26F6">
        <w:rPr>
          <w:rFonts w:ascii="Times New Roman" w:hAnsi="Times New Roman" w:cs="Times New Roman"/>
        </w:rPr>
        <w:t xml:space="preserve"> 57-year-old man, admitted 25/05/2026 via Emergency Medicine.</w:t>
      </w:r>
      <w:r w:rsidRPr="00DC26F6">
        <w:rPr>
          <w:rFonts w:ascii="Times New Roman" w:hAnsi="Times New Roman" w:cs="Times New Roman"/>
        </w:rPr>
        <w:br/>
      </w:r>
      <w:r w:rsidRPr="00DC26F6">
        <w:rPr>
          <w:rFonts w:ascii="Times New Roman" w:hAnsi="Times New Roman" w:cs="Times New Roman"/>
          <w:b/>
          <w:bCs/>
        </w:rPr>
        <w:t>Past history:</w:t>
      </w:r>
      <w:r w:rsidRPr="00DC26F6">
        <w:rPr>
          <w:rFonts w:ascii="Times New Roman" w:hAnsi="Times New Roman" w:cs="Times New Roman"/>
        </w:rPr>
        <w:t xml:space="preserve"> Type 2 diabetes mellitus for 12 years, on Inj. Isophane insulin 10 U morning and 6 U night at home, with poor adherence to diet. HbA1c 8.6%. Hypertension for 6 years. No prior </w:t>
      </w:r>
      <w:proofErr w:type="spellStart"/>
      <w:r w:rsidRPr="00DC26F6">
        <w:rPr>
          <w:rFonts w:ascii="Times New Roman" w:hAnsi="Times New Roman" w:cs="Times New Roman"/>
        </w:rPr>
        <w:t>hypoglycemia</w:t>
      </w:r>
      <w:proofErr w:type="spellEnd"/>
      <w:r w:rsidRPr="00DC26F6">
        <w:rPr>
          <w:rFonts w:ascii="Times New Roman" w:hAnsi="Times New Roman" w:cs="Times New Roman"/>
        </w:rPr>
        <w:t>, seizure, or known CKD. Non-smoker, occasional alcohol.</w:t>
      </w:r>
    </w:p>
    <w:p w14:paraId="1CAC5721" w14:textId="77777777" w:rsidR="00C70322" w:rsidRPr="00DC26F6" w:rsidRDefault="00C70322" w:rsidP="00C70322">
      <w:pPr>
        <w:rPr>
          <w:rFonts w:ascii="Times New Roman" w:hAnsi="Times New Roman" w:cs="Times New Roman"/>
        </w:rPr>
      </w:pPr>
      <w:r w:rsidRPr="00DC26F6">
        <w:rPr>
          <w:rFonts w:ascii="Times New Roman" w:hAnsi="Times New Roman" w:cs="Times New Roman"/>
          <w:b/>
          <w:bCs/>
        </w:rPr>
        <w:t>Presenting complaints (15 days):</w:t>
      </w:r>
      <w:r w:rsidRPr="00DC26F6">
        <w:rPr>
          <w:rFonts w:ascii="Times New Roman" w:hAnsi="Times New Roman" w:cs="Times New Roman"/>
        </w:rPr>
        <w:t xml:space="preserve"> progressive breathlessness (</w:t>
      </w:r>
      <w:proofErr w:type="spellStart"/>
      <w:r w:rsidRPr="00DC26F6">
        <w:rPr>
          <w:rFonts w:ascii="Times New Roman" w:hAnsi="Times New Roman" w:cs="Times New Roman"/>
        </w:rPr>
        <w:t>mMRC</w:t>
      </w:r>
      <w:proofErr w:type="spellEnd"/>
      <w:r w:rsidRPr="00DC26F6">
        <w:rPr>
          <w:rFonts w:ascii="Times New Roman" w:hAnsi="Times New Roman" w:cs="Times New Roman"/>
        </w:rPr>
        <w:t xml:space="preserve"> grade IV), </w:t>
      </w:r>
      <w:proofErr w:type="spellStart"/>
      <w:r w:rsidRPr="00DC26F6">
        <w:rPr>
          <w:rFonts w:ascii="Times New Roman" w:hAnsi="Times New Roman" w:cs="Times New Roman"/>
        </w:rPr>
        <w:t>orthopnea</w:t>
      </w:r>
      <w:proofErr w:type="spellEnd"/>
      <w:r w:rsidRPr="00DC26F6">
        <w:rPr>
          <w:rFonts w:ascii="Times New Roman" w:hAnsi="Times New Roman" w:cs="Times New Roman"/>
        </w:rPr>
        <w:t xml:space="preserve">, PND, bilateral pitting pedal </w:t>
      </w:r>
      <w:proofErr w:type="spellStart"/>
      <w:r w:rsidRPr="00DC26F6">
        <w:rPr>
          <w:rFonts w:ascii="Times New Roman" w:hAnsi="Times New Roman" w:cs="Times New Roman"/>
        </w:rPr>
        <w:t>edema</w:t>
      </w:r>
      <w:proofErr w:type="spellEnd"/>
      <w:r w:rsidRPr="00DC26F6">
        <w:rPr>
          <w:rFonts w:ascii="Times New Roman" w:hAnsi="Times New Roman" w:cs="Times New Roman"/>
        </w:rPr>
        <w:t>, cough with scanty expectoration, anorexia and postprandial vomiting.</w:t>
      </w:r>
    </w:p>
    <w:p w14:paraId="1A97463C" w14:textId="77777777" w:rsidR="00C70322" w:rsidRPr="00DC26F6" w:rsidRDefault="00C70322" w:rsidP="00C70322">
      <w:pPr>
        <w:rPr>
          <w:rFonts w:ascii="Times New Roman" w:hAnsi="Times New Roman" w:cs="Times New Roman"/>
        </w:rPr>
      </w:pPr>
      <w:r w:rsidRPr="00DC26F6">
        <w:rPr>
          <w:rFonts w:ascii="Times New Roman" w:hAnsi="Times New Roman" w:cs="Times New Roman"/>
          <w:b/>
          <w:bCs/>
        </w:rPr>
        <w:t>Examination:</w:t>
      </w:r>
      <w:r w:rsidRPr="00DC26F6">
        <w:rPr>
          <w:rFonts w:ascii="Times New Roman" w:hAnsi="Times New Roman" w:cs="Times New Roman"/>
        </w:rPr>
        <w:t xml:space="preserve"> Conscious, oriented, GCS 15/15. Pulse 102/min regular, BP 128/78 mmHg, RR 26/min, SpO₂ 90% on room air (95% on 3 L/min O₂), afebrile. Pallor absent. Bilateral pitting </w:t>
      </w:r>
      <w:proofErr w:type="spellStart"/>
      <w:r w:rsidRPr="00DC26F6">
        <w:rPr>
          <w:rFonts w:ascii="Times New Roman" w:hAnsi="Times New Roman" w:cs="Times New Roman"/>
        </w:rPr>
        <w:t>edema</w:t>
      </w:r>
      <w:proofErr w:type="spellEnd"/>
      <w:r w:rsidRPr="00DC26F6">
        <w:rPr>
          <w:rFonts w:ascii="Times New Roman" w:hAnsi="Times New Roman" w:cs="Times New Roman"/>
        </w:rPr>
        <w:t xml:space="preserve"> up to the knees. JVP raised (6 cm above sternal angle). Chest: bilateral basal crepitations. CVS: S1 S2 normal, S3 gallop present, no murmur. Abdomen: soft, mild tender hepatomegaly, suprapubic tenderness. CNS: no focal deficit.</w:t>
      </w:r>
    </w:p>
    <w:p w14:paraId="386E3CF2" w14:textId="77777777" w:rsidR="00C70322" w:rsidRPr="00DC26F6" w:rsidRDefault="00C70322" w:rsidP="00C70322">
      <w:pPr>
        <w:rPr>
          <w:rFonts w:ascii="Times New Roman" w:hAnsi="Times New Roman" w:cs="Times New Roman"/>
        </w:rPr>
      </w:pPr>
      <w:r w:rsidRPr="00DC26F6">
        <w:rPr>
          <w:rFonts w:ascii="Times New Roman" w:hAnsi="Times New Roman" w:cs="Times New Roman"/>
          <w:b/>
          <w:bCs/>
        </w:rPr>
        <w:t>Investigations:</w:t>
      </w:r>
    </w:p>
    <w:p w14:paraId="7824DEE3" w14:textId="77777777" w:rsidR="000132B9" w:rsidRPr="00DC26F6" w:rsidRDefault="000132B9" w:rsidP="00C70322">
      <w:pPr>
        <w:keepNext/>
        <w:spacing w:before="120" w:after="60"/>
        <w:rPr>
          <w:rFonts w:ascii="Times New Roman" w:hAnsi="Times New Roman" w:cs="Times New Roman"/>
          <w:b/>
          <w:bCs/>
        </w:rPr>
      </w:pPr>
      <w:r w:rsidRPr="00DC26F6">
        <w:rPr>
          <w:b/>
        </w:rPr>
        <w:t>Table 1. Clinical Laboratory, Electrocardiographic, Echocardiographic, and Radiographic Findings at Admission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12"/>
        <w:gridCol w:w="6314"/>
      </w:tblGrid>
      <w:tr w:rsidR="00C70322" w:rsidRPr="00DC26F6" w14:paraId="5D6106D6" w14:textId="77777777">
        <w:trPr>
          <w:tblHeader/>
          <w:tblCellSpacing w:w="15" w:type="dxa"/>
        </w:trPr>
        <w:tc>
          <w:tcPr>
            <w:tcW w:w="0" w:type="auto"/>
            <w:vAlign w:val="center"/>
            <w:hideMark/>
          </w:tcPr>
          <w:p w14:paraId="3987958A" w14:textId="77777777" w:rsidR="00C70322" w:rsidRPr="00DC26F6" w:rsidRDefault="00C70322" w:rsidP="00C70322">
            <w:pPr>
              <w:keepNext/>
              <w:rPr>
                <w:rFonts w:ascii="Times New Roman" w:hAnsi="Times New Roman" w:cs="Times New Roman"/>
                <w:b/>
                <w:bCs/>
              </w:rPr>
            </w:pPr>
            <w:r w:rsidRPr="00DC26F6">
              <w:rPr>
                <w:rFonts w:ascii="Times New Roman" w:hAnsi="Times New Roman" w:cs="Times New Roman"/>
                <w:b/>
                <w:bCs/>
              </w:rPr>
              <w:t>Test</w:t>
            </w:r>
          </w:p>
        </w:tc>
        <w:tc>
          <w:tcPr>
            <w:tcW w:w="0" w:type="auto"/>
            <w:vAlign w:val="center"/>
            <w:hideMark/>
          </w:tcPr>
          <w:p w14:paraId="21809857" w14:textId="77777777" w:rsidR="00C70322" w:rsidRPr="00DC26F6" w:rsidRDefault="00C70322" w:rsidP="00C70322">
            <w:pPr>
              <w:keepNext/>
              <w:rPr>
                <w:rFonts w:ascii="Times New Roman" w:hAnsi="Times New Roman" w:cs="Times New Roman"/>
                <w:b/>
                <w:bCs/>
              </w:rPr>
            </w:pPr>
            <w:r w:rsidRPr="00DC26F6">
              <w:rPr>
                <w:rFonts w:ascii="Times New Roman" w:hAnsi="Times New Roman" w:cs="Times New Roman"/>
                <w:b/>
                <w:bCs/>
              </w:rPr>
              <w:t>Result</w:t>
            </w:r>
          </w:p>
        </w:tc>
      </w:tr>
      <w:tr w:rsidR="00C70322" w:rsidRPr="00DC26F6" w14:paraId="727FAD37" w14:textId="77777777">
        <w:trPr>
          <w:tblCellSpacing w:w="15" w:type="dxa"/>
        </w:trPr>
        <w:tc>
          <w:tcPr>
            <w:tcW w:w="0" w:type="auto"/>
            <w:vAlign w:val="center"/>
            <w:hideMark/>
          </w:tcPr>
          <w:p w14:paraId="6E5039A6"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Troponin I (quantitative)</w:t>
            </w:r>
          </w:p>
        </w:tc>
        <w:tc>
          <w:tcPr>
            <w:tcW w:w="0" w:type="auto"/>
            <w:vAlign w:val="center"/>
            <w:hideMark/>
          </w:tcPr>
          <w:p w14:paraId="16C08374"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0.360 ng/mL (raised); repeat at 6 h 0.341 ng/mL (flat)</w:t>
            </w:r>
          </w:p>
        </w:tc>
      </w:tr>
      <w:tr w:rsidR="00C70322" w:rsidRPr="00DC26F6" w14:paraId="1A294C0D" w14:textId="77777777">
        <w:trPr>
          <w:tblCellSpacing w:w="15" w:type="dxa"/>
        </w:trPr>
        <w:tc>
          <w:tcPr>
            <w:tcW w:w="0" w:type="auto"/>
            <w:vAlign w:val="center"/>
            <w:hideMark/>
          </w:tcPr>
          <w:p w14:paraId="2724FA0A"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Blood urea / Serum creatinine</w:t>
            </w:r>
          </w:p>
        </w:tc>
        <w:tc>
          <w:tcPr>
            <w:tcW w:w="0" w:type="auto"/>
            <w:vAlign w:val="center"/>
            <w:hideMark/>
          </w:tcPr>
          <w:p w14:paraId="50990A34"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62 mg/dL / 3.1 mg/dL</w:t>
            </w:r>
          </w:p>
        </w:tc>
      </w:tr>
      <w:tr w:rsidR="00C70322" w:rsidRPr="00DC26F6" w14:paraId="1288F3A7" w14:textId="77777777">
        <w:trPr>
          <w:tblCellSpacing w:w="15" w:type="dxa"/>
        </w:trPr>
        <w:tc>
          <w:tcPr>
            <w:tcW w:w="0" w:type="auto"/>
            <w:vAlign w:val="center"/>
            <w:hideMark/>
          </w:tcPr>
          <w:p w14:paraId="3D575C6C"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Random blood glucose</w:t>
            </w:r>
          </w:p>
        </w:tc>
        <w:tc>
          <w:tcPr>
            <w:tcW w:w="0" w:type="auto"/>
            <w:vAlign w:val="center"/>
            <w:hideMark/>
          </w:tcPr>
          <w:p w14:paraId="5B8182EF"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208–229 mg/dL</w:t>
            </w:r>
          </w:p>
        </w:tc>
      </w:tr>
      <w:tr w:rsidR="00C70322" w:rsidRPr="00DC26F6" w14:paraId="293B2B7A" w14:textId="77777777">
        <w:trPr>
          <w:tblCellSpacing w:w="15" w:type="dxa"/>
        </w:trPr>
        <w:tc>
          <w:tcPr>
            <w:tcW w:w="0" w:type="auto"/>
            <w:vAlign w:val="center"/>
            <w:hideMark/>
          </w:tcPr>
          <w:p w14:paraId="2AF80591"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HbA1c</w:t>
            </w:r>
          </w:p>
        </w:tc>
        <w:tc>
          <w:tcPr>
            <w:tcW w:w="0" w:type="auto"/>
            <w:vAlign w:val="center"/>
            <w:hideMark/>
          </w:tcPr>
          <w:p w14:paraId="07FA527D"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8.6%</w:t>
            </w:r>
          </w:p>
        </w:tc>
      </w:tr>
      <w:tr w:rsidR="00C70322" w:rsidRPr="00DC26F6" w14:paraId="21839BBE" w14:textId="77777777">
        <w:trPr>
          <w:tblCellSpacing w:w="15" w:type="dxa"/>
        </w:trPr>
        <w:tc>
          <w:tcPr>
            <w:tcW w:w="0" w:type="auto"/>
            <w:vAlign w:val="center"/>
            <w:hideMark/>
          </w:tcPr>
          <w:p w14:paraId="5DFFA549" w14:textId="77777777" w:rsidR="00C70322" w:rsidRPr="00DC26F6" w:rsidRDefault="00C70322" w:rsidP="00C70322">
            <w:pPr>
              <w:rPr>
                <w:rFonts w:ascii="Times New Roman" w:hAnsi="Times New Roman" w:cs="Times New Roman"/>
              </w:rPr>
            </w:pPr>
            <w:proofErr w:type="spellStart"/>
            <w:r w:rsidRPr="00DC26F6">
              <w:rPr>
                <w:rFonts w:ascii="Times New Roman" w:hAnsi="Times New Roman" w:cs="Times New Roman"/>
              </w:rPr>
              <w:t>Hemoglobin</w:t>
            </w:r>
            <w:proofErr w:type="spellEnd"/>
            <w:r w:rsidRPr="00DC26F6">
              <w:rPr>
                <w:rFonts w:ascii="Times New Roman" w:hAnsi="Times New Roman" w:cs="Times New Roman"/>
              </w:rPr>
              <w:t xml:space="preserve"> / TLC / Platelets</w:t>
            </w:r>
          </w:p>
        </w:tc>
        <w:tc>
          <w:tcPr>
            <w:tcW w:w="0" w:type="auto"/>
            <w:vAlign w:val="center"/>
            <w:hideMark/>
          </w:tcPr>
          <w:p w14:paraId="3374C3AD"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11.2 g/dL / 11,800 /µL (neutrophilic) / 2.1 lakh/µL</w:t>
            </w:r>
          </w:p>
        </w:tc>
      </w:tr>
      <w:tr w:rsidR="00C70322" w:rsidRPr="00DC26F6" w14:paraId="3340AAC4" w14:textId="77777777">
        <w:trPr>
          <w:tblCellSpacing w:w="15" w:type="dxa"/>
        </w:trPr>
        <w:tc>
          <w:tcPr>
            <w:tcW w:w="0" w:type="auto"/>
            <w:vAlign w:val="center"/>
            <w:hideMark/>
          </w:tcPr>
          <w:p w14:paraId="50FA7DF9"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Na⁺ / K⁺ / Cl⁻</w:t>
            </w:r>
          </w:p>
        </w:tc>
        <w:tc>
          <w:tcPr>
            <w:tcW w:w="0" w:type="auto"/>
            <w:vAlign w:val="center"/>
            <w:hideMark/>
          </w:tcPr>
          <w:p w14:paraId="34BF8AE8"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134 / 5.3 / 100 mmol/L</w:t>
            </w:r>
          </w:p>
        </w:tc>
      </w:tr>
      <w:tr w:rsidR="00C70322" w:rsidRPr="00DC26F6" w14:paraId="0E20EA6C" w14:textId="77777777">
        <w:trPr>
          <w:tblCellSpacing w:w="15" w:type="dxa"/>
        </w:trPr>
        <w:tc>
          <w:tcPr>
            <w:tcW w:w="0" w:type="auto"/>
            <w:vAlign w:val="center"/>
            <w:hideMark/>
          </w:tcPr>
          <w:p w14:paraId="52E3FBCA"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Calcium / Magnesium</w:t>
            </w:r>
          </w:p>
        </w:tc>
        <w:tc>
          <w:tcPr>
            <w:tcW w:w="0" w:type="auto"/>
            <w:vAlign w:val="center"/>
            <w:hideMark/>
          </w:tcPr>
          <w:p w14:paraId="0F3F6561"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8.7 / 1.9 mg/dL</w:t>
            </w:r>
          </w:p>
        </w:tc>
      </w:tr>
      <w:tr w:rsidR="00C70322" w:rsidRPr="00DC26F6" w14:paraId="47400F41" w14:textId="77777777">
        <w:trPr>
          <w:tblCellSpacing w:w="15" w:type="dxa"/>
        </w:trPr>
        <w:tc>
          <w:tcPr>
            <w:tcW w:w="0" w:type="auto"/>
            <w:vAlign w:val="center"/>
            <w:hideMark/>
          </w:tcPr>
          <w:p w14:paraId="1FCDDCD8"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Serum bicarbonate</w:t>
            </w:r>
          </w:p>
        </w:tc>
        <w:tc>
          <w:tcPr>
            <w:tcW w:w="0" w:type="auto"/>
            <w:vAlign w:val="center"/>
            <w:hideMark/>
          </w:tcPr>
          <w:p w14:paraId="379E195E"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17 mmol/L (mild metabolic acidosis)</w:t>
            </w:r>
          </w:p>
        </w:tc>
      </w:tr>
      <w:tr w:rsidR="00C70322" w:rsidRPr="00DC26F6" w14:paraId="7AB0E878" w14:textId="77777777">
        <w:trPr>
          <w:tblCellSpacing w:w="15" w:type="dxa"/>
        </w:trPr>
        <w:tc>
          <w:tcPr>
            <w:tcW w:w="0" w:type="auto"/>
            <w:vAlign w:val="center"/>
            <w:hideMark/>
          </w:tcPr>
          <w:p w14:paraId="7F95FDDC"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lastRenderedPageBreak/>
              <w:t>ABG</w:t>
            </w:r>
          </w:p>
        </w:tc>
        <w:tc>
          <w:tcPr>
            <w:tcW w:w="0" w:type="auto"/>
            <w:vAlign w:val="center"/>
            <w:hideMark/>
          </w:tcPr>
          <w:p w14:paraId="3838EB8A"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 xml:space="preserve">pH 7.31, </w:t>
            </w:r>
            <w:proofErr w:type="spellStart"/>
            <w:r w:rsidRPr="00DC26F6">
              <w:rPr>
                <w:rFonts w:ascii="Times New Roman" w:hAnsi="Times New Roman" w:cs="Times New Roman"/>
              </w:rPr>
              <w:t>pCO</w:t>
            </w:r>
            <w:proofErr w:type="spellEnd"/>
            <w:r w:rsidRPr="00DC26F6">
              <w:rPr>
                <w:rFonts w:ascii="Times New Roman" w:hAnsi="Times New Roman" w:cs="Times New Roman"/>
              </w:rPr>
              <w:t>₂ 30, HCO₃ 15</w:t>
            </w:r>
          </w:p>
        </w:tc>
      </w:tr>
      <w:tr w:rsidR="00C70322" w:rsidRPr="00DC26F6" w14:paraId="3D4B4A56" w14:textId="77777777">
        <w:trPr>
          <w:tblCellSpacing w:w="15" w:type="dxa"/>
        </w:trPr>
        <w:tc>
          <w:tcPr>
            <w:tcW w:w="0" w:type="auto"/>
            <w:vAlign w:val="center"/>
            <w:hideMark/>
          </w:tcPr>
          <w:p w14:paraId="6FD32D8A"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Urine routine</w:t>
            </w:r>
          </w:p>
        </w:tc>
        <w:tc>
          <w:tcPr>
            <w:tcW w:w="0" w:type="auto"/>
            <w:vAlign w:val="center"/>
            <w:hideMark/>
          </w:tcPr>
          <w:p w14:paraId="13870158"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Protein 1+, pus cells 15–20/</w:t>
            </w:r>
            <w:proofErr w:type="spellStart"/>
            <w:r w:rsidRPr="00DC26F6">
              <w:rPr>
                <w:rFonts w:ascii="Times New Roman" w:hAnsi="Times New Roman" w:cs="Times New Roman"/>
              </w:rPr>
              <w:t>hpf</w:t>
            </w:r>
            <w:proofErr w:type="spellEnd"/>
            <w:r w:rsidRPr="00DC26F6">
              <w:rPr>
                <w:rFonts w:ascii="Times New Roman" w:hAnsi="Times New Roman" w:cs="Times New Roman"/>
              </w:rPr>
              <w:t>, no ketones</w:t>
            </w:r>
          </w:p>
        </w:tc>
      </w:tr>
      <w:tr w:rsidR="00C70322" w:rsidRPr="00DC26F6" w14:paraId="7C4DE897" w14:textId="77777777">
        <w:trPr>
          <w:tblCellSpacing w:w="15" w:type="dxa"/>
        </w:trPr>
        <w:tc>
          <w:tcPr>
            <w:tcW w:w="0" w:type="auto"/>
            <w:vAlign w:val="center"/>
            <w:hideMark/>
          </w:tcPr>
          <w:p w14:paraId="0C6F9605"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ECG</w:t>
            </w:r>
          </w:p>
        </w:tc>
        <w:tc>
          <w:tcPr>
            <w:tcW w:w="0" w:type="auto"/>
            <w:vAlign w:val="center"/>
            <w:hideMark/>
          </w:tcPr>
          <w:p w14:paraId="2FDAE9F3"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Sinus tachycardia, nonspecific ST-T changes, no acute ST elevation</w:t>
            </w:r>
          </w:p>
        </w:tc>
      </w:tr>
      <w:tr w:rsidR="00C70322" w:rsidRPr="00DC26F6" w14:paraId="1678E7A4" w14:textId="77777777">
        <w:trPr>
          <w:tblCellSpacing w:w="15" w:type="dxa"/>
        </w:trPr>
        <w:tc>
          <w:tcPr>
            <w:tcW w:w="0" w:type="auto"/>
            <w:vAlign w:val="center"/>
            <w:hideMark/>
          </w:tcPr>
          <w:p w14:paraId="53E0D67A"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2D-Echo</w:t>
            </w:r>
          </w:p>
        </w:tc>
        <w:tc>
          <w:tcPr>
            <w:tcW w:w="0" w:type="auto"/>
            <w:vAlign w:val="center"/>
            <w:hideMark/>
          </w:tcPr>
          <w:p w14:paraId="7390D644"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LVEF 30%, global hypokinesia, mild MR, IVC dilated</w:t>
            </w:r>
          </w:p>
        </w:tc>
      </w:tr>
      <w:tr w:rsidR="00C70322" w:rsidRPr="00DC26F6" w14:paraId="2709963F" w14:textId="77777777">
        <w:trPr>
          <w:tblCellSpacing w:w="15" w:type="dxa"/>
        </w:trPr>
        <w:tc>
          <w:tcPr>
            <w:tcW w:w="0" w:type="auto"/>
            <w:vAlign w:val="center"/>
            <w:hideMark/>
          </w:tcPr>
          <w:p w14:paraId="375B38A6"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Chest X-ray</w:t>
            </w:r>
          </w:p>
        </w:tc>
        <w:tc>
          <w:tcPr>
            <w:tcW w:w="0" w:type="auto"/>
            <w:vAlign w:val="center"/>
            <w:hideMark/>
          </w:tcPr>
          <w:p w14:paraId="41990961"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Cardiomegaly, bilateral pleural effusion, pulmonary venous congestion</w:t>
            </w:r>
          </w:p>
        </w:tc>
      </w:tr>
    </w:tbl>
    <w:p w14:paraId="35D5B7B8" w14:textId="77777777" w:rsidR="00C70322" w:rsidRPr="00DC26F6" w:rsidRDefault="00C70322" w:rsidP="00C70322">
      <w:pPr>
        <w:rPr>
          <w:rFonts w:ascii="Times New Roman" w:hAnsi="Times New Roman" w:cs="Times New Roman"/>
        </w:rPr>
      </w:pPr>
      <w:r w:rsidRPr="00DC26F6">
        <w:rPr>
          <w:rFonts w:ascii="Times New Roman" w:hAnsi="Times New Roman" w:cs="Times New Roman"/>
          <w:b/>
          <w:bCs/>
        </w:rPr>
        <w:t>USG KUB:</w:t>
      </w:r>
      <w:r w:rsidRPr="00DC26F6">
        <w:rPr>
          <w:rFonts w:ascii="Times New Roman" w:hAnsi="Times New Roman" w:cs="Times New Roman"/>
        </w:rPr>
        <w:t xml:space="preserve"> Bilateral increased renal cortical echoes (AKI/medical renal disease), right renal cortical cyst, diffuse irregular bladder wall thickening of 7 mm (cystitis), grade I </w:t>
      </w:r>
      <w:proofErr w:type="spellStart"/>
      <w:r w:rsidRPr="00DC26F6">
        <w:rPr>
          <w:rFonts w:ascii="Times New Roman" w:hAnsi="Times New Roman" w:cs="Times New Roman"/>
        </w:rPr>
        <w:t>prostatomegaly</w:t>
      </w:r>
      <w:proofErr w:type="spellEnd"/>
      <w:r w:rsidRPr="00DC26F6">
        <w:rPr>
          <w:rFonts w:ascii="Times New Roman" w:hAnsi="Times New Roman" w:cs="Times New Roman"/>
        </w:rPr>
        <w:t>.</w:t>
      </w:r>
    </w:p>
    <w:p w14:paraId="62F5D699" w14:textId="77777777" w:rsidR="00C70322" w:rsidRPr="00DC26F6" w:rsidRDefault="00C70322" w:rsidP="00C70322">
      <w:pPr>
        <w:rPr>
          <w:rFonts w:ascii="Times New Roman" w:hAnsi="Times New Roman" w:cs="Times New Roman"/>
        </w:rPr>
      </w:pPr>
      <w:r w:rsidRPr="00DC26F6">
        <w:rPr>
          <w:rFonts w:ascii="Times New Roman" w:hAnsi="Times New Roman" w:cs="Times New Roman"/>
          <w:b/>
          <w:bCs/>
        </w:rPr>
        <w:t>Diagnosis:</w:t>
      </w:r>
      <w:r w:rsidRPr="00DC26F6">
        <w:rPr>
          <w:rFonts w:ascii="Times New Roman" w:hAnsi="Times New Roman" w:cs="Times New Roman"/>
        </w:rPr>
        <w:t xml:space="preserve"> Acute decompensated heart failure with reduced EF (LVEF 30%) with type 2 myocardial injury, cardiorenal AKI (KDIGO stage 2) (</w:t>
      </w:r>
      <w:proofErr w:type="gramStart"/>
      <w:r w:rsidRPr="00DC26F6">
        <w:rPr>
          <w:rFonts w:ascii="Times New Roman" w:hAnsi="Times New Roman" w:cs="Times New Roman"/>
        </w:rPr>
        <w:t>Kidney Disease</w:t>
      </w:r>
      <w:proofErr w:type="gramEnd"/>
      <w:r w:rsidRPr="00DC26F6">
        <w:rPr>
          <w:rFonts w:ascii="Times New Roman" w:hAnsi="Times New Roman" w:cs="Times New Roman"/>
        </w:rPr>
        <w:t xml:space="preserve">: Improving Global Outcomes [KDIGO] Acute Kidney Injury Work Group, 2012), type 2 diabetes with </w:t>
      </w:r>
      <w:proofErr w:type="spellStart"/>
      <w:r w:rsidRPr="00DC26F6">
        <w:rPr>
          <w:rFonts w:ascii="Times New Roman" w:hAnsi="Times New Roman" w:cs="Times New Roman"/>
        </w:rPr>
        <w:t>hyperglycemia</w:t>
      </w:r>
      <w:proofErr w:type="spellEnd"/>
      <w:r w:rsidRPr="00DC26F6">
        <w:rPr>
          <w:rFonts w:ascii="Times New Roman" w:hAnsi="Times New Roman" w:cs="Times New Roman"/>
        </w:rPr>
        <w:t>, and cystitis.</w:t>
      </w:r>
    </w:p>
    <w:p w14:paraId="0C3693BC" w14:textId="77777777" w:rsidR="00C70322" w:rsidRPr="00DC26F6" w:rsidRDefault="00C70322" w:rsidP="00C70322">
      <w:pPr>
        <w:rPr>
          <w:rFonts w:ascii="Times New Roman" w:hAnsi="Times New Roman" w:cs="Times New Roman"/>
          <w:b/>
          <w:bCs/>
        </w:rPr>
      </w:pPr>
      <w:r w:rsidRPr="00DC26F6">
        <w:rPr>
          <w:rFonts w:ascii="Times New Roman" w:hAnsi="Times New Roman" w:cs="Times New Roman"/>
          <w:b/>
          <w:bCs/>
        </w:rPr>
        <w:t>Initial Treatment</w:t>
      </w:r>
    </w:p>
    <w:p w14:paraId="24CE5935"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 xml:space="preserve">Inj. Ceftriaxone 2 g IV OD; Inj. Pantoprazole 40 mg IV OD (then PO); Tab. Sodium bicarbonate 1 g TDS; Tab. Ezetimibe/Atorvastatin 10/20 mg HS; Tab. Itopride 2.5 mg OD; Tab. Furosemide 20 mg 1-1-0; Tab. Carvedilol 3.125 mg 1-0-1; Inj. NPH 6 U-0-4 U SC; Inj. </w:t>
      </w:r>
      <w:proofErr w:type="spellStart"/>
      <w:r w:rsidRPr="00DC26F6">
        <w:rPr>
          <w:rFonts w:ascii="Times New Roman" w:hAnsi="Times New Roman" w:cs="Times New Roman"/>
        </w:rPr>
        <w:t>Actrapid</w:t>
      </w:r>
      <w:proofErr w:type="spellEnd"/>
      <w:r w:rsidRPr="00DC26F6">
        <w:rPr>
          <w:rFonts w:ascii="Times New Roman" w:hAnsi="Times New Roman" w:cs="Times New Roman"/>
        </w:rPr>
        <w:t xml:space="preserve"> 4 U-4 U-2 U SC. Spironolactone 12.5 mg and ivabradine 5 mg were stopped by the treating physician because of AKI with potassium 5.3 mmol/L and the risk of bradycardia with concurrent beta-blocker. Oxygen and fluid restriction were advised.</w:t>
      </w:r>
    </w:p>
    <w:p w14:paraId="1B410BCA" w14:textId="77777777" w:rsidR="00C70322" w:rsidRPr="00DC26F6" w:rsidRDefault="00C70322" w:rsidP="00C70322">
      <w:pPr>
        <w:rPr>
          <w:rFonts w:ascii="Times New Roman" w:hAnsi="Times New Roman" w:cs="Times New Roman"/>
          <w:b/>
          <w:bCs/>
        </w:rPr>
      </w:pPr>
      <w:proofErr w:type="spellStart"/>
      <w:r w:rsidRPr="00DC26F6">
        <w:rPr>
          <w:rFonts w:ascii="Times New Roman" w:hAnsi="Times New Roman" w:cs="Times New Roman"/>
          <w:b/>
          <w:bCs/>
        </w:rPr>
        <w:t>Hypoglycemic</w:t>
      </w:r>
      <w:proofErr w:type="spellEnd"/>
      <w:r w:rsidRPr="00DC26F6">
        <w:rPr>
          <w:rFonts w:ascii="Times New Roman" w:hAnsi="Times New Roman" w:cs="Times New Roman"/>
          <w:b/>
          <w:bCs/>
        </w:rPr>
        <w:t xml:space="preserve"> Event</w:t>
      </w:r>
    </w:p>
    <w:p w14:paraId="296E0D71"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 xml:space="preserve">On hospital day 3, the patient had been eating about one-third of his meals because of nausea and anorexia. He had received NPH 4 U at 21:00 and had eaten little dinner. At 03:30, the nurse found him diaphoretic and confused, followed by a </w:t>
      </w:r>
      <w:r w:rsidRPr="00DC26F6">
        <w:rPr>
          <w:rFonts w:ascii="Times New Roman" w:hAnsi="Times New Roman" w:cs="Times New Roman"/>
          <w:b/>
          <w:bCs/>
        </w:rPr>
        <w:t>generalized tonic-</w:t>
      </w:r>
      <w:proofErr w:type="spellStart"/>
      <w:r w:rsidRPr="00DC26F6">
        <w:rPr>
          <w:rFonts w:ascii="Times New Roman" w:hAnsi="Times New Roman" w:cs="Times New Roman"/>
          <w:b/>
          <w:bCs/>
        </w:rPr>
        <w:t>clonic</w:t>
      </w:r>
      <w:proofErr w:type="spellEnd"/>
      <w:r w:rsidRPr="00DC26F6">
        <w:rPr>
          <w:rFonts w:ascii="Times New Roman" w:hAnsi="Times New Roman" w:cs="Times New Roman"/>
          <w:b/>
          <w:bCs/>
        </w:rPr>
        <w:t xml:space="preserve"> seizure lasting about 2 minutes</w:t>
      </w:r>
      <w:r w:rsidRPr="00DC26F6">
        <w:rPr>
          <w:rFonts w:ascii="Times New Roman" w:hAnsi="Times New Roman" w:cs="Times New Roman"/>
        </w:rPr>
        <w:t xml:space="preserve"> with tongue bite and post-ictal drowsiness. </w:t>
      </w:r>
      <w:r w:rsidRPr="00DC26F6">
        <w:rPr>
          <w:rFonts w:ascii="Times New Roman" w:hAnsi="Times New Roman" w:cs="Times New Roman"/>
          <w:b/>
          <w:bCs/>
        </w:rPr>
        <w:t>Capillary glucose was 38 mg/dL</w:t>
      </w:r>
      <w:r w:rsidRPr="00DC26F6">
        <w:rPr>
          <w:rFonts w:ascii="Times New Roman" w:hAnsi="Times New Roman" w:cs="Times New Roman"/>
        </w:rPr>
        <w:t>; pulse 112/min, BP 134/80 mmHg, SpO₂ 94%, GCS 8/15 during the event. Bedside glucose at 22:00 the previous night had been 146 mg/dL, and the preceding afternoon 168 mg/dL.</w:t>
      </w:r>
    </w:p>
    <w:p w14:paraId="7E065F58" w14:textId="77777777" w:rsidR="00C70322" w:rsidRPr="00DC26F6" w:rsidRDefault="00C70322" w:rsidP="00C70322">
      <w:pPr>
        <w:rPr>
          <w:rFonts w:ascii="Times New Roman" w:hAnsi="Times New Roman" w:cs="Times New Roman"/>
        </w:rPr>
      </w:pPr>
      <w:r w:rsidRPr="00DC26F6">
        <w:rPr>
          <w:rFonts w:ascii="Times New Roman" w:hAnsi="Times New Roman" w:cs="Times New Roman"/>
          <w:b/>
          <w:bCs/>
        </w:rPr>
        <w:t>Alternative causes were excluded:</w:t>
      </w:r>
      <w:r w:rsidRPr="00DC26F6">
        <w:rPr>
          <w:rFonts w:ascii="Times New Roman" w:hAnsi="Times New Roman" w:cs="Times New Roman"/>
        </w:rPr>
        <w:t xml:space="preserve"> serum sodium 135, calcium 8.8, magnesium 1.9 mmol/L, no new uremic features (urea 66 mg/dL), non-contrast CT brain normal, ECG showed sinus tachycardia without arrhythmia or QT prolongation, and there was no fever. Whipple's triad was satisfied (symptoms, documented low glucose, prompt recovery with glucose; Cryer et al., 2009).</w:t>
      </w:r>
    </w:p>
    <w:p w14:paraId="5584B51E" w14:textId="77777777" w:rsidR="00C70322" w:rsidRPr="00DC26F6" w:rsidRDefault="00C70322" w:rsidP="00C70322">
      <w:pPr>
        <w:rPr>
          <w:rFonts w:ascii="Times New Roman" w:hAnsi="Times New Roman" w:cs="Times New Roman"/>
          <w:b/>
          <w:bCs/>
        </w:rPr>
      </w:pPr>
      <w:r w:rsidRPr="00DC26F6">
        <w:rPr>
          <w:rFonts w:ascii="Times New Roman" w:hAnsi="Times New Roman" w:cs="Times New Roman"/>
          <w:b/>
          <w:bCs/>
        </w:rPr>
        <w:t>Management of the Event</w:t>
      </w:r>
    </w:p>
    <w:p w14:paraId="5F252D5E"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 xml:space="preserve">The patient was positioned left lateral, airway protected and oxygen given. IV access was secured and </w:t>
      </w:r>
      <w:r w:rsidRPr="00DC26F6">
        <w:rPr>
          <w:rFonts w:ascii="Times New Roman" w:hAnsi="Times New Roman" w:cs="Times New Roman"/>
          <w:b/>
          <w:bCs/>
        </w:rPr>
        <w:t>50 mL of D50W (25 g dextrose)</w:t>
      </w:r>
      <w:r w:rsidRPr="00DC26F6">
        <w:rPr>
          <w:rFonts w:ascii="Times New Roman" w:hAnsi="Times New Roman" w:cs="Times New Roman"/>
        </w:rPr>
        <w:t xml:space="preserve"> was given as a slow bolus. The seizure had already terminated, so no benzodiazepine was required. Repeat glucose at 15 minutes was 96 mg/dL; a </w:t>
      </w:r>
      <w:r w:rsidRPr="00DC26F6">
        <w:rPr>
          <w:rFonts w:ascii="Times New Roman" w:hAnsi="Times New Roman" w:cs="Times New Roman"/>
          <w:b/>
          <w:bCs/>
        </w:rPr>
        <w:t>D10W infusion at 60 mL/hour</w:t>
      </w:r>
      <w:r w:rsidRPr="00DC26F6">
        <w:rPr>
          <w:rFonts w:ascii="Times New Roman" w:hAnsi="Times New Roman" w:cs="Times New Roman"/>
        </w:rPr>
        <w:t xml:space="preserve"> was started and glucose checked hourly. Glucose values were 112, 134, 148 and 160 mg/dL over the next 4 hours. GCS returned to 15/15 within 30 minutes and the infusion was tapered over 12 hours. Insulin was withheld until morning, then restarted at reduced doses.</w:t>
      </w:r>
    </w:p>
    <w:p w14:paraId="304A5773" w14:textId="77777777" w:rsidR="00C70322" w:rsidRPr="00DC26F6" w:rsidRDefault="00C70322" w:rsidP="00C70322">
      <w:pPr>
        <w:rPr>
          <w:rFonts w:ascii="Times New Roman" w:hAnsi="Times New Roman" w:cs="Times New Roman"/>
          <w:b/>
          <w:bCs/>
        </w:rPr>
      </w:pPr>
      <w:r w:rsidRPr="00DC26F6">
        <w:rPr>
          <w:rFonts w:ascii="Times New Roman" w:hAnsi="Times New Roman" w:cs="Times New Roman"/>
          <w:b/>
          <w:bCs/>
        </w:rPr>
        <w:t>Insulin Dose Adjustment</w:t>
      </w:r>
    </w:p>
    <w:p w14:paraId="2F09AAA0"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 xml:space="preserve">Because the event was nocturnal, the evening NPH and the pre-dinner </w:t>
      </w:r>
      <w:proofErr w:type="spellStart"/>
      <w:r w:rsidRPr="00DC26F6">
        <w:rPr>
          <w:rFonts w:ascii="Times New Roman" w:hAnsi="Times New Roman" w:cs="Times New Roman"/>
        </w:rPr>
        <w:t>Actrapid</w:t>
      </w:r>
      <w:proofErr w:type="spellEnd"/>
      <w:r w:rsidRPr="00DC26F6">
        <w:rPr>
          <w:rFonts w:ascii="Times New Roman" w:hAnsi="Times New Roman" w:cs="Times New Roman"/>
        </w:rPr>
        <w:t xml:space="preserve"> were reduced:</w:t>
      </w:r>
    </w:p>
    <w:p w14:paraId="20E3796B" w14:textId="77777777" w:rsidR="00F25A33" w:rsidRPr="00DC26F6" w:rsidRDefault="00F25A33" w:rsidP="00C70322">
      <w:pPr>
        <w:keepNext/>
        <w:spacing w:before="120" w:after="60"/>
        <w:rPr>
          <w:rFonts w:ascii="Times New Roman" w:hAnsi="Times New Roman" w:cs="Times New Roman"/>
        </w:rPr>
      </w:pPr>
      <w:r w:rsidRPr="00DC26F6">
        <w:rPr>
          <w:b/>
        </w:rPr>
        <w:lastRenderedPageBreak/>
        <w:t xml:space="preserve">Table 2. Timing-Based Insulin Dose Adjustment Options and the Regimen Selected After the Nocturnal </w:t>
      </w:r>
      <w:proofErr w:type="spellStart"/>
      <w:r w:rsidRPr="00DC26F6">
        <w:rPr>
          <w:b/>
        </w:rPr>
        <w:t>Hypoglycemic</w:t>
      </w:r>
      <w:proofErr w:type="spellEnd"/>
      <w:r w:rsidRPr="00DC26F6">
        <w:rPr>
          <w:b/>
        </w:rPr>
        <w:t xml:space="preserve"> Event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45"/>
        <w:gridCol w:w="2103"/>
        <w:gridCol w:w="2497"/>
      </w:tblGrid>
      <w:tr w:rsidR="00C70322" w:rsidRPr="00DC26F6" w14:paraId="107796C4" w14:textId="77777777">
        <w:trPr>
          <w:tblHeader/>
          <w:tblCellSpacing w:w="15" w:type="dxa"/>
        </w:trPr>
        <w:tc>
          <w:tcPr>
            <w:tcW w:w="0" w:type="auto"/>
            <w:vAlign w:val="center"/>
            <w:hideMark/>
          </w:tcPr>
          <w:p w14:paraId="51B5C7AD" w14:textId="77777777" w:rsidR="00C70322" w:rsidRPr="00DC26F6" w:rsidRDefault="00C70322" w:rsidP="00C70322">
            <w:pPr>
              <w:keepNext/>
              <w:rPr>
                <w:rFonts w:ascii="Times New Roman" w:hAnsi="Times New Roman" w:cs="Times New Roman"/>
                <w:b/>
                <w:bCs/>
              </w:rPr>
            </w:pPr>
            <w:r w:rsidRPr="00DC26F6">
              <w:rPr>
                <w:rFonts w:ascii="Times New Roman" w:hAnsi="Times New Roman" w:cs="Times New Roman"/>
                <w:b/>
                <w:bCs/>
              </w:rPr>
              <w:t xml:space="preserve">Timing of </w:t>
            </w:r>
            <w:proofErr w:type="spellStart"/>
            <w:r w:rsidRPr="00DC26F6">
              <w:rPr>
                <w:rFonts w:ascii="Times New Roman" w:hAnsi="Times New Roman" w:cs="Times New Roman"/>
                <w:b/>
                <w:bCs/>
              </w:rPr>
              <w:t>hypoglycemia</w:t>
            </w:r>
            <w:proofErr w:type="spellEnd"/>
          </w:p>
        </w:tc>
        <w:tc>
          <w:tcPr>
            <w:tcW w:w="0" w:type="auto"/>
            <w:vAlign w:val="center"/>
            <w:hideMark/>
          </w:tcPr>
          <w:p w14:paraId="45BA0E77" w14:textId="77777777" w:rsidR="00C70322" w:rsidRPr="00DC26F6" w:rsidRDefault="00C70322" w:rsidP="00C70322">
            <w:pPr>
              <w:keepNext/>
              <w:rPr>
                <w:rFonts w:ascii="Times New Roman" w:hAnsi="Times New Roman" w:cs="Times New Roman"/>
                <w:b/>
                <w:bCs/>
              </w:rPr>
            </w:pPr>
            <w:r w:rsidRPr="00DC26F6">
              <w:rPr>
                <w:rFonts w:ascii="Times New Roman" w:hAnsi="Times New Roman" w:cs="Times New Roman"/>
                <w:b/>
                <w:bCs/>
              </w:rPr>
              <w:t>NPH (before → after)</w:t>
            </w:r>
          </w:p>
        </w:tc>
        <w:tc>
          <w:tcPr>
            <w:tcW w:w="0" w:type="auto"/>
            <w:vAlign w:val="center"/>
            <w:hideMark/>
          </w:tcPr>
          <w:p w14:paraId="0DC9C42C" w14:textId="77777777" w:rsidR="00C70322" w:rsidRPr="00DC26F6" w:rsidRDefault="00C70322" w:rsidP="00C70322">
            <w:pPr>
              <w:keepNext/>
              <w:rPr>
                <w:rFonts w:ascii="Times New Roman" w:hAnsi="Times New Roman" w:cs="Times New Roman"/>
                <w:b/>
                <w:bCs/>
              </w:rPr>
            </w:pPr>
            <w:proofErr w:type="spellStart"/>
            <w:r w:rsidRPr="00DC26F6">
              <w:rPr>
                <w:rFonts w:ascii="Times New Roman" w:hAnsi="Times New Roman" w:cs="Times New Roman"/>
                <w:b/>
                <w:bCs/>
              </w:rPr>
              <w:t>Actrapid</w:t>
            </w:r>
            <w:proofErr w:type="spellEnd"/>
            <w:r w:rsidRPr="00DC26F6">
              <w:rPr>
                <w:rFonts w:ascii="Times New Roman" w:hAnsi="Times New Roman" w:cs="Times New Roman"/>
                <w:b/>
                <w:bCs/>
              </w:rPr>
              <w:t xml:space="preserve"> (before → after)</w:t>
            </w:r>
          </w:p>
        </w:tc>
      </w:tr>
      <w:tr w:rsidR="00C70322" w:rsidRPr="00DC26F6" w14:paraId="6D517BCA" w14:textId="77777777">
        <w:trPr>
          <w:tblCellSpacing w:w="15" w:type="dxa"/>
        </w:trPr>
        <w:tc>
          <w:tcPr>
            <w:tcW w:w="0" w:type="auto"/>
            <w:vAlign w:val="center"/>
            <w:hideMark/>
          </w:tcPr>
          <w:p w14:paraId="56DF9B51"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Morning / pre-breakfast</w:t>
            </w:r>
          </w:p>
        </w:tc>
        <w:tc>
          <w:tcPr>
            <w:tcW w:w="0" w:type="auto"/>
            <w:vAlign w:val="center"/>
            <w:hideMark/>
          </w:tcPr>
          <w:p w14:paraId="5B566284"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6-0-4 → 6-0-</w:t>
            </w:r>
            <w:r w:rsidRPr="00DC26F6">
              <w:rPr>
                <w:rFonts w:ascii="Times New Roman" w:hAnsi="Times New Roman" w:cs="Times New Roman"/>
                <w:b/>
                <w:bCs/>
              </w:rPr>
              <w:t>2</w:t>
            </w:r>
          </w:p>
        </w:tc>
        <w:tc>
          <w:tcPr>
            <w:tcW w:w="0" w:type="auto"/>
            <w:vAlign w:val="center"/>
            <w:hideMark/>
          </w:tcPr>
          <w:p w14:paraId="1C0E57F8"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 xml:space="preserve">4-4-2 → </w:t>
            </w:r>
            <w:r w:rsidRPr="00DC26F6">
              <w:rPr>
                <w:rFonts w:ascii="Times New Roman" w:hAnsi="Times New Roman" w:cs="Times New Roman"/>
                <w:b/>
                <w:bCs/>
              </w:rPr>
              <w:t>3</w:t>
            </w:r>
            <w:r w:rsidRPr="00DC26F6">
              <w:rPr>
                <w:rFonts w:ascii="Times New Roman" w:hAnsi="Times New Roman" w:cs="Times New Roman"/>
              </w:rPr>
              <w:t>-4-2</w:t>
            </w:r>
          </w:p>
        </w:tc>
      </w:tr>
      <w:tr w:rsidR="00C70322" w:rsidRPr="00DC26F6" w14:paraId="3DE512A7" w14:textId="77777777">
        <w:trPr>
          <w:tblCellSpacing w:w="15" w:type="dxa"/>
        </w:trPr>
        <w:tc>
          <w:tcPr>
            <w:tcW w:w="0" w:type="auto"/>
            <w:vAlign w:val="center"/>
            <w:hideMark/>
          </w:tcPr>
          <w:p w14:paraId="6A06E526"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Midday / pre-lunch</w:t>
            </w:r>
          </w:p>
        </w:tc>
        <w:tc>
          <w:tcPr>
            <w:tcW w:w="0" w:type="auto"/>
            <w:vAlign w:val="center"/>
            <w:hideMark/>
          </w:tcPr>
          <w:p w14:paraId="2591CAE2"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 xml:space="preserve">6-0-4 → </w:t>
            </w:r>
            <w:r w:rsidRPr="00DC26F6">
              <w:rPr>
                <w:rFonts w:ascii="Times New Roman" w:hAnsi="Times New Roman" w:cs="Times New Roman"/>
                <w:b/>
                <w:bCs/>
              </w:rPr>
              <w:t>4</w:t>
            </w:r>
            <w:r w:rsidRPr="00DC26F6">
              <w:rPr>
                <w:rFonts w:ascii="Times New Roman" w:hAnsi="Times New Roman" w:cs="Times New Roman"/>
              </w:rPr>
              <w:t>-0-4</w:t>
            </w:r>
          </w:p>
        </w:tc>
        <w:tc>
          <w:tcPr>
            <w:tcW w:w="0" w:type="auto"/>
            <w:vAlign w:val="center"/>
            <w:hideMark/>
          </w:tcPr>
          <w:p w14:paraId="6520FF0A"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4-4-2 → 4-</w:t>
            </w:r>
            <w:r w:rsidRPr="00DC26F6">
              <w:rPr>
                <w:rFonts w:ascii="Times New Roman" w:hAnsi="Times New Roman" w:cs="Times New Roman"/>
                <w:b/>
                <w:bCs/>
              </w:rPr>
              <w:t>3</w:t>
            </w:r>
            <w:r w:rsidRPr="00DC26F6">
              <w:rPr>
                <w:rFonts w:ascii="Times New Roman" w:hAnsi="Times New Roman" w:cs="Times New Roman"/>
              </w:rPr>
              <w:t>-2</w:t>
            </w:r>
          </w:p>
        </w:tc>
      </w:tr>
      <w:tr w:rsidR="00C70322" w:rsidRPr="00DC26F6" w14:paraId="177421B5" w14:textId="77777777">
        <w:trPr>
          <w:tblCellSpacing w:w="15" w:type="dxa"/>
        </w:trPr>
        <w:tc>
          <w:tcPr>
            <w:tcW w:w="0" w:type="auto"/>
            <w:vAlign w:val="center"/>
            <w:hideMark/>
          </w:tcPr>
          <w:p w14:paraId="1809595A"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Evening / pre-dinner</w:t>
            </w:r>
          </w:p>
        </w:tc>
        <w:tc>
          <w:tcPr>
            <w:tcW w:w="0" w:type="auto"/>
            <w:vAlign w:val="center"/>
            <w:hideMark/>
          </w:tcPr>
          <w:p w14:paraId="39B58C84"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 xml:space="preserve">6-0-4 → </w:t>
            </w:r>
            <w:r w:rsidRPr="00DC26F6">
              <w:rPr>
                <w:rFonts w:ascii="Times New Roman" w:hAnsi="Times New Roman" w:cs="Times New Roman"/>
                <w:b/>
                <w:bCs/>
              </w:rPr>
              <w:t>4</w:t>
            </w:r>
            <w:r w:rsidRPr="00DC26F6">
              <w:rPr>
                <w:rFonts w:ascii="Times New Roman" w:hAnsi="Times New Roman" w:cs="Times New Roman"/>
              </w:rPr>
              <w:t>-0-4</w:t>
            </w:r>
          </w:p>
        </w:tc>
        <w:tc>
          <w:tcPr>
            <w:tcW w:w="0" w:type="auto"/>
            <w:vAlign w:val="center"/>
            <w:hideMark/>
          </w:tcPr>
          <w:p w14:paraId="04DC6DFC"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4-4-2 → 4-4-</w:t>
            </w:r>
            <w:r w:rsidRPr="00DC26F6">
              <w:rPr>
                <w:rFonts w:ascii="Times New Roman" w:hAnsi="Times New Roman" w:cs="Times New Roman"/>
                <w:b/>
                <w:bCs/>
              </w:rPr>
              <w:t>1</w:t>
            </w:r>
          </w:p>
        </w:tc>
      </w:tr>
      <w:tr w:rsidR="00C70322" w:rsidRPr="00DC26F6" w14:paraId="288E58AE" w14:textId="77777777">
        <w:trPr>
          <w:tblCellSpacing w:w="15" w:type="dxa"/>
        </w:trPr>
        <w:tc>
          <w:tcPr>
            <w:tcW w:w="0" w:type="auto"/>
            <w:vAlign w:val="center"/>
            <w:hideMark/>
          </w:tcPr>
          <w:p w14:paraId="5D3DE954" w14:textId="77777777" w:rsidR="00C70322" w:rsidRPr="00DC26F6" w:rsidRDefault="00C70322" w:rsidP="00C70322">
            <w:pPr>
              <w:rPr>
                <w:rFonts w:ascii="Times New Roman" w:hAnsi="Times New Roman" w:cs="Times New Roman"/>
              </w:rPr>
            </w:pPr>
            <w:r w:rsidRPr="00DC26F6">
              <w:rPr>
                <w:rFonts w:ascii="Times New Roman" w:hAnsi="Times New Roman" w:cs="Times New Roman"/>
                <w:b/>
                <w:bCs/>
              </w:rPr>
              <w:t>Nocturnal (this patient)</w:t>
            </w:r>
          </w:p>
        </w:tc>
        <w:tc>
          <w:tcPr>
            <w:tcW w:w="0" w:type="auto"/>
            <w:vAlign w:val="center"/>
            <w:hideMark/>
          </w:tcPr>
          <w:p w14:paraId="2B2D2DC8"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6-0-4 → 6-0-</w:t>
            </w:r>
            <w:r w:rsidRPr="00DC26F6">
              <w:rPr>
                <w:rFonts w:ascii="Times New Roman" w:hAnsi="Times New Roman" w:cs="Times New Roman"/>
                <w:b/>
                <w:bCs/>
              </w:rPr>
              <w:t>2</w:t>
            </w:r>
          </w:p>
        </w:tc>
        <w:tc>
          <w:tcPr>
            <w:tcW w:w="0" w:type="auto"/>
            <w:vAlign w:val="center"/>
            <w:hideMark/>
          </w:tcPr>
          <w:p w14:paraId="7F422B91"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4-4-2 → 4-4-</w:t>
            </w:r>
            <w:r w:rsidRPr="00DC26F6">
              <w:rPr>
                <w:rFonts w:ascii="Times New Roman" w:hAnsi="Times New Roman" w:cs="Times New Roman"/>
                <w:b/>
                <w:bCs/>
              </w:rPr>
              <w:t>1</w:t>
            </w:r>
          </w:p>
        </w:tc>
      </w:tr>
    </w:tbl>
    <w:p w14:paraId="77ECE08D"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 xml:space="preserve">Final regimen: </w:t>
      </w:r>
      <w:r w:rsidRPr="00DC26F6">
        <w:rPr>
          <w:rFonts w:ascii="Times New Roman" w:hAnsi="Times New Roman" w:cs="Times New Roman"/>
          <w:b/>
          <w:bCs/>
        </w:rPr>
        <w:t xml:space="preserve">NPH 6 U-0-2 U and </w:t>
      </w:r>
      <w:proofErr w:type="spellStart"/>
      <w:r w:rsidRPr="00DC26F6">
        <w:rPr>
          <w:rFonts w:ascii="Times New Roman" w:hAnsi="Times New Roman" w:cs="Times New Roman"/>
          <w:b/>
          <w:bCs/>
        </w:rPr>
        <w:t>Actrapid</w:t>
      </w:r>
      <w:proofErr w:type="spellEnd"/>
      <w:r w:rsidRPr="00DC26F6">
        <w:rPr>
          <w:rFonts w:ascii="Times New Roman" w:hAnsi="Times New Roman" w:cs="Times New Roman"/>
          <w:b/>
          <w:bCs/>
        </w:rPr>
        <w:t xml:space="preserve"> 4-4-1 U</w:t>
      </w:r>
      <w:r w:rsidRPr="00DC26F6">
        <w:rPr>
          <w:rFonts w:ascii="Times New Roman" w:hAnsi="Times New Roman" w:cs="Times New Roman"/>
        </w:rPr>
        <w:t xml:space="preserve">, with </w:t>
      </w:r>
      <w:proofErr w:type="spellStart"/>
      <w:r w:rsidRPr="00DC26F6">
        <w:rPr>
          <w:rFonts w:ascii="Times New Roman" w:hAnsi="Times New Roman" w:cs="Times New Roman"/>
        </w:rPr>
        <w:t>Actrapid</w:t>
      </w:r>
      <w:proofErr w:type="spellEnd"/>
      <w:r w:rsidRPr="00DC26F6">
        <w:rPr>
          <w:rFonts w:ascii="Times New Roman" w:hAnsi="Times New Roman" w:cs="Times New Roman"/>
        </w:rPr>
        <w:t xml:space="preserve"> to be given only if the meal is eaten.</w:t>
      </w:r>
    </w:p>
    <w:p w14:paraId="556F7D27" w14:textId="77777777" w:rsidR="00C70322" w:rsidRPr="00DC26F6" w:rsidRDefault="00C70322" w:rsidP="00C70322">
      <w:pPr>
        <w:rPr>
          <w:rFonts w:ascii="Times New Roman" w:hAnsi="Times New Roman" w:cs="Times New Roman"/>
          <w:b/>
          <w:bCs/>
        </w:rPr>
      </w:pPr>
      <w:r w:rsidRPr="00DC26F6">
        <w:rPr>
          <w:rFonts w:ascii="Times New Roman" w:hAnsi="Times New Roman" w:cs="Times New Roman"/>
          <w:b/>
          <w:bCs/>
        </w:rPr>
        <w:t>Outcome and Follow-up</w:t>
      </w:r>
    </w:p>
    <w:p w14:paraId="31212BCB"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 xml:space="preserve">There was no recurrence of </w:t>
      </w:r>
      <w:proofErr w:type="spellStart"/>
      <w:r w:rsidRPr="00DC26F6">
        <w:rPr>
          <w:rFonts w:ascii="Times New Roman" w:hAnsi="Times New Roman" w:cs="Times New Roman"/>
        </w:rPr>
        <w:t>hypoglycemia</w:t>
      </w:r>
      <w:proofErr w:type="spellEnd"/>
      <w:r w:rsidRPr="00DC26F6">
        <w:rPr>
          <w:rFonts w:ascii="Times New Roman" w:hAnsi="Times New Roman" w:cs="Times New Roman"/>
        </w:rPr>
        <w:t xml:space="preserve"> or seizure. Glucose stabilized at 130–180 mg/dL. With diuresis and treatment of heart failure and cystitis, creatinine fell to 1.8 mg/dL and urea to 41 mg/dL by day 8, and </w:t>
      </w:r>
      <w:proofErr w:type="spellStart"/>
      <w:r w:rsidRPr="00DC26F6">
        <w:rPr>
          <w:rFonts w:ascii="Times New Roman" w:hAnsi="Times New Roman" w:cs="Times New Roman"/>
        </w:rPr>
        <w:t>edema</w:t>
      </w:r>
      <w:proofErr w:type="spellEnd"/>
      <w:r w:rsidRPr="00DC26F6">
        <w:rPr>
          <w:rFonts w:ascii="Times New Roman" w:hAnsi="Times New Roman" w:cs="Times New Roman"/>
        </w:rPr>
        <w:t xml:space="preserve"> and </w:t>
      </w:r>
      <w:proofErr w:type="spellStart"/>
      <w:r w:rsidRPr="00DC26F6">
        <w:rPr>
          <w:rFonts w:ascii="Times New Roman" w:hAnsi="Times New Roman" w:cs="Times New Roman"/>
        </w:rPr>
        <w:t>orthopnea</w:t>
      </w:r>
      <w:proofErr w:type="spellEnd"/>
      <w:r w:rsidRPr="00DC26F6">
        <w:rPr>
          <w:rFonts w:ascii="Times New Roman" w:hAnsi="Times New Roman" w:cs="Times New Roman"/>
        </w:rPr>
        <w:t xml:space="preserve"> resolved. He was discharged on day 9 on NPH 6-0-2 U, </w:t>
      </w:r>
      <w:proofErr w:type="spellStart"/>
      <w:r w:rsidRPr="00DC26F6">
        <w:rPr>
          <w:rFonts w:ascii="Times New Roman" w:hAnsi="Times New Roman" w:cs="Times New Roman"/>
        </w:rPr>
        <w:t>Actrapid</w:t>
      </w:r>
      <w:proofErr w:type="spellEnd"/>
      <w:r w:rsidRPr="00DC26F6">
        <w:rPr>
          <w:rFonts w:ascii="Times New Roman" w:hAnsi="Times New Roman" w:cs="Times New Roman"/>
        </w:rPr>
        <w:t xml:space="preserve"> 4-4-1 U, carvedilol, furosemide, atorvastatin/ezetimibe and bicarbonate. He and his family were taught </w:t>
      </w:r>
      <w:proofErr w:type="spellStart"/>
      <w:r w:rsidRPr="00DC26F6">
        <w:rPr>
          <w:rFonts w:ascii="Times New Roman" w:hAnsi="Times New Roman" w:cs="Times New Roman"/>
        </w:rPr>
        <w:t>hypoglycemia</w:t>
      </w:r>
      <w:proofErr w:type="spellEnd"/>
      <w:r w:rsidRPr="00DC26F6">
        <w:rPr>
          <w:rFonts w:ascii="Times New Roman" w:hAnsi="Times New Roman" w:cs="Times New Roman"/>
        </w:rPr>
        <w:t xml:space="preserve"> recognition, glucometer use and sick-day rules. Follow-up at 1 week showed no </w:t>
      </w:r>
      <w:proofErr w:type="spellStart"/>
      <w:r w:rsidRPr="00DC26F6">
        <w:rPr>
          <w:rFonts w:ascii="Times New Roman" w:hAnsi="Times New Roman" w:cs="Times New Roman"/>
        </w:rPr>
        <w:t>hypoglycemia</w:t>
      </w:r>
      <w:proofErr w:type="spellEnd"/>
      <w:r w:rsidRPr="00DC26F6">
        <w:rPr>
          <w:rFonts w:ascii="Times New Roman" w:hAnsi="Times New Roman" w:cs="Times New Roman"/>
        </w:rPr>
        <w:t>, creatinine 1.6 mg/dL, with outpatient nephrology and cardiology review planned.</w:t>
      </w:r>
    </w:p>
    <w:p w14:paraId="6099D06E" w14:textId="77777777" w:rsidR="00C70322" w:rsidRPr="00DC26F6" w:rsidRDefault="00C70322" w:rsidP="00C70322">
      <w:pPr>
        <w:rPr>
          <w:rFonts w:ascii="Times New Roman" w:hAnsi="Times New Roman" w:cs="Times New Roman"/>
          <w:b/>
          <w:bCs/>
        </w:rPr>
      </w:pPr>
      <w:r w:rsidRPr="00DC26F6">
        <w:rPr>
          <w:rFonts w:ascii="Times New Roman" w:hAnsi="Times New Roman" w:cs="Times New Roman"/>
          <w:b/>
          <w:bCs/>
        </w:rPr>
        <w:t>Discussion</w:t>
      </w:r>
    </w:p>
    <w:p w14:paraId="07DDE2F5" w14:textId="77777777" w:rsidR="00C70322" w:rsidRPr="00DC26F6" w:rsidRDefault="00C70322" w:rsidP="00C70322">
      <w:pPr>
        <w:rPr>
          <w:rFonts w:ascii="Times New Roman" w:hAnsi="Times New Roman" w:cs="Times New Roman"/>
        </w:rPr>
      </w:pPr>
      <w:r w:rsidRPr="00DC26F6">
        <w:rPr>
          <w:rFonts w:ascii="Times New Roman" w:hAnsi="Times New Roman" w:cs="Times New Roman"/>
        </w:rPr>
        <w:t>Several factors converged in this patient:</w:t>
      </w:r>
    </w:p>
    <w:p w14:paraId="6658800F" w14:textId="77777777" w:rsidR="00C70322" w:rsidRPr="00DC26F6" w:rsidRDefault="00C70322" w:rsidP="00C70322">
      <w:pPr>
        <w:numPr>
          <w:ilvl w:val="0"/>
          <w:numId w:val="1"/>
        </w:numPr>
        <w:rPr>
          <w:rFonts w:ascii="Times New Roman" w:hAnsi="Times New Roman" w:cs="Times New Roman"/>
        </w:rPr>
      </w:pPr>
      <w:r w:rsidRPr="00DC26F6">
        <w:rPr>
          <w:rFonts w:ascii="Times New Roman" w:hAnsi="Times New Roman" w:cs="Times New Roman"/>
          <w:b/>
          <w:bCs/>
        </w:rPr>
        <w:t>Reduced renal insulin clearance</w:t>
      </w:r>
      <w:r w:rsidRPr="00DC26F6">
        <w:rPr>
          <w:rFonts w:ascii="Times New Roman" w:hAnsi="Times New Roman" w:cs="Times New Roman"/>
        </w:rPr>
        <w:t xml:space="preserve"> (creatinine 3.1 mg/dL), prolonging the action of NPH and regular insulin. Requirements typically fall by about 25% at GFR 10–50 mL/min and about 50% below 10 mL/min.</w:t>
      </w:r>
    </w:p>
    <w:p w14:paraId="6C359BFC" w14:textId="77777777" w:rsidR="00C70322" w:rsidRPr="00DC26F6" w:rsidRDefault="00C70322" w:rsidP="00C70322">
      <w:pPr>
        <w:numPr>
          <w:ilvl w:val="0"/>
          <w:numId w:val="1"/>
        </w:numPr>
        <w:rPr>
          <w:rFonts w:ascii="Times New Roman" w:hAnsi="Times New Roman" w:cs="Times New Roman"/>
        </w:rPr>
      </w:pPr>
      <w:r w:rsidRPr="00DC26F6">
        <w:rPr>
          <w:rFonts w:ascii="Times New Roman" w:hAnsi="Times New Roman" w:cs="Times New Roman"/>
          <w:b/>
          <w:bCs/>
        </w:rPr>
        <w:t>Loss of renal gluconeogenesis</w:t>
      </w:r>
      <w:r w:rsidRPr="00DC26F6">
        <w:rPr>
          <w:rFonts w:ascii="Times New Roman" w:hAnsi="Times New Roman" w:cs="Times New Roman"/>
        </w:rPr>
        <w:t xml:space="preserve"> during fasting.</w:t>
      </w:r>
    </w:p>
    <w:p w14:paraId="5FADF8E6" w14:textId="77777777" w:rsidR="00C70322" w:rsidRPr="00DC26F6" w:rsidRDefault="00C70322" w:rsidP="00C70322">
      <w:pPr>
        <w:numPr>
          <w:ilvl w:val="0"/>
          <w:numId w:val="1"/>
        </w:numPr>
        <w:rPr>
          <w:rFonts w:ascii="Times New Roman" w:hAnsi="Times New Roman" w:cs="Times New Roman"/>
        </w:rPr>
      </w:pPr>
      <w:r w:rsidRPr="00DC26F6">
        <w:rPr>
          <w:rFonts w:ascii="Times New Roman" w:hAnsi="Times New Roman" w:cs="Times New Roman"/>
          <w:b/>
          <w:bCs/>
        </w:rPr>
        <w:t>Poor oral intake</w:t>
      </w:r>
      <w:r w:rsidRPr="00DC26F6">
        <w:rPr>
          <w:rFonts w:ascii="Times New Roman" w:hAnsi="Times New Roman" w:cs="Times New Roman"/>
        </w:rPr>
        <w:t xml:space="preserve"> from anorexia and vomiting, while prandial insulin was fixed.</w:t>
      </w:r>
    </w:p>
    <w:p w14:paraId="30326E31" w14:textId="77777777" w:rsidR="00C70322" w:rsidRPr="00DC26F6" w:rsidRDefault="00C70322" w:rsidP="00C70322">
      <w:pPr>
        <w:numPr>
          <w:ilvl w:val="0"/>
          <w:numId w:val="1"/>
        </w:numPr>
        <w:rPr>
          <w:rFonts w:ascii="Times New Roman" w:hAnsi="Times New Roman" w:cs="Times New Roman"/>
        </w:rPr>
      </w:pPr>
      <w:r w:rsidRPr="00DC26F6">
        <w:rPr>
          <w:rFonts w:ascii="Times New Roman" w:hAnsi="Times New Roman" w:cs="Times New Roman"/>
          <w:b/>
          <w:bCs/>
        </w:rPr>
        <w:t>Evening NPH</w:t>
      </w:r>
      <w:r w:rsidRPr="00DC26F6">
        <w:rPr>
          <w:rFonts w:ascii="Times New Roman" w:hAnsi="Times New Roman" w:cs="Times New Roman"/>
        </w:rPr>
        <w:t xml:space="preserve">, whose peak at 4–8 hours </w:t>
      </w:r>
      <w:proofErr w:type="gramStart"/>
      <w:r w:rsidRPr="00DC26F6">
        <w:rPr>
          <w:rFonts w:ascii="Times New Roman" w:hAnsi="Times New Roman" w:cs="Times New Roman"/>
        </w:rPr>
        <w:t>falls</w:t>
      </w:r>
      <w:proofErr w:type="gramEnd"/>
      <w:r w:rsidRPr="00DC26F6">
        <w:rPr>
          <w:rFonts w:ascii="Times New Roman" w:hAnsi="Times New Roman" w:cs="Times New Roman"/>
        </w:rPr>
        <w:t xml:space="preserve"> in the early-morning hours, with a prolonged tail in renal failure.</w:t>
      </w:r>
    </w:p>
    <w:p w14:paraId="19BA1117" w14:textId="77777777" w:rsidR="00C70322" w:rsidRPr="00DC26F6" w:rsidRDefault="00C70322" w:rsidP="00C70322">
      <w:pPr>
        <w:numPr>
          <w:ilvl w:val="0"/>
          <w:numId w:val="1"/>
        </w:numPr>
        <w:rPr>
          <w:rFonts w:ascii="Times New Roman" w:hAnsi="Times New Roman" w:cs="Times New Roman"/>
        </w:rPr>
      </w:pPr>
      <w:r w:rsidRPr="00DC26F6">
        <w:rPr>
          <w:rFonts w:ascii="Times New Roman" w:hAnsi="Times New Roman" w:cs="Times New Roman"/>
          <w:b/>
          <w:bCs/>
        </w:rPr>
        <w:t>Carvedilol</w:t>
      </w:r>
      <w:r w:rsidRPr="00DC26F6">
        <w:rPr>
          <w:rFonts w:ascii="Times New Roman" w:hAnsi="Times New Roman" w:cs="Times New Roman"/>
        </w:rPr>
        <w:t>, which can blunt adrenergic warning symptoms such as tremor and palpitations.</w:t>
      </w:r>
    </w:p>
    <w:p w14:paraId="122E572E" w14:textId="77777777" w:rsidR="00C70322" w:rsidRPr="00DC26F6" w:rsidRDefault="00C70322" w:rsidP="00C70322">
      <w:pPr>
        <w:numPr>
          <w:ilvl w:val="0"/>
          <w:numId w:val="1"/>
        </w:numPr>
        <w:rPr>
          <w:rFonts w:ascii="Times New Roman" w:hAnsi="Times New Roman" w:cs="Times New Roman"/>
        </w:rPr>
      </w:pPr>
      <w:r w:rsidRPr="00DC26F6">
        <w:rPr>
          <w:rFonts w:ascii="Times New Roman" w:hAnsi="Times New Roman" w:cs="Times New Roman"/>
          <w:b/>
          <w:bCs/>
        </w:rPr>
        <w:t>Acute illness</w:t>
      </w:r>
      <w:r w:rsidRPr="00DC26F6">
        <w:rPr>
          <w:rFonts w:ascii="Times New Roman" w:hAnsi="Times New Roman" w:cs="Times New Roman"/>
        </w:rPr>
        <w:t xml:space="preserve"> (heart failure, hepatic congestion, infection), which depletes glycogen stores.</w:t>
      </w:r>
    </w:p>
    <w:p w14:paraId="16D33F8D" w14:textId="77777777" w:rsidR="00C70322" w:rsidRPr="00DC26F6" w:rsidRDefault="00C70322" w:rsidP="00C70322">
      <w:pPr>
        <w:numPr>
          <w:ilvl w:val="0"/>
          <w:numId w:val="1"/>
        </w:numPr>
        <w:rPr>
          <w:rFonts w:ascii="Times New Roman" w:hAnsi="Times New Roman" w:cs="Times New Roman"/>
        </w:rPr>
      </w:pPr>
      <w:r w:rsidRPr="00DC26F6">
        <w:rPr>
          <w:rFonts w:ascii="Times New Roman" w:hAnsi="Times New Roman" w:cs="Times New Roman"/>
          <w:b/>
          <w:bCs/>
        </w:rPr>
        <w:t xml:space="preserve">Mild baseline </w:t>
      </w:r>
      <w:proofErr w:type="spellStart"/>
      <w:r w:rsidRPr="00DC26F6">
        <w:rPr>
          <w:rFonts w:ascii="Times New Roman" w:hAnsi="Times New Roman" w:cs="Times New Roman"/>
          <w:b/>
          <w:bCs/>
        </w:rPr>
        <w:t>hyperglycemia</w:t>
      </w:r>
      <w:proofErr w:type="spellEnd"/>
      <w:r w:rsidRPr="00DC26F6">
        <w:rPr>
          <w:rFonts w:ascii="Times New Roman" w:hAnsi="Times New Roman" w:cs="Times New Roman"/>
        </w:rPr>
        <w:t xml:space="preserve"> (208–229 mg/dL) that did not justify full-dose insulin.</w:t>
      </w:r>
    </w:p>
    <w:p w14:paraId="4139D4C5" w14:textId="77777777" w:rsidR="005711EB" w:rsidRPr="00DC26F6" w:rsidRDefault="00000000">
      <w:pPr>
        <w:spacing w:after="140" w:line="271" w:lineRule="auto"/>
      </w:pPr>
      <w:r w:rsidRPr="00DC26F6">
        <w:t xml:space="preserve">The sequence of events in this case is consistent with the possibility that impaired renal handling of insulin, reduced food intake, and exposure to an evening intermediate-acting insulin dose jointly contributed to the nocturnal episode. Nevertheless, a single case cannot quantify the contribution of each factor or demonstrate that acute kidney injury alone caused the seizure. The documented glucose concentration of 38 mg/dL and clinical improvement after intravenous glucose are compatible with symptomatic severe </w:t>
      </w:r>
      <w:proofErr w:type="spellStart"/>
      <w:r w:rsidRPr="00DC26F6">
        <w:t>hypoglycemia</w:t>
      </w:r>
      <w:proofErr w:type="spellEnd"/>
      <w:r w:rsidRPr="00DC26F6">
        <w:t>, while the available information does not establish the patient’s underlying renal function before admission (Cryer et al., 2009; Snyder &amp; Berns, 2004).</w:t>
      </w:r>
    </w:p>
    <w:p w14:paraId="62A46D85" w14:textId="77777777" w:rsidR="005711EB" w:rsidRPr="00DC26F6" w:rsidRDefault="00000000">
      <w:pPr>
        <w:spacing w:after="140" w:line="271" w:lineRule="auto"/>
      </w:pPr>
      <w:r w:rsidRPr="00DC26F6">
        <w:t xml:space="preserve">The association between renal dysfunction and </w:t>
      </w:r>
      <w:proofErr w:type="spellStart"/>
      <w:r w:rsidRPr="00DC26F6">
        <w:t>hypoglycemia</w:t>
      </w:r>
      <w:proofErr w:type="spellEnd"/>
      <w:r w:rsidRPr="00DC26F6">
        <w:t xml:space="preserve"> is supported by evidence from different clinical settings. Hung et al. (2018) found an elevated </w:t>
      </w:r>
      <w:proofErr w:type="spellStart"/>
      <w:r w:rsidRPr="00DC26F6">
        <w:t>postdischarge</w:t>
      </w:r>
      <w:proofErr w:type="spellEnd"/>
      <w:r w:rsidRPr="00DC26F6">
        <w:t xml:space="preserve"> risk after acute </w:t>
      </w:r>
      <w:r w:rsidRPr="00DC26F6">
        <w:lastRenderedPageBreak/>
        <w:t xml:space="preserve">kidney injury, whereas Baldwin et al. (2012) observed less </w:t>
      </w:r>
      <w:proofErr w:type="spellStart"/>
      <w:r w:rsidRPr="00DC26F6">
        <w:t>hypoglycemia</w:t>
      </w:r>
      <w:proofErr w:type="spellEnd"/>
      <w:r w:rsidRPr="00DC26F6">
        <w:t xml:space="preserve"> with a lower-dose insulin regimen in hospitalized patients with chronic renal insufficiency. These populations and study designs are not identical to the present case, and neither study provides a validated fixed percentage by which insulin must be reduced during all episodes of acute kidney injury. Accordingly, renal trends, point-of-care glucose measurements, prior insulin exposure, nutritional intake, and intercurrent illness should be assessed together when modifying treatment.</w:t>
      </w:r>
    </w:p>
    <w:p w14:paraId="590A6CFE" w14:textId="77777777" w:rsidR="005711EB" w:rsidRPr="00DC26F6" w:rsidRDefault="00000000">
      <w:pPr>
        <w:spacing w:after="140" w:line="271" w:lineRule="auto"/>
      </w:pPr>
      <w:r w:rsidRPr="00DC26F6">
        <w:t xml:space="preserve">The patient’s consumption of approximately one-third of his meals creates an additional plausible mismatch between scheduled prandial insulin and carbohydrate availability. A randomized trial of inpatient regimens found similar overall </w:t>
      </w:r>
      <w:proofErr w:type="spellStart"/>
      <w:r w:rsidRPr="00DC26F6">
        <w:t>glycemic</w:t>
      </w:r>
      <w:proofErr w:type="spellEnd"/>
      <w:r w:rsidRPr="00DC26F6">
        <w:t xml:space="preserve"> control with basal-plus-correction and scheduled basal-bolus approaches in selected individuals with type 2 diabetes (Umpierrez et al., 2013). This comparison does not directly test the NPH and regular-insulin schedule used here, but it illustrates that different intensities of scheduled insulin can be appropriate in defined hospital populations. The reduction in evening NPH and predinner regular insulin in the present case was followed by an absence of documented recurrent </w:t>
      </w:r>
      <w:proofErr w:type="spellStart"/>
      <w:r w:rsidRPr="00DC26F6">
        <w:t>hypoglycemia</w:t>
      </w:r>
      <w:proofErr w:type="spellEnd"/>
      <w:r w:rsidRPr="00DC26F6">
        <w:t xml:space="preserve"> during the reported observation period; causality cannot be established from this temporal association alone.</w:t>
      </w:r>
    </w:p>
    <w:p w14:paraId="000438C6" w14:textId="77777777" w:rsidR="005711EB" w:rsidRPr="00DC26F6" w:rsidRDefault="00000000">
      <w:pPr>
        <w:spacing w:after="140" w:line="271" w:lineRule="auto"/>
      </w:pPr>
      <w:r w:rsidRPr="00DC26F6">
        <w:t xml:space="preserve">The timing of the event also warrants consideration. In randomized-trial populations, evening NPH insulin has been associated with more nocturnal </w:t>
      </w:r>
      <w:proofErr w:type="spellStart"/>
      <w:r w:rsidRPr="00DC26F6">
        <w:t>hypoglycemia</w:t>
      </w:r>
      <w:proofErr w:type="spellEnd"/>
      <w:r w:rsidRPr="00DC26F6">
        <w:t xml:space="preserve"> than insulin glargine, although trial estimates should not be assumed to apply directly to this patient with acute illness and impaired renal function (Home et al., 2010). The use of carvedilol may further complicate symptom recognition, but the clinical record does not permit a determination of whether warning symptoms were masked in this episode. In such circumstances, scheduled nocturnal glucose assessment may be considered when clinically indicated, alongside adjustment of insulin to current glucose patterns and actual food intake (Alsahli &amp; Gerich, 2015; American Diabetes Association Professional Practice Committee, 2025).</w:t>
      </w:r>
    </w:p>
    <w:p w14:paraId="3D02B801" w14:textId="77777777" w:rsidR="005711EB" w:rsidRPr="00DC26F6" w:rsidRDefault="00000000">
      <w:pPr>
        <w:spacing w:after="140" w:line="271" w:lineRule="auto"/>
      </w:pPr>
      <w:r w:rsidRPr="00DC26F6">
        <w:t xml:space="preserve">The coexistence of myocardial injury and reduced left ventricular ejection fraction increases the clinical importance of avoiding further severe </w:t>
      </w:r>
      <w:proofErr w:type="spellStart"/>
      <w:r w:rsidRPr="00DC26F6">
        <w:t>hypoglycemia</w:t>
      </w:r>
      <w:proofErr w:type="spellEnd"/>
      <w:r w:rsidRPr="00DC26F6">
        <w:t xml:space="preserve">. Observational work using concurrent continuous glucose and electrocardiographic monitoring has associated </w:t>
      </w:r>
      <w:proofErr w:type="spellStart"/>
      <w:r w:rsidRPr="00DC26F6">
        <w:t>hypoglycemia</w:t>
      </w:r>
      <w:proofErr w:type="spellEnd"/>
      <w:r w:rsidRPr="00DC26F6">
        <w:t xml:space="preserve"> with changes in cardiac rhythm among adults with type 2 diabetes and cardiovascular risk (Chow et al., 2014). Mechanistic reviews likewise describe sympathoadrenal activation and alterations in cardiac repolarization during </w:t>
      </w:r>
      <w:proofErr w:type="spellStart"/>
      <w:r w:rsidRPr="00DC26F6">
        <w:t>hypoglycemia</w:t>
      </w:r>
      <w:proofErr w:type="spellEnd"/>
      <w:r w:rsidRPr="00DC26F6">
        <w:t xml:space="preserve"> (Frier et al., 2011). These findings indicate potential cardiovascular vulnerability, but no arrhythmia was documented during the reported seizure, and the available information should not be interpreted as evidence of a </w:t>
      </w:r>
      <w:proofErr w:type="spellStart"/>
      <w:r w:rsidRPr="00DC26F6">
        <w:t>hypoglycemia</w:t>
      </w:r>
      <w:proofErr w:type="spellEnd"/>
      <w:r w:rsidRPr="00DC26F6">
        <w:t>-induced cardiac event in this patient.</w:t>
      </w:r>
    </w:p>
    <w:p w14:paraId="2C59E16C" w14:textId="77777777" w:rsidR="005711EB" w:rsidRPr="00DC26F6" w:rsidRDefault="00000000">
      <w:pPr>
        <w:spacing w:after="140" w:line="271" w:lineRule="auto"/>
      </w:pPr>
      <w:r w:rsidRPr="00DC26F6">
        <w:t xml:space="preserve">The American Diabetes Association recommendations distinguish between critically ill and noncritically ill hospitalized adults, emphasizing individualized </w:t>
      </w:r>
      <w:proofErr w:type="spellStart"/>
      <w:r w:rsidRPr="00DC26F6">
        <w:t>glycemic</w:t>
      </w:r>
      <w:proofErr w:type="spellEnd"/>
      <w:r w:rsidRPr="00DC26F6">
        <w:t xml:space="preserve"> targets and </w:t>
      </w:r>
      <w:proofErr w:type="spellStart"/>
      <w:r w:rsidRPr="00DC26F6">
        <w:t>hypoglycemia</w:t>
      </w:r>
      <w:proofErr w:type="spellEnd"/>
      <w:r w:rsidRPr="00DC26F6">
        <w:t xml:space="preserve"> prevention rather than a universal treatment range (American Diabetes Association Professional Practice Committee, 2025). In this case, improvement following dextrose administration, adjustment of the prescribed insulin doses, and close glucose monitoring illustrates a clinically coherent management sequence. Interpretation remains limited by the single-patient design, the absence of serial insulin-concentration measurements, and the lack of a formal comparison with an alternative dosing protocol (Baldwin et al., 2012; Umpierrez et al., 2013).</w:t>
      </w:r>
    </w:p>
    <w:p w14:paraId="0F29B285" w14:textId="77777777" w:rsidR="00C70322" w:rsidRPr="00DC26F6" w:rsidRDefault="00C70322" w:rsidP="00C70322">
      <w:pPr>
        <w:rPr>
          <w:rFonts w:ascii="Times New Roman" w:hAnsi="Times New Roman" w:cs="Times New Roman"/>
        </w:rPr>
      </w:pPr>
      <w:proofErr w:type="spellStart"/>
      <w:r w:rsidRPr="00DC26F6">
        <w:rPr>
          <w:rFonts w:ascii="Times New Roman" w:hAnsi="Times New Roman" w:cs="Times New Roman"/>
        </w:rPr>
        <w:lastRenderedPageBreak/>
        <w:t>Hypoglycemia</w:t>
      </w:r>
      <w:proofErr w:type="spellEnd"/>
      <w:r w:rsidRPr="00DC26F6">
        <w:rPr>
          <w:rFonts w:ascii="Times New Roman" w:hAnsi="Times New Roman" w:cs="Times New Roman"/>
        </w:rPr>
        <w:t xml:space="preserve"> is especially hazardous with myocardial injury, since catecholamine surge can provoke ischemia, arrhythmia and QT prolongation. The ADA recommends a hospital glucose target of 140–180 mg/dL and dose reduction when glucose falls below 100 mg/dL</w:t>
      </w:r>
      <w:r w:rsidR="0077436E" w:rsidRPr="00DC26F6">
        <w:rPr>
          <w:rFonts w:ascii="Times New Roman" w:hAnsi="Times New Roman" w:cs="Times New Roman"/>
        </w:rPr>
        <w:t xml:space="preserve"> (American Diabetes Association Professional Practice Committee, 2025)</w:t>
      </w:r>
      <w:r w:rsidRPr="00DC26F6">
        <w:rPr>
          <w:rFonts w:ascii="Times New Roman" w:hAnsi="Times New Roman" w:cs="Times New Roman"/>
        </w:rPr>
        <w:t xml:space="preserve">. Timing-based adjustment, as in the table, reduces the insulin whose peak matches the </w:t>
      </w:r>
      <w:proofErr w:type="spellStart"/>
      <w:r w:rsidRPr="00DC26F6">
        <w:rPr>
          <w:rFonts w:ascii="Times New Roman" w:hAnsi="Times New Roman" w:cs="Times New Roman"/>
        </w:rPr>
        <w:t>hypoglycemic</w:t>
      </w:r>
      <w:proofErr w:type="spellEnd"/>
      <w:r w:rsidRPr="00DC26F6">
        <w:rPr>
          <w:rFonts w:ascii="Times New Roman" w:hAnsi="Times New Roman" w:cs="Times New Roman"/>
        </w:rPr>
        <w:t xml:space="preserve"> window.</w:t>
      </w:r>
    </w:p>
    <w:p w14:paraId="4DB25A54" w14:textId="77777777" w:rsidR="00C70322" w:rsidRPr="00DC26F6" w:rsidRDefault="00C70322" w:rsidP="00C70322">
      <w:pPr>
        <w:rPr>
          <w:rFonts w:ascii="Times New Roman" w:hAnsi="Times New Roman" w:cs="Times New Roman"/>
          <w:b/>
          <w:bCs/>
        </w:rPr>
      </w:pPr>
      <w:r w:rsidRPr="00DC26F6">
        <w:rPr>
          <w:rFonts w:ascii="Times New Roman" w:hAnsi="Times New Roman" w:cs="Times New Roman"/>
          <w:b/>
          <w:bCs/>
        </w:rPr>
        <w:t>Learning Points</w:t>
      </w:r>
    </w:p>
    <w:p w14:paraId="4E402354" w14:textId="77777777" w:rsidR="00C70322" w:rsidRPr="00DC26F6" w:rsidRDefault="00C70322" w:rsidP="00C70322">
      <w:pPr>
        <w:numPr>
          <w:ilvl w:val="0"/>
          <w:numId w:val="2"/>
        </w:numPr>
        <w:rPr>
          <w:rFonts w:ascii="Times New Roman" w:hAnsi="Times New Roman" w:cs="Times New Roman"/>
        </w:rPr>
      </w:pPr>
      <w:r w:rsidRPr="00DC26F6">
        <w:rPr>
          <w:rFonts w:ascii="Times New Roman" w:hAnsi="Times New Roman" w:cs="Times New Roman"/>
        </w:rPr>
        <w:t>Reduce insulin proactively when AKI is identified, rather than after an event.</w:t>
      </w:r>
    </w:p>
    <w:p w14:paraId="0D982D0D" w14:textId="77777777" w:rsidR="00C70322" w:rsidRPr="00DC26F6" w:rsidRDefault="00C70322" w:rsidP="00C70322">
      <w:pPr>
        <w:numPr>
          <w:ilvl w:val="0"/>
          <w:numId w:val="2"/>
        </w:numPr>
        <w:rPr>
          <w:rFonts w:ascii="Times New Roman" w:hAnsi="Times New Roman" w:cs="Times New Roman"/>
        </w:rPr>
      </w:pPr>
      <w:r w:rsidRPr="00DC26F6">
        <w:rPr>
          <w:rFonts w:ascii="Times New Roman" w:hAnsi="Times New Roman" w:cs="Times New Roman"/>
        </w:rPr>
        <w:t>Match prandial insulin to intake; give it after the meal when intake is erratic.</w:t>
      </w:r>
    </w:p>
    <w:p w14:paraId="220515E7" w14:textId="77777777" w:rsidR="00C70322" w:rsidRPr="00DC26F6" w:rsidRDefault="00C70322" w:rsidP="00C70322">
      <w:pPr>
        <w:numPr>
          <w:ilvl w:val="0"/>
          <w:numId w:val="2"/>
        </w:numPr>
        <w:rPr>
          <w:rFonts w:ascii="Times New Roman" w:hAnsi="Times New Roman" w:cs="Times New Roman"/>
        </w:rPr>
      </w:pPr>
      <w:r w:rsidRPr="00DC26F6">
        <w:rPr>
          <w:rFonts w:ascii="Times New Roman" w:hAnsi="Times New Roman" w:cs="Times New Roman"/>
        </w:rPr>
        <w:t>Check glucose at 02:00–03:00 in patients on evening NPH with renal impairment.</w:t>
      </w:r>
    </w:p>
    <w:p w14:paraId="38261204" w14:textId="77777777" w:rsidR="00C70322" w:rsidRPr="00DC26F6" w:rsidRDefault="00C70322" w:rsidP="00C70322">
      <w:pPr>
        <w:numPr>
          <w:ilvl w:val="0"/>
          <w:numId w:val="2"/>
        </w:numPr>
        <w:rPr>
          <w:rFonts w:ascii="Times New Roman" w:hAnsi="Times New Roman" w:cs="Times New Roman"/>
        </w:rPr>
      </w:pPr>
      <w:r w:rsidRPr="00DC26F6">
        <w:rPr>
          <w:rFonts w:ascii="Times New Roman" w:hAnsi="Times New Roman" w:cs="Times New Roman"/>
        </w:rPr>
        <w:t xml:space="preserve">Beta-blockers can mask </w:t>
      </w:r>
      <w:proofErr w:type="spellStart"/>
      <w:r w:rsidRPr="00DC26F6">
        <w:rPr>
          <w:rFonts w:ascii="Times New Roman" w:hAnsi="Times New Roman" w:cs="Times New Roman"/>
        </w:rPr>
        <w:t>hypoglycemia</w:t>
      </w:r>
      <w:proofErr w:type="spellEnd"/>
      <w:r w:rsidRPr="00DC26F6">
        <w:rPr>
          <w:rFonts w:ascii="Times New Roman" w:hAnsi="Times New Roman" w:cs="Times New Roman"/>
        </w:rPr>
        <w:t>.</w:t>
      </w:r>
    </w:p>
    <w:p w14:paraId="278DE7CA" w14:textId="77777777" w:rsidR="00C70322" w:rsidRPr="00DC26F6" w:rsidRDefault="00C70322" w:rsidP="00C70322">
      <w:pPr>
        <w:numPr>
          <w:ilvl w:val="0"/>
          <w:numId w:val="2"/>
        </w:numPr>
        <w:rPr>
          <w:rFonts w:ascii="Times New Roman" w:hAnsi="Times New Roman" w:cs="Times New Roman"/>
        </w:rPr>
      </w:pPr>
      <w:r w:rsidRPr="00DC26F6">
        <w:rPr>
          <w:rFonts w:ascii="Times New Roman" w:hAnsi="Times New Roman" w:cs="Times New Roman"/>
        </w:rPr>
        <w:t xml:space="preserve">Treat seizure from </w:t>
      </w:r>
      <w:proofErr w:type="spellStart"/>
      <w:r w:rsidRPr="00DC26F6">
        <w:rPr>
          <w:rFonts w:ascii="Times New Roman" w:hAnsi="Times New Roman" w:cs="Times New Roman"/>
        </w:rPr>
        <w:t>hypoglycemia</w:t>
      </w:r>
      <w:proofErr w:type="spellEnd"/>
      <w:r w:rsidRPr="00DC26F6">
        <w:rPr>
          <w:rFonts w:ascii="Times New Roman" w:hAnsi="Times New Roman" w:cs="Times New Roman"/>
        </w:rPr>
        <w:t xml:space="preserve"> with IV dextrose then infusion; use benzodiazepines only if seizures persist.</w:t>
      </w:r>
    </w:p>
    <w:p w14:paraId="0A01FD0A" w14:textId="77777777" w:rsidR="00C70322" w:rsidRPr="00DC26F6" w:rsidRDefault="00C70322" w:rsidP="00C70322">
      <w:pPr>
        <w:numPr>
          <w:ilvl w:val="0"/>
          <w:numId w:val="2"/>
        </w:numPr>
        <w:rPr>
          <w:rFonts w:ascii="Times New Roman" w:hAnsi="Times New Roman" w:cs="Times New Roman"/>
        </w:rPr>
      </w:pPr>
      <w:r w:rsidRPr="00DC26F6">
        <w:rPr>
          <w:rFonts w:ascii="Times New Roman" w:hAnsi="Times New Roman" w:cs="Times New Roman"/>
        </w:rPr>
        <w:t xml:space="preserve">Exclude other causes (electrolytes, </w:t>
      </w:r>
      <w:proofErr w:type="spellStart"/>
      <w:r w:rsidRPr="00DC26F6">
        <w:rPr>
          <w:rFonts w:ascii="Times New Roman" w:hAnsi="Times New Roman" w:cs="Times New Roman"/>
        </w:rPr>
        <w:t>uremia</w:t>
      </w:r>
      <w:proofErr w:type="spellEnd"/>
      <w:r w:rsidRPr="00DC26F6">
        <w:rPr>
          <w:rFonts w:ascii="Times New Roman" w:hAnsi="Times New Roman" w:cs="Times New Roman"/>
        </w:rPr>
        <w:t xml:space="preserve">, structural lesions) before attributing a seizure to </w:t>
      </w:r>
      <w:proofErr w:type="spellStart"/>
      <w:r w:rsidRPr="00DC26F6">
        <w:rPr>
          <w:rFonts w:ascii="Times New Roman" w:hAnsi="Times New Roman" w:cs="Times New Roman"/>
        </w:rPr>
        <w:t>hypoglycemia</w:t>
      </w:r>
      <w:proofErr w:type="spellEnd"/>
      <w:r w:rsidRPr="00DC26F6">
        <w:rPr>
          <w:rFonts w:ascii="Times New Roman" w:hAnsi="Times New Roman" w:cs="Times New Roman"/>
        </w:rPr>
        <w:t>.</w:t>
      </w:r>
    </w:p>
    <w:p w14:paraId="09551525" w14:textId="77777777" w:rsidR="00C70322" w:rsidRDefault="00C70322" w:rsidP="00C70322">
      <w:pPr>
        <w:rPr>
          <w:rFonts w:ascii="Times New Roman" w:hAnsi="Times New Roman" w:cs="Times New Roman"/>
          <w:b/>
          <w:bCs/>
        </w:rPr>
      </w:pPr>
      <w:r w:rsidRPr="00DC26F6">
        <w:rPr>
          <w:rFonts w:ascii="Times New Roman" w:hAnsi="Times New Roman" w:cs="Times New Roman"/>
          <w:b/>
          <w:bCs/>
        </w:rPr>
        <w:t>Conclusion</w:t>
      </w:r>
    </w:p>
    <w:p w14:paraId="57EAEAFA" w14:textId="77777777" w:rsidR="00C27CD0" w:rsidRDefault="00C27CD0" w:rsidP="00C70322">
      <w:pPr>
        <w:rPr>
          <w:rFonts w:ascii="Times New Roman" w:hAnsi="Times New Roman" w:cs="Times New Roman"/>
          <w:b/>
          <w:bCs/>
        </w:rPr>
      </w:pPr>
    </w:p>
    <w:p w14:paraId="1F987AF2" w14:textId="1D1F5F6F" w:rsidR="00C27CD0" w:rsidRPr="00DC26F6" w:rsidRDefault="000D2A4A" w:rsidP="00C70322">
      <w:pPr>
        <w:rPr>
          <w:rFonts w:ascii="Times New Roman" w:hAnsi="Times New Roman" w:cs="Times New Roman"/>
          <w:b/>
          <w:bCs/>
        </w:rPr>
      </w:pPr>
      <w:r w:rsidRPr="00FD43BD">
        <w:rPr>
          <w:rFonts w:ascii="Times New Roman" w:eastAsia="Times New Roman" w:hAnsi="Times New Roman" w:cs="Times New Roman"/>
          <w:sz w:val="24"/>
          <w:szCs w:val="24"/>
          <w:lang w:eastAsia="en-GB"/>
        </w:rPr>
        <w:t xml:space="preserve">This case describes severe nocturnal </w:t>
      </w:r>
      <w:proofErr w:type="spellStart"/>
      <w:r w:rsidRPr="00FD43BD">
        <w:rPr>
          <w:rFonts w:ascii="Times New Roman" w:eastAsia="Times New Roman" w:hAnsi="Times New Roman" w:cs="Times New Roman"/>
          <w:sz w:val="24"/>
          <w:szCs w:val="24"/>
          <w:lang w:eastAsia="en-GB"/>
        </w:rPr>
        <w:t>hypoglycemia</w:t>
      </w:r>
      <w:proofErr w:type="spellEnd"/>
      <w:r w:rsidRPr="00FD43BD">
        <w:rPr>
          <w:rFonts w:ascii="Times New Roman" w:eastAsia="Times New Roman" w:hAnsi="Times New Roman" w:cs="Times New Roman"/>
          <w:sz w:val="24"/>
          <w:szCs w:val="24"/>
          <w:lang w:eastAsia="en-GB"/>
        </w:rPr>
        <w:t xml:space="preserve"> presenting as a generalized tonic-</w:t>
      </w:r>
      <w:proofErr w:type="spellStart"/>
      <w:r w:rsidRPr="00FD43BD">
        <w:rPr>
          <w:rFonts w:ascii="Times New Roman" w:eastAsia="Times New Roman" w:hAnsi="Times New Roman" w:cs="Times New Roman"/>
          <w:sz w:val="24"/>
          <w:szCs w:val="24"/>
          <w:lang w:eastAsia="en-GB"/>
        </w:rPr>
        <w:t>clonic</w:t>
      </w:r>
      <w:proofErr w:type="spellEnd"/>
      <w:r w:rsidRPr="00FD43BD">
        <w:rPr>
          <w:rFonts w:ascii="Times New Roman" w:eastAsia="Times New Roman" w:hAnsi="Times New Roman" w:cs="Times New Roman"/>
          <w:sz w:val="24"/>
          <w:szCs w:val="24"/>
          <w:lang w:eastAsia="en-GB"/>
        </w:rPr>
        <w:t xml:space="preserve"> seizure in a hospitalized patient with type 2 diabetes, renal dysfunction, acute decompensated heart failure, and reduced oral intake. The episode occurred after scheduled evening NPH and regular insulin and resolved following intravenous dextrose administration. No recurrent </w:t>
      </w:r>
      <w:proofErr w:type="spellStart"/>
      <w:r w:rsidRPr="00FD43BD">
        <w:rPr>
          <w:rFonts w:ascii="Times New Roman" w:eastAsia="Times New Roman" w:hAnsi="Times New Roman" w:cs="Times New Roman"/>
          <w:sz w:val="24"/>
          <w:szCs w:val="24"/>
          <w:lang w:eastAsia="en-GB"/>
        </w:rPr>
        <w:t>hypoglycemia</w:t>
      </w:r>
      <w:proofErr w:type="spellEnd"/>
      <w:r w:rsidRPr="00FD43BD">
        <w:rPr>
          <w:rFonts w:ascii="Times New Roman" w:eastAsia="Times New Roman" w:hAnsi="Times New Roman" w:cs="Times New Roman"/>
          <w:sz w:val="24"/>
          <w:szCs w:val="24"/>
          <w:lang w:eastAsia="en-GB"/>
        </w:rPr>
        <w:t xml:space="preserve"> or seizure was documented after reduction of the evening insulin doses and closer matching of prandial insulin to food intake. The clinical course supports careful reassessment of insulin requirements when renal function and nutritional intake change during acute illness. Additional glucose monitoring may also be appropriate in selected patients considered at increased risk of nocturnal </w:t>
      </w:r>
      <w:proofErr w:type="spellStart"/>
      <w:r w:rsidRPr="00FD43BD">
        <w:rPr>
          <w:rFonts w:ascii="Times New Roman" w:eastAsia="Times New Roman" w:hAnsi="Times New Roman" w:cs="Times New Roman"/>
          <w:sz w:val="24"/>
          <w:szCs w:val="24"/>
          <w:lang w:eastAsia="en-GB"/>
        </w:rPr>
        <w:t>hypoglycemia</w:t>
      </w:r>
      <w:proofErr w:type="spellEnd"/>
    </w:p>
    <w:p w14:paraId="74B7D306" w14:textId="77777777" w:rsidR="001006A1" w:rsidRPr="00DC26F6" w:rsidRDefault="001006A1" w:rsidP="001006A1">
      <w:pPr>
        <w:spacing w:after="0" w:line="240" w:lineRule="auto"/>
        <w:rPr>
          <w:rFonts w:ascii="Arial" w:eastAsia="Calibri" w:hAnsi="Arial" w:cs="Arial"/>
          <w:b/>
          <w:kern w:val="0"/>
          <w:sz w:val="20"/>
          <w:szCs w:val="20"/>
          <w:lang w:val="en-US"/>
          <w14:ligatures w14:val="none"/>
        </w:rPr>
      </w:pPr>
      <w:bookmarkStart w:id="0" w:name="_Hlk238550938"/>
      <w:bookmarkStart w:id="1" w:name="_Hlk237856463"/>
      <w:r w:rsidRPr="00DC26F6">
        <w:rPr>
          <w:rFonts w:ascii="Arial" w:eastAsia="Calibri" w:hAnsi="Arial" w:cs="Arial"/>
          <w:b/>
          <w:kern w:val="0"/>
          <w:sz w:val="20"/>
          <w:szCs w:val="20"/>
          <w:lang w:val="en-US"/>
          <w14:ligatures w14:val="none"/>
        </w:rPr>
        <w:t>Declaration of AI Use</w:t>
      </w:r>
    </w:p>
    <w:p w14:paraId="4B27854A" w14:textId="77777777" w:rsidR="001006A1" w:rsidRPr="00DC26F6" w:rsidRDefault="001006A1" w:rsidP="001006A1">
      <w:pPr>
        <w:spacing w:after="0" w:line="240" w:lineRule="auto"/>
        <w:rPr>
          <w:rFonts w:ascii="Arial" w:eastAsia="Calibri" w:hAnsi="Arial" w:cs="Arial"/>
          <w:kern w:val="0"/>
          <w:sz w:val="20"/>
          <w:szCs w:val="20"/>
          <w:lang w:val="en-US"/>
          <w14:ligatures w14:val="none"/>
        </w:rPr>
      </w:pPr>
      <w:bookmarkStart w:id="2" w:name="_Hlk239068730"/>
    </w:p>
    <w:p w14:paraId="46314851" w14:textId="77777777" w:rsidR="001006A1" w:rsidRPr="00DC26F6" w:rsidRDefault="001006A1" w:rsidP="001006A1">
      <w:pPr>
        <w:spacing w:after="0" w:line="240" w:lineRule="auto"/>
        <w:rPr>
          <w:rFonts w:ascii="Arial" w:eastAsia="Calibri" w:hAnsi="Arial" w:cs="Arial"/>
          <w:kern w:val="0"/>
          <w:sz w:val="20"/>
          <w:szCs w:val="20"/>
          <w:lang w:val="en-US"/>
          <w14:ligatures w14:val="none"/>
        </w:rPr>
      </w:pPr>
      <w:bookmarkStart w:id="3" w:name="_Hlk237862032"/>
      <w:r w:rsidRPr="00DC26F6">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DC26F6">
        <w:rPr>
          <w:rFonts w:ascii="Arial" w:eastAsia="Calibri" w:hAnsi="Arial" w:cs="Arial"/>
          <w:kern w:val="0"/>
          <w:sz w:val="20"/>
          <w:szCs w:val="20"/>
          <w:lang w:val="en-US"/>
          <w14:ligatures w14:val="none"/>
        </w:rPr>
        <w:t>.</w:t>
      </w:r>
    </w:p>
    <w:bookmarkEnd w:id="1"/>
    <w:bookmarkEnd w:id="2"/>
    <w:bookmarkEnd w:id="3"/>
    <w:p w14:paraId="7B5EB934" w14:textId="77777777" w:rsidR="004904AA" w:rsidRDefault="004904AA" w:rsidP="0041065F">
      <w:pPr>
        <w:rPr>
          <w:rFonts w:ascii="Times New Roman" w:hAnsi="Times New Roman" w:cs="Times New Roman"/>
        </w:rPr>
      </w:pPr>
    </w:p>
    <w:p w14:paraId="6980B6DA" w14:textId="3A3E1956" w:rsidR="0041065F" w:rsidRPr="0041065F" w:rsidRDefault="0041065F" w:rsidP="0041065F">
      <w:pPr>
        <w:rPr>
          <w:rFonts w:ascii="Times New Roman" w:hAnsi="Times New Roman" w:cs="Times New Roman"/>
        </w:rPr>
      </w:pPr>
      <w:r w:rsidRPr="0041065F">
        <w:rPr>
          <w:rFonts w:ascii="Times New Roman" w:hAnsi="Times New Roman" w:cs="Times New Roman"/>
        </w:rPr>
        <w:t>COMPETING INTERESTS DISCLAIMER:</w:t>
      </w:r>
    </w:p>
    <w:p w14:paraId="09F3BE29" w14:textId="77777777" w:rsidR="0041065F" w:rsidRPr="0041065F" w:rsidRDefault="0041065F" w:rsidP="0041065F">
      <w:pPr>
        <w:rPr>
          <w:rFonts w:ascii="Times New Roman" w:hAnsi="Times New Roman" w:cs="Times New Roman"/>
        </w:rPr>
      </w:pPr>
      <w:r w:rsidRPr="0041065F">
        <w:rPr>
          <w:rFonts w:ascii="Times New Roman" w:hAnsi="Times New Roman" w:cs="Times New Roman"/>
        </w:rPr>
        <w:t>Authors have declared that they have no known competing financial interests OR non-financial interests OR personal relationships that could have appeared to influence the work reported in this paper.</w:t>
      </w:r>
    </w:p>
    <w:p w14:paraId="66D2F320" w14:textId="77777777" w:rsidR="0041065F" w:rsidRPr="0041065F" w:rsidRDefault="0041065F" w:rsidP="0041065F">
      <w:pPr>
        <w:rPr>
          <w:rFonts w:ascii="Times New Roman" w:hAnsi="Times New Roman" w:cs="Times New Roman"/>
        </w:rPr>
      </w:pPr>
    </w:p>
    <w:p w14:paraId="6BB01C7F" w14:textId="77777777" w:rsidR="001006A1" w:rsidRPr="00DC26F6" w:rsidRDefault="001006A1" w:rsidP="00C70322">
      <w:pPr>
        <w:rPr>
          <w:rFonts w:ascii="Times New Roman" w:hAnsi="Times New Roman" w:cs="Times New Roman"/>
        </w:rPr>
      </w:pPr>
    </w:p>
    <w:p w14:paraId="57BAACD0" w14:textId="77777777" w:rsidR="004904AA" w:rsidRDefault="004904AA" w:rsidP="003A1836">
      <w:pPr>
        <w:tabs>
          <w:tab w:val="num" w:pos="720"/>
        </w:tabs>
        <w:rPr>
          <w:rFonts w:ascii="Times New Roman" w:hAnsi="Times New Roman" w:cs="Times New Roman"/>
          <w:b/>
          <w:bCs/>
        </w:rPr>
      </w:pPr>
    </w:p>
    <w:p w14:paraId="085CA9FE" w14:textId="77777777" w:rsidR="004904AA" w:rsidRDefault="004904AA" w:rsidP="003A1836">
      <w:pPr>
        <w:tabs>
          <w:tab w:val="num" w:pos="720"/>
        </w:tabs>
        <w:rPr>
          <w:rFonts w:ascii="Times New Roman" w:hAnsi="Times New Roman" w:cs="Times New Roman"/>
          <w:b/>
          <w:bCs/>
        </w:rPr>
      </w:pPr>
    </w:p>
    <w:p w14:paraId="5E422281" w14:textId="2F847A82" w:rsidR="003A1836" w:rsidRPr="00DC26F6" w:rsidRDefault="00C70322" w:rsidP="003A1836">
      <w:pPr>
        <w:tabs>
          <w:tab w:val="num" w:pos="720"/>
        </w:tabs>
        <w:rPr>
          <w:rFonts w:ascii="Times New Roman" w:hAnsi="Times New Roman" w:cs="Times New Roman"/>
          <w:b/>
          <w:bCs/>
        </w:rPr>
      </w:pPr>
      <w:r w:rsidRPr="00DC26F6">
        <w:rPr>
          <w:rFonts w:ascii="Times New Roman" w:hAnsi="Times New Roman" w:cs="Times New Roman"/>
          <w:b/>
          <w:bCs/>
        </w:rPr>
        <w:lastRenderedPageBreak/>
        <w:t xml:space="preserve">References </w:t>
      </w:r>
    </w:p>
    <w:p w14:paraId="2A329E22" w14:textId="77777777" w:rsidR="003A1836" w:rsidRPr="00DC26F6" w:rsidRDefault="003A1836" w:rsidP="003A1836">
      <w:pPr>
        <w:keepLines/>
        <w:spacing w:after="80" w:line="247" w:lineRule="auto"/>
        <w:ind w:left="360" w:hanging="360"/>
        <w:rPr>
          <w:rFonts w:ascii="Times New Roman" w:hAnsi="Times New Roman" w:cs="Times New Roman"/>
        </w:rPr>
      </w:pPr>
      <w:r w:rsidRPr="00DC26F6">
        <w:rPr>
          <w:sz w:val="19"/>
        </w:rPr>
        <w:t xml:space="preserve">American Diabetes Association Professional Practice Committee. (2025). 16. Diabetes care in the hospital: Standards of care in diabetes—2025. </w:t>
      </w:r>
      <w:r w:rsidRPr="00DC26F6">
        <w:rPr>
          <w:i/>
          <w:sz w:val="19"/>
        </w:rPr>
        <w:t>Diabetes Care, 48</w:t>
      </w:r>
      <w:r w:rsidRPr="00DC26F6">
        <w:rPr>
          <w:sz w:val="19"/>
        </w:rPr>
        <w:t>(Suppl. 1), S321–S334. https://doi.org/10.2337/dc25-S016</w:t>
      </w:r>
    </w:p>
    <w:p w14:paraId="72E94E13" w14:textId="77777777" w:rsidR="005711EB" w:rsidRPr="00DC26F6" w:rsidRDefault="00000000">
      <w:pPr>
        <w:keepLines/>
        <w:spacing w:after="80" w:line="247" w:lineRule="auto"/>
        <w:ind w:left="360" w:hanging="360"/>
      </w:pPr>
      <w:r w:rsidRPr="00DC26F6">
        <w:rPr>
          <w:sz w:val="19"/>
        </w:rPr>
        <w:t xml:space="preserve">Alsahli, M., &amp; Gerich, J. E. (2015). </w:t>
      </w:r>
      <w:proofErr w:type="spellStart"/>
      <w:r w:rsidRPr="00DC26F6">
        <w:rPr>
          <w:sz w:val="19"/>
        </w:rPr>
        <w:t>Hypoglycemia</w:t>
      </w:r>
      <w:proofErr w:type="spellEnd"/>
      <w:r w:rsidRPr="00DC26F6">
        <w:rPr>
          <w:sz w:val="19"/>
        </w:rPr>
        <w:t xml:space="preserve"> in patients with diabetes and renal disease. </w:t>
      </w:r>
      <w:r w:rsidRPr="00DC26F6">
        <w:rPr>
          <w:i/>
          <w:sz w:val="19"/>
        </w:rPr>
        <w:t>Journal of Clinical Medicine, 4</w:t>
      </w:r>
      <w:r w:rsidRPr="00DC26F6">
        <w:rPr>
          <w:sz w:val="19"/>
        </w:rPr>
        <w:t>(5), 948–964. https://doi.org/10.3390/jcm4050948</w:t>
      </w:r>
    </w:p>
    <w:p w14:paraId="7B6512EE" w14:textId="77777777" w:rsidR="005711EB" w:rsidRPr="00DC26F6" w:rsidRDefault="00000000">
      <w:pPr>
        <w:keepLines/>
        <w:spacing w:after="80" w:line="247" w:lineRule="auto"/>
        <w:ind w:left="360" w:hanging="360"/>
      </w:pPr>
      <w:r w:rsidRPr="00DC26F6">
        <w:rPr>
          <w:sz w:val="19"/>
        </w:rPr>
        <w:t xml:space="preserve">Baldwin, D., Zander, J., Munoz, C., Raghu, P., </w:t>
      </w:r>
      <w:proofErr w:type="spellStart"/>
      <w:r w:rsidRPr="00DC26F6">
        <w:rPr>
          <w:sz w:val="19"/>
        </w:rPr>
        <w:t>DeLange</w:t>
      </w:r>
      <w:proofErr w:type="spellEnd"/>
      <w:r w:rsidRPr="00DC26F6">
        <w:rPr>
          <w:sz w:val="19"/>
        </w:rPr>
        <w:t xml:space="preserve">-Hudec, S., Lee, H., Emanuele, M. A., Glossop, V., Smallwood, K., &amp; </w:t>
      </w:r>
      <w:proofErr w:type="spellStart"/>
      <w:r w:rsidRPr="00DC26F6">
        <w:rPr>
          <w:sz w:val="19"/>
        </w:rPr>
        <w:t>Molitch</w:t>
      </w:r>
      <w:proofErr w:type="spellEnd"/>
      <w:r w:rsidRPr="00DC26F6">
        <w:rPr>
          <w:sz w:val="19"/>
        </w:rPr>
        <w:t xml:space="preserve">, M. (2012). A randomized trial of two weight-based doses of insulin glargine and </w:t>
      </w:r>
      <w:proofErr w:type="spellStart"/>
      <w:r w:rsidRPr="00DC26F6">
        <w:rPr>
          <w:sz w:val="19"/>
        </w:rPr>
        <w:t>glulisine</w:t>
      </w:r>
      <w:proofErr w:type="spellEnd"/>
      <w:r w:rsidRPr="00DC26F6">
        <w:rPr>
          <w:sz w:val="19"/>
        </w:rPr>
        <w:t xml:space="preserve"> in hospitalized subjects with type 2 diabetes and renal insufficiency. </w:t>
      </w:r>
      <w:r w:rsidRPr="00DC26F6">
        <w:rPr>
          <w:i/>
          <w:sz w:val="19"/>
        </w:rPr>
        <w:t>Diabetes Care, 35</w:t>
      </w:r>
      <w:r w:rsidRPr="00DC26F6">
        <w:rPr>
          <w:sz w:val="19"/>
        </w:rPr>
        <w:t>(10), 1970–1974. https://doi.org/10.2337/dc12-0578</w:t>
      </w:r>
    </w:p>
    <w:p w14:paraId="6F94212E" w14:textId="77777777" w:rsidR="005711EB" w:rsidRPr="00DC26F6" w:rsidRDefault="00000000">
      <w:pPr>
        <w:keepLines/>
        <w:spacing w:after="80" w:line="247" w:lineRule="auto"/>
        <w:ind w:left="360" w:hanging="360"/>
      </w:pPr>
      <w:r w:rsidRPr="00DC26F6">
        <w:rPr>
          <w:sz w:val="19"/>
        </w:rPr>
        <w:t xml:space="preserve">Chow, E., </w:t>
      </w:r>
      <w:proofErr w:type="spellStart"/>
      <w:r w:rsidRPr="00DC26F6">
        <w:rPr>
          <w:sz w:val="19"/>
        </w:rPr>
        <w:t>Bernjak</w:t>
      </w:r>
      <w:proofErr w:type="spellEnd"/>
      <w:r w:rsidRPr="00DC26F6">
        <w:rPr>
          <w:sz w:val="19"/>
        </w:rPr>
        <w:t xml:space="preserve">, A., Williams, S., </w:t>
      </w:r>
      <w:proofErr w:type="spellStart"/>
      <w:r w:rsidRPr="00DC26F6">
        <w:rPr>
          <w:sz w:val="19"/>
        </w:rPr>
        <w:t>Fawdry</w:t>
      </w:r>
      <w:proofErr w:type="spellEnd"/>
      <w:r w:rsidRPr="00DC26F6">
        <w:rPr>
          <w:sz w:val="19"/>
        </w:rPr>
        <w:t xml:space="preserve">, R. A., Hibbert, S., Freeman, J., Sheridan, P. J., &amp; Heller, S. R. (2014). Risk of cardiac arrhythmias during </w:t>
      </w:r>
      <w:proofErr w:type="spellStart"/>
      <w:r w:rsidRPr="00DC26F6">
        <w:rPr>
          <w:sz w:val="19"/>
        </w:rPr>
        <w:t>hypoglycemia</w:t>
      </w:r>
      <w:proofErr w:type="spellEnd"/>
      <w:r w:rsidRPr="00DC26F6">
        <w:rPr>
          <w:sz w:val="19"/>
        </w:rPr>
        <w:t xml:space="preserve"> in patients with type 2 diabetes and cardiovascular risk. </w:t>
      </w:r>
      <w:r w:rsidRPr="00DC26F6">
        <w:rPr>
          <w:i/>
          <w:sz w:val="19"/>
        </w:rPr>
        <w:t>Diabetes, 63</w:t>
      </w:r>
      <w:r w:rsidRPr="00DC26F6">
        <w:rPr>
          <w:sz w:val="19"/>
        </w:rPr>
        <w:t>(5), 1738–1747. https://doi.org/10.2337/db13-0468</w:t>
      </w:r>
    </w:p>
    <w:p w14:paraId="20C9D122" w14:textId="77777777" w:rsidR="005711EB" w:rsidRPr="00DC26F6" w:rsidRDefault="00000000">
      <w:pPr>
        <w:keepLines/>
        <w:spacing w:after="80" w:line="247" w:lineRule="auto"/>
        <w:ind w:left="360" w:hanging="360"/>
      </w:pPr>
      <w:r w:rsidRPr="00DC26F6">
        <w:rPr>
          <w:sz w:val="19"/>
        </w:rPr>
        <w:t xml:space="preserve">Cryer, P. E., Axelrod, L., Grossman, A. B., Heller, S. R., Montori, V. M., Seaquist, E. R., &amp; Service, F. J. (2009). Evaluation and management of adult </w:t>
      </w:r>
      <w:proofErr w:type="spellStart"/>
      <w:r w:rsidRPr="00DC26F6">
        <w:rPr>
          <w:sz w:val="19"/>
        </w:rPr>
        <w:t>hypoglycemic</w:t>
      </w:r>
      <w:proofErr w:type="spellEnd"/>
      <w:r w:rsidRPr="00DC26F6">
        <w:rPr>
          <w:sz w:val="19"/>
        </w:rPr>
        <w:t xml:space="preserve"> disorders: An Endocrine Society Clinical Practice Guideline. </w:t>
      </w:r>
      <w:r w:rsidRPr="00DC26F6">
        <w:rPr>
          <w:i/>
          <w:sz w:val="19"/>
        </w:rPr>
        <w:t>The Journal of Clinical Endocrinology &amp; Metabolism, 94</w:t>
      </w:r>
      <w:r w:rsidRPr="00DC26F6">
        <w:rPr>
          <w:sz w:val="19"/>
        </w:rPr>
        <w:t>(3), 709–728. https://doi.org/10.1210/jc.2008-1410</w:t>
      </w:r>
    </w:p>
    <w:p w14:paraId="7968BCB8" w14:textId="77777777" w:rsidR="005711EB" w:rsidRPr="00DC26F6" w:rsidRDefault="00000000">
      <w:pPr>
        <w:keepLines/>
        <w:spacing w:after="80" w:line="247" w:lineRule="auto"/>
        <w:ind w:left="360" w:hanging="360"/>
      </w:pPr>
      <w:r w:rsidRPr="00DC26F6">
        <w:rPr>
          <w:sz w:val="19"/>
        </w:rPr>
        <w:t xml:space="preserve">Frier, B. M., Schernthaner, G., &amp; Heller, S. R. (2011). </w:t>
      </w:r>
      <w:proofErr w:type="spellStart"/>
      <w:r w:rsidRPr="00DC26F6">
        <w:rPr>
          <w:sz w:val="19"/>
        </w:rPr>
        <w:t>Hypoglycemia</w:t>
      </w:r>
      <w:proofErr w:type="spellEnd"/>
      <w:r w:rsidRPr="00DC26F6">
        <w:rPr>
          <w:sz w:val="19"/>
        </w:rPr>
        <w:t xml:space="preserve"> and cardiovascular risks. </w:t>
      </w:r>
      <w:r w:rsidRPr="00DC26F6">
        <w:rPr>
          <w:i/>
          <w:sz w:val="19"/>
        </w:rPr>
        <w:t>Diabetes Care, 34</w:t>
      </w:r>
      <w:r w:rsidRPr="00DC26F6">
        <w:rPr>
          <w:sz w:val="19"/>
        </w:rPr>
        <w:t>(Suppl. 2), S132–S137. https://doi.org/10.2337/dc11-s220</w:t>
      </w:r>
    </w:p>
    <w:p w14:paraId="421CE7F6" w14:textId="77777777" w:rsidR="005711EB" w:rsidRPr="00DC26F6" w:rsidRDefault="00000000">
      <w:pPr>
        <w:keepLines/>
        <w:spacing w:after="80" w:line="247" w:lineRule="auto"/>
        <w:ind w:left="360" w:hanging="360"/>
      </w:pPr>
      <w:r w:rsidRPr="00DC26F6">
        <w:rPr>
          <w:sz w:val="19"/>
        </w:rPr>
        <w:t xml:space="preserve">Home, P. D., Fritsche, A., Schinzel, S., &amp; Massi-Benedetti, M. (2010). Meta-analysis of individual patient data to assess the risk of hypoglycaemia in people with type 2 diabetes using NPH insulin or insulin glargine. </w:t>
      </w:r>
      <w:r w:rsidRPr="00DC26F6">
        <w:rPr>
          <w:i/>
          <w:sz w:val="19"/>
        </w:rPr>
        <w:t>Diabetes, Obesity and Metabolism, 12</w:t>
      </w:r>
      <w:r w:rsidRPr="00DC26F6">
        <w:rPr>
          <w:sz w:val="19"/>
        </w:rPr>
        <w:t>(9), 772–779. https://doi.org/10.1111/j.1463-1326.2010.01232.x</w:t>
      </w:r>
    </w:p>
    <w:p w14:paraId="69FBB1CA" w14:textId="77777777" w:rsidR="005711EB" w:rsidRPr="00DC26F6" w:rsidRDefault="00000000">
      <w:pPr>
        <w:keepLines/>
        <w:spacing w:after="80" w:line="247" w:lineRule="auto"/>
        <w:ind w:left="360" w:hanging="360"/>
      </w:pPr>
      <w:r w:rsidRPr="00DC26F6">
        <w:rPr>
          <w:sz w:val="19"/>
        </w:rPr>
        <w:t xml:space="preserve">Hung, A. M., Siew, E. D., Wilson, O. D., Perkins, A. M., Greevy, R. A., Jr., Horner, J., Abdel-Kader, K., Parr, S. K., Roumie, C. L., Griffin, M. R., </w:t>
      </w:r>
      <w:proofErr w:type="spellStart"/>
      <w:r w:rsidRPr="00DC26F6">
        <w:rPr>
          <w:sz w:val="19"/>
        </w:rPr>
        <w:t>Ikizler</w:t>
      </w:r>
      <w:proofErr w:type="spellEnd"/>
      <w:r w:rsidRPr="00DC26F6">
        <w:rPr>
          <w:sz w:val="19"/>
        </w:rPr>
        <w:t xml:space="preserve">, T. A., Speroff, T., &amp; Matheny, M. E. (2018). Risk of </w:t>
      </w:r>
      <w:proofErr w:type="spellStart"/>
      <w:r w:rsidRPr="00DC26F6">
        <w:rPr>
          <w:sz w:val="19"/>
        </w:rPr>
        <w:t>hypoglycemia</w:t>
      </w:r>
      <w:proofErr w:type="spellEnd"/>
      <w:r w:rsidRPr="00DC26F6">
        <w:rPr>
          <w:sz w:val="19"/>
        </w:rPr>
        <w:t xml:space="preserve"> following hospital discharge in patients with diabetes and acute kidney injury. </w:t>
      </w:r>
      <w:r w:rsidRPr="00DC26F6">
        <w:rPr>
          <w:i/>
          <w:sz w:val="19"/>
        </w:rPr>
        <w:t>Diabetes Care, 41</w:t>
      </w:r>
      <w:r w:rsidRPr="00DC26F6">
        <w:rPr>
          <w:sz w:val="19"/>
        </w:rPr>
        <w:t>(3), 503–512. https://doi.org/10.2337/dc17-1237</w:t>
      </w:r>
    </w:p>
    <w:p w14:paraId="77E08206" w14:textId="77777777" w:rsidR="005711EB" w:rsidRPr="00DC26F6" w:rsidRDefault="00000000">
      <w:pPr>
        <w:keepLines/>
        <w:spacing w:after="80" w:line="247" w:lineRule="auto"/>
        <w:ind w:left="360" w:hanging="360"/>
      </w:pPr>
      <w:r w:rsidRPr="00DC26F6">
        <w:rPr>
          <w:sz w:val="19"/>
        </w:rPr>
        <w:t xml:space="preserve">Kidney Disease: Improving Global Outcomes (KDIGO) Acute Kidney Injury Work Group. (2012). KDIGO clinical practice guideline for acute kidney injury. </w:t>
      </w:r>
      <w:r w:rsidRPr="00DC26F6">
        <w:rPr>
          <w:i/>
          <w:sz w:val="19"/>
        </w:rPr>
        <w:t>Kidney International Supplements, 2</w:t>
      </w:r>
      <w:r w:rsidRPr="00DC26F6">
        <w:rPr>
          <w:sz w:val="19"/>
        </w:rPr>
        <w:t>(1), 1–138. https://doi.org/10.1038/kisup.2012.1</w:t>
      </w:r>
    </w:p>
    <w:p w14:paraId="7AE912BE" w14:textId="77777777" w:rsidR="005711EB" w:rsidRPr="00DC26F6" w:rsidRDefault="00000000">
      <w:pPr>
        <w:keepLines/>
        <w:spacing w:after="80" w:line="247" w:lineRule="auto"/>
        <w:ind w:left="360" w:hanging="360"/>
      </w:pPr>
      <w:r w:rsidRPr="00DC26F6">
        <w:rPr>
          <w:sz w:val="19"/>
        </w:rPr>
        <w:t xml:space="preserve">Snyder, R. W., &amp; Berns, J. S. (2004). Use of insulin and oral </w:t>
      </w:r>
      <w:proofErr w:type="spellStart"/>
      <w:r w:rsidRPr="00DC26F6">
        <w:rPr>
          <w:sz w:val="19"/>
        </w:rPr>
        <w:t>hypoglycemic</w:t>
      </w:r>
      <w:proofErr w:type="spellEnd"/>
      <w:r w:rsidRPr="00DC26F6">
        <w:rPr>
          <w:sz w:val="19"/>
        </w:rPr>
        <w:t xml:space="preserve"> medications in patients with diabetes mellitus and advanced kidney disease. </w:t>
      </w:r>
      <w:r w:rsidRPr="00DC26F6">
        <w:rPr>
          <w:i/>
          <w:sz w:val="19"/>
        </w:rPr>
        <w:t>Seminars in Dialysis, 17</w:t>
      </w:r>
      <w:r w:rsidRPr="00DC26F6">
        <w:rPr>
          <w:sz w:val="19"/>
        </w:rPr>
        <w:t>(5), 365–370. https://doi.org/10.1111/j.0894-0959.2004.17346.x</w:t>
      </w:r>
    </w:p>
    <w:p w14:paraId="5A80F8E2" w14:textId="77777777" w:rsidR="005711EB" w:rsidRDefault="00000000">
      <w:pPr>
        <w:keepLines/>
        <w:spacing w:after="80" w:line="247" w:lineRule="auto"/>
        <w:ind w:left="360" w:hanging="360"/>
      </w:pPr>
      <w:r w:rsidRPr="00DC26F6">
        <w:rPr>
          <w:sz w:val="19"/>
        </w:rPr>
        <w:t xml:space="preserve">Umpierrez, G. E., Smiley, D., </w:t>
      </w:r>
      <w:proofErr w:type="spellStart"/>
      <w:r w:rsidRPr="00DC26F6">
        <w:rPr>
          <w:sz w:val="19"/>
        </w:rPr>
        <w:t>Hermayer</w:t>
      </w:r>
      <w:proofErr w:type="spellEnd"/>
      <w:r w:rsidRPr="00DC26F6">
        <w:rPr>
          <w:sz w:val="19"/>
        </w:rPr>
        <w:t xml:space="preserve">, K., Khan, A., Olson, D. E., Newton, C., Jacobs, S., Rizzo, M., Peng, L., Reyes, D., Pinzon, I., Fereira, M. E., Hunt, V., Gore, A., Toyoshima, M. T., &amp; Fonseca, V. A. (2013). Randomized study comparing a basal-bolus with a basal plus correction insulin regimen for the hospital management of medical and surgical patients with type 2 diabetes: Basal plus trial. </w:t>
      </w:r>
      <w:r w:rsidRPr="00DC26F6">
        <w:rPr>
          <w:i/>
          <w:sz w:val="19"/>
        </w:rPr>
        <w:t>Diabetes Care, 36</w:t>
      </w:r>
      <w:r w:rsidRPr="00DC26F6">
        <w:rPr>
          <w:sz w:val="19"/>
        </w:rPr>
        <w:t>(8), 2169–2174. https://doi.org/10.2337/dc12-1988</w:t>
      </w:r>
    </w:p>
    <w:sectPr w:rsidR="005711E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48E55" w14:textId="77777777" w:rsidR="00225A4C" w:rsidRDefault="00225A4C" w:rsidP="003A1836">
      <w:pPr>
        <w:spacing w:after="0" w:line="240" w:lineRule="auto"/>
      </w:pPr>
      <w:r>
        <w:separator/>
      </w:r>
    </w:p>
  </w:endnote>
  <w:endnote w:type="continuationSeparator" w:id="0">
    <w:p w14:paraId="42B4E846" w14:textId="77777777" w:rsidR="00225A4C" w:rsidRDefault="00225A4C" w:rsidP="003A1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B6EEE" w14:textId="77777777" w:rsidR="004904AA" w:rsidRDefault="004904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6303B" w14:textId="77777777" w:rsidR="004904AA" w:rsidRDefault="004904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58BA9" w14:textId="77777777" w:rsidR="004904AA" w:rsidRDefault="004904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33DAB" w14:textId="77777777" w:rsidR="00225A4C" w:rsidRDefault="00225A4C" w:rsidP="003A1836">
      <w:pPr>
        <w:spacing w:after="0" w:line="240" w:lineRule="auto"/>
      </w:pPr>
      <w:r>
        <w:separator/>
      </w:r>
    </w:p>
  </w:footnote>
  <w:footnote w:type="continuationSeparator" w:id="0">
    <w:p w14:paraId="6CB87DB6" w14:textId="77777777" w:rsidR="00225A4C" w:rsidRDefault="00225A4C" w:rsidP="003A18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467F6" w14:textId="0AE60D14" w:rsidR="004904AA" w:rsidRDefault="004904AA">
    <w:pPr>
      <w:pStyle w:val="Header"/>
    </w:pPr>
    <w:r>
      <w:rPr>
        <w:noProof/>
      </w:rPr>
      <w:pict w14:anchorId="510D6B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182704"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159F8" w14:textId="22BEF388" w:rsidR="004904AA" w:rsidRDefault="004904AA">
    <w:pPr>
      <w:pStyle w:val="Header"/>
    </w:pPr>
    <w:r>
      <w:rPr>
        <w:noProof/>
      </w:rPr>
      <w:pict w14:anchorId="7BCA80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182705"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3830D" w14:textId="5D0F3150" w:rsidR="004904AA" w:rsidRDefault="004904AA">
    <w:pPr>
      <w:pStyle w:val="Header"/>
    </w:pPr>
    <w:r>
      <w:rPr>
        <w:noProof/>
      </w:rPr>
      <w:pict w14:anchorId="046CCD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182703"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42A8F"/>
    <w:multiLevelType w:val="multilevel"/>
    <w:tmpl w:val="B4607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7F377C"/>
    <w:multiLevelType w:val="multilevel"/>
    <w:tmpl w:val="A03CA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0478DA"/>
    <w:multiLevelType w:val="multilevel"/>
    <w:tmpl w:val="064CE68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74BB0A90"/>
    <w:multiLevelType w:val="hybridMultilevel"/>
    <w:tmpl w:val="CD42E7A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75E2254B"/>
    <w:multiLevelType w:val="multilevel"/>
    <w:tmpl w:val="A1DE6A1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158574345">
    <w:abstractNumId w:val="1"/>
  </w:num>
  <w:num w:numId="2" w16cid:durableId="1296568977">
    <w:abstractNumId w:val="0"/>
  </w:num>
  <w:num w:numId="3" w16cid:durableId="1933784233">
    <w:abstractNumId w:val="4"/>
  </w:num>
  <w:num w:numId="4" w16cid:durableId="171188668">
    <w:abstractNumId w:val="3"/>
  </w:num>
  <w:num w:numId="5" w16cid:durableId="15694884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2F2"/>
    <w:rsid w:val="000132B9"/>
    <w:rsid w:val="000D2A4A"/>
    <w:rsid w:val="001006A1"/>
    <w:rsid w:val="00225A4C"/>
    <w:rsid w:val="002E6281"/>
    <w:rsid w:val="003A1836"/>
    <w:rsid w:val="003E153A"/>
    <w:rsid w:val="0041065F"/>
    <w:rsid w:val="004904AA"/>
    <w:rsid w:val="004914DE"/>
    <w:rsid w:val="005711EB"/>
    <w:rsid w:val="005C19BC"/>
    <w:rsid w:val="005D1BD8"/>
    <w:rsid w:val="006073AB"/>
    <w:rsid w:val="00672342"/>
    <w:rsid w:val="0077436E"/>
    <w:rsid w:val="0077566B"/>
    <w:rsid w:val="00AE4F69"/>
    <w:rsid w:val="00BE3204"/>
    <w:rsid w:val="00C27CD0"/>
    <w:rsid w:val="00C70322"/>
    <w:rsid w:val="00CD4D24"/>
    <w:rsid w:val="00D611AC"/>
    <w:rsid w:val="00DC26F6"/>
    <w:rsid w:val="00E716C6"/>
    <w:rsid w:val="00F012F2"/>
    <w:rsid w:val="00F25A33"/>
    <w:rsid w:val="00F37BA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DAAA7"/>
  <w15:chartTrackingRefBased/>
  <w15:docId w15:val="{66F06853-5D3F-409C-B0F8-8A3D42212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12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12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12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12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12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12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12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12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12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2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12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12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12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12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12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12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12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12F2"/>
    <w:rPr>
      <w:rFonts w:eastAsiaTheme="majorEastAsia" w:cstheme="majorBidi"/>
      <w:color w:val="272727" w:themeColor="text1" w:themeTint="D8"/>
    </w:rPr>
  </w:style>
  <w:style w:type="paragraph" w:styleId="Title">
    <w:name w:val="Title"/>
    <w:basedOn w:val="Normal"/>
    <w:next w:val="Normal"/>
    <w:link w:val="TitleChar"/>
    <w:uiPriority w:val="10"/>
    <w:qFormat/>
    <w:rsid w:val="00F012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12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12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12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12F2"/>
    <w:pPr>
      <w:spacing w:before="160"/>
      <w:jc w:val="center"/>
    </w:pPr>
    <w:rPr>
      <w:i/>
      <w:iCs/>
      <w:color w:val="404040" w:themeColor="text1" w:themeTint="BF"/>
    </w:rPr>
  </w:style>
  <w:style w:type="character" w:customStyle="1" w:styleId="QuoteChar">
    <w:name w:val="Quote Char"/>
    <w:basedOn w:val="DefaultParagraphFont"/>
    <w:link w:val="Quote"/>
    <w:uiPriority w:val="29"/>
    <w:rsid w:val="00F012F2"/>
    <w:rPr>
      <w:i/>
      <w:iCs/>
      <w:color w:val="404040" w:themeColor="text1" w:themeTint="BF"/>
    </w:rPr>
  </w:style>
  <w:style w:type="paragraph" w:styleId="ListParagraph">
    <w:name w:val="List Paragraph"/>
    <w:basedOn w:val="Normal"/>
    <w:uiPriority w:val="34"/>
    <w:qFormat/>
    <w:rsid w:val="00F012F2"/>
    <w:pPr>
      <w:ind w:left="720"/>
      <w:contextualSpacing/>
    </w:pPr>
  </w:style>
  <w:style w:type="character" w:styleId="IntenseEmphasis">
    <w:name w:val="Intense Emphasis"/>
    <w:basedOn w:val="DefaultParagraphFont"/>
    <w:uiPriority w:val="21"/>
    <w:qFormat/>
    <w:rsid w:val="00F012F2"/>
    <w:rPr>
      <w:i/>
      <w:iCs/>
      <w:color w:val="0F4761" w:themeColor="accent1" w:themeShade="BF"/>
    </w:rPr>
  </w:style>
  <w:style w:type="paragraph" w:styleId="IntenseQuote">
    <w:name w:val="Intense Quote"/>
    <w:basedOn w:val="Normal"/>
    <w:next w:val="Normal"/>
    <w:link w:val="IntenseQuoteChar"/>
    <w:uiPriority w:val="30"/>
    <w:qFormat/>
    <w:rsid w:val="00F012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12F2"/>
    <w:rPr>
      <w:i/>
      <w:iCs/>
      <w:color w:val="0F4761" w:themeColor="accent1" w:themeShade="BF"/>
    </w:rPr>
  </w:style>
  <w:style w:type="character" w:styleId="IntenseReference">
    <w:name w:val="Intense Reference"/>
    <w:basedOn w:val="DefaultParagraphFont"/>
    <w:uiPriority w:val="32"/>
    <w:qFormat/>
    <w:rsid w:val="00F012F2"/>
    <w:rPr>
      <w:b/>
      <w:bCs/>
      <w:smallCaps/>
      <w:color w:val="0F4761" w:themeColor="accent1" w:themeShade="BF"/>
      <w:spacing w:val="5"/>
    </w:rPr>
  </w:style>
  <w:style w:type="paragraph" w:styleId="Header">
    <w:name w:val="header"/>
    <w:basedOn w:val="Normal"/>
    <w:link w:val="HeaderChar"/>
    <w:uiPriority w:val="99"/>
    <w:unhideWhenUsed/>
    <w:rsid w:val="003A18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1836"/>
  </w:style>
  <w:style w:type="paragraph" w:styleId="Footer">
    <w:name w:val="footer"/>
    <w:basedOn w:val="Normal"/>
    <w:link w:val="FooterChar"/>
    <w:uiPriority w:val="99"/>
    <w:unhideWhenUsed/>
    <w:rsid w:val="003A18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1836"/>
  </w:style>
  <w:style w:type="character" w:styleId="Hyperlink">
    <w:name w:val="Hyperlink"/>
    <w:basedOn w:val="DefaultParagraphFont"/>
    <w:uiPriority w:val="99"/>
    <w:unhideWhenUsed/>
    <w:rsid w:val="00D611AC"/>
    <w:rPr>
      <w:color w:val="467886" w:themeColor="hyperlink"/>
      <w:u w:val="single"/>
    </w:rPr>
  </w:style>
  <w:style w:type="character" w:styleId="UnresolvedMention">
    <w:name w:val="Unresolved Mention"/>
    <w:basedOn w:val="DefaultParagraphFont"/>
    <w:uiPriority w:val="99"/>
    <w:semiHidden/>
    <w:unhideWhenUsed/>
    <w:rsid w:val="00D611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35324-7C63-4E88-9946-C756B2A95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3048</Words>
  <Characters>17376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anupamasankar .</dc:creator>
  <cp:keywords/>
  <dc:description/>
  <cp:lastModifiedBy>SDI 1166</cp:lastModifiedBy>
  <cp:revision>14</cp:revision>
  <dcterms:created xsi:type="dcterms:W3CDTF">2026-10-12T05:30:00Z</dcterms:created>
  <dcterms:modified xsi:type="dcterms:W3CDTF">2026-10-13T07:53:00Z</dcterms:modified>
</cp:coreProperties>
</file>