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08033" w14:textId="77777777" w:rsidR="00875F71" w:rsidRDefault="00875F71" w:rsidP="00BD4D7B">
      <w:pPr>
        <w:spacing w:before="100" w:beforeAutospacing="1" w:after="100" w:afterAutospacing="1" w:line="360" w:lineRule="auto"/>
        <w:jc w:val="both"/>
        <w:outlineLvl w:val="0"/>
        <w:rPr>
          <w:rFonts w:ascii="Times New Roman" w:eastAsia="Times New Roman" w:hAnsi="Times New Roman" w:cs="Times New Roman"/>
          <w:b/>
          <w:bCs/>
          <w:kern w:val="36"/>
          <w:sz w:val="24"/>
          <w:szCs w:val="24"/>
          <w:lang w:eastAsia="en-GB"/>
        </w:rPr>
      </w:pPr>
    </w:p>
    <w:p w14:paraId="6262D95A" w14:textId="77777777" w:rsidR="00BD4D7B" w:rsidRDefault="00BD4D7B" w:rsidP="00BD4D7B">
      <w:pPr>
        <w:spacing w:before="100" w:beforeAutospacing="1" w:after="100" w:afterAutospacing="1" w:line="360" w:lineRule="auto"/>
        <w:jc w:val="both"/>
        <w:outlineLvl w:val="0"/>
        <w:rPr>
          <w:rFonts w:ascii="Times New Roman" w:eastAsia="Times New Roman" w:hAnsi="Times New Roman" w:cs="Times New Roman"/>
          <w:b/>
          <w:bCs/>
          <w:kern w:val="36"/>
          <w:sz w:val="24"/>
          <w:szCs w:val="24"/>
          <w:lang w:eastAsia="en-GB"/>
        </w:rPr>
      </w:pPr>
      <w:r w:rsidRPr="00BD4D7B">
        <w:rPr>
          <w:rFonts w:ascii="Times New Roman" w:eastAsia="Times New Roman" w:hAnsi="Times New Roman" w:cs="Times New Roman"/>
          <w:b/>
          <w:bCs/>
          <w:kern w:val="36"/>
          <w:sz w:val="24"/>
          <w:szCs w:val="24"/>
          <w:lang w:eastAsia="en-GB"/>
        </w:rPr>
        <w:t xml:space="preserve">Conservation priorities for </w:t>
      </w:r>
      <w:proofErr w:type="spellStart"/>
      <w:r w:rsidRPr="00BD4D7B">
        <w:rPr>
          <w:rFonts w:ascii="Times New Roman" w:eastAsia="Times New Roman" w:hAnsi="Times New Roman" w:cs="Times New Roman"/>
          <w:b/>
          <w:bCs/>
          <w:i/>
          <w:iCs/>
          <w:kern w:val="36"/>
          <w:sz w:val="24"/>
          <w:szCs w:val="24"/>
          <w:lang w:eastAsia="en-GB"/>
        </w:rPr>
        <w:t>Hydnocarpus</w:t>
      </w:r>
      <w:proofErr w:type="spellEnd"/>
      <w:r w:rsidRPr="00BD4D7B">
        <w:rPr>
          <w:rFonts w:ascii="Times New Roman" w:eastAsia="Times New Roman" w:hAnsi="Times New Roman" w:cs="Times New Roman"/>
          <w:b/>
          <w:bCs/>
          <w:i/>
          <w:iCs/>
          <w:kern w:val="36"/>
          <w:sz w:val="24"/>
          <w:szCs w:val="24"/>
          <w:lang w:eastAsia="en-GB"/>
        </w:rPr>
        <w:t xml:space="preserve"> </w:t>
      </w:r>
      <w:proofErr w:type="spellStart"/>
      <w:r w:rsidRPr="00BD4D7B">
        <w:rPr>
          <w:rFonts w:ascii="Times New Roman" w:eastAsia="Times New Roman" w:hAnsi="Times New Roman" w:cs="Times New Roman"/>
          <w:b/>
          <w:bCs/>
          <w:i/>
          <w:iCs/>
          <w:kern w:val="36"/>
          <w:sz w:val="24"/>
          <w:szCs w:val="24"/>
          <w:lang w:eastAsia="en-GB"/>
        </w:rPr>
        <w:t>kurzii</w:t>
      </w:r>
      <w:proofErr w:type="spellEnd"/>
      <w:r w:rsidRPr="00BD4D7B">
        <w:rPr>
          <w:rFonts w:ascii="Times New Roman" w:eastAsia="Times New Roman" w:hAnsi="Times New Roman" w:cs="Times New Roman"/>
          <w:b/>
          <w:bCs/>
          <w:kern w:val="36"/>
          <w:sz w:val="24"/>
          <w:szCs w:val="24"/>
          <w:lang w:eastAsia="en-GB"/>
        </w:rPr>
        <w:t xml:space="preserve"> (King) </w:t>
      </w:r>
      <w:proofErr w:type="spellStart"/>
      <w:r w:rsidRPr="00BD4D7B">
        <w:rPr>
          <w:rFonts w:ascii="Times New Roman" w:eastAsia="Times New Roman" w:hAnsi="Times New Roman" w:cs="Times New Roman"/>
          <w:b/>
          <w:bCs/>
          <w:kern w:val="36"/>
          <w:sz w:val="24"/>
          <w:szCs w:val="24"/>
          <w:lang w:eastAsia="en-GB"/>
        </w:rPr>
        <w:t>Warb</w:t>
      </w:r>
      <w:proofErr w:type="spellEnd"/>
      <w:r w:rsidRPr="00BD4D7B">
        <w:rPr>
          <w:rFonts w:ascii="Times New Roman" w:eastAsia="Times New Roman" w:hAnsi="Times New Roman" w:cs="Times New Roman"/>
          <w:b/>
          <w:bCs/>
          <w:kern w:val="36"/>
          <w:sz w:val="24"/>
          <w:szCs w:val="24"/>
          <w:lang w:eastAsia="en-GB"/>
        </w:rPr>
        <w:t>. in Northeast India</w:t>
      </w:r>
    </w:p>
    <w:p w14:paraId="05392DB7" w14:textId="77777777" w:rsidR="00BD4D7B" w:rsidRPr="00BD4D7B" w:rsidRDefault="00BD4D7B" w:rsidP="00CD0F75">
      <w:pPr>
        <w:spacing w:before="100" w:beforeAutospacing="1" w:after="100" w:afterAutospacing="1" w:line="360" w:lineRule="auto"/>
        <w:jc w:val="center"/>
        <w:outlineLvl w:val="1"/>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Abstract</w:t>
      </w:r>
    </w:p>
    <w:p w14:paraId="7D9B6BB1" w14:textId="77777777" w:rsidR="00BD4D7B" w:rsidRPr="00BD4D7B" w:rsidRDefault="009F6C3E"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Pr>
          <w:rStyle w:val="Emphasis"/>
          <w:rFonts w:ascii="Times New Roman" w:hAnsi="Times New Roman" w:cs="Times New Roman"/>
          <w:sz w:val="24"/>
          <w:szCs w:val="24"/>
          <w:highlight w:val="green"/>
        </w:rPr>
        <w:t>Hydnocarpus kurzii</w:t>
      </w:r>
      <w:r>
        <w:rPr>
          <w:rFonts w:ascii="Times New Roman" w:hAnsi="Times New Roman" w:cs="Times New Roman"/>
          <w:sz w:val="24"/>
          <w:szCs w:val="24"/>
          <w:highlight w:val="green"/>
        </w:rPr>
        <w:t xml:space="preserve"> (King) Warb. is a lesser-known tree of the family Achariaceae (formerly Flacourtiaceae), native to the wet tropical regions of South and Southeast Asia, including Northeast India</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en-GB"/>
        </w:rPr>
        <w:t xml:space="preserve">The species possesses medicinal and socioeconomic potential, particularly through its seed oil containing characteristic cyclopentenyl fatty acids, yet it remains poorly studied in relation to population status, natural regeneration, genetic diversity and long-term conservation requirements. It is currently assessed as Data Deficient, indicating inadequate information for reliable evaluation of extinction risk rather than evidence of population security. In Northeast India, habitat degradation, fragmentation, anthropogenic disturbance and potential loss of mature reproductive trees may affect population persistence, natural regeneration and future seed availability. At the same time, greater recognition and promotion of </w:t>
      </w:r>
      <w:r>
        <w:rPr>
          <w:rFonts w:ascii="Times New Roman" w:eastAsia="Times New Roman" w:hAnsi="Times New Roman" w:cs="Times New Roman"/>
          <w:i/>
          <w:iCs/>
          <w:sz w:val="24"/>
          <w:szCs w:val="24"/>
          <w:lang w:eastAsia="en-GB"/>
        </w:rPr>
        <w:t>H. kurzii</w:t>
      </w:r>
      <w:r>
        <w:rPr>
          <w:rFonts w:ascii="Times New Roman" w:eastAsia="Times New Roman" w:hAnsi="Times New Roman" w:cs="Times New Roman"/>
          <w:sz w:val="24"/>
          <w:szCs w:val="24"/>
          <w:lang w:eastAsia="en-GB"/>
        </w:rPr>
        <w:t xml:space="preserve"> for appropriate medicinal, seed-oil, cultivation and restoration purposes could increase its socioeconomic value and create incentives for conservation. However, promotion without resource assessment and safeguards could increase pressure on natural populations. This Short Communication therefore proposes a species-focused conservation framework integrating population assessment, natural-regeneration monitoring, genetic-resource conservation, seed-source development, </w:t>
      </w:r>
      <w:r>
        <w:rPr>
          <w:rFonts w:ascii="Times New Roman" w:eastAsia="Times New Roman" w:hAnsi="Times New Roman" w:cs="Times New Roman"/>
          <w:i/>
          <w:sz w:val="24"/>
          <w:szCs w:val="24"/>
          <w:highlight w:val="green"/>
          <w:lang w:eastAsia="en-GB"/>
        </w:rPr>
        <w:t>in-situ</w:t>
      </w:r>
      <w:r>
        <w:rPr>
          <w:rFonts w:ascii="Times New Roman" w:eastAsia="Times New Roman" w:hAnsi="Times New Roman" w:cs="Times New Roman"/>
          <w:sz w:val="24"/>
          <w:szCs w:val="24"/>
          <w:lang w:eastAsia="en-GB"/>
        </w:rPr>
        <w:t xml:space="preserve"> and </w:t>
      </w:r>
      <w:r>
        <w:rPr>
          <w:rFonts w:ascii="Times New Roman" w:eastAsia="Times New Roman" w:hAnsi="Times New Roman" w:cs="Times New Roman"/>
          <w:i/>
          <w:sz w:val="24"/>
          <w:szCs w:val="24"/>
          <w:highlight w:val="green"/>
          <w:lang w:eastAsia="en-GB"/>
        </w:rPr>
        <w:t>ex-situ</w:t>
      </w:r>
      <w:r>
        <w:rPr>
          <w:rFonts w:ascii="Times New Roman" w:eastAsia="Times New Roman" w:hAnsi="Times New Roman" w:cs="Times New Roman"/>
          <w:sz w:val="24"/>
          <w:szCs w:val="24"/>
          <w:lang w:eastAsia="en-GB"/>
        </w:rPr>
        <w:t xml:space="preserve"> conservation, restoration and community participation with responsible </w:t>
      </w:r>
      <w:r>
        <w:rPr>
          <w:rFonts w:ascii="Times New Roman" w:eastAsia="Times New Roman" w:hAnsi="Times New Roman" w:cs="Times New Roman"/>
          <w:sz w:val="24"/>
          <w:szCs w:val="24"/>
          <w:highlight w:val="yellow"/>
          <w:lang w:eastAsia="en-GB"/>
        </w:rPr>
        <w:t>utilisation</w:t>
      </w:r>
      <w:r>
        <w:rPr>
          <w:rFonts w:ascii="Times New Roman" w:eastAsia="Times New Roman" w:hAnsi="Times New Roman" w:cs="Times New Roman"/>
          <w:sz w:val="24"/>
          <w:szCs w:val="24"/>
          <w:lang w:eastAsia="en-GB"/>
        </w:rPr>
        <w:t xml:space="preserve"> and promotion. Priority should be given to representative populations containing healthy reproductive trees and evidence of regeneration, followed by genetic </w:t>
      </w:r>
      <w:r>
        <w:rPr>
          <w:rFonts w:ascii="Times New Roman" w:eastAsia="Times New Roman" w:hAnsi="Times New Roman" w:cs="Times New Roman"/>
          <w:sz w:val="24"/>
          <w:szCs w:val="24"/>
          <w:highlight w:val="yellow"/>
          <w:lang w:eastAsia="en-GB"/>
        </w:rPr>
        <w:t>characterisation</w:t>
      </w:r>
      <w:r>
        <w:rPr>
          <w:rFonts w:ascii="Times New Roman" w:eastAsia="Times New Roman" w:hAnsi="Times New Roman" w:cs="Times New Roman"/>
          <w:sz w:val="24"/>
          <w:szCs w:val="24"/>
          <w:lang w:eastAsia="en-GB"/>
        </w:rPr>
        <w:t xml:space="preserve"> and development of geographically representative seed sources. </w:t>
      </w:r>
      <w:r>
        <w:rPr>
          <w:rFonts w:ascii="Times New Roman" w:eastAsia="Times New Roman" w:hAnsi="Times New Roman" w:cs="Times New Roman"/>
          <w:i/>
          <w:sz w:val="24"/>
          <w:szCs w:val="24"/>
          <w:highlight w:val="green"/>
          <w:lang w:eastAsia="en-GB"/>
        </w:rPr>
        <w:t>Ex-situ</w:t>
      </w:r>
      <w:r>
        <w:rPr>
          <w:rFonts w:ascii="Times New Roman" w:eastAsia="Times New Roman" w:hAnsi="Times New Roman" w:cs="Times New Roman"/>
          <w:sz w:val="24"/>
          <w:szCs w:val="24"/>
          <w:lang w:eastAsia="en-GB"/>
        </w:rPr>
        <w:t xml:space="preserve"> conservation and restoration should complement, rather than replace, </w:t>
      </w:r>
      <w:r>
        <w:rPr>
          <w:rFonts w:ascii="Times New Roman" w:eastAsia="Times New Roman" w:hAnsi="Times New Roman" w:cs="Times New Roman"/>
          <w:i/>
          <w:sz w:val="24"/>
          <w:szCs w:val="24"/>
          <w:highlight w:val="green"/>
          <w:lang w:eastAsia="en-GB"/>
        </w:rPr>
        <w:t>in-situ</w:t>
      </w:r>
      <w:r>
        <w:rPr>
          <w:rFonts w:ascii="Times New Roman" w:eastAsia="Times New Roman" w:hAnsi="Times New Roman" w:cs="Times New Roman"/>
          <w:sz w:val="24"/>
          <w:szCs w:val="24"/>
          <w:lang w:eastAsia="en-GB"/>
        </w:rPr>
        <w:t xml:space="preserve"> protection. Establishing a regional population baseline and coordinated conservation and seed-source network would provide a practical foundation for maintaining </w:t>
      </w:r>
      <w:r>
        <w:rPr>
          <w:rFonts w:ascii="Times New Roman" w:eastAsia="Times New Roman" w:hAnsi="Times New Roman" w:cs="Times New Roman"/>
          <w:i/>
          <w:iCs/>
          <w:sz w:val="24"/>
          <w:szCs w:val="24"/>
          <w:lang w:eastAsia="en-GB"/>
        </w:rPr>
        <w:t>H. kurzii</w:t>
      </w:r>
      <w:r>
        <w:rPr>
          <w:rFonts w:ascii="Times New Roman" w:eastAsia="Times New Roman" w:hAnsi="Times New Roman" w:cs="Times New Roman"/>
          <w:sz w:val="24"/>
          <w:szCs w:val="24"/>
          <w:lang w:eastAsia="en-GB"/>
        </w:rPr>
        <w:t xml:space="preserve"> as a medicinal plant, forest genetic resource and potential species for sustainable cultivation and ecological restoration.</w:t>
      </w:r>
    </w:p>
    <w:p w14:paraId="4E7F5791"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Keywords:</w:t>
      </w:r>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i/>
          <w:iCs/>
          <w:sz w:val="24"/>
          <w:szCs w:val="24"/>
          <w:lang w:eastAsia="en-GB"/>
        </w:rPr>
        <w:t>Hydnocarpus kurzii</w:t>
      </w:r>
      <w:r>
        <w:rPr>
          <w:rFonts w:ascii="Times New Roman" w:eastAsia="Times New Roman" w:hAnsi="Times New Roman" w:cs="Times New Roman"/>
          <w:sz w:val="24"/>
          <w:szCs w:val="24"/>
          <w:lang w:eastAsia="en-GB"/>
        </w:rPr>
        <w:t xml:space="preserve">; conservation; medicinal tree; forest genetic resources; seed sources; restoration; sustainable </w:t>
      </w:r>
      <w:r>
        <w:rPr>
          <w:rFonts w:ascii="Times New Roman" w:eastAsia="Times New Roman" w:hAnsi="Times New Roman" w:cs="Times New Roman"/>
          <w:sz w:val="24"/>
          <w:szCs w:val="24"/>
          <w:highlight w:val="yellow"/>
          <w:lang w:eastAsia="en-GB"/>
        </w:rPr>
        <w:t>utilisation</w:t>
      </w:r>
      <w:r>
        <w:rPr>
          <w:rFonts w:ascii="Times New Roman" w:eastAsia="Times New Roman" w:hAnsi="Times New Roman" w:cs="Times New Roman"/>
          <w:sz w:val="24"/>
          <w:szCs w:val="24"/>
          <w:lang w:eastAsia="en-GB"/>
        </w:rPr>
        <w:t>; Northeast India</w:t>
      </w:r>
    </w:p>
    <w:p w14:paraId="064F2FAB" w14:textId="77777777" w:rsidR="00B72A4A" w:rsidRDefault="00B72A4A" w:rsidP="00BD4D7B">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p>
    <w:p w14:paraId="26E46C5E" w14:textId="77777777" w:rsidR="00BD4D7B" w:rsidRPr="00BD4D7B" w:rsidRDefault="00BD4D7B" w:rsidP="00BD4D7B">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lastRenderedPageBreak/>
        <w:t>Introduction</w:t>
      </w:r>
    </w:p>
    <w:p w14:paraId="241E234C"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i/>
          <w:iCs/>
          <w:sz w:val="24"/>
          <w:szCs w:val="24"/>
          <w:lang w:eastAsia="en-GB"/>
        </w:rPr>
        <w:t>Hydnocarpus kurzii</w:t>
      </w:r>
      <w:r>
        <w:rPr>
          <w:rFonts w:ascii="Times New Roman" w:eastAsia="Times New Roman" w:hAnsi="Times New Roman" w:cs="Times New Roman"/>
          <w:sz w:val="24"/>
          <w:szCs w:val="24"/>
          <w:lang w:eastAsia="en-GB"/>
        </w:rPr>
        <w:t xml:space="preserve"> (King) Warb. is a lesser-known wet-tropical tree </w:t>
      </w:r>
      <w:r>
        <w:rPr>
          <w:rFonts w:ascii="Times New Roman" w:eastAsia="Times New Roman" w:hAnsi="Times New Roman" w:cs="Times New Roman"/>
          <w:sz w:val="24"/>
          <w:szCs w:val="24"/>
          <w:highlight w:val="yellow"/>
          <w:lang w:eastAsia="en-GB"/>
        </w:rPr>
        <w:t>belonging to the family Achariaceae</w:t>
      </w:r>
      <w:r>
        <w:rPr>
          <w:rFonts w:ascii="Times New Roman" w:eastAsia="Times New Roman" w:hAnsi="Times New Roman" w:cs="Times New Roman"/>
          <w:sz w:val="24"/>
          <w:szCs w:val="24"/>
          <w:lang w:eastAsia="en-GB"/>
        </w:rPr>
        <w:t xml:space="preserve"> </w:t>
      </w:r>
      <w:r>
        <w:rPr>
          <w:rFonts w:ascii="Times New Roman" w:hAnsi="Times New Roman" w:cs="Times New Roman"/>
          <w:sz w:val="24"/>
          <w:szCs w:val="24"/>
          <w:highlight w:val="green"/>
        </w:rPr>
        <w:t>(formerly Flacourtiaceae)</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en-GB"/>
        </w:rPr>
        <w:t xml:space="preserve">and occurring naturally in South and Southeast Asia. In Northeast India, its recorded occurrence includes parts of Assam, Mizoram and Tripura. Although the species has received considerably less attention than many better-known medicinal or commercially important tree species, it possesses attributes that justify greater scientific and conservation interest. Its seeds contain characteristic cyclopentenyl fatty acids, while </w:t>
      </w:r>
      <w:r>
        <w:rPr>
          <w:rFonts w:ascii="Times New Roman" w:eastAsia="Times New Roman" w:hAnsi="Times New Roman" w:cs="Times New Roman"/>
          <w:i/>
          <w:iCs/>
          <w:sz w:val="24"/>
          <w:szCs w:val="24"/>
          <w:lang w:eastAsia="en-GB"/>
        </w:rPr>
        <w:t>Hydnocarpus</w:t>
      </w:r>
      <w:r>
        <w:rPr>
          <w:rFonts w:ascii="Times New Roman" w:eastAsia="Times New Roman" w:hAnsi="Times New Roman" w:cs="Times New Roman"/>
          <w:sz w:val="24"/>
          <w:szCs w:val="24"/>
          <w:lang w:eastAsia="en-GB"/>
        </w:rPr>
        <w:t xml:space="preserve"> seed oils have a long history of medicinal use, particularly in relation to dermatological applications (Norton, 1994; Sahoo </w:t>
      </w:r>
      <w:r>
        <w:rPr>
          <w:rFonts w:ascii="Times New Roman" w:eastAsia="Times New Roman" w:hAnsi="Times New Roman" w:cs="Times New Roman"/>
          <w:i/>
          <w:sz w:val="24"/>
          <w:szCs w:val="24"/>
          <w:highlight w:val="green"/>
          <w:lang w:eastAsia="en-GB"/>
        </w:rPr>
        <w:t>et al</w:t>
      </w:r>
      <w:r>
        <w:rPr>
          <w:rFonts w:ascii="Times New Roman" w:eastAsia="Times New Roman" w:hAnsi="Times New Roman" w:cs="Times New Roman"/>
          <w:sz w:val="24"/>
          <w:szCs w:val="24"/>
          <w:lang w:eastAsia="en-GB"/>
        </w:rPr>
        <w:t>., 2014). The species consequently represents more than a component of native forest biodiversity; it is also a medicinal, seed-oil-producing and potentially valuable forest genetic resource.</w:t>
      </w:r>
    </w:p>
    <w:p w14:paraId="333CE996"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conservation importance of </w:t>
      </w:r>
      <w:r>
        <w:rPr>
          <w:rFonts w:ascii="Times New Roman" w:eastAsia="Times New Roman" w:hAnsi="Times New Roman" w:cs="Times New Roman"/>
          <w:i/>
          <w:iCs/>
          <w:sz w:val="24"/>
          <w:szCs w:val="24"/>
          <w:lang w:eastAsia="en-GB"/>
        </w:rPr>
        <w:t>H. kurzii</w:t>
      </w:r>
      <w:r>
        <w:rPr>
          <w:rFonts w:ascii="Times New Roman" w:eastAsia="Times New Roman" w:hAnsi="Times New Roman" w:cs="Times New Roman"/>
          <w:sz w:val="24"/>
          <w:szCs w:val="24"/>
          <w:lang w:eastAsia="en-GB"/>
        </w:rPr>
        <w:t xml:space="preserve"> is strengthened by the limited information available on its population condition and long-term persistence. The species is currently assessed as Data Deficient, which reflects insufficient information for a reliable assessment of extinction risk and should not be interpreted as evidence that populations are secure (World Flora Online Consortium, 2026). For a lesser-known native tree, limited documentation itself represents a conservation concern because populations, reproductive individuals and genetic resources may remain outside formal conservation priorities simply because their status has not been adequately assessed. </w:t>
      </w:r>
      <w:r>
        <w:rPr>
          <w:rStyle w:val="Emphasis"/>
          <w:rFonts w:ascii="Times New Roman" w:hAnsi="Times New Roman" w:cs="Times New Roman"/>
          <w:sz w:val="24"/>
          <w:szCs w:val="24"/>
          <w:highlight w:val="green"/>
        </w:rPr>
        <w:t>Hydnocarpus kurzii</w:t>
      </w:r>
      <w:r>
        <w:rPr>
          <w:rFonts w:ascii="Times New Roman" w:hAnsi="Times New Roman" w:cs="Times New Roman"/>
          <w:sz w:val="24"/>
          <w:szCs w:val="24"/>
          <w:highlight w:val="green"/>
        </w:rPr>
        <w:t xml:space="preserve"> has received limited species-specific conservation attention despite evidence of restricted and fragmented populations. Majumdar </w:t>
      </w:r>
      <w:r>
        <w:rPr>
          <w:rFonts w:ascii="Times New Roman" w:hAnsi="Times New Roman" w:cs="Times New Roman"/>
          <w:i/>
          <w:sz w:val="24"/>
          <w:szCs w:val="24"/>
          <w:highlight w:val="green"/>
        </w:rPr>
        <w:t>et al</w:t>
      </w:r>
      <w:r>
        <w:rPr>
          <w:rFonts w:ascii="Times New Roman" w:hAnsi="Times New Roman" w:cs="Times New Roman"/>
          <w:sz w:val="24"/>
          <w:szCs w:val="24"/>
          <w:highlight w:val="green"/>
        </w:rPr>
        <w:t>. (2019) documented wild populations of the species in Tripura and used species distribution modelling to identify potential habitats and landscape connectivity, highlighting the importance of habitat assessment and connectivity for its conservation.</w:t>
      </w:r>
      <w:r>
        <w:t xml:space="preserve"> </w:t>
      </w:r>
      <w:r>
        <w:rPr>
          <w:rFonts w:ascii="Times New Roman" w:eastAsia="Times New Roman" w:hAnsi="Times New Roman" w:cs="Times New Roman"/>
          <w:sz w:val="24"/>
          <w:szCs w:val="24"/>
          <w:lang w:eastAsia="en-GB"/>
        </w:rPr>
        <w:t>In particular, loss of mature seed-producing trees can have consequences beyond immediate population abundance by reducing reproductive output, natural regeneration and the availability of genetic material for future propagation.</w:t>
      </w:r>
    </w:p>
    <w:p w14:paraId="42D9E434" w14:textId="77777777" w:rsidR="00BD4D7B" w:rsidRPr="00BD4D7B" w:rsidRDefault="00455408"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hAnsi="Times New Roman" w:cs="Times New Roman"/>
          <w:sz w:val="24"/>
          <w:szCs w:val="24"/>
          <w:highlight w:val="green"/>
        </w:rPr>
        <w:t xml:space="preserve">Northeast India harbours numerous medicinal plant species of high socioeconomic value, for which conservation and cultivation have been </w:t>
      </w:r>
      <w:r>
        <w:rPr>
          <w:rFonts w:ascii="Times New Roman" w:hAnsi="Times New Roman" w:cs="Times New Roman"/>
          <w:sz w:val="24"/>
          <w:szCs w:val="24"/>
          <w:highlight w:val="yellow"/>
        </w:rPr>
        <w:t>recognised</w:t>
      </w:r>
      <w:r>
        <w:rPr>
          <w:rFonts w:ascii="Times New Roman" w:hAnsi="Times New Roman" w:cs="Times New Roman"/>
          <w:sz w:val="24"/>
          <w:szCs w:val="24"/>
          <w:highlight w:val="green"/>
        </w:rPr>
        <w:t xml:space="preserve"> as complementary approaches to reducing pressure on natural populations (Shankar &amp; Rawat, 2013). For </w:t>
      </w:r>
      <w:r>
        <w:rPr>
          <w:rStyle w:val="Emphasis"/>
          <w:rFonts w:ascii="Times New Roman" w:hAnsi="Times New Roman" w:cs="Times New Roman"/>
          <w:sz w:val="24"/>
          <w:szCs w:val="24"/>
          <w:highlight w:val="green"/>
        </w:rPr>
        <w:t>H. kurzii</w:t>
      </w:r>
      <w:r>
        <w:rPr>
          <w:rFonts w:ascii="Times New Roman" w:hAnsi="Times New Roman" w:cs="Times New Roman"/>
          <w:sz w:val="24"/>
          <w:szCs w:val="24"/>
          <w:highlight w:val="green"/>
        </w:rPr>
        <w:t>, such an approach is particularly relevant because its medicinal and seed-oil value provides a potential basis for cultivation alongside the conservation of natural populations.</w:t>
      </w:r>
      <w:r>
        <w:t xml:space="preserve"> </w:t>
      </w:r>
      <w:r>
        <w:rPr>
          <w:rFonts w:ascii="Times New Roman" w:eastAsia="Times New Roman" w:hAnsi="Times New Roman" w:cs="Times New Roman"/>
          <w:sz w:val="24"/>
          <w:szCs w:val="24"/>
          <w:lang w:eastAsia="en-GB"/>
        </w:rPr>
        <w:t xml:space="preserve">Northeast India is particularly relevant to the conservation of </w:t>
      </w:r>
      <w:r>
        <w:rPr>
          <w:rFonts w:ascii="Times New Roman" w:eastAsia="Times New Roman" w:hAnsi="Times New Roman" w:cs="Times New Roman"/>
          <w:i/>
          <w:iCs/>
          <w:sz w:val="24"/>
          <w:szCs w:val="24"/>
          <w:lang w:eastAsia="en-GB"/>
        </w:rPr>
        <w:t>H. kurzii</w:t>
      </w:r>
      <w:r>
        <w:rPr>
          <w:rFonts w:ascii="Times New Roman" w:eastAsia="Times New Roman" w:hAnsi="Times New Roman" w:cs="Times New Roman"/>
          <w:sz w:val="24"/>
          <w:szCs w:val="24"/>
          <w:lang w:eastAsia="en-GB"/>
        </w:rPr>
        <w:t xml:space="preserve"> because the region contains extensive </w:t>
      </w:r>
      <w:r>
        <w:rPr>
          <w:rFonts w:ascii="Times New Roman" w:eastAsia="Times New Roman" w:hAnsi="Times New Roman" w:cs="Times New Roman"/>
          <w:sz w:val="24"/>
          <w:szCs w:val="24"/>
          <w:lang w:eastAsia="en-GB"/>
        </w:rPr>
        <w:lastRenderedPageBreak/>
        <w:t>tropical and subtropical forest ecosystems</w:t>
      </w:r>
      <w:r>
        <w:rPr>
          <w:rFonts w:ascii="Times New Roman" w:eastAsia="Times New Roman" w:hAnsi="Times New Roman" w:cs="Times New Roman"/>
          <w:sz w:val="24"/>
          <w:szCs w:val="24"/>
          <w:highlight w:val="green"/>
          <w:lang w:eastAsia="en-GB"/>
        </w:rPr>
        <w:t>,</w:t>
      </w:r>
      <w:r>
        <w:rPr>
          <w:rFonts w:ascii="Times New Roman" w:eastAsia="Times New Roman" w:hAnsi="Times New Roman" w:cs="Times New Roman"/>
          <w:sz w:val="24"/>
          <w:szCs w:val="24"/>
          <w:lang w:eastAsia="en-GB"/>
        </w:rPr>
        <w:t xml:space="preserve"> while simultaneously experiencing land-use change, forest degradation, fragmentation and anthropogenic disturbance. Such processes can reduce habitat continuity and alter the demographic processes required for tree population maintenance. Fragmentation may also increase population isolation and affect gene flow and genetic diversity, thereby potentially reducing adaptive capacity over longer timescales </w:t>
      </w:r>
      <w:r>
        <w:rPr>
          <w:rFonts w:ascii="Times New Roman" w:eastAsia="Times New Roman" w:hAnsi="Times New Roman" w:cs="Times New Roman"/>
          <w:sz w:val="24"/>
          <w:szCs w:val="24"/>
          <w:highlight w:val="yellow"/>
          <w:lang w:eastAsia="en-GB"/>
        </w:rPr>
        <w:t>(Potter et al., 2017; Vranckx et al., 2012)</w:t>
      </w:r>
      <w:r>
        <w:rPr>
          <w:rFonts w:ascii="Times New Roman" w:eastAsia="Times New Roman" w:hAnsi="Times New Roman" w:cs="Times New Roman"/>
          <w:sz w:val="24"/>
          <w:szCs w:val="24"/>
          <w:lang w:eastAsia="en-GB"/>
        </w:rPr>
        <w:t xml:space="preserve">. These processes are important for </w:t>
      </w:r>
      <w:r>
        <w:rPr>
          <w:rFonts w:ascii="Times New Roman" w:eastAsia="Times New Roman" w:hAnsi="Times New Roman" w:cs="Times New Roman"/>
          <w:sz w:val="24"/>
          <w:szCs w:val="24"/>
          <w:highlight w:val="yellow"/>
          <w:lang w:eastAsia="en-GB"/>
        </w:rPr>
        <w:t>tree species because</w:t>
      </w:r>
      <w:r>
        <w:rPr>
          <w:rFonts w:ascii="Times New Roman" w:eastAsia="Times New Roman" w:hAnsi="Times New Roman" w:cs="Times New Roman"/>
          <w:sz w:val="24"/>
          <w:szCs w:val="24"/>
          <w:lang w:eastAsia="en-GB"/>
        </w:rPr>
        <w:t xml:space="preserve"> mature individuals can persist for considerable periods after habitat alteration</w:t>
      </w:r>
      <w:r>
        <w:rPr>
          <w:rFonts w:ascii="Times New Roman" w:eastAsia="Times New Roman" w:hAnsi="Times New Roman" w:cs="Times New Roman"/>
          <w:sz w:val="24"/>
          <w:szCs w:val="24"/>
          <w:highlight w:val="green"/>
          <w:lang w:eastAsia="en-GB"/>
        </w:rPr>
        <w:t>,</w:t>
      </w:r>
      <w:r>
        <w:rPr>
          <w:rFonts w:ascii="Times New Roman" w:eastAsia="Times New Roman" w:hAnsi="Times New Roman" w:cs="Times New Roman"/>
          <w:sz w:val="24"/>
          <w:szCs w:val="24"/>
          <w:lang w:eastAsia="en-GB"/>
        </w:rPr>
        <w:t xml:space="preserve"> even when recruitment and population replacement have begun to decline.</w:t>
      </w:r>
      <w:r>
        <w:rPr>
          <w:rFonts w:ascii="Times New Roman" w:eastAsia="Times New Roman" w:hAnsi="Times New Roman" w:cs="Times New Roman"/>
          <w:b/>
          <w:sz w:val="24"/>
          <w:highlight w:val="yellow"/>
        </w:rPr>
        <w:t xml:space="preserve"> Recent tree-conservation studies likewise indicate that spatial patterns of genetic diversity and landscape connectivity can help identify populations of conservation importance, reinforcing the need for population-level assessment where habitats are fragmented (Avanzi et al., 2025; Shahnaseri et al., 2026).</w:t>
      </w:r>
    </w:p>
    <w:p w14:paraId="3C146805"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Evidence of natural regeneration demonstrates that </w:t>
      </w:r>
      <w:r>
        <w:rPr>
          <w:rFonts w:ascii="Times New Roman" w:eastAsia="Times New Roman" w:hAnsi="Times New Roman" w:cs="Times New Roman"/>
          <w:i/>
          <w:iCs/>
          <w:sz w:val="24"/>
          <w:szCs w:val="24"/>
          <w:lang w:eastAsia="en-GB"/>
        </w:rPr>
        <w:t>H. kurzii</w:t>
      </w:r>
      <w:r>
        <w:rPr>
          <w:rFonts w:ascii="Times New Roman" w:eastAsia="Times New Roman" w:hAnsi="Times New Roman" w:cs="Times New Roman"/>
          <w:sz w:val="24"/>
          <w:szCs w:val="24"/>
          <w:lang w:eastAsia="en-GB"/>
        </w:rPr>
        <w:t xml:space="preserve"> can recruit under suitable environmental conditions. Barua </w:t>
      </w:r>
      <w:r>
        <w:rPr>
          <w:rFonts w:ascii="Times New Roman" w:eastAsia="Times New Roman" w:hAnsi="Times New Roman" w:cs="Times New Roman"/>
          <w:i/>
          <w:sz w:val="24"/>
          <w:szCs w:val="24"/>
          <w:highlight w:val="green"/>
          <w:lang w:eastAsia="en-GB"/>
        </w:rPr>
        <w:t>et al</w:t>
      </w:r>
      <w:r>
        <w:rPr>
          <w:rFonts w:ascii="Times New Roman" w:eastAsia="Times New Roman" w:hAnsi="Times New Roman" w:cs="Times New Roman"/>
          <w:sz w:val="24"/>
          <w:szCs w:val="24"/>
          <w:lang w:eastAsia="en-GB"/>
        </w:rPr>
        <w:t xml:space="preserve">. (2018), for example, documented substantial regeneration in Bornewria forest, Assam. However, regeneration recorded at one forest site cannot be assumed to represent the demographic condition of the species throughout Northeast India. Recruitment may vary with canopy structure, disturbance intensity, seed availability, microsite conditions, herbivory, moisture and subsequent seedling survival. A regional conservation assessment </w:t>
      </w:r>
      <w:r>
        <w:rPr>
          <w:rFonts w:ascii="Times New Roman" w:eastAsia="Times New Roman" w:hAnsi="Times New Roman" w:cs="Times New Roman"/>
          <w:sz w:val="24"/>
          <w:szCs w:val="24"/>
          <w:highlight w:val="yellow"/>
          <w:lang w:eastAsia="en-GB"/>
        </w:rPr>
        <w:t>must therefore distinguish</w:t>
      </w:r>
      <w:r>
        <w:rPr>
          <w:rFonts w:ascii="Times New Roman" w:eastAsia="Times New Roman" w:hAnsi="Times New Roman" w:cs="Times New Roman"/>
          <w:sz w:val="24"/>
          <w:szCs w:val="24"/>
          <w:lang w:eastAsia="en-GB"/>
        </w:rPr>
        <w:t xml:space="preserve"> between the presence of seedlings and the sustained recruitment of individuals into sapling and reproductive stages.</w:t>
      </w:r>
    </w:p>
    <w:p w14:paraId="75E76C71"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An additional consideration is the relationship between conservation and promotion. The medicinal and seed-oil characteristics of </w:t>
      </w:r>
      <w:r>
        <w:rPr>
          <w:rFonts w:ascii="Times New Roman" w:eastAsia="Times New Roman" w:hAnsi="Times New Roman" w:cs="Times New Roman"/>
          <w:i/>
          <w:iCs/>
          <w:sz w:val="24"/>
          <w:szCs w:val="24"/>
          <w:lang w:eastAsia="en-GB"/>
        </w:rPr>
        <w:t>H. kurzii</w:t>
      </w:r>
      <w:r>
        <w:rPr>
          <w:rFonts w:ascii="Times New Roman" w:eastAsia="Times New Roman" w:hAnsi="Times New Roman" w:cs="Times New Roman"/>
          <w:sz w:val="24"/>
          <w:szCs w:val="24"/>
          <w:lang w:eastAsia="en-GB"/>
        </w:rPr>
        <w:t xml:space="preserve"> provide a basis for greater scientific, horticultural and socioeconomic interest. Promoting a lesser-known native species through cultivation, nursery production, appropriate agroforestry systems and restoration could potentially reduce dependence on wild populations while increasing its conservation value. Conversely, increased demand without adequate population assessment, sustainable harvesting protocols and cultivated </w:t>
      </w:r>
      <w:r>
        <w:rPr>
          <w:rFonts w:ascii="Times New Roman" w:eastAsia="Times New Roman" w:hAnsi="Times New Roman" w:cs="Times New Roman"/>
          <w:sz w:val="24"/>
          <w:szCs w:val="24"/>
          <w:highlight w:val="yellow"/>
          <w:lang w:eastAsia="en-GB"/>
        </w:rPr>
        <w:t>seed sources could create</w:t>
      </w:r>
      <w:r>
        <w:rPr>
          <w:rFonts w:ascii="Times New Roman" w:eastAsia="Times New Roman" w:hAnsi="Times New Roman" w:cs="Times New Roman"/>
          <w:sz w:val="24"/>
          <w:szCs w:val="24"/>
          <w:lang w:eastAsia="en-GB"/>
        </w:rPr>
        <w:t xml:space="preserve"> additional pressure on naturally occurring reproductive trees. Conservation and </w:t>
      </w:r>
      <w:r>
        <w:rPr>
          <w:rFonts w:ascii="Times New Roman" w:eastAsia="Times New Roman" w:hAnsi="Times New Roman" w:cs="Times New Roman"/>
          <w:sz w:val="24"/>
          <w:szCs w:val="24"/>
          <w:highlight w:val="yellow"/>
          <w:lang w:eastAsia="en-GB"/>
        </w:rPr>
        <w:t>utilisation</w:t>
      </w:r>
      <w:r>
        <w:rPr>
          <w:rFonts w:ascii="Times New Roman" w:eastAsia="Times New Roman" w:hAnsi="Times New Roman" w:cs="Times New Roman"/>
          <w:sz w:val="24"/>
          <w:szCs w:val="24"/>
          <w:lang w:eastAsia="en-GB"/>
        </w:rPr>
        <w:t xml:space="preserve"> should therefore be considered complementary objectives, with </w:t>
      </w:r>
      <w:r>
        <w:rPr>
          <w:rFonts w:ascii="Times New Roman" w:eastAsia="Times New Roman" w:hAnsi="Times New Roman" w:cs="Times New Roman"/>
          <w:sz w:val="24"/>
          <w:szCs w:val="24"/>
          <w:highlight w:val="yellow"/>
          <w:lang w:eastAsia="en-GB"/>
        </w:rPr>
        <w:t>utilisation</w:t>
      </w:r>
      <w:r>
        <w:rPr>
          <w:rFonts w:ascii="Times New Roman" w:eastAsia="Times New Roman" w:hAnsi="Times New Roman" w:cs="Times New Roman"/>
          <w:sz w:val="24"/>
          <w:szCs w:val="24"/>
          <w:lang w:eastAsia="en-GB"/>
        </w:rPr>
        <w:t xml:space="preserve"> based on protected natural populations, documented genetic resources and appropriately developed planting material.</w:t>
      </w:r>
      <w:r>
        <w:rPr>
          <w:rFonts w:ascii="Times New Roman" w:eastAsia="Times New Roman" w:hAnsi="Times New Roman" w:cs="Times New Roman"/>
          <w:b/>
          <w:sz w:val="24"/>
          <w:highlight w:val="yellow"/>
        </w:rPr>
        <w:t xml:space="preserve"> Recent conservation-oriented work on medicinal plants in India similarly emphasises the value </w:t>
      </w:r>
      <w:r>
        <w:rPr>
          <w:rFonts w:ascii="Times New Roman" w:eastAsia="Times New Roman" w:hAnsi="Times New Roman" w:cs="Times New Roman"/>
          <w:b/>
          <w:sz w:val="24"/>
          <w:highlight w:val="yellow"/>
        </w:rPr>
        <w:lastRenderedPageBreak/>
        <w:t>of linking biodiversity conservation with sustainable utilisation and cultivation (Nayak, 2026).</w:t>
      </w:r>
    </w:p>
    <w:p w14:paraId="4A382914"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Conservation of </w:t>
      </w:r>
      <w:r>
        <w:rPr>
          <w:rFonts w:ascii="Times New Roman" w:eastAsia="Times New Roman" w:hAnsi="Times New Roman" w:cs="Times New Roman"/>
          <w:i/>
          <w:iCs/>
          <w:sz w:val="24"/>
          <w:szCs w:val="24"/>
          <w:lang w:eastAsia="en-GB"/>
        </w:rPr>
        <w:t>H. kurzii</w:t>
      </w:r>
      <w:r>
        <w:rPr>
          <w:rFonts w:ascii="Times New Roman" w:eastAsia="Times New Roman" w:hAnsi="Times New Roman" w:cs="Times New Roman"/>
          <w:sz w:val="24"/>
          <w:szCs w:val="24"/>
          <w:lang w:eastAsia="en-GB"/>
        </w:rPr>
        <w:t xml:space="preserve"> should consequently extend beyond the protection of individual trees. Maintaining viable populations across the species' geographic range is necessary to conserve ecological and genetic variation, while documented seed sources are required to support future propagation, cultivation and restoration. Contemporary restoration research </w:t>
      </w:r>
      <w:r>
        <w:rPr>
          <w:rFonts w:ascii="Times New Roman" w:eastAsia="Times New Roman" w:hAnsi="Times New Roman" w:cs="Times New Roman"/>
          <w:sz w:val="24"/>
          <w:szCs w:val="24"/>
          <w:highlight w:val="yellow"/>
          <w:lang w:eastAsia="en-GB"/>
        </w:rPr>
        <w:t>emphasises</w:t>
      </w:r>
      <w:r>
        <w:rPr>
          <w:rFonts w:ascii="Times New Roman" w:eastAsia="Times New Roman" w:hAnsi="Times New Roman" w:cs="Times New Roman"/>
          <w:sz w:val="24"/>
          <w:szCs w:val="24"/>
          <w:lang w:eastAsia="en-GB"/>
        </w:rPr>
        <w:t xml:space="preserve"> the importance of genetic diversity and appropriate </w:t>
      </w:r>
      <w:r>
        <w:rPr>
          <w:rFonts w:ascii="Times New Roman" w:eastAsia="Times New Roman" w:hAnsi="Times New Roman" w:cs="Times New Roman"/>
          <w:sz w:val="24"/>
          <w:szCs w:val="24"/>
          <w:highlight w:val="yellow"/>
          <w:lang w:eastAsia="en-GB"/>
        </w:rPr>
        <w:t>seed sourcing when native</w:t>
      </w:r>
      <w:r>
        <w:rPr>
          <w:rFonts w:ascii="Times New Roman" w:eastAsia="Times New Roman" w:hAnsi="Times New Roman" w:cs="Times New Roman"/>
          <w:sz w:val="24"/>
          <w:szCs w:val="24"/>
          <w:lang w:eastAsia="en-GB"/>
        </w:rPr>
        <w:t xml:space="preserve"> tree species are used in ecosystem restoration </w:t>
      </w:r>
      <w:r>
        <w:rPr>
          <w:rFonts w:ascii="Times New Roman" w:eastAsia="Times New Roman" w:hAnsi="Times New Roman" w:cs="Times New Roman"/>
          <w:sz w:val="24"/>
          <w:szCs w:val="24"/>
          <w:highlight w:val="yellow"/>
          <w:lang w:eastAsia="en-GB"/>
        </w:rPr>
        <w:t>(Prakash et al., 2024; Thomas et al., 2014)</w:t>
      </w:r>
      <w:r>
        <w:rPr>
          <w:rFonts w:ascii="Times New Roman" w:eastAsia="Times New Roman" w:hAnsi="Times New Roman" w:cs="Times New Roman"/>
          <w:sz w:val="24"/>
          <w:szCs w:val="24"/>
          <w:lang w:eastAsia="en-GB"/>
        </w:rPr>
        <w:t xml:space="preserve">. Regional guidance likewise </w:t>
      </w:r>
      <w:r>
        <w:rPr>
          <w:rFonts w:ascii="Times New Roman" w:eastAsia="Times New Roman" w:hAnsi="Times New Roman" w:cs="Times New Roman"/>
          <w:sz w:val="24"/>
          <w:szCs w:val="24"/>
          <w:highlight w:val="yellow"/>
          <w:lang w:eastAsia="en-GB"/>
        </w:rPr>
        <w:t>recognises</w:t>
      </w:r>
      <w:r>
        <w:rPr>
          <w:rFonts w:ascii="Times New Roman" w:eastAsia="Times New Roman" w:hAnsi="Times New Roman" w:cs="Times New Roman"/>
          <w:sz w:val="24"/>
          <w:szCs w:val="24"/>
          <w:lang w:eastAsia="en-GB"/>
        </w:rPr>
        <w:t xml:space="preserve"> genetic conservation units and representative seed sources as complementary components of forest genetic-resource conservation (Bioversity International et al., 2025).</w:t>
      </w:r>
      <w:r>
        <w:rPr>
          <w:rFonts w:ascii="Times New Roman" w:eastAsia="Times New Roman" w:hAnsi="Times New Roman" w:cs="Times New Roman"/>
          <w:b/>
          <w:sz w:val="24"/>
          <w:highlight w:val="yellow"/>
        </w:rPr>
        <w:t xml:space="preserve"> Recent studies further support the use of genetic information and spatial prioritisation to strengthen forest genetic-resource conservation and seed-collection planning (Satpathi &amp; Ramesh, 2025; Thorne et al., 2025).</w:t>
      </w:r>
    </w:p>
    <w:p w14:paraId="678CD22F" w14:textId="77777777" w:rsid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To date, a species-focused conservation framework integrating population assessment, genetic-resource conservation, seed-source development, responsible promotion and restoration priorities for </w:t>
      </w:r>
      <w:r>
        <w:rPr>
          <w:rFonts w:ascii="Times New Roman" w:eastAsia="Times New Roman" w:hAnsi="Times New Roman" w:cs="Times New Roman"/>
          <w:i/>
          <w:iCs/>
          <w:sz w:val="24"/>
          <w:szCs w:val="24"/>
          <w:lang w:eastAsia="en-GB"/>
        </w:rPr>
        <w:t>H. kurzii</w:t>
      </w:r>
      <w:r>
        <w:rPr>
          <w:rFonts w:ascii="Times New Roman" w:eastAsia="Times New Roman" w:hAnsi="Times New Roman" w:cs="Times New Roman"/>
          <w:sz w:val="24"/>
          <w:szCs w:val="24"/>
          <w:lang w:eastAsia="en-GB"/>
        </w:rPr>
        <w:t xml:space="preserve"> in Northeast India has received limited attention. </w:t>
      </w:r>
      <w:r>
        <w:rPr>
          <w:rFonts w:ascii="Times New Roman" w:hAnsi="Times New Roman" w:cs="Times New Roman"/>
          <w:sz w:val="24"/>
          <w:szCs w:val="24"/>
          <w:highlight w:val="green"/>
        </w:rPr>
        <w:t xml:space="preserve">This assessment focuses on the distributional and conservation context of </w:t>
      </w:r>
      <w:r>
        <w:rPr>
          <w:rStyle w:val="Emphasis"/>
          <w:rFonts w:ascii="Times New Roman" w:hAnsi="Times New Roman" w:cs="Times New Roman"/>
          <w:sz w:val="24"/>
          <w:szCs w:val="24"/>
          <w:highlight w:val="green"/>
        </w:rPr>
        <w:t>Hydnocarpus kurzii</w:t>
      </w:r>
      <w:r>
        <w:rPr>
          <w:rFonts w:ascii="Times New Roman" w:hAnsi="Times New Roman" w:cs="Times New Roman"/>
          <w:sz w:val="24"/>
          <w:szCs w:val="24"/>
          <w:highlight w:val="green"/>
        </w:rPr>
        <w:t xml:space="preserve"> in Mizoram, Tripura and Assam, representing the geographical scope for which verified species-specific information was considered in this communication (Figure 1).</w:t>
      </w:r>
      <w:r>
        <w:t xml:space="preserve">  </w:t>
      </w:r>
      <w:r>
        <w:rPr>
          <w:rFonts w:ascii="Times New Roman" w:eastAsia="Times New Roman" w:hAnsi="Times New Roman" w:cs="Times New Roman"/>
          <w:sz w:val="24"/>
          <w:szCs w:val="24"/>
          <w:lang w:eastAsia="en-GB"/>
        </w:rPr>
        <w:t xml:space="preserve">This Short Communication </w:t>
      </w:r>
      <w:r>
        <w:rPr>
          <w:rFonts w:ascii="Times New Roman" w:eastAsia="Times New Roman" w:hAnsi="Times New Roman" w:cs="Times New Roman"/>
          <w:sz w:val="24"/>
          <w:szCs w:val="24"/>
          <w:highlight w:val="yellow"/>
          <w:lang w:eastAsia="en-GB"/>
        </w:rPr>
        <w:t>therefore identifies</w:t>
      </w:r>
      <w:r>
        <w:rPr>
          <w:rFonts w:ascii="Times New Roman" w:eastAsia="Times New Roman" w:hAnsi="Times New Roman" w:cs="Times New Roman"/>
          <w:sz w:val="24"/>
          <w:szCs w:val="24"/>
          <w:lang w:eastAsia="en-GB"/>
        </w:rPr>
        <w:t xml:space="preserve"> the principal conservation gaps and proposes a practical framework for maintaining viable natural populations and genetic resources</w:t>
      </w:r>
      <w:r>
        <w:rPr>
          <w:rFonts w:ascii="Times New Roman" w:eastAsia="Times New Roman" w:hAnsi="Times New Roman" w:cs="Times New Roman"/>
          <w:sz w:val="24"/>
          <w:szCs w:val="24"/>
          <w:highlight w:val="green"/>
          <w:lang w:eastAsia="en-GB"/>
        </w:rPr>
        <w:t>,</w:t>
      </w:r>
      <w:r>
        <w:rPr>
          <w:rFonts w:ascii="Times New Roman" w:eastAsia="Times New Roman" w:hAnsi="Times New Roman" w:cs="Times New Roman"/>
          <w:sz w:val="24"/>
          <w:szCs w:val="24"/>
          <w:lang w:eastAsia="en-GB"/>
        </w:rPr>
        <w:t xml:space="preserve"> while creating a scientific basis for responsible propagation, cultivation, </w:t>
      </w:r>
      <w:r>
        <w:rPr>
          <w:rFonts w:ascii="Times New Roman" w:eastAsia="Times New Roman" w:hAnsi="Times New Roman" w:cs="Times New Roman"/>
          <w:sz w:val="24"/>
          <w:szCs w:val="24"/>
          <w:highlight w:val="yellow"/>
          <w:lang w:eastAsia="en-GB"/>
        </w:rPr>
        <w:t>utilisation</w:t>
      </w:r>
      <w:r>
        <w:rPr>
          <w:rFonts w:ascii="Times New Roman" w:eastAsia="Times New Roman" w:hAnsi="Times New Roman" w:cs="Times New Roman"/>
          <w:sz w:val="24"/>
          <w:szCs w:val="24"/>
          <w:lang w:eastAsia="en-GB"/>
        </w:rPr>
        <w:t xml:space="preserve"> and restoration of this lesser-known native tree.</w:t>
      </w:r>
    </w:p>
    <w:p w14:paraId="206840D3"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lastRenderedPageBreak/>
        <w:t xml:space="preserve">                                         </w:t>
      </w:r>
      <w:r>
        <w:rPr>
          <w:rFonts w:ascii="Times New Roman" w:eastAsia="Times New Roman" w:hAnsi="Times New Roman" w:cs="Times New Roman"/>
          <w:noProof/>
          <w:sz w:val="24"/>
          <w:szCs w:val="24"/>
          <w:lang w:eastAsia="en-GB"/>
        </w:rPr>
        <w:drawing>
          <wp:inline distT="0" distB="0" distL="0" distR="0" wp14:anchorId="466B4075" wp14:editId="1B949F59">
            <wp:extent cx="2417196" cy="2560320"/>
            <wp:effectExtent l="0" t="0" r="2540" b="0"/>
            <wp:docPr id="1" name="Picture 1" descr="C:\Users\Remruata Sailo\Downloads\EE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mruata Sailo\Downloads\EEE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17329" cy="2560461"/>
                    </a:xfrm>
                    <a:prstGeom prst="rect">
                      <a:avLst/>
                    </a:prstGeom>
                    <a:noFill/>
                    <a:ln>
                      <a:noFill/>
                    </a:ln>
                  </pic:spPr>
                </pic:pic>
              </a:graphicData>
            </a:graphic>
          </wp:inline>
        </w:drawing>
      </w:r>
    </w:p>
    <w:p w14:paraId="5A8B99C5" w14:textId="77777777" w:rsidR="00662C89" w:rsidRPr="00BD4D7B" w:rsidRDefault="00BD4D7B" w:rsidP="00662C89">
      <w:pPr>
        <w:spacing w:before="100" w:beforeAutospacing="1" w:after="100" w:afterAutospacing="1" w:line="360" w:lineRule="auto"/>
        <w:jc w:val="both"/>
        <w:rPr>
          <w:rFonts w:ascii="Times New Roman" w:eastAsia="Times New Roman" w:hAnsi="Times New Roman" w:cs="Times New Roman"/>
          <w:sz w:val="24"/>
          <w:szCs w:val="24"/>
          <w:lang w:eastAsia="en-GB"/>
        </w:rPr>
      </w:pPr>
      <w:r w:rsidRPr="007130D1">
        <w:rPr>
          <w:rFonts w:ascii="Times New Roman" w:eastAsia="Times New Roman" w:hAnsi="Times New Roman" w:cs="Times New Roman"/>
          <w:b/>
          <w:bCs/>
          <w:sz w:val="24"/>
          <w:szCs w:val="24"/>
          <w:lang w:eastAsia="en-GB"/>
        </w:rPr>
        <w:t>Fig. 1.</w:t>
      </w:r>
      <w:r w:rsidRPr="007130D1">
        <w:rPr>
          <w:rFonts w:ascii="Times New Roman" w:eastAsia="Times New Roman" w:hAnsi="Times New Roman" w:cs="Times New Roman"/>
          <w:sz w:val="24"/>
          <w:szCs w:val="24"/>
          <w:lang w:eastAsia="en-GB"/>
        </w:rPr>
        <w:t xml:space="preserve"> </w:t>
      </w:r>
      <w:r w:rsidR="00662C89" w:rsidRPr="006A4222">
        <w:rPr>
          <w:rFonts w:ascii="Times New Roman" w:hAnsi="Times New Roman" w:cs="Times New Roman"/>
          <w:sz w:val="24"/>
          <w:szCs w:val="24"/>
          <w:highlight w:val="green"/>
        </w:rPr>
        <w:t xml:space="preserve">Geographical representation of </w:t>
      </w:r>
      <w:proofErr w:type="spellStart"/>
      <w:r w:rsidR="00662C89" w:rsidRPr="006A4222">
        <w:rPr>
          <w:rStyle w:val="Emphasis"/>
          <w:rFonts w:ascii="Times New Roman" w:hAnsi="Times New Roman" w:cs="Times New Roman"/>
          <w:sz w:val="24"/>
          <w:szCs w:val="24"/>
          <w:highlight w:val="green"/>
        </w:rPr>
        <w:t>Hydnocarpus</w:t>
      </w:r>
      <w:proofErr w:type="spellEnd"/>
      <w:r w:rsidR="00662C89" w:rsidRPr="006A4222">
        <w:rPr>
          <w:rStyle w:val="Emphasis"/>
          <w:rFonts w:ascii="Times New Roman" w:hAnsi="Times New Roman" w:cs="Times New Roman"/>
          <w:sz w:val="24"/>
          <w:szCs w:val="24"/>
          <w:highlight w:val="green"/>
        </w:rPr>
        <w:t xml:space="preserve"> </w:t>
      </w:r>
      <w:proofErr w:type="spellStart"/>
      <w:r w:rsidR="00662C89" w:rsidRPr="006A4222">
        <w:rPr>
          <w:rStyle w:val="Emphasis"/>
          <w:rFonts w:ascii="Times New Roman" w:hAnsi="Times New Roman" w:cs="Times New Roman"/>
          <w:sz w:val="24"/>
          <w:szCs w:val="24"/>
          <w:highlight w:val="green"/>
        </w:rPr>
        <w:t>kurzii</w:t>
      </w:r>
      <w:proofErr w:type="spellEnd"/>
      <w:r w:rsidR="00662C89" w:rsidRPr="006A4222">
        <w:rPr>
          <w:rFonts w:ascii="Times New Roman" w:hAnsi="Times New Roman" w:cs="Times New Roman"/>
          <w:sz w:val="24"/>
          <w:szCs w:val="24"/>
          <w:highlight w:val="green"/>
        </w:rPr>
        <w:t xml:space="preserve"> (King) </w:t>
      </w:r>
      <w:proofErr w:type="spellStart"/>
      <w:r w:rsidR="00662C89" w:rsidRPr="006A4222">
        <w:rPr>
          <w:rFonts w:ascii="Times New Roman" w:hAnsi="Times New Roman" w:cs="Times New Roman"/>
          <w:sz w:val="24"/>
          <w:szCs w:val="24"/>
          <w:highlight w:val="green"/>
        </w:rPr>
        <w:t>Warb</w:t>
      </w:r>
      <w:proofErr w:type="spellEnd"/>
      <w:r w:rsidR="00662C89" w:rsidRPr="006A4222">
        <w:rPr>
          <w:rFonts w:ascii="Times New Roman" w:hAnsi="Times New Roman" w:cs="Times New Roman"/>
          <w:sz w:val="24"/>
          <w:szCs w:val="24"/>
          <w:highlight w:val="green"/>
        </w:rPr>
        <w:t>. records considered in the present conservation assessment, with emphasis on occurrences documented in Mizoram, Tripura and Assam.</w:t>
      </w:r>
    </w:p>
    <w:p w14:paraId="38970078" w14:textId="77777777" w:rsidR="00B72A4A" w:rsidRDefault="00B72A4A" w:rsidP="00BD4D7B">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p>
    <w:p w14:paraId="13F9D6A2" w14:textId="77777777" w:rsidR="00BD4D7B" w:rsidRPr="00BD4D7B" w:rsidRDefault="00BD4D7B" w:rsidP="00BD4D7B">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Major conservation concerns</w:t>
      </w:r>
    </w:p>
    <w:p w14:paraId="72ABD2ED" w14:textId="77777777" w:rsidR="00BD4D7B" w:rsidRPr="00BD4D7B" w:rsidRDefault="00BD4D7B" w:rsidP="00BD4D7B">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Population status and natural regeneration</w:t>
      </w:r>
    </w:p>
    <w:p w14:paraId="44C7B247"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 reliable regional population baseline is the first requirement for conservation planning. Field surveys should document population distribution, density, size-class structure, abundance and spatial distribution of mature reproductive trees, seedling and sapling recruitment, mortality, habitat characteristics and major anthropogenic pressures. Particular attention should be given to population structure because a population dominated by mature trees but lacking </w:t>
      </w:r>
      <w:r>
        <w:rPr>
          <w:rFonts w:ascii="Times New Roman" w:eastAsia="Times New Roman" w:hAnsi="Times New Roman" w:cs="Times New Roman"/>
          <w:sz w:val="24"/>
          <w:szCs w:val="24"/>
          <w:highlight w:val="yellow"/>
          <w:lang w:eastAsia="en-GB"/>
        </w:rPr>
        <w:t>younger size classes may</w:t>
      </w:r>
      <w:r>
        <w:rPr>
          <w:rFonts w:ascii="Times New Roman" w:eastAsia="Times New Roman" w:hAnsi="Times New Roman" w:cs="Times New Roman"/>
          <w:sz w:val="24"/>
          <w:szCs w:val="24"/>
          <w:lang w:eastAsia="en-GB"/>
        </w:rPr>
        <w:t xml:space="preserve"> have limited long-term replacement capacity despite apparently high present-day abundance.</w:t>
      </w:r>
    </w:p>
    <w:p w14:paraId="3C0F2216"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The presence of seedlings alone should not be interpreted as evidence of sustainable regeneration. Effective population maintenance requires successful transition from seedling establishment through sapling development and ultimately to reproductive maturity. Long-term monitoring of establishment, growth, mortality and size-class transitions is therefore required. The regeneration reported by Barua </w:t>
      </w:r>
      <w:r w:rsidRPr="00626A29">
        <w:rPr>
          <w:rFonts w:ascii="Times New Roman" w:eastAsia="Times New Roman" w:hAnsi="Times New Roman" w:cs="Times New Roman"/>
          <w:i/>
          <w:sz w:val="24"/>
          <w:szCs w:val="24"/>
          <w:highlight w:val="green"/>
          <w:lang w:eastAsia="en-GB"/>
        </w:rPr>
        <w:t>et al</w:t>
      </w:r>
      <w:r w:rsidRPr="00BD4D7B">
        <w:rPr>
          <w:rFonts w:ascii="Times New Roman" w:eastAsia="Times New Roman" w:hAnsi="Times New Roman" w:cs="Times New Roman"/>
          <w:sz w:val="24"/>
          <w:szCs w:val="24"/>
          <w:lang w:eastAsia="en-GB"/>
        </w:rPr>
        <w:t xml:space="preserve">. (2018) provides important evidence that recruitment can occur under suitable conditions, but broader and repeated assessments are </w:t>
      </w:r>
      <w:r w:rsidRPr="00BD4D7B">
        <w:rPr>
          <w:rFonts w:ascii="Times New Roman" w:eastAsia="Times New Roman" w:hAnsi="Times New Roman" w:cs="Times New Roman"/>
          <w:sz w:val="24"/>
          <w:szCs w:val="24"/>
          <w:lang w:eastAsia="en-GB"/>
        </w:rPr>
        <w:lastRenderedPageBreak/>
        <w:t>needed to determine whether such regeneration is consistent across the species' distribution in Northeast India.</w:t>
      </w:r>
    </w:p>
    <w:p w14:paraId="2B9B8D18"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abundance and spatial distribution of mature seed-producing trees should be treated as an important conservation indicator. These individuals represent the immediate reproductive base of </w:t>
      </w:r>
      <w:r>
        <w:rPr>
          <w:rFonts w:ascii="Times New Roman" w:eastAsia="Times New Roman" w:hAnsi="Times New Roman" w:cs="Times New Roman"/>
          <w:sz w:val="24"/>
          <w:szCs w:val="24"/>
          <w:highlight w:val="yellow"/>
          <w:lang w:eastAsia="en-GB"/>
        </w:rPr>
        <w:t>natural populations and are</w:t>
      </w:r>
      <w:r>
        <w:rPr>
          <w:rFonts w:ascii="Times New Roman" w:eastAsia="Times New Roman" w:hAnsi="Times New Roman" w:cs="Times New Roman"/>
          <w:sz w:val="24"/>
          <w:szCs w:val="24"/>
          <w:lang w:eastAsia="en-GB"/>
        </w:rPr>
        <w:t xml:space="preserve"> also potential sources of genetically diverse seed. Their progressive removal could reduce seed availability and genetic representation</w:t>
      </w:r>
      <w:r>
        <w:rPr>
          <w:rFonts w:ascii="Times New Roman" w:eastAsia="Times New Roman" w:hAnsi="Times New Roman" w:cs="Times New Roman"/>
          <w:sz w:val="24"/>
          <w:szCs w:val="24"/>
          <w:highlight w:val="green"/>
          <w:lang w:eastAsia="en-GB"/>
        </w:rPr>
        <w:t>,</w:t>
      </w:r>
      <w:r>
        <w:rPr>
          <w:rFonts w:ascii="Times New Roman" w:eastAsia="Times New Roman" w:hAnsi="Times New Roman" w:cs="Times New Roman"/>
          <w:sz w:val="24"/>
          <w:szCs w:val="24"/>
          <w:lang w:eastAsia="en-GB"/>
        </w:rPr>
        <w:t xml:space="preserve"> even before a marked decline in total tree abundance becomes apparent. Conservation surveys should therefore record reproductive status, fruiting and </w:t>
      </w:r>
      <w:r>
        <w:rPr>
          <w:rFonts w:ascii="Times New Roman" w:eastAsia="Times New Roman" w:hAnsi="Times New Roman" w:cs="Times New Roman"/>
          <w:sz w:val="24"/>
          <w:szCs w:val="24"/>
          <w:highlight w:val="yellow"/>
          <w:lang w:eastAsia="en-GB"/>
        </w:rPr>
        <w:t>seed production in addition</w:t>
      </w:r>
      <w:r>
        <w:rPr>
          <w:rFonts w:ascii="Times New Roman" w:eastAsia="Times New Roman" w:hAnsi="Times New Roman" w:cs="Times New Roman"/>
          <w:sz w:val="24"/>
          <w:szCs w:val="24"/>
          <w:lang w:eastAsia="en-GB"/>
        </w:rPr>
        <w:t xml:space="preserve"> to conventional abundance measures.</w:t>
      </w:r>
    </w:p>
    <w:p w14:paraId="0980A92A" w14:textId="77777777" w:rsidR="00626A29" w:rsidRDefault="00626A29" w:rsidP="00BD4D7B">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p>
    <w:p w14:paraId="27E662C3" w14:textId="77777777" w:rsidR="00626A29" w:rsidRDefault="00626A29" w:rsidP="00BD4D7B">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p>
    <w:p w14:paraId="4C6796A6" w14:textId="77777777" w:rsidR="00626A29" w:rsidRDefault="00626A29" w:rsidP="00BD4D7B">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p>
    <w:p w14:paraId="3D0B46E8" w14:textId="77777777" w:rsidR="00BD4D7B" w:rsidRPr="00BD4D7B" w:rsidRDefault="00BD4D7B" w:rsidP="00BD4D7B">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Habitat degradation and fragmentation</w:t>
      </w:r>
    </w:p>
    <w:p w14:paraId="74ABFBA2"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Habitat degradation and fragmentation can reduce population continuity and modify the ecological conditions required for regeneration. Small or isolated populations may be more vulnerable to demographic stochasticity, restricted gene flow and loss of genetic variation. Conservation planning should therefore consider not only large protected forests but also smaller forest remnants, community forests and reserve forests containing viable populations or mature reproductive individuals.</w:t>
      </w:r>
    </w:p>
    <w:p w14:paraId="04E16F64" w14:textId="77777777" w:rsid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Protected areas provide an important foundation for </w:t>
      </w:r>
      <w:r w:rsidRPr="00626A29">
        <w:rPr>
          <w:rFonts w:ascii="Times New Roman" w:eastAsia="Times New Roman" w:hAnsi="Times New Roman" w:cs="Times New Roman"/>
          <w:i/>
          <w:sz w:val="24"/>
          <w:szCs w:val="24"/>
          <w:highlight w:val="green"/>
          <w:lang w:eastAsia="en-GB"/>
        </w:rPr>
        <w:t>in-situ</w:t>
      </w:r>
      <w:r w:rsidRPr="00BD4D7B">
        <w:rPr>
          <w:rFonts w:ascii="Times New Roman" w:eastAsia="Times New Roman" w:hAnsi="Times New Roman" w:cs="Times New Roman"/>
          <w:sz w:val="24"/>
          <w:szCs w:val="24"/>
          <w:lang w:eastAsia="en-GB"/>
        </w:rPr>
        <w:t xml:space="preserve"> conservation, but formal protection alone does not guarantee adequate representation of species-level genetic diversity. Conservation assessments should integrate species occurrence, habitat condition, population characteristics and protected-area boundaries to identify populations that are adequately protected, underrepresented or located outside existing conservation areas (Luo </w:t>
      </w:r>
      <w:r w:rsidRPr="00626A29">
        <w:rPr>
          <w:rFonts w:ascii="Times New Roman" w:eastAsia="Times New Roman" w:hAnsi="Times New Roman" w:cs="Times New Roman"/>
          <w:i/>
          <w:sz w:val="24"/>
          <w:szCs w:val="24"/>
          <w:highlight w:val="green"/>
          <w:lang w:eastAsia="en-GB"/>
        </w:rPr>
        <w:t>et al</w:t>
      </w:r>
      <w:r w:rsidRPr="00626A29">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2022). For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populations satisfying multiple criteria—such as healthy reproductive trees, regeneration, suitable habitat and geographic representation—could simultaneously serve as conservation populations, reference populations and future seed sources.</w:t>
      </w:r>
    </w:p>
    <w:p w14:paraId="577AF46B" w14:textId="77777777" w:rsidR="00626A29" w:rsidRPr="00BD4D7B" w:rsidRDefault="00626A29" w:rsidP="00626A29">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Genetic-resource conservation</w:t>
      </w:r>
    </w:p>
    <w:p w14:paraId="22FF8357" w14:textId="77777777" w:rsidR="00626A29" w:rsidRPr="00BD4D7B"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 xml:space="preserve">Species-level protection does not necessarily ensure the preservation of genetic diversity. If conservation and seed collection are concentrated in a few accessible populations, geographically or genetically distinct components of the species may remain unrepresented. This consideration is particularly important for </w:t>
      </w:r>
      <w:r>
        <w:rPr>
          <w:rFonts w:ascii="Times New Roman" w:eastAsia="Times New Roman" w:hAnsi="Times New Roman" w:cs="Times New Roman"/>
          <w:i/>
          <w:iCs/>
          <w:sz w:val="24"/>
          <w:szCs w:val="24"/>
          <w:lang w:eastAsia="en-GB"/>
        </w:rPr>
        <w:t>H. kurzi</w:t>
      </w:r>
      <w:r>
        <w:rPr>
          <w:rFonts w:ascii="Times New Roman" w:eastAsia="Times New Roman" w:hAnsi="Times New Roman" w:cs="Times New Roman"/>
          <w:i/>
          <w:iCs/>
          <w:sz w:val="24"/>
          <w:szCs w:val="24"/>
          <w:highlight w:val="green"/>
          <w:lang w:eastAsia="en-GB"/>
        </w:rPr>
        <w:t>i</w:t>
      </w:r>
      <w:r>
        <w:rPr>
          <w:rFonts w:ascii="Times New Roman" w:eastAsia="Times New Roman" w:hAnsi="Times New Roman" w:cs="Times New Roman"/>
          <w:sz w:val="24"/>
          <w:szCs w:val="24"/>
          <w:highlight w:val="green"/>
          <w:lang w:eastAsia="en-GB"/>
        </w:rPr>
        <w:t>,</w:t>
      </w:r>
      <w:r>
        <w:rPr>
          <w:rFonts w:ascii="Times New Roman" w:eastAsia="Times New Roman" w:hAnsi="Times New Roman" w:cs="Times New Roman"/>
          <w:sz w:val="24"/>
          <w:szCs w:val="24"/>
          <w:lang w:eastAsia="en-GB"/>
        </w:rPr>
        <w:t xml:space="preserve"> because future propagation, cultivation, restoration and potential sustainable </w:t>
      </w:r>
      <w:r>
        <w:rPr>
          <w:rFonts w:ascii="Times New Roman" w:eastAsia="Times New Roman" w:hAnsi="Times New Roman" w:cs="Times New Roman"/>
          <w:sz w:val="24"/>
          <w:szCs w:val="24"/>
          <w:highlight w:val="yellow"/>
          <w:lang w:eastAsia="en-GB"/>
        </w:rPr>
        <w:t>utilisation</w:t>
      </w:r>
      <w:r>
        <w:rPr>
          <w:rFonts w:ascii="Times New Roman" w:eastAsia="Times New Roman" w:hAnsi="Times New Roman" w:cs="Times New Roman"/>
          <w:sz w:val="24"/>
          <w:szCs w:val="24"/>
          <w:lang w:eastAsia="en-GB"/>
        </w:rPr>
        <w:t xml:space="preserve"> may depend on the availability of genetically diverse and well-documented planting material.</w:t>
      </w:r>
    </w:p>
    <w:p w14:paraId="3F5E6B9C" w14:textId="77777777" w:rsidR="00626A29" w:rsidRPr="00BD4D7B"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Molecular studies are therefore required to determine genetic diversity, population structure and gene flow across Northeast India. Genetic information could subsequently be integrated with geographic and environmental data to improve the identification of conservation units and seed-sourcing strategies (Prakash </w:t>
      </w:r>
      <w:r w:rsidRPr="005D3A71">
        <w:rPr>
          <w:rFonts w:ascii="Times New Roman" w:eastAsia="Times New Roman" w:hAnsi="Times New Roman" w:cs="Times New Roman"/>
          <w:i/>
          <w:sz w:val="24"/>
          <w:szCs w:val="24"/>
          <w:highlight w:val="green"/>
          <w:lang w:eastAsia="en-GB"/>
        </w:rPr>
        <w:t>et al</w:t>
      </w:r>
      <w:r w:rsidRPr="00BD4D7B">
        <w:rPr>
          <w:rFonts w:ascii="Times New Roman" w:eastAsia="Times New Roman" w:hAnsi="Times New Roman" w:cs="Times New Roman"/>
          <w:sz w:val="24"/>
          <w:szCs w:val="24"/>
          <w:lang w:eastAsia="en-GB"/>
        </w:rPr>
        <w:t>., 2024). Genetic conservation units should complement, rather than replace, species- and ecosystem-level conservation (</w:t>
      </w:r>
      <w:proofErr w:type="spellStart"/>
      <w:r w:rsidRPr="00BD4D7B">
        <w:rPr>
          <w:rFonts w:ascii="Times New Roman" w:eastAsia="Times New Roman" w:hAnsi="Times New Roman" w:cs="Times New Roman"/>
          <w:sz w:val="24"/>
          <w:szCs w:val="24"/>
          <w:lang w:eastAsia="en-GB"/>
        </w:rPr>
        <w:t>Bioversity</w:t>
      </w:r>
      <w:proofErr w:type="spellEnd"/>
      <w:r w:rsidRPr="00BD4D7B">
        <w:rPr>
          <w:rFonts w:ascii="Times New Roman" w:eastAsia="Times New Roman" w:hAnsi="Times New Roman" w:cs="Times New Roman"/>
          <w:sz w:val="24"/>
          <w:szCs w:val="24"/>
          <w:lang w:eastAsia="en-GB"/>
        </w:rPr>
        <w:t xml:space="preserve"> International et al., 2025). Maintaining genetic diversity is particularly important in forest trees</w:t>
      </w:r>
      <w:r w:rsidRPr="005D3A71">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because habitat fragmentation and population reduction can progressively constrain the genetic resources available for future adaptation (Potter </w:t>
      </w:r>
      <w:r w:rsidRPr="005D3A71">
        <w:rPr>
          <w:rFonts w:ascii="Times New Roman" w:eastAsia="Times New Roman" w:hAnsi="Times New Roman" w:cs="Times New Roman"/>
          <w:i/>
          <w:sz w:val="24"/>
          <w:szCs w:val="24"/>
          <w:highlight w:val="green"/>
          <w:lang w:eastAsia="en-GB"/>
        </w:rPr>
        <w:t>et al</w:t>
      </w:r>
      <w:r w:rsidRPr="00BD4D7B">
        <w:rPr>
          <w:rFonts w:ascii="Times New Roman" w:eastAsia="Times New Roman" w:hAnsi="Times New Roman" w:cs="Times New Roman"/>
          <w:sz w:val="24"/>
          <w:szCs w:val="24"/>
          <w:lang w:eastAsia="en-GB"/>
        </w:rPr>
        <w:t>., 2017).</w:t>
      </w:r>
    </w:p>
    <w:p w14:paraId="245312B2" w14:textId="77777777" w:rsidR="00626A29" w:rsidRPr="00BD4D7B" w:rsidRDefault="00626A29" w:rsidP="00626A29">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Conservation priorities</w:t>
      </w:r>
    </w:p>
    <w:p w14:paraId="2200F408" w14:textId="77777777" w:rsidR="00626A29" w:rsidRPr="00BD4D7B" w:rsidRDefault="00626A29" w:rsidP="00626A29">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r w:rsidRPr="005D3A71">
        <w:rPr>
          <w:rFonts w:ascii="Times New Roman" w:eastAsia="Times New Roman" w:hAnsi="Times New Roman" w:cs="Times New Roman"/>
          <w:b/>
          <w:bCs/>
          <w:i/>
          <w:sz w:val="24"/>
          <w:szCs w:val="24"/>
          <w:highlight w:val="green"/>
          <w:lang w:eastAsia="en-GB"/>
        </w:rPr>
        <w:t>In-situ</w:t>
      </w:r>
      <w:r w:rsidRPr="00BD4D7B">
        <w:rPr>
          <w:rFonts w:ascii="Times New Roman" w:eastAsia="Times New Roman" w:hAnsi="Times New Roman" w:cs="Times New Roman"/>
          <w:b/>
          <w:bCs/>
          <w:sz w:val="24"/>
          <w:szCs w:val="24"/>
          <w:lang w:eastAsia="en-GB"/>
        </w:rPr>
        <w:t xml:space="preserve"> conservation of representative populations</w:t>
      </w:r>
    </w:p>
    <w:p w14:paraId="199EA7AE" w14:textId="77777777" w:rsidR="00626A29" w:rsidRPr="00BD4D7B"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i/>
          <w:sz w:val="24"/>
          <w:szCs w:val="24"/>
          <w:highlight w:val="green"/>
          <w:lang w:eastAsia="en-GB"/>
        </w:rPr>
        <w:t>In-situ</w:t>
      </w:r>
      <w:r>
        <w:rPr>
          <w:rFonts w:ascii="Times New Roman" w:eastAsia="Times New Roman" w:hAnsi="Times New Roman" w:cs="Times New Roman"/>
          <w:sz w:val="24"/>
          <w:szCs w:val="24"/>
          <w:lang w:eastAsia="en-GB"/>
        </w:rPr>
        <w:t xml:space="preserve"> conservation should form the foundation of </w:t>
      </w:r>
      <w:r>
        <w:rPr>
          <w:rFonts w:ascii="Times New Roman" w:eastAsia="Times New Roman" w:hAnsi="Times New Roman" w:cs="Times New Roman"/>
          <w:i/>
          <w:iCs/>
          <w:sz w:val="24"/>
          <w:szCs w:val="24"/>
          <w:lang w:eastAsia="en-GB"/>
        </w:rPr>
        <w:t>H. kurzii</w:t>
      </w:r>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highlight w:val="yellow"/>
          <w:lang w:eastAsia="en-GB"/>
        </w:rPr>
        <w:t>conservation because natural</w:t>
      </w:r>
      <w:r>
        <w:rPr>
          <w:rFonts w:ascii="Times New Roman" w:eastAsia="Times New Roman" w:hAnsi="Times New Roman" w:cs="Times New Roman"/>
          <w:sz w:val="24"/>
          <w:szCs w:val="24"/>
          <w:lang w:eastAsia="en-GB"/>
        </w:rPr>
        <w:t xml:space="preserve"> populations are maintained within their ecological and evolutionary environments. Priority should be given to populations containing healthy mature reproductive trees, evidence of natural regeneration, suitable habitat and sufficient population size to support continued recruitment.</w:t>
      </w:r>
    </w:p>
    <w:p w14:paraId="769390B4" w14:textId="77777777" w:rsidR="00626A29" w:rsidRPr="00BD4D7B"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Surveys should extend beyond protected areas to identify viable populations in community forests, reserve forests and other forest remnants. Where appropriate, community-managed conservation areas could provide additional protection for reproductive trees and regeneration. The primary objective should be the maintenance of viable populations and the ecological conditions supporting their continued regeneratio</w:t>
      </w:r>
      <w:r w:rsidRPr="005D3A71">
        <w:rPr>
          <w:rFonts w:ascii="Times New Roman" w:eastAsia="Times New Roman" w:hAnsi="Times New Roman" w:cs="Times New Roman"/>
          <w:sz w:val="24"/>
          <w:szCs w:val="24"/>
          <w:highlight w:val="green"/>
          <w:lang w:eastAsia="en-GB"/>
        </w:rPr>
        <w:t>n,</w:t>
      </w:r>
      <w:r w:rsidRPr="00BD4D7B">
        <w:rPr>
          <w:rFonts w:ascii="Times New Roman" w:eastAsia="Times New Roman" w:hAnsi="Times New Roman" w:cs="Times New Roman"/>
          <w:sz w:val="24"/>
          <w:szCs w:val="24"/>
          <w:lang w:eastAsia="en-GB"/>
        </w:rPr>
        <w:t xml:space="preserve"> rather than protection of isolated individual trees alone.</w:t>
      </w:r>
    </w:p>
    <w:p w14:paraId="16234912" w14:textId="77777777" w:rsidR="00626A29" w:rsidRPr="00BD4D7B" w:rsidRDefault="00626A29" w:rsidP="00626A29">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Genetic conservation units and seed sources</w:t>
      </w:r>
    </w:p>
    <w:p w14:paraId="62B6FECB" w14:textId="77777777" w:rsidR="00626A29" w:rsidRPr="00BD4D7B"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 xml:space="preserve">A major priority should be the establishment of documented and geographically representative seed sources. Seed collection based primarily on accessibility can result in biased </w:t>
      </w:r>
      <w:r>
        <w:rPr>
          <w:rFonts w:ascii="Times New Roman" w:eastAsia="Times New Roman" w:hAnsi="Times New Roman" w:cs="Times New Roman"/>
          <w:sz w:val="24"/>
          <w:szCs w:val="24"/>
          <w:highlight w:val="yellow"/>
          <w:lang w:eastAsia="en-GB"/>
        </w:rPr>
        <w:t>genetic representation because</w:t>
      </w:r>
      <w:r>
        <w:rPr>
          <w:rFonts w:ascii="Times New Roman" w:eastAsia="Times New Roman" w:hAnsi="Times New Roman" w:cs="Times New Roman"/>
          <w:sz w:val="24"/>
          <w:szCs w:val="24"/>
          <w:lang w:eastAsia="en-GB"/>
        </w:rPr>
        <w:t xml:space="preserve"> accessible populations and easily reached reproductive trees are more likely to be sampled than remote populations. Recent research on tropical rainforest restoration has highlighted the importance of examining </w:t>
      </w:r>
      <w:r>
        <w:rPr>
          <w:rFonts w:ascii="Times New Roman" w:eastAsia="Times New Roman" w:hAnsi="Times New Roman" w:cs="Times New Roman"/>
          <w:sz w:val="24"/>
          <w:szCs w:val="24"/>
          <w:highlight w:val="yellow"/>
          <w:lang w:eastAsia="en-GB"/>
        </w:rPr>
        <w:t>seed-collection practices and</w:t>
      </w:r>
      <w:r>
        <w:rPr>
          <w:rFonts w:ascii="Times New Roman" w:eastAsia="Times New Roman" w:hAnsi="Times New Roman" w:cs="Times New Roman"/>
          <w:sz w:val="24"/>
          <w:szCs w:val="24"/>
          <w:lang w:eastAsia="en-GB"/>
        </w:rPr>
        <w:t xml:space="preserve"> their implications for provenance representation (Engert </w:t>
      </w:r>
      <w:r>
        <w:rPr>
          <w:rFonts w:ascii="Times New Roman" w:eastAsia="Times New Roman" w:hAnsi="Times New Roman" w:cs="Times New Roman"/>
          <w:i/>
          <w:sz w:val="24"/>
          <w:szCs w:val="24"/>
          <w:highlight w:val="green"/>
          <w:lang w:eastAsia="en-GB"/>
        </w:rPr>
        <w:t>et al</w:t>
      </w:r>
      <w:r>
        <w:rPr>
          <w:rFonts w:ascii="Times New Roman" w:eastAsia="Times New Roman" w:hAnsi="Times New Roman" w:cs="Times New Roman"/>
          <w:sz w:val="24"/>
          <w:szCs w:val="24"/>
          <w:lang w:eastAsia="en-GB"/>
        </w:rPr>
        <w:t>., 2026).</w:t>
      </w:r>
    </w:p>
    <w:p w14:paraId="2159A7FC" w14:textId="77777777" w:rsidR="00626A29" w:rsidRPr="00BD4D7B"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For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seed sources should therefore be selected using a combination of population distribution, genetic diversity, environmental conditions, reproductive performance and seed availabilit</w:t>
      </w:r>
      <w:r w:rsidRPr="005D3A71">
        <w:rPr>
          <w:rFonts w:ascii="Times New Roman" w:eastAsia="Times New Roman" w:hAnsi="Times New Roman" w:cs="Times New Roman"/>
          <w:sz w:val="24"/>
          <w:szCs w:val="24"/>
          <w:highlight w:val="green"/>
          <w:lang w:eastAsia="en-GB"/>
        </w:rPr>
        <w:t>y,</w:t>
      </w:r>
      <w:r w:rsidRPr="00BD4D7B">
        <w:rPr>
          <w:rFonts w:ascii="Times New Roman" w:eastAsia="Times New Roman" w:hAnsi="Times New Roman" w:cs="Times New Roman"/>
          <w:sz w:val="24"/>
          <w:szCs w:val="24"/>
          <w:lang w:eastAsia="en-GB"/>
        </w:rPr>
        <w:t xml:space="preserve"> rather than geographical convenience alone. Regional guidelines provide a useful basis for identifying genetic conservation units and seed sources for native tree species (</w:t>
      </w:r>
      <w:proofErr w:type="spellStart"/>
      <w:r w:rsidRPr="00BD4D7B">
        <w:rPr>
          <w:rFonts w:ascii="Times New Roman" w:eastAsia="Times New Roman" w:hAnsi="Times New Roman" w:cs="Times New Roman"/>
          <w:sz w:val="24"/>
          <w:szCs w:val="24"/>
          <w:lang w:eastAsia="en-GB"/>
        </w:rPr>
        <w:t>Bioversity</w:t>
      </w:r>
      <w:proofErr w:type="spellEnd"/>
      <w:r w:rsidRPr="00BD4D7B">
        <w:rPr>
          <w:rFonts w:ascii="Times New Roman" w:eastAsia="Times New Roman" w:hAnsi="Times New Roman" w:cs="Times New Roman"/>
          <w:sz w:val="24"/>
          <w:szCs w:val="24"/>
          <w:lang w:eastAsia="en-GB"/>
        </w:rPr>
        <w:t xml:space="preserve"> International et al., 2025).</w:t>
      </w:r>
    </w:p>
    <w:p w14:paraId="078E3A27" w14:textId="77777777" w:rsidR="00626A29" w:rsidRPr="00DE5C36"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Future seed-sourcing strategies should also consider environmental variation and projected climatic conditions. Dynamic seed-zone approaches demonstrate how genetic, geographic and environmental information can be combined to improve climate-informed restoration planning (Fremout </w:t>
      </w:r>
      <w:r>
        <w:rPr>
          <w:rFonts w:ascii="Times New Roman" w:eastAsia="Times New Roman" w:hAnsi="Times New Roman" w:cs="Times New Roman"/>
          <w:i/>
          <w:sz w:val="24"/>
          <w:szCs w:val="24"/>
          <w:highlight w:val="green"/>
          <w:lang w:eastAsia="en-GB"/>
        </w:rPr>
        <w:t>et al</w:t>
      </w:r>
      <w:r>
        <w:rPr>
          <w:rFonts w:ascii="Times New Roman" w:eastAsia="Times New Roman" w:hAnsi="Times New Roman" w:cs="Times New Roman"/>
          <w:sz w:val="24"/>
          <w:szCs w:val="24"/>
          <w:lang w:eastAsia="en-GB"/>
        </w:rPr>
        <w:t xml:space="preserve">., 2021; Vitt </w:t>
      </w:r>
      <w:r>
        <w:rPr>
          <w:rFonts w:ascii="Times New Roman" w:eastAsia="Times New Roman" w:hAnsi="Times New Roman" w:cs="Times New Roman"/>
          <w:i/>
          <w:sz w:val="24"/>
          <w:szCs w:val="24"/>
          <w:highlight w:val="green"/>
          <w:lang w:eastAsia="en-GB"/>
        </w:rPr>
        <w:t>et al</w:t>
      </w:r>
      <w:r>
        <w:rPr>
          <w:rFonts w:ascii="Times New Roman" w:eastAsia="Times New Roman" w:hAnsi="Times New Roman" w:cs="Times New Roman"/>
          <w:sz w:val="24"/>
          <w:szCs w:val="24"/>
          <w:lang w:eastAsia="en-GB"/>
        </w:rPr>
        <w:t xml:space="preserve">., 2022). </w:t>
      </w:r>
      <w:r>
        <w:rPr>
          <w:rFonts w:ascii="Times New Roman" w:hAnsi="Times New Roman" w:cs="Times New Roman"/>
          <w:sz w:val="24"/>
          <w:szCs w:val="24"/>
          <w:highlight w:val="green"/>
        </w:rPr>
        <w:t xml:space="preserve">Intraspecific variation in functional traits can have important implications for conservation, adaptation and forest management, yet provenance-related variation remains insufficiently documented for many tree species (Aspalter </w:t>
      </w:r>
      <w:r>
        <w:rPr>
          <w:rFonts w:ascii="Times New Roman" w:hAnsi="Times New Roman" w:cs="Times New Roman"/>
          <w:i/>
          <w:sz w:val="24"/>
          <w:szCs w:val="24"/>
          <w:highlight w:val="green"/>
        </w:rPr>
        <w:t>et al</w:t>
      </w:r>
      <w:r>
        <w:rPr>
          <w:rFonts w:ascii="Times New Roman" w:hAnsi="Times New Roman" w:cs="Times New Roman"/>
          <w:sz w:val="24"/>
          <w:szCs w:val="24"/>
          <w:highlight w:val="green"/>
        </w:rPr>
        <w:t xml:space="preserve">., 2025). For </w:t>
      </w:r>
      <w:r>
        <w:rPr>
          <w:rStyle w:val="Emphasis"/>
          <w:rFonts w:ascii="Times New Roman" w:hAnsi="Times New Roman" w:cs="Times New Roman"/>
          <w:sz w:val="24"/>
          <w:szCs w:val="24"/>
          <w:highlight w:val="green"/>
        </w:rPr>
        <w:t>H. kurzii</w:t>
      </w:r>
      <w:r>
        <w:rPr>
          <w:rFonts w:ascii="Times New Roman" w:hAnsi="Times New Roman" w:cs="Times New Roman"/>
          <w:sz w:val="24"/>
          <w:szCs w:val="24"/>
          <w:highlight w:val="green"/>
        </w:rPr>
        <w:t>, documenting geographically representative seed sources and their associated genetic resources could therefore provide an important foundation for future conservation, restoration and cultivation programmes.</w:t>
      </w:r>
      <w:r>
        <w:rPr>
          <w:rFonts w:ascii="Times New Roman" w:hAnsi="Times New Roman" w:cs="Times New Roman"/>
          <w:sz w:val="24"/>
          <w:szCs w:val="24"/>
        </w:rPr>
        <w:t xml:space="preserve"> </w:t>
      </w:r>
    </w:p>
    <w:p w14:paraId="7659A835" w14:textId="77777777" w:rsidR="00626A29" w:rsidRPr="00BD4D7B" w:rsidRDefault="00626A29" w:rsidP="00626A29">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r w:rsidRPr="005D3A71">
        <w:rPr>
          <w:rFonts w:ascii="Times New Roman" w:eastAsia="Times New Roman" w:hAnsi="Times New Roman" w:cs="Times New Roman"/>
          <w:b/>
          <w:bCs/>
          <w:i/>
          <w:sz w:val="24"/>
          <w:szCs w:val="24"/>
          <w:highlight w:val="green"/>
          <w:lang w:eastAsia="en-GB"/>
        </w:rPr>
        <w:t>Ex-situ</w:t>
      </w:r>
      <w:r w:rsidRPr="00BD4D7B">
        <w:rPr>
          <w:rFonts w:ascii="Times New Roman" w:eastAsia="Times New Roman" w:hAnsi="Times New Roman" w:cs="Times New Roman"/>
          <w:b/>
          <w:bCs/>
          <w:sz w:val="24"/>
          <w:szCs w:val="24"/>
          <w:lang w:eastAsia="en-GB"/>
        </w:rPr>
        <w:t xml:space="preserve"> conservation</w:t>
      </w:r>
    </w:p>
    <w:p w14:paraId="6896E260" w14:textId="77777777" w:rsidR="00626A29" w:rsidRPr="00BD4D7B"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sidRPr="005D3A71">
        <w:rPr>
          <w:rFonts w:ascii="Times New Roman" w:eastAsia="Times New Roman" w:hAnsi="Times New Roman" w:cs="Times New Roman"/>
          <w:i/>
          <w:sz w:val="24"/>
          <w:szCs w:val="24"/>
          <w:highlight w:val="green"/>
          <w:lang w:eastAsia="en-GB"/>
        </w:rPr>
        <w:t>Ex-situ</w:t>
      </w:r>
      <w:r w:rsidRPr="00BD4D7B">
        <w:rPr>
          <w:rFonts w:ascii="Times New Roman" w:eastAsia="Times New Roman" w:hAnsi="Times New Roman" w:cs="Times New Roman"/>
          <w:sz w:val="24"/>
          <w:szCs w:val="24"/>
          <w:lang w:eastAsia="en-GB"/>
        </w:rPr>
        <w:t xml:space="preserve"> conservation should complement, rather than substitute for, </w:t>
      </w:r>
      <w:r w:rsidRPr="005D3A71">
        <w:rPr>
          <w:rFonts w:ascii="Times New Roman" w:eastAsia="Times New Roman" w:hAnsi="Times New Roman" w:cs="Times New Roman"/>
          <w:i/>
          <w:sz w:val="24"/>
          <w:szCs w:val="24"/>
          <w:highlight w:val="green"/>
          <w:lang w:eastAsia="en-GB"/>
        </w:rPr>
        <w:t>in-situ</w:t>
      </w:r>
      <w:r w:rsidRPr="00BD4D7B">
        <w:rPr>
          <w:rFonts w:ascii="Times New Roman" w:eastAsia="Times New Roman" w:hAnsi="Times New Roman" w:cs="Times New Roman"/>
          <w:sz w:val="24"/>
          <w:szCs w:val="24"/>
          <w:lang w:eastAsia="en-GB"/>
        </w:rPr>
        <w:t xml:space="preserve"> protection. Living collections in botanical gardens, research institutions, nurseries and field gene banks could provide additional safeguards for representative genetic material and support propagation, physiological research and future restoration.</w:t>
      </w:r>
    </w:p>
    <w:p w14:paraId="7F777714" w14:textId="77777777" w:rsidR="00626A29" w:rsidRPr="00BD4D7B"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However, collections established from only a few accessible trees may capture a restricted proportion of species-level genetic diversity. Research on threatened tropical trees demonstrates the importance of assessing genetic representation within </w:t>
      </w:r>
      <w:r w:rsidRPr="005D3A71">
        <w:rPr>
          <w:rFonts w:ascii="Times New Roman" w:eastAsia="Times New Roman" w:hAnsi="Times New Roman" w:cs="Times New Roman"/>
          <w:i/>
          <w:sz w:val="24"/>
          <w:szCs w:val="24"/>
          <w:highlight w:val="green"/>
          <w:lang w:eastAsia="en-GB"/>
        </w:rPr>
        <w:t>ex-situ</w:t>
      </w:r>
      <w:r w:rsidRPr="00BD4D7B">
        <w:rPr>
          <w:rFonts w:ascii="Times New Roman" w:eastAsia="Times New Roman" w:hAnsi="Times New Roman" w:cs="Times New Roman"/>
          <w:sz w:val="24"/>
          <w:szCs w:val="24"/>
          <w:lang w:eastAsia="en-GB"/>
        </w:rPr>
        <w:t xml:space="preserve"> collection</w:t>
      </w:r>
      <w:r w:rsidRPr="005D3A71">
        <w:rPr>
          <w:rFonts w:ascii="Times New Roman" w:eastAsia="Times New Roman" w:hAnsi="Times New Roman" w:cs="Times New Roman"/>
          <w:sz w:val="24"/>
          <w:szCs w:val="24"/>
          <w:highlight w:val="green"/>
          <w:lang w:eastAsia="en-GB"/>
        </w:rPr>
        <w:t>s,</w:t>
      </w:r>
      <w:r w:rsidRPr="00BD4D7B">
        <w:rPr>
          <w:rFonts w:ascii="Times New Roman" w:eastAsia="Times New Roman" w:hAnsi="Times New Roman" w:cs="Times New Roman"/>
          <w:sz w:val="24"/>
          <w:szCs w:val="24"/>
          <w:lang w:eastAsia="en-GB"/>
        </w:rPr>
        <w:t xml:space="preserve"> rather than assuming that collection size alone reflects genetic coverage (Linan </w:t>
      </w:r>
      <w:r w:rsidRPr="005D3A71">
        <w:rPr>
          <w:rFonts w:ascii="Times New Roman" w:eastAsia="Times New Roman" w:hAnsi="Times New Roman" w:cs="Times New Roman"/>
          <w:i/>
          <w:sz w:val="24"/>
          <w:szCs w:val="24"/>
          <w:highlight w:val="green"/>
          <w:lang w:eastAsia="en-GB"/>
        </w:rPr>
        <w:t>et al</w:t>
      </w:r>
      <w:r w:rsidRPr="00BD4D7B">
        <w:rPr>
          <w:rFonts w:ascii="Times New Roman" w:eastAsia="Times New Roman" w:hAnsi="Times New Roman" w:cs="Times New Roman"/>
          <w:sz w:val="24"/>
          <w:szCs w:val="24"/>
          <w:lang w:eastAsia="en-GB"/>
        </w:rPr>
        <w:t>., 2024).</w:t>
      </w:r>
    </w:p>
    <w:p w14:paraId="25204449" w14:textId="77777777" w:rsidR="00626A29" w:rsidRPr="00BD4D7B"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 xml:space="preserve">Because </w:t>
      </w:r>
      <w:r>
        <w:rPr>
          <w:rFonts w:ascii="Times New Roman" w:eastAsia="Times New Roman" w:hAnsi="Times New Roman" w:cs="Times New Roman"/>
          <w:i/>
          <w:iCs/>
          <w:sz w:val="24"/>
          <w:szCs w:val="24"/>
          <w:lang w:eastAsia="en-GB"/>
        </w:rPr>
        <w:t>H. kurzii</w:t>
      </w:r>
      <w:r>
        <w:rPr>
          <w:rFonts w:ascii="Times New Roman" w:eastAsia="Times New Roman" w:hAnsi="Times New Roman" w:cs="Times New Roman"/>
          <w:sz w:val="24"/>
          <w:szCs w:val="24"/>
          <w:lang w:eastAsia="en-GB"/>
        </w:rPr>
        <w:t xml:space="preserve"> is a seed-producing species, its seed-storage behaviour should also be </w:t>
      </w:r>
      <w:r>
        <w:rPr>
          <w:rFonts w:ascii="Times New Roman" w:eastAsia="Times New Roman" w:hAnsi="Times New Roman" w:cs="Times New Roman"/>
          <w:sz w:val="24"/>
          <w:szCs w:val="24"/>
          <w:highlight w:val="yellow"/>
          <w:lang w:eastAsia="en-GB"/>
        </w:rPr>
        <w:t>experimentally evaluated before</w:t>
      </w:r>
      <w:r>
        <w:rPr>
          <w:rFonts w:ascii="Times New Roman" w:eastAsia="Times New Roman" w:hAnsi="Times New Roman" w:cs="Times New Roman"/>
          <w:sz w:val="24"/>
          <w:szCs w:val="24"/>
          <w:lang w:eastAsia="en-GB"/>
        </w:rPr>
        <w:t xml:space="preserve"> large-scale seed banking is adopted. Studies should determine viability loss during storage, appropriate moisture conditions, temperature requirements and storage duration for seed lots representing geographically distinct populations. Such information would determine whether conventional seed banking is appropriate or whether alternative conservation approaches are required.</w:t>
      </w:r>
    </w:p>
    <w:p w14:paraId="61E86E79" w14:textId="77777777" w:rsidR="00626A29" w:rsidRPr="0097038E" w:rsidRDefault="00626A29" w:rsidP="00626A29">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r w:rsidRPr="0097038E">
        <w:rPr>
          <w:rFonts w:ascii="Times New Roman" w:eastAsia="Times New Roman" w:hAnsi="Times New Roman" w:cs="Times New Roman"/>
          <w:b/>
          <w:bCs/>
          <w:sz w:val="24"/>
          <w:szCs w:val="24"/>
          <w:lang w:eastAsia="en-GB"/>
        </w:rPr>
        <w:t>Restoration and evidence-based seed sourcing</w:t>
      </w:r>
    </w:p>
    <w:p w14:paraId="2CE2FC83" w14:textId="77777777" w:rsidR="00626A29" w:rsidRPr="00BD4D7B"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Restoration of degraded habitats provides an opportunity to increase the distribution and effective population size of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However, restoration should not simply increase the number of planted trees; it should contribute to the establishment of ecologically appropriate and genetically representative populations.</w:t>
      </w:r>
    </w:p>
    <w:p w14:paraId="1AFDFE4A" w14:textId="77777777" w:rsidR="00626A29" w:rsidRPr="00BD4D7B"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Planting material should therefore originate from documented and appropriately selected seed sources. Where justified by genetic and ecological evidence, collections from multiple populations may broaden genetic representation. However, the choice between strictly local and broader provenance strategies should not be predetermined. Local and broad </w:t>
      </w:r>
      <w:proofErr w:type="spellStart"/>
      <w:r w:rsidRPr="00BD4D7B">
        <w:rPr>
          <w:rFonts w:ascii="Times New Roman" w:eastAsia="Times New Roman" w:hAnsi="Times New Roman" w:cs="Times New Roman"/>
          <w:sz w:val="24"/>
          <w:szCs w:val="24"/>
          <w:lang w:eastAsia="en-GB"/>
        </w:rPr>
        <w:t>provenancing</w:t>
      </w:r>
      <w:proofErr w:type="spellEnd"/>
      <w:r w:rsidRPr="00BD4D7B">
        <w:rPr>
          <w:rFonts w:ascii="Times New Roman" w:eastAsia="Times New Roman" w:hAnsi="Times New Roman" w:cs="Times New Roman"/>
          <w:sz w:val="24"/>
          <w:szCs w:val="24"/>
          <w:lang w:eastAsia="en-GB"/>
        </w:rPr>
        <w:t xml:space="preserve"> involve context-dependent ecological and genetic trade-offs, and the appropriate strategy should depend on restoration objectives, environmental similarity, genetic structure and projected climate (Török </w:t>
      </w:r>
      <w:r w:rsidRPr="00F404ED">
        <w:rPr>
          <w:rFonts w:ascii="Times New Roman" w:eastAsia="Times New Roman" w:hAnsi="Times New Roman" w:cs="Times New Roman"/>
          <w:i/>
          <w:sz w:val="24"/>
          <w:szCs w:val="24"/>
          <w:highlight w:val="green"/>
          <w:lang w:eastAsia="en-GB"/>
        </w:rPr>
        <w:t>et al</w:t>
      </w:r>
      <w:r w:rsidRPr="00BD4D7B">
        <w:rPr>
          <w:rFonts w:ascii="Times New Roman" w:eastAsia="Times New Roman" w:hAnsi="Times New Roman" w:cs="Times New Roman"/>
          <w:sz w:val="24"/>
          <w:szCs w:val="24"/>
          <w:lang w:eastAsia="en-GB"/>
        </w:rPr>
        <w:t xml:space="preserve">., 2024; Vitt </w:t>
      </w:r>
      <w:r w:rsidRPr="00F404ED">
        <w:rPr>
          <w:rFonts w:ascii="Times New Roman" w:eastAsia="Times New Roman" w:hAnsi="Times New Roman" w:cs="Times New Roman"/>
          <w:i/>
          <w:sz w:val="24"/>
          <w:szCs w:val="24"/>
          <w:highlight w:val="green"/>
          <w:lang w:eastAsia="en-GB"/>
        </w:rPr>
        <w:t>et al</w:t>
      </w:r>
      <w:r w:rsidRPr="00BD4D7B">
        <w:rPr>
          <w:rFonts w:ascii="Times New Roman" w:eastAsia="Times New Roman" w:hAnsi="Times New Roman" w:cs="Times New Roman"/>
          <w:sz w:val="24"/>
          <w:szCs w:val="24"/>
          <w:lang w:eastAsia="en-GB"/>
        </w:rPr>
        <w:t>., 2022).</w:t>
      </w:r>
    </w:p>
    <w:p w14:paraId="1D11286A" w14:textId="77777777" w:rsidR="00626A29" w:rsidRPr="00BD4D7B"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need for adequate native-tree seed-source networks has also been highlighted across tropical Asia, where substantial gaps remain between restoration requirements and designated seed sources (Jalonen </w:t>
      </w:r>
      <w:r>
        <w:rPr>
          <w:rFonts w:ascii="Times New Roman" w:eastAsia="Times New Roman" w:hAnsi="Times New Roman" w:cs="Times New Roman"/>
          <w:i/>
          <w:sz w:val="24"/>
          <w:szCs w:val="24"/>
          <w:highlight w:val="green"/>
          <w:lang w:eastAsia="en-GB"/>
        </w:rPr>
        <w:t>et al</w:t>
      </w:r>
      <w:r>
        <w:rPr>
          <w:rFonts w:ascii="Times New Roman" w:eastAsia="Times New Roman" w:hAnsi="Times New Roman" w:cs="Times New Roman"/>
          <w:sz w:val="24"/>
          <w:szCs w:val="24"/>
          <w:lang w:eastAsia="en-GB"/>
        </w:rPr>
        <w:t xml:space="preserve">., 2026). A comparable assessment for </w:t>
      </w:r>
      <w:r>
        <w:rPr>
          <w:rFonts w:ascii="Times New Roman" w:eastAsia="Times New Roman" w:hAnsi="Times New Roman" w:cs="Times New Roman"/>
          <w:i/>
          <w:iCs/>
          <w:sz w:val="24"/>
          <w:szCs w:val="24"/>
          <w:lang w:eastAsia="en-GB"/>
        </w:rPr>
        <w:t>H. kurzii</w:t>
      </w:r>
      <w:r>
        <w:rPr>
          <w:rFonts w:ascii="Times New Roman" w:eastAsia="Times New Roman" w:hAnsi="Times New Roman" w:cs="Times New Roman"/>
          <w:sz w:val="24"/>
          <w:szCs w:val="24"/>
          <w:lang w:eastAsia="en-GB"/>
        </w:rPr>
        <w:t xml:space="preserve"> would help identify populations suitable for </w:t>
      </w:r>
      <w:r>
        <w:rPr>
          <w:rFonts w:ascii="Times New Roman" w:eastAsia="Times New Roman" w:hAnsi="Times New Roman" w:cs="Times New Roman"/>
          <w:sz w:val="24"/>
          <w:szCs w:val="24"/>
          <w:highlight w:val="yellow"/>
          <w:lang w:eastAsia="en-GB"/>
        </w:rPr>
        <w:t>seed collection and areas</w:t>
      </w:r>
      <w:r>
        <w:rPr>
          <w:rFonts w:ascii="Times New Roman" w:eastAsia="Times New Roman" w:hAnsi="Times New Roman" w:cs="Times New Roman"/>
          <w:sz w:val="24"/>
          <w:szCs w:val="24"/>
          <w:lang w:eastAsia="en-GB"/>
        </w:rPr>
        <w:t xml:space="preserve"> where additional seed-source development is necessary.</w:t>
      </w:r>
    </w:p>
    <w:p w14:paraId="36482195" w14:textId="77777777" w:rsidR="00626A29" w:rsidRPr="00BD4D7B" w:rsidRDefault="00626A29" w:rsidP="00626A29">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 xml:space="preserve">Sustainable </w:t>
      </w:r>
      <w:r>
        <w:rPr>
          <w:rFonts w:ascii="Times New Roman" w:eastAsia="Times New Roman" w:hAnsi="Times New Roman" w:cs="Times New Roman"/>
          <w:b/>
          <w:bCs/>
          <w:sz w:val="24"/>
          <w:szCs w:val="24"/>
          <w:highlight w:val="yellow"/>
          <w:lang w:eastAsia="en-GB"/>
        </w:rPr>
        <w:t>utilisation</w:t>
      </w:r>
      <w:r>
        <w:rPr>
          <w:rFonts w:ascii="Times New Roman" w:eastAsia="Times New Roman" w:hAnsi="Times New Roman" w:cs="Times New Roman"/>
          <w:b/>
          <w:bCs/>
          <w:sz w:val="24"/>
          <w:szCs w:val="24"/>
          <w:lang w:eastAsia="en-GB"/>
        </w:rPr>
        <w:t>, cultivation and species promotion</w:t>
      </w:r>
    </w:p>
    <w:p w14:paraId="083D1804" w14:textId="77777777" w:rsidR="00626A29" w:rsidRPr="00BD4D7B"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medicinal and seed-oil value of </w:t>
      </w:r>
      <w:r>
        <w:rPr>
          <w:rFonts w:ascii="Times New Roman" w:eastAsia="Times New Roman" w:hAnsi="Times New Roman" w:cs="Times New Roman"/>
          <w:i/>
          <w:iCs/>
          <w:sz w:val="24"/>
          <w:szCs w:val="24"/>
          <w:lang w:eastAsia="en-GB"/>
        </w:rPr>
        <w:t>H. kurzii</w:t>
      </w:r>
      <w:r>
        <w:rPr>
          <w:rFonts w:ascii="Times New Roman" w:eastAsia="Times New Roman" w:hAnsi="Times New Roman" w:cs="Times New Roman"/>
          <w:sz w:val="24"/>
          <w:szCs w:val="24"/>
          <w:lang w:eastAsia="en-GB"/>
        </w:rPr>
        <w:t xml:space="preserve"> provides a potential basis for linking conservation with sustainable </w:t>
      </w:r>
      <w:r>
        <w:rPr>
          <w:rFonts w:ascii="Times New Roman" w:eastAsia="Times New Roman" w:hAnsi="Times New Roman" w:cs="Times New Roman"/>
          <w:sz w:val="24"/>
          <w:szCs w:val="24"/>
          <w:highlight w:val="yellow"/>
          <w:lang w:eastAsia="en-GB"/>
        </w:rPr>
        <w:t>utilisation</w:t>
      </w:r>
      <w:r>
        <w:rPr>
          <w:rFonts w:ascii="Times New Roman" w:eastAsia="Times New Roman" w:hAnsi="Times New Roman" w:cs="Times New Roman"/>
          <w:sz w:val="24"/>
          <w:szCs w:val="24"/>
          <w:lang w:eastAsia="en-GB"/>
        </w:rPr>
        <w:t xml:space="preserve">. However, greater promotion of the species should be accompanied by measures that prevent increased exploitation of natural reproductive populations. Seed and other plant material required for </w:t>
      </w:r>
      <w:r>
        <w:rPr>
          <w:rFonts w:ascii="Times New Roman" w:eastAsia="Times New Roman" w:hAnsi="Times New Roman" w:cs="Times New Roman"/>
          <w:sz w:val="24"/>
          <w:szCs w:val="24"/>
          <w:highlight w:val="yellow"/>
          <w:lang w:eastAsia="en-GB"/>
        </w:rPr>
        <w:t>utilisation should</w:t>
      </w:r>
      <w:r>
        <w:rPr>
          <w:rFonts w:ascii="Times New Roman" w:eastAsia="Times New Roman" w:hAnsi="Times New Roman" w:cs="Times New Roman"/>
          <w:sz w:val="24"/>
          <w:szCs w:val="24"/>
          <w:lang w:eastAsia="en-GB"/>
        </w:rPr>
        <w:t xml:space="preserve"> progressively be </w:t>
      </w:r>
      <w:r>
        <w:rPr>
          <w:rFonts w:ascii="Times New Roman" w:eastAsia="Times New Roman" w:hAnsi="Times New Roman" w:cs="Times New Roman"/>
          <w:sz w:val="24"/>
          <w:szCs w:val="24"/>
          <w:lang w:eastAsia="en-GB"/>
        </w:rPr>
        <w:lastRenderedPageBreak/>
        <w:t>supplied through documented cultivated sources, nurseries, field gene banks and appropriate agroforestry system</w:t>
      </w:r>
      <w:r>
        <w:rPr>
          <w:rFonts w:ascii="Times New Roman" w:eastAsia="Times New Roman" w:hAnsi="Times New Roman" w:cs="Times New Roman"/>
          <w:sz w:val="24"/>
          <w:szCs w:val="24"/>
          <w:highlight w:val="green"/>
          <w:lang w:eastAsia="en-GB"/>
        </w:rPr>
        <w:t>s,</w:t>
      </w:r>
      <w:r>
        <w:rPr>
          <w:rFonts w:ascii="Times New Roman" w:eastAsia="Times New Roman" w:hAnsi="Times New Roman" w:cs="Times New Roman"/>
          <w:sz w:val="24"/>
          <w:szCs w:val="24"/>
          <w:lang w:eastAsia="en-GB"/>
        </w:rPr>
        <w:t xml:space="preserve"> rather than through uncontrolled collection from natural populations.</w:t>
      </w:r>
    </w:p>
    <w:p w14:paraId="2ACEFE7D" w14:textId="77777777" w:rsidR="00626A29" w:rsidRPr="00BD4D7B"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Promotion of </w:t>
      </w:r>
      <w:r>
        <w:rPr>
          <w:rFonts w:ascii="Times New Roman" w:eastAsia="Times New Roman" w:hAnsi="Times New Roman" w:cs="Times New Roman"/>
          <w:i/>
          <w:iCs/>
          <w:sz w:val="24"/>
          <w:szCs w:val="24"/>
          <w:lang w:eastAsia="en-GB"/>
        </w:rPr>
        <w:t>H. kurzii</w:t>
      </w:r>
      <w:r>
        <w:rPr>
          <w:rFonts w:ascii="Times New Roman" w:eastAsia="Times New Roman" w:hAnsi="Times New Roman" w:cs="Times New Roman"/>
          <w:sz w:val="24"/>
          <w:szCs w:val="24"/>
          <w:lang w:eastAsia="en-GB"/>
        </w:rPr>
        <w:t xml:space="preserve"> can therefore become a conservation opportunity when it encourages cultivation, nursery production, restoration planting and maintenance of genetically diverse planting material. Such an approach can increase recognition of the </w:t>
      </w:r>
      <w:r>
        <w:rPr>
          <w:rFonts w:ascii="Times New Roman" w:eastAsia="Times New Roman" w:hAnsi="Times New Roman" w:cs="Times New Roman"/>
          <w:sz w:val="24"/>
          <w:szCs w:val="24"/>
          <w:highlight w:val="yellow"/>
          <w:lang w:eastAsia="en-GB"/>
        </w:rPr>
        <w:t>species while reducing</w:t>
      </w:r>
      <w:r>
        <w:rPr>
          <w:rFonts w:ascii="Times New Roman" w:eastAsia="Times New Roman" w:hAnsi="Times New Roman" w:cs="Times New Roman"/>
          <w:sz w:val="24"/>
          <w:szCs w:val="24"/>
          <w:lang w:eastAsia="en-GB"/>
        </w:rPr>
        <w:t xml:space="preserve"> pressure on wild populations. In contrast, promotion based primarily on harvesting naturally occurring trees or their reproductive material without population monitoring could undermine conservation objectives.</w:t>
      </w:r>
    </w:p>
    <w:p w14:paraId="6205BB41" w14:textId="77777777" w:rsidR="00626A29" w:rsidRPr="00BD4D7B"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Local communities can contribute substantially to this approach through protection of reproductive trees, population monitoring, seed collection, nursery production and restoration</w:t>
      </w:r>
      <w:r>
        <w:rPr>
          <w:rFonts w:ascii="Times New Roman" w:eastAsia="Times New Roman" w:hAnsi="Times New Roman" w:cs="Times New Roman"/>
          <w:sz w:val="24"/>
          <w:szCs w:val="24"/>
          <w:lang w:eastAsia="en-GB"/>
        </w:rPr>
        <w:t xml:space="preserve"> </w:t>
      </w:r>
      <w:r w:rsidRPr="001D6BB6">
        <w:rPr>
          <w:rFonts w:ascii="Times New Roman" w:eastAsia="Times New Roman" w:hAnsi="Times New Roman" w:cs="Times New Roman"/>
          <w:sz w:val="24"/>
          <w:szCs w:val="24"/>
          <w:highlight w:val="green"/>
          <w:lang w:eastAsia="en-GB"/>
        </w:rPr>
        <w:t>(Table 1).</w:t>
      </w:r>
      <w:r w:rsidRPr="00BD4D7B">
        <w:rPr>
          <w:rFonts w:ascii="Times New Roman" w:eastAsia="Times New Roman" w:hAnsi="Times New Roman" w:cs="Times New Roman"/>
          <w:sz w:val="24"/>
          <w:szCs w:val="24"/>
          <w:lang w:eastAsia="en-GB"/>
        </w:rPr>
        <w:t xml:space="preserve"> Community participation should be supported by clear seed-collection protocols, documentation of provenance, quality control and long-term monitoring. Linking appropriate economic or livelihood opportunities with conservation may provide stronger incentives for maintaining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outside strictly protected areas.</w:t>
      </w:r>
    </w:p>
    <w:p w14:paraId="10ED8F26" w14:textId="77777777" w:rsidR="00626A29" w:rsidRPr="00BD4D7B" w:rsidRDefault="00626A29" w:rsidP="00626A29">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 xml:space="preserve">Table 1. Priority research agenda for </w:t>
      </w:r>
      <w:proofErr w:type="spellStart"/>
      <w:r w:rsidRPr="00BD4D7B">
        <w:rPr>
          <w:rFonts w:ascii="Times New Roman" w:eastAsia="Times New Roman" w:hAnsi="Times New Roman" w:cs="Times New Roman"/>
          <w:b/>
          <w:bCs/>
          <w:i/>
          <w:iCs/>
          <w:sz w:val="24"/>
          <w:szCs w:val="24"/>
          <w:lang w:eastAsia="en-GB"/>
        </w:rPr>
        <w:t>Hydnocarpus</w:t>
      </w:r>
      <w:proofErr w:type="spellEnd"/>
      <w:r w:rsidRPr="00BD4D7B">
        <w:rPr>
          <w:rFonts w:ascii="Times New Roman" w:eastAsia="Times New Roman" w:hAnsi="Times New Roman" w:cs="Times New Roman"/>
          <w:b/>
          <w:bCs/>
          <w:i/>
          <w:iCs/>
          <w:sz w:val="24"/>
          <w:szCs w:val="24"/>
          <w:lang w:eastAsia="en-GB"/>
        </w:rPr>
        <w:t xml:space="preserve"> </w:t>
      </w:r>
      <w:proofErr w:type="spellStart"/>
      <w:r w:rsidRPr="00BD4D7B">
        <w:rPr>
          <w:rFonts w:ascii="Times New Roman" w:eastAsia="Times New Roman" w:hAnsi="Times New Roman" w:cs="Times New Roman"/>
          <w:b/>
          <w:bCs/>
          <w:i/>
          <w:iCs/>
          <w:sz w:val="24"/>
          <w:szCs w:val="24"/>
          <w:lang w:eastAsia="en-GB"/>
        </w:rPr>
        <w:t>kurzii</w:t>
      </w:r>
      <w:proofErr w:type="spellEnd"/>
      <w:r w:rsidRPr="00BD4D7B">
        <w:rPr>
          <w:rFonts w:ascii="Times New Roman" w:eastAsia="Times New Roman" w:hAnsi="Times New Roman" w:cs="Times New Roman"/>
          <w:b/>
          <w:bCs/>
          <w:sz w:val="24"/>
          <w:szCs w:val="24"/>
          <w:lang w:eastAsia="en-GB"/>
        </w:rPr>
        <w:t xml:space="preserve"> conservation in Northeast India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1"/>
        <w:gridCol w:w="7185"/>
      </w:tblGrid>
      <w:tr w:rsidR="00626A29" w:rsidRPr="00BD4D7B" w14:paraId="7C0BD362" w14:textId="77777777" w:rsidTr="0026643C">
        <w:trPr>
          <w:tblCellSpacing w:w="15" w:type="dxa"/>
        </w:trPr>
        <w:tc>
          <w:tcPr>
            <w:tcW w:w="0" w:type="auto"/>
            <w:vAlign w:val="center"/>
            <w:hideMark/>
          </w:tcPr>
          <w:p w14:paraId="049952D1" w14:textId="77777777" w:rsidR="00626A29" w:rsidRPr="00BD4D7B" w:rsidRDefault="00626A29" w:rsidP="0026643C">
            <w:pPr>
              <w:spacing w:after="0" w:line="360" w:lineRule="auto"/>
              <w:jc w:val="both"/>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Research area</w:t>
            </w:r>
          </w:p>
        </w:tc>
        <w:tc>
          <w:tcPr>
            <w:tcW w:w="0" w:type="auto"/>
            <w:vAlign w:val="center"/>
            <w:hideMark/>
          </w:tcPr>
          <w:p w14:paraId="090ABD46" w14:textId="77777777" w:rsidR="00626A29" w:rsidRPr="00BD4D7B" w:rsidRDefault="00626A29" w:rsidP="0026643C">
            <w:pPr>
              <w:spacing w:after="0" w:line="360" w:lineRule="auto"/>
              <w:jc w:val="both"/>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Priority action</w:t>
            </w:r>
          </w:p>
        </w:tc>
      </w:tr>
      <w:tr w:rsidR="00626A29" w:rsidRPr="00BD4D7B" w14:paraId="5FF15B6F" w14:textId="77777777" w:rsidTr="0026643C">
        <w:trPr>
          <w:tblCellSpacing w:w="15" w:type="dxa"/>
        </w:trPr>
        <w:tc>
          <w:tcPr>
            <w:tcW w:w="0" w:type="auto"/>
            <w:vAlign w:val="center"/>
            <w:hideMark/>
          </w:tcPr>
          <w:p w14:paraId="6CB95634" w14:textId="77777777" w:rsidR="00626A29" w:rsidRPr="00BD4D7B" w:rsidRDefault="00626A29" w:rsidP="0026643C">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Population assessment</w:t>
            </w:r>
          </w:p>
        </w:tc>
        <w:tc>
          <w:tcPr>
            <w:tcW w:w="0" w:type="auto"/>
            <w:vAlign w:val="center"/>
            <w:hideMark/>
          </w:tcPr>
          <w:p w14:paraId="1D2CEF9F" w14:textId="77777777" w:rsidR="00626A29" w:rsidRPr="00BD4D7B" w:rsidRDefault="00626A29" w:rsidP="0026643C">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Map natural populations and quantify density, size structure and distribution of mature reproductive individuals.</w:t>
            </w:r>
          </w:p>
        </w:tc>
      </w:tr>
      <w:tr w:rsidR="00626A29" w:rsidRPr="00BD4D7B" w14:paraId="356FAA09" w14:textId="77777777" w:rsidTr="0026643C">
        <w:trPr>
          <w:tblCellSpacing w:w="15" w:type="dxa"/>
        </w:trPr>
        <w:tc>
          <w:tcPr>
            <w:tcW w:w="0" w:type="auto"/>
            <w:vAlign w:val="center"/>
            <w:hideMark/>
          </w:tcPr>
          <w:p w14:paraId="494DA5C3" w14:textId="77777777" w:rsidR="00626A29" w:rsidRPr="00BD4D7B" w:rsidRDefault="00626A29" w:rsidP="0026643C">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Regeneration</w:t>
            </w:r>
          </w:p>
        </w:tc>
        <w:tc>
          <w:tcPr>
            <w:tcW w:w="0" w:type="auto"/>
            <w:vAlign w:val="center"/>
            <w:hideMark/>
          </w:tcPr>
          <w:p w14:paraId="42DD0E05" w14:textId="77777777" w:rsidR="00626A29" w:rsidRPr="00BD4D7B" w:rsidRDefault="00626A29" w:rsidP="0026643C">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Monitor seedlings, saplings, recruitment, growth and mortality over multiple years.</w:t>
            </w:r>
          </w:p>
        </w:tc>
      </w:tr>
      <w:tr w:rsidR="00626A29" w:rsidRPr="00BD4D7B" w14:paraId="52B36AAC" w14:textId="77777777" w:rsidTr="0026643C">
        <w:trPr>
          <w:tblCellSpacing w:w="15" w:type="dxa"/>
        </w:trPr>
        <w:tc>
          <w:tcPr>
            <w:tcW w:w="0" w:type="auto"/>
            <w:vAlign w:val="center"/>
            <w:hideMark/>
          </w:tcPr>
          <w:p w14:paraId="17DAFB68" w14:textId="77777777" w:rsidR="00626A29" w:rsidRPr="00BD4D7B" w:rsidRDefault="00626A29" w:rsidP="0026643C">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Genetic diversity</w:t>
            </w:r>
          </w:p>
        </w:tc>
        <w:tc>
          <w:tcPr>
            <w:tcW w:w="0" w:type="auto"/>
            <w:vAlign w:val="center"/>
            <w:hideMark/>
          </w:tcPr>
          <w:p w14:paraId="46EB79FB" w14:textId="77777777" w:rsidR="00626A29" w:rsidRPr="00BD4D7B" w:rsidRDefault="00626A29" w:rsidP="0026643C">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Assess genetic diversity, population structure and gene flow among geographically separated populations.</w:t>
            </w:r>
          </w:p>
        </w:tc>
      </w:tr>
      <w:tr w:rsidR="00626A29" w:rsidRPr="00BD4D7B" w14:paraId="35A76412" w14:textId="77777777" w:rsidTr="0026643C">
        <w:trPr>
          <w:tblCellSpacing w:w="15" w:type="dxa"/>
        </w:trPr>
        <w:tc>
          <w:tcPr>
            <w:tcW w:w="0" w:type="auto"/>
            <w:vAlign w:val="center"/>
            <w:hideMark/>
          </w:tcPr>
          <w:p w14:paraId="4810362E" w14:textId="77777777" w:rsidR="00626A29" w:rsidRPr="00BD4D7B" w:rsidRDefault="00626A29" w:rsidP="0026643C">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Habitat</w:t>
            </w:r>
          </w:p>
        </w:tc>
        <w:tc>
          <w:tcPr>
            <w:tcW w:w="0" w:type="auto"/>
            <w:vAlign w:val="center"/>
            <w:hideMark/>
          </w:tcPr>
          <w:p w14:paraId="30FB598E" w14:textId="77777777" w:rsidR="00626A29" w:rsidRPr="00BD4D7B" w:rsidRDefault="00626A29" w:rsidP="0026643C">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Determine habitat requirements and effects of degradation, fragmentation and disturbance.</w:t>
            </w:r>
          </w:p>
        </w:tc>
      </w:tr>
      <w:tr w:rsidR="00626A29" w:rsidRPr="00BD4D7B" w14:paraId="46C5F20D" w14:textId="77777777" w:rsidTr="0026643C">
        <w:trPr>
          <w:tblCellSpacing w:w="15" w:type="dxa"/>
        </w:trPr>
        <w:tc>
          <w:tcPr>
            <w:tcW w:w="0" w:type="auto"/>
            <w:vAlign w:val="center"/>
            <w:hideMark/>
          </w:tcPr>
          <w:p w14:paraId="71B6C4F4" w14:textId="77777777" w:rsidR="00626A29" w:rsidRPr="00BD4D7B" w:rsidRDefault="00626A29" w:rsidP="0026643C">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Conservation units</w:t>
            </w:r>
          </w:p>
        </w:tc>
        <w:tc>
          <w:tcPr>
            <w:tcW w:w="0" w:type="auto"/>
            <w:vAlign w:val="center"/>
            <w:hideMark/>
          </w:tcPr>
          <w:p w14:paraId="0BAEAA3F" w14:textId="77777777" w:rsidR="00626A29" w:rsidRPr="00BD4D7B" w:rsidRDefault="00626A29" w:rsidP="0026643C">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Identify representative populations for </w:t>
            </w:r>
            <w:r w:rsidRPr="006E6402">
              <w:rPr>
                <w:rFonts w:ascii="Times New Roman" w:eastAsia="Times New Roman" w:hAnsi="Times New Roman" w:cs="Times New Roman"/>
                <w:i/>
                <w:sz w:val="24"/>
                <w:szCs w:val="24"/>
                <w:highlight w:val="green"/>
                <w:lang w:eastAsia="en-GB"/>
              </w:rPr>
              <w:t>in-situ</w:t>
            </w:r>
            <w:r w:rsidRPr="00BD4D7B">
              <w:rPr>
                <w:rFonts w:ascii="Times New Roman" w:eastAsia="Times New Roman" w:hAnsi="Times New Roman" w:cs="Times New Roman"/>
                <w:sz w:val="24"/>
                <w:szCs w:val="24"/>
                <w:lang w:eastAsia="en-GB"/>
              </w:rPr>
              <w:t xml:space="preserve"> and genetic-resource conservation.</w:t>
            </w:r>
          </w:p>
        </w:tc>
      </w:tr>
      <w:tr w:rsidR="00626A29" w:rsidRPr="00BD4D7B" w14:paraId="112B430D" w14:textId="77777777" w:rsidTr="0026643C">
        <w:trPr>
          <w:tblCellSpacing w:w="15" w:type="dxa"/>
        </w:trPr>
        <w:tc>
          <w:tcPr>
            <w:tcW w:w="0" w:type="auto"/>
            <w:vAlign w:val="center"/>
            <w:hideMark/>
          </w:tcPr>
          <w:p w14:paraId="32E3BB49" w14:textId="77777777" w:rsidR="00626A29" w:rsidRPr="00BD4D7B" w:rsidRDefault="00626A29" w:rsidP="0026643C">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Seed resources</w:t>
            </w:r>
          </w:p>
        </w:tc>
        <w:tc>
          <w:tcPr>
            <w:tcW w:w="0" w:type="auto"/>
            <w:vAlign w:val="center"/>
            <w:hideMark/>
          </w:tcPr>
          <w:p w14:paraId="65949BD6" w14:textId="77777777" w:rsidR="00626A29" w:rsidRPr="00BD4D7B" w:rsidRDefault="00626A29" w:rsidP="0026643C">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Establish documented and geographically representative seed sources based on genetic, geographic and environmental information.</w:t>
            </w:r>
          </w:p>
        </w:tc>
      </w:tr>
      <w:tr w:rsidR="00626A29" w:rsidRPr="00BD4D7B" w14:paraId="2B482F6D" w14:textId="77777777" w:rsidTr="0026643C">
        <w:trPr>
          <w:tblCellSpacing w:w="15" w:type="dxa"/>
        </w:trPr>
        <w:tc>
          <w:tcPr>
            <w:tcW w:w="0" w:type="auto"/>
            <w:vAlign w:val="center"/>
            <w:hideMark/>
          </w:tcPr>
          <w:p w14:paraId="43B80930" w14:textId="77777777" w:rsidR="00626A29" w:rsidRPr="00BD4D7B" w:rsidRDefault="00626A29" w:rsidP="0026643C">
            <w:pPr>
              <w:spacing w:after="0" w:line="360" w:lineRule="auto"/>
              <w:jc w:val="both"/>
              <w:rPr>
                <w:rFonts w:ascii="Times New Roman" w:eastAsia="Times New Roman" w:hAnsi="Times New Roman" w:cs="Times New Roman"/>
                <w:sz w:val="24"/>
                <w:szCs w:val="24"/>
                <w:lang w:eastAsia="en-GB"/>
              </w:rPr>
            </w:pPr>
            <w:r w:rsidRPr="006E6402">
              <w:rPr>
                <w:rFonts w:ascii="Times New Roman" w:eastAsia="Times New Roman" w:hAnsi="Times New Roman" w:cs="Times New Roman"/>
                <w:i/>
                <w:sz w:val="24"/>
                <w:szCs w:val="24"/>
                <w:highlight w:val="green"/>
                <w:lang w:eastAsia="en-GB"/>
              </w:rPr>
              <w:lastRenderedPageBreak/>
              <w:t>Ex-situ</w:t>
            </w:r>
            <w:r w:rsidRPr="00BD4D7B">
              <w:rPr>
                <w:rFonts w:ascii="Times New Roman" w:eastAsia="Times New Roman" w:hAnsi="Times New Roman" w:cs="Times New Roman"/>
                <w:sz w:val="24"/>
                <w:szCs w:val="24"/>
                <w:lang w:eastAsia="en-GB"/>
              </w:rPr>
              <w:t xml:space="preserve"> conservation</w:t>
            </w:r>
          </w:p>
        </w:tc>
        <w:tc>
          <w:tcPr>
            <w:tcW w:w="0" w:type="auto"/>
            <w:vAlign w:val="center"/>
            <w:hideMark/>
          </w:tcPr>
          <w:p w14:paraId="06454A83" w14:textId="77777777" w:rsidR="00626A29" w:rsidRPr="00BD4D7B" w:rsidRDefault="00626A29" w:rsidP="0026643C">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Develop representative living collections and evaluate seed-storage behaviour and viability.</w:t>
            </w:r>
          </w:p>
        </w:tc>
      </w:tr>
      <w:tr w:rsidR="00626A29" w:rsidRPr="00BD4D7B" w14:paraId="7836A23F" w14:textId="77777777" w:rsidTr="0026643C">
        <w:trPr>
          <w:tblCellSpacing w:w="15" w:type="dxa"/>
        </w:trPr>
        <w:tc>
          <w:tcPr>
            <w:tcW w:w="0" w:type="auto"/>
            <w:vAlign w:val="center"/>
            <w:hideMark/>
          </w:tcPr>
          <w:p w14:paraId="0B50260B" w14:textId="77777777" w:rsidR="00626A29" w:rsidRPr="00BD4D7B" w:rsidRDefault="00626A29" w:rsidP="0026643C">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Restoration</w:t>
            </w:r>
          </w:p>
        </w:tc>
        <w:tc>
          <w:tcPr>
            <w:tcW w:w="0" w:type="auto"/>
            <w:vAlign w:val="center"/>
            <w:hideMark/>
          </w:tcPr>
          <w:p w14:paraId="1CD02560" w14:textId="77777777" w:rsidR="00626A29" w:rsidRPr="00BD4D7B" w:rsidRDefault="00626A29" w:rsidP="0026643C">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Develop evidence-based seed-sourcing and provenance strategies for ecological restoration.</w:t>
            </w:r>
          </w:p>
        </w:tc>
      </w:tr>
      <w:tr w:rsidR="00626A29" w:rsidRPr="00BD4D7B" w14:paraId="30318906" w14:textId="77777777" w:rsidTr="0026643C">
        <w:trPr>
          <w:tblCellSpacing w:w="15" w:type="dxa"/>
        </w:trPr>
        <w:tc>
          <w:tcPr>
            <w:tcW w:w="0" w:type="auto"/>
            <w:vAlign w:val="center"/>
            <w:hideMark/>
          </w:tcPr>
          <w:p w14:paraId="62FB4AF0" w14:textId="77777777" w:rsidR="00626A29" w:rsidRPr="00BD4D7B" w:rsidRDefault="00626A29" w:rsidP="0026643C">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Sustainable utilization</w:t>
            </w:r>
          </w:p>
        </w:tc>
        <w:tc>
          <w:tcPr>
            <w:tcW w:w="0" w:type="auto"/>
            <w:vAlign w:val="center"/>
            <w:hideMark/>
          </w:tcPr>
          <w:p w14:paraId="5D76C35C" w14:textId="77777777" w:rsidR="00626A29" w:rsidRPr="00BD4D7B" w:rsidRDefault="00626A29" w:rsidP="0026643C">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Assess harvesting pressure and develop practices compatible with population maintenance.</w:t>
            </w:r>
          </w:p>
        </w:tc>
      </w:tr>
      <w:tr w:rsidR="00626A29" w:rsidRPr="00BD4D7B" w14:paraId="2C958FD5" w14:textId="77777777" w:rsidTr="0026643C">
        <w:trPr>
          <w:tblCellSpacing w:w="15" w:type="dxa"/>
        </w:trPr>
        <w:tc>
          <w:tcPr>
            <w:tcW w:w="0" w:type="auto"/>
            <w:vAlign w:val="center"/>
            <w:hideMark/>
          </w:tcPr>
          <w:p w14:paraId="77627488" w14:textId="77777777" w:rsidR="00626A29" w:rsidRDefault="00626A29" w:rsidP="0026643C">
            <w:pPr>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Cultivation</w:t>
            </w:r>
          </w:p>
          <w:p w14:paraId="171D7EF1" w14:textId="77777777" w:rsidR="00626A29" w:rsidRPr="00BD4D7B" w:rsidRDefault="00626A29" w:rsidP="0026643C">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and promotion</w:t>
            </w:r>
          </w:p>
        </w:tc>
        <w:tc>
          <w:tcPr>
            <w:tcW w:w="0" w:type="auto"/>
            <w:vAlign w:val="center"/>
            <w:hideMark/>
          </w:tcPr>
          <w:p w14:paraId="619BAF00" w14:textId="77777777" w:rsidR="00626A29" w:rsidRPr="00BD4D7B" w:rsidRDefault="00626A29" w:rsidP="0026643C">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Promote nursery production, cultivation and appropriate agroforestry systems to reduce dependence on wild populations.</w:t>
            </w:r>
          </w:p>
        </w:tc>
      </w:tr>
      <w:tr w:rsidR="00626A29" w:rsidRPr="00BD4D7B" w14:paraId="3F8BA27E" w14:textId="77777777" w:rsidTr="0026643C">
        <w:trPr>
          <w:tblCellSpacing w:w="15" w:type="dxa"/>
        </w:trPr>
        <w:tc>
          <w:tcPr>
            <w:tcW w:w="0" w:type="auto"/>
            <w:vAlign w:val="center"/>
            <w:hideMark/>
          </w:tcPr>
          <w:p w14:paraId="00BBA963" w14:textId="77777777" w:rsidR="00626A29" w:rsidRPr="00BD4D7B" w:rsidRDefault="00626A29" w:rsidP="0026643C">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Community participation</w:t>
            </w:r>
          </w:p>
        </w:tc>
        <w:tc>
          <w:tcPr>
            <w:tcW w:w="0" w:type="auto"/>
            <w:vAlign w:val="center"/>
            <w:hideMark/>
          </w:tcPr>
          <w:p w14:paraId="3A5DE79F" w14:textId="77777777" w:rsidR="00626A29" w:rsidRPr="00BD4D7B" w:rsidRDefault="00626A29" w:rsidP="0026643C">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Involve local communities in protection, monitoring, seed collection and restoration.</w:t>
            </w:r>
          </w:p>
        </w:tc>
      </w:tr>
      <w:tr w:rsidR="00626A29" w:rsidRPr="00BD4D7B" w14:paraId="3D7C2ACB" w14:textId="77777777" w:rsidTr="0026643C">
        <w:trPr>
          <w:tblCellSpacing w:w="15" w:type="dxa"/>
        </w:trPr>
        <w:tc>
          <w:tcPr>
            <w:tcW w:w="0" w:type="auto"/>
            <w:vAlign w:val="center"/>
            <w:hideMark/>
          </w:tcPr>
          <w:p w14:paraId="6AE59802" w14:textId="77777777" w:rsidR="00626A29" w:rsidRPr="00BD4D7B" w:rsidRDefault="00626A29" w:rsidP="0026643C">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Monitoring</w:t>
            </w:r>
          </w:p>
        </w:tc>
        <w:tc>
          <w:tcPr>
            <w:tcW w:w="0" w:type="auto"/>
            <w:vAlign w:val="center"/>
            <w:hideMark/>
          </w:tcPr>
          <w:p w14:paraId="05057593" w14:textId="77777777" w:rsidR="00626A29" w:rsidRPr="00BD4D7B" w:rsidRDefault="00626A29" w:rsidP="0026643C">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Establish long-term population, regeneration, habitat and seed-resource monitoring systems.</w:t>
            </w:r>
          </w:p>
        </w:tc>
      </w:tr>
    </w:tbl>
    <w:p w14:paraId="5F8295E5" w14:textId="77777777" w:rsidR="00B72A4A" w:rsidRDefault="00B72A4A" w:rsidP="00626A29">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p>
    <w:p w14:paraId="2FBD5E77" w14:textId="77777777" w:rsidR="00626A29" w:rsidRPr="00BD4D7B" w:rsidRDefault="00626A29" w:rsidP="00626A29">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Proposed conservation framework</w:t>
      </w:r>
    </w:p>
    <w:p w14:paraId="0EDDC0C4" w14:textId="77777777" w:rsidR="00626A29" w:rsidRPr="00BD4D7B"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 practical conservation programme for </w:t>
      </w:r>
      <w:r>
        <w:rPr>
          <w:rFonts w:ascii="Times New Roman" w:eastAsia="Times New Roman" w:hAnsi="Times New Roman" w:cs="Times New Roman"/>
          <w:i/>
          <w:iCs/>
          <w:sz w:val="24"/>
          <w:szCs w:val="24"/>
          <w:lang w:eastAsia="en-GB"/>
        </w:rPr>
        <w:t>H. kurzii</w:t>
      </w:r>
      <w:r>
        <w:rPr>
          <w:rFonts w:ascii="Times New Roman" w:eastAsia="Times New Roman" w:hAnsi="Times New Roman" w:cs="Times New Roman"/>
          <w:sz w:val="24"/>
          <w:szCs w:val="24"/>
          <w:lang w:eastAsia="en-GB"/>
        </w:rPr>
        <w:t xml:space="preserve"> in Northeast India can be </w:t>
      </w:r>
      <w:r>
        <w:rPr>
          <w:rFonts w:ascii="Times New Roman" w:eastAsia="Times New Roman" w:hAnsi="Times New Roman" w:cs="Times New Roman"/>
          <w:sz w:val="24"/>
          <w:szCs w:val="24"/>
          <w:highlight w:val="yellow"/>
          <w:lang w:eastAsia="en-GB"/>
        </w:rPr>
        <w:t>organised</w:t>
      </w:r>
      <w:r>
        <w:rPr>
          <w:rFonts w:ascii="Times New Roman" w:eastAsia="Times New Roman" w:hAnsi="Times New Roman" w:cs="Times New Roman"/>
          <w:sz w:val="24"/>
          <w:szCs w:val="24"/>
          <w:lang w:eastAsia="en-GB"/>
        </w:rPr>
        <w:t xml:space="preserve"> into five interconnected stages.</w:t>
      </w:r>
    </w:p>
    <w:p w14:paraId="6C38E841" w14:textId="77777777" w:rsidR="00626A29" w:rsidRDefault="00626A29" w:rsidP="00626A29">
      <w:pPr>
        <w:spacing w:before="100" w:beforeAutospacing="1" w:after="100" w:afterAutospacing="1" w:line="360" w:lineRule="auto"/>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Stage 1: Establish a regional population baseline.</w:t>
      </w:r>
    </w:p>
    <w:p w14:paraId="5E3309A3" w14:textId="77777777" w:rsidR="00626A29" w:rsidRPr="00DD3CB7" w:rsidRDefault="00626A29" w:rsidP="00626A29">
      <w:pPr>
        <w:spacing w:before="100" w:beforeAutospacing="1" w:after="100" w:afterAutospacing="1" w:line="360" w:lineRule="auto"/>
        <w:jc w:val="both"/>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sz w:val="24"/>
          <w:szCs w:val="24"/>
          <w:lang w:eastAsia="en-GB"/>
        </w:rPr>
        <w:t>Compile occurrence records and conduct systematic field surveys to identify populations, mature reproductive individuals, regeneration status, habitat condition and major anthropogenic pressures.</w:t>
      </w:r>
    </w:p>
    <w:p w14:paraId="67058E26" w14:textId="77777777" w:rsidR="00626A29" w:rsidRDefault="00626A29" w:rsidP="00626A29">
      <w:pPr>
        <w:spacing w:before="100" w:beforeAutospacing="1" w:after="100" w:afterAutospacing="1" w:line="360" w:lineRule="auto"/>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Stage 2: Evaluate representative populations.</w:t>
      </w:r>
    </w:p>
    <w:p w14:paraId="5B2B4323" w14:textId="77777777" w:rsidR="00626A29" w:rsidRPr="00DD3CB7" w:rsidRDefault="00626A29" w:rsidP="00626A29">
      <w:pPr>
        <w:spacing w:before="100" w:beforeAutospacing="1" w:after="100" w:afterAutospacing="1" w:line="360" w:lineRule="auto"/>
        <w:jc w:val="both"/>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sz w:val="24"/>
          <w:szCs w:val="24"/>
          <w:lang w:eastAsia="en-GB"/>
        </w:rPr>
        <w:t>Assess population structure, reproductive status, regeneration and, where feasible, genetic diversity and population structure across geographically separated populations.</w:t>
      </w:r>
    </w:p>
    <w:p w14:paraId="25BB6ECE" w14:textId="77777777" w:rsidR="00626A29" w:rsidRDefault="00626A29" w:rsidP="00626A29">
      <w:pPr>
        <w:spacing w:before="100" w:beforeAutospacing="1" w:after="100" w:afterAutospacing="1" w:line="360" w:lineRule="auto"/>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Stage 3: Establish conservation units and seed sources.</w:t>
      </w:r>
    </w:p>
    <w:p w14:paraId="2296AD8E" w14:textId="77777777" w:rsidR="00626A29" w:rsidRPr="00BD4D7B"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lastRenderedPageBreak/>
        <w:t xml:space="preserve">Identify priority populations for </w:t>
      </w:r>
      <w:r w:rsidRPr="005A0EBD">
        <w:rPr>
          <w:rFonts w:ascii="Times New Roman" w:eastAsia="Times New Roman" w:hAnsi="Times New Roman" w:cs="Times New Roman"/>
          <w:i/>
          <w:sz w:val="24"/>
          <w:szCs w:val="24"/>
          <w:highlight w:val="green"/>
          <w:lang w:eastAsia="en-GB"/>
        </w:rPr>
        <w:t>in-situ</w:t>
      </w:r>
      <w:r w:rsidRPr="00BD4D7B">
        <w:rPr>
          <w:rFonts w:ascii="Times New Roman" w:eastAsia="Times New Roman" w:hAnsi="Times New Roman" w:cs="Times New Roman"/>
          <w:sz w:val="24"/>
          <w:szCs w:val="24"/>
          <w:lang w:eastAsia="en-GB"/>
        </w:rPr>
        <w:t xml:space="preserve"> conservation and genetic conservation</w:t>
      </w:r>
      <w:r w:rsidRPr="005A0EBD">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while developing documented seed sources that represent geographic, genetic and environmental variation.</w:t>
      </w:r>
    </w:p>
    <w:p w14:paraId="098CD677" w14:textId="77777777" w:rsidR="00626A29" w:rsidRDefault="00626A29" w:rsidP="00626A29">
      <w:pPr>
        <w:spacing w:before="100" w:beforeAutospacing="1" w:after="100" w:afterAutospacing="1" w:line="360" w:lineRule="auto"/>
        <w:rPr>
          <w:rFonts w:ascii="Times New Roman" w:eastAsia="Times New Roman" w:hAnsi="Times New Roman" w:cs="Times New Roman"/>
          <w:sz w:val="24"/>
          <w:szCs w:val="24"/>
          <w:lang w:eastAsia="en-GB"/>
        </w:rPr>
      </w:pPr>
      <w:r w:rsidRPr="00BD4D7B">
        <w:rPr>
          <w:rFonts w:ascii="Times New Roman" w:eastAsia="Times New Roman" w:hAnsi="Times New Roman" w:cs="Times New Roman"/>
          <w:b/>
          <w:bCs/>
          <w:sz w:val="24"/>
          <w:szCs w:val="24"/>
          <w:lang w:eastAsia="en-GB"/>
        </w:rPr>
        <w:t xml:space="preserve">Stage 4: Develop </w:t>
      </w:r>
      <w:r w:rsidRPr="005A0EBD">
        <w:rPr>
          <w:rFonts w:ascii="Times New Roman" w:eastAsia="Times New Roman" w:hAnsi="Times New Roman" w:cs="Times New Roman"/>
          <w:b/>
          <w:bCs/>
          <w:i/>
          <w:sz w:val="24"/>
          <w:szCs w:val="24"/>
          <w:highlight w:val="green"/>
          <w:lang w:eastAsia="en-GB"/>
        </w:rPr>
        <w:t>ex-situ</w:t>
      </w:r>
      <w:r w:rsidRPr="00BD4D7B">
        <w:rPr>
          <w:rFonts w:ascii="Times New Roman" w:eastAsia="Times New Roman" w:hAnsi="Times New Roman" w:cs="Times New Roman"/>
          <w:b/>
          <w:bCs/>
          <w:sz w:val="24"/>
          <w:szCs w:val="24"/>
          <w:lang w:eastAsia="en-GB"/>
        </w:rPr>
        <w:t>, cultivation and restoration systems.</w:t>
      </w:r>
    </w:p>
    <w:p w14:paraId="7B0C3758" w14:textId="77777777" w:rsidR="00626A29" w:rsidRPr="00BD4D7B"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Establish representative living collections, develop nursery and cultivation protocols, and use appropriately documented planting material for restoration and future conservation programmes. Cultivation should progressively provide an alternative source of planting and </w:t>
      </w:r>
      <w:r>
        <w:rPr>
          <w:rFonts w:ascii="Times New Roman" w:eastAsia="Times New Roman" w:hAnsi="Times New Roman" w:cs="Times New Roman"/>
          <w:sz w:val="24"/>
          <w:szCs w:val="24"/>
          <w:highlight w:val="yellow"/>
          <w:lang w:eastAsia="en-GB"/>
        </w:rPr>
        <w:t>utilisation</w:t>
      </w:r>
      <w:r>
        <w:rPr>
          <w:rFonts w:ascii="Times New Roman" w:eastAsia="Times New Roman" w:hAnsi="Times New Roman" w:cs="Times New Roman"/>
          <w:sz w:val="24"/>
          <w:szCs w:val="24"/>
          <w:lang w:eastAsia="en-GB"/>
        </w:rPr>
        <w:t xml:space="preserve"> material, so that increased promotion does not translate into greater pressure on natural populations.</w:t>
      </w:r>
    </w:p>
    <w:p w14:paraId="1EB419F1" w14:textId="77777777" w:rsidR="00626A29" w:rsidRPr="00DD3CB7" w:rsidRDefault="00626A29" w:rsidP="00626A29">
      <w:pPr>
        <w:pStyle w:val="NoSpacing"/>
        <w:rPr>
          <w:rFonts w:ascii="Times New Roman" w:hAnsi="Times New Roman" w:cs="Times New Roman"/>
          <w:b/>
          <w:sz w:val="24"/>
          <w:szCs w:val="24"/>
          <w:lang w:eastAsia="en-GB"/>
        </w:rPr>
      </w:pPr>
      <w:r w:rsidRPr="00DD3CB7">
        <w:rPr>
          <w:rFonts w:ascii="Times New Roman" w:hAnsi="Times New Roman" w:cs="Times New Roman"/>
          <w:b/>
          <w:sz w:val="24"/>
          <w:szCs w:val="24"/>
          <w:lang w:eastAsia="en-GB"/>
        </w:rPr>
        <w:t>Stage 5: Monitor, promote responsibly and reassess.</w:t>
      </w:r>
      <w:r w:rsidRPr="00DD3CB7">
        <w:rPr>
          <w:rFonts w:ascii="Times New Roman" w:hAnsi="Times New Roman" w:cs="Times New Roman"/>
          <w:b/>
          <w:sz w:val="24"/>
          <w:szCs w:val="24"/>
          <w:lang w:eastAsia="en-GB"/>
        </w:rPr>
        <w:br/>
      </w:r>
    </w:p>
    <w:p w14:paraId="7E53E679" w14:textId="77777777" w:rsidR="00626A29" w:rsidRPr="00DD3CB7" w:rsidRDefault="00626A29" w:rsidP="00626A29">
      <w:pPr>
        <w:pStyle w:val="NoSpacing"/>
        <w:spacing w:line="36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 xml:space="preserve">Monitor population size, regeneration, habitat condition, reproductive output and seed availability while evaluating the effects of </w:t>
      </w:r>
      <w:r>
        <w:rPr>
          <w:rFonts w:ascii="Times New Roman" w:hAnsi="Times New Roman" w:cs="Times New Roman"/>
          <w:sz w:val="24"/>
          <w:szCs w:val="24"/>
          <w:highlight w:val="yellow"/>
          <w:lang w:eastAsia="en-GB"/>
        </w:rPr>
        <w:t>utilisation</w:t>
      </w:r>
      <w:r>
        <w:rPr>
          <w:rFonts w:ascii="Times New Roman" w:hAnsi="Times New Roman" w:cs="Times New Roman"/>
          <w:sz w:val="24"/>
          <w:szCs w:val="24"/>
          <w:lang w:eastAsia="en-GB"/>
        </w:rPr>
        <w:t>, cultivation and restoration. Conservation priorities should be periodically revised as new demographic, genetic and environmental evidence becomes available.</w:t>
      </w:r>
    </w:p>
    <w:p w14:paraId="73BDAB70" w14:textId="77777777" w:rsidR="00626A29" w:rsidRPr="00BD4D7B"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framework links population conservation with genetic-resource management, seed-source development, cultivation and responsible promotion. Genetic and environmental information can improve seed sourcing, while climate-informed approaches can help address future environmental change </w:t>
      </w:r>
      <w:r>
        <w:rPr>
          <w:rFonts w:ascii="Times New Roman" w:eastAsia="Times New Roman" w:hAnsi="Times New Roman" w:cs="Times New Roman"/>
          <w:sz w:val="24"/>
          <w:szCs w:val="24"/>
          <w:highlight w:val="yellow"/>
          <w:lang w:eastAsia="en-GB"/>
        </w:rPr>
        <w:t>(Fremout et al., 2021; Prakash et al., 2024)</w:t>
      </w:r>
      <w:r>
        <w:rPr>
          <w:rFonts w:ascii="Times New Roman" w:eastAsia="Times New Roman" w:hAnsi="Times New Roman" w:cs="Times New Roman"/>
          <w:sz w:val="24"/>
          <w:szCs w:val="24"/>
          <w:lang w:eastAsia="en-GB"/>
        </w:rPr>
        <w:t xml:space="preserve">. Importantly, the framework does not assume that a single seed source or strictly local provenance strategy will always be optimal. Appropriate sourcing should depend on the ecological and genetic context and the objectives of restoration (Török </w:t>
      </w:r>
      <w:r>
        <w:rPr>
          <w:rFonts w:ascii="Times New Roman" w:eastAsia="Times New Roman" w:hAnsi="Times New Roman" w:cs="Times New Roman"/>
          <w:i/>
          <w:sz w:val="24"/>
          <w:szCs w:val="24"/>
          <w:highlight w:val="green"/>
          <w:lang w:eastAsia="en-GB"/>
        </w:rPr>
        <w:t>et al</w:t>
      </w:r>
      <w:r>
        <w:rPr>
          <w:rFonts w:ascii="Times New Roman" w:eastAsia="Times New Roman" w:hAnsi="Times New Roman" w:cs="Times New Roman"/>
          <w:sz w:val="24"/>
          <w:szCs w:val="24"/>
          <w:lang w:eastAsia="en-GB"/>
        </w:rPr>
        <w:t xml:space="preserve">., 2024; Vitt </w:t>
      </w:r>
      <w:r>
        <w:rPr>
          <w:rFonts w:ascii="Times New Roman" w:eastAsia="Times New Roman" w:hAnsi="Times New Roman" w:cs="Times New Roman"/>
          <w:i/>
          <w:sz w:val="24"/>
          <w:szCs w:val="24"/>
          <w:highlight w:val="green"/>
          <w:lang w:eastAsia="en-GB"/>
        </w:rPr>
        <w:t>et al</w:t>
      </w:r>
      <w:r>
        <w:rPr>
          <w:rFonts w:ascii="Times New Roman" w:eastAsia="Times New Roman" w:hAnsi="Times New Roman" w:cs="Times New Roman"/>
          <w:sz w:val="24"/>
          <w:szCs w:val="24"/>
          <w:lang w:eastAsia="en-GB"/>
        </w:rPr>
        <w:t>., 2022).</w:t>
      </w:r>
    </w:p>
    <w:p w14:paraId="4E66CEB7" w14:textId="77777777" w:rsidR="00626A29"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For </w:t>
      </w:r>
      <w:r>
        <w:rPr>
          <w:rFonts w:ascii="Times New Roman" w:eastAsia="Times New Roman" w:hAnsi="Times New Roman" w:cs="Times New Roman"/>
          <w:i/>
          <w:iCs/>
          <w:sz w:val="24"/>
          <w:szCs w:val="24"/>
          <w:lang w:eastAsia="en-GB"/>
        </w:rPr>
        <w:t>H. kurzii</w:t>
      </w:r>
      <w:r>
        <w:rPr>
          <w:rFonts w:ascii="Times New Roman" w:eastAsia="Times New Roman" w:hAnsi="Times New Roman" w:cs="Times New Roman"/>
          <w:sz w:val="24"/>
          <w:szCs w:val="24"/>
          <w:lang w:eastAsia="en-GB"/>
        </w:rPr>
        <w:t xml:space="preserve">, the immediate priority is therefore not to prescribe a single provenance for restoration or </w:t>
      </w:r>
      <w:r>
        <w:rPr>
          <w:rFonts w:ascii="Times New Roman" w:eastAsia="Times New Roman" w:hAnsi="Times New Roman" w:cs="Times New Roman"/>
          <w:sz w:val="24"/>
          <w:szCs w:val="24"/>
          <w:highlight w:val="yellow"/>
          <w:lang w:eastAsia="en-GB"/>
        </w:rPr>
        <w:t>utilisation</w:t>
      </w:r>
      <w:r>
        <w:rPr>
          <w:rFonts w:ascii="Times New Roman" w:eastAsia="Times New Roman" w:hAnsi="Times New Roman" w:cs="Times New Roman"/>
          <w:sz w:val="24"/>
          <w:szCs w:val="24"/>
          <w:lang w:eastAsia="en-GB"/>
        </w:rPr>
        <w:t>, but to establish the population, genetic and seed-resource information required to make scientifically defensible decisions. At the same time, conservation-oriented cultivation and nursery development can allow the species to be promoted without increasing dependence on natural populations.</w:t>
      </w:r>
    </w:p>
    <w:p w14:paraId="59151307" w14:textId="77777777" w:rsidR="001521E6" w:rsidRPr="001521E6" w:rsidRDefault="001521E6"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hAnsi="Times New Roman" w:cs="Times New Roman"/>
          <w:sz w:val="24"/>
          <w:szCs w:val="24"/>
          <w:highlight w:val="green"/>
        </w:rPr>
        <w:t xml:space="preserve">However, the proposed framework is constrained by limited species-specific information on population size, genetic diversity, regeneration, and long-term demographic trends of </w:t>
      </w:r>
      <w:r>
        <w:rPr>
          <w:rStyle w:val="Emphasis"/>
          <w:rFonts w:ascii="Times New Roman" w:hAnsi="Times New Roman" w:cs="Times New Roman"/>
          <w:sz w:val="24"/>
          <w:szCs w:val="24"/>
          <w:highlight w:val="green"/>
        </w:rPr>
        <w:t>Hydnocarpus kurzii</w:t>
      </w:r>
      <w:r>
        <w:rPr>
          <w:rFonts w:ascii="Times New Roman" w:hAnsi="Times New Roman" w:cs="Times New Roman"/>
          <w:sz w:val="24"/>
          <w:szCs w:val="24"/>
          <w:highlight w:val="green"/>
        </w:rPr>
        <w:t xml:space="preserve"> in Northeast India. These priorities therefore require validation through </w:t>
      </w:r>
      <w:r>
        <w:rPr>
          <w:rFonts w:ascii="Times New Roman" w:hAnsi="Times New Roman" w:cs="Times New Roman"/>
          <w:sz w:val="24"/>
          <w:szCs w:val="24"/>
          <w:highlight w:val="green"/>
        </w:rPr>
        <w:lastRenderedPageBreak/>
        <w:t>systematic field surveys, molecular studies, long-term population monitoring, and provenance-based trials.</w:t>
      </w:r>
    </w:p>
    <w:p w14:paraId="1887D780" w14:textId="77777777" w:rsidR="00626A29" w:rsidRDefault="00626A29" w:rsidP="00626A29">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Conclusion</w:t>
      </w:r>
    </w:p>
    <w:p w14:paraId="2E6308D1" w14:textId="77777777" w:rsidR="00626A29" w:rsidRPr="00170661" w:rsidRDefault="00626A29" w:rsidP="00626A29">
      <w:pPr>
        <w:spacing w:before="100" w:beforeAutospacing="1" w:after="100" w:afterAutospacing="1" w:line="360" w:lineRule="auto"/>
        <w:jc w:val="both"/>
        <w:rPr>
          <w:rFonts w:ascii="Times New Roman" w:eastAsia="Times New Roman" w:hAnsi="Times New Roman" w:cs="Times New Roman"/>
          <w:sz w:val="24"/>
          <w:szCs w:val="24"/>
          <w:highlight w:val="green"/>
          <w:lang w:eastAsia="en-GB"/>
        </w:rPr>
      </w:pPr>
      <w:r>
        <w:rPr>
          <w:rFonts w:ascii="Times New Roman" w:eastAsia="Times New Roman" w:hAnsi="Times New Roman" w:cs="Times New Roman"/>
          <w:i/>
          <w:iCs/>
          <w:sz w:val="24"/>
          <w:szCs w:val="24"/>
          <w:highlight w:val="green"/>
          <w:lang w:eastAsia="en-GB"/>
        </w:rPr>
        <w:t>Hydnocarpus kurzii</w:t>
      </w:r>
      <w:r>
        <w:rPr>
          <w:rFonts w:ascii="Times New Roman" w:eastAsia="Times New Roman" w:hAnsi="Times New Roman" w:cs="Times New Roman"/>
          <w:sz w:val="24"/>
          <w:szCs w:val="24"/>
          <w:highlight w:val="green"/>
          <w:lang w:eastAsia="en-GB"/>
        </w:rPr>
        <w:t xml:space="preserve"> is a lesser-known native tree of Northeast India with medicinal, seed-oil and forest genetic-resource value. Its limited scientific documentation, habitat degradation and potential loss of mature reproductive individuals highlight the need for proactive conservation. Its current Data Deficient status further </w:t>
      </w:r>
      <w:r>
        <w:rPr>
          <w:rFonts w:ascii="Times New Roman" w:eastAsia="Times New Roman" w:hAnsi="Times New Roman" w:cs="Times New Roman"/>
          <w:sz w:val="24"/>
          <w:szCs w:val="24"/>
          <w:highlight w:val="yellow"/>
          <w:lang w:eastAsia="en-GB"/>
        </w:rPr>
        <w:t>emphasises</w:t>
      </w:r>
      <w:r>
        <w:rPr>
          <w:rFonts w:ascii="Times New Roman" w:eastAsia="Times New Roman" w:hAnsi="Times New Roman" w:cs="Times New Roman"/>
          <w:sz w:val="24"/>
          <w:szCs w:val="24"/>
          <w:highlight w:val="green"/>
          <w:lang w:eastAsia="en-GB"/>
        </w:rPr>
        <w:t xml:space="preserve"> the need to establish reliable information on population distribution, regeneration, genetic diversity and long-term viability (World Flora Online Consortium, 2026).</w:t>
      </w:r>
    </w:p>
    <w:p w14:paraId="2856000F" w14:textId="77777777" w:rsidR="00626A29" w:rsidRPr="00170661" w:rsidRDefault="00626A29" w:rsidP="00626A29">
      <w:pPr>
        <w:spacing w:before="100" w:beforeAutospacing="1" w:after="100" w:afterAutospacing="1" w:line="360" w:lineRule="auto"/>
        <w:jc w:val="both"/>
        <w:rPr>
          <w:rFonts w:ascii="Times New Roman" w:eastAsia="Times New Roman" w:hAnsi="Times New Roman" w:cs="Times New Roman"/>
          <w:sz w:val="24"/>
          <w:szCs w:val="24"/>
          <w:highlight w:val="green"/>
          <w:lang w:eastAsia="en-GB"/>
        </w:rPr>
      </w:pPr>
      <w:r>
        <w:rPr>
          <w:rFonts w:ascii="Times New Roman" w:eastAsia="Times New Roman" w:hAnsi="Times New Roman" w:cs="Times New Roman"/>
          <w:sz w:val="24"/>
          <w:szCs w:val="24"/>
          <w:highlight w:val="green"/>
          <w:lang w:eastAsia="en-GB"/>
        </w:rPr>
        <w:t xml:space="preserve">Conservation should begin with systematic assessment of representative natural populations, mature reproductive trees and regeneration, followed by evaluation of genetic diversity and development of geographically representative conservation units and seed sources. </w:t>
      </w:r>
      <w:r>
        <w:rPr>
          <w:rFonts w:ascii="Times New Roman" w:eastAsia="Times New Roman" w:hAnsi="Times New Roman" w:cs="Times New Roman"/>
          <w:i/>
          <w:iCs/>
          <w:sz w:val="24"/>
          <w:szCs w:val="24"/>
          <w:highlight w:val="green"/>
          <w:lang w:eastAsia="en-GB"/>
        </w:rPr>
        <w:t>In-situ</w:t>
      </w:r>
      <w:r>
        <w:rPr>
          <w:rFonts w:ascii="Times New Roman" w:eastAsia="Times New Roman" w:hAnsi="Times New Roman" w:cs="Times New Roman"/>
          <w:sz w:val="24"/>
          <w:szCs w:val="24"/>
          <w:highlight w:val="green"/>
          <w:lang w:eastAsia="en-GB"/>
        </w:rPr>
        <w:t xml:space="preserve"> conservation should remain the foundation, complemented by </w:t>
      </w:r>
      <w:r>
        <w:rPr>
          <w:rFonts w:ascii="Times New Roman" w:eastAsia="Times New Roman" w:hAnsi="Times New Roman" w:cs="Times New Roman"/>
          <w:i/>
          <w:iCs/>
          <w:sz w:val="24"/>
          <w:szCs w:val="24"/>
          <w:highlight w:val="green"/>
          <w:lang w:eastAsia="en-GB"/>
        </w:rPr>
        <w:t>ex-situ</w:t>
      </w:r>
      <w:r>
        <w:rPr>
          <w:rFonts w:ascii="Times New Roman" w:eastAsia="Times New Roman" w:hAnsi="Times New Roman" w:cs="Times New Roman"/>
          <w:sz w:val="24"/>
          <w:szCs w:val="24"/>
          <w:highlight w:val="green"/>
          <w:lang w:eastAsia="en-GB"/>
        </w:rPr>
        <w:t xml:space="preserve"> conservation, cultivation, restoration and community participation. At the same time, responsible promotion through nursery production, agroforestry, seed-oil </w:t>
      </w:r>
      <w:r>
        <w:rPr>
          <w:rFonts w:ascii="Times New Roman" w:eastAsia="Times New Roman" w:hAnsi="Times New Roman" w:cs="Times New Roman"/>
          <w:sz w:val="24"/>
          <w:szCs w:val="24"/>
          <w:highlight w:val="yellow"/>
          <w:lang w:eastAsia="en-GB"/>
        </w:rPr>
        <w:t>utilisation</w:t>
      </w:r>
      <w:r>
        <w:rPr>
          <w:rFonts w:ascii="Times New Roman" w:eastAsia="Times New Roman" w:hAnsi="Times New Roman" w:cs="Times New Roman"/>
          <w:sz w:val="24"/>
          <w:szCs w:val="24"/>
          <w:highlight w:val="green"/>
          <w:lang w:eastAsia="en-GB"/>
        </w:rPr>
        <w:t xml:space="preserve"> and ecological restoration could enhance the species' socioeconomic value without increasing pressure on wild populations.</w:t>
      </w:r>
    </w:p>
    <w:p w14:paraId="064D19E4" w14:textId="77777777" w:rsidR="00626A29"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highlight w:val="green"/>
          <w:lang w:eastAsia="en-GB"/>
        </w:rPr>
        <w:t xml:space="preserve">The principal contribution of this Short Communication is to propose a </w:t>
      </w:r>
      <w:r>
        <w:rPr>
          <w:rFonts w:ascii="Times New Roman" w:eastAsia="Times New Roman" w:hAnsi="Times New Roman" w:cs="Times New Roman"/>
          <w:bCs/>
          <w:sz w:val="24"/>
          <w:szCs w:val="24"/>
          <w:highlight w:val="green"/>
          <w:lang w:eastAsia="en-GB"/>
        </w:rPr>
        <w:t>proactive conservation framework linking population assessment, genetic-resource conservation, seed-source development, responsible species promotion and restoration</w:t>
      </w:r>
      <w:r>
        <w:rPr>
          <w:rFonts w:ascii="Times New Roman" w:eastAsia="Times New Roman" w:hAnsi="Times New Roman" w:cs="Times New Roman"/>
          <w:sz w:val="24"/>
          <w:szCs w:val="24"/>
          <w:highlight w:val="green"/>
          <w:lang w:eastAsia="en-GB"/>
        </w:rPr>
        <w:t xml:space="preserve">. Establishing a regional baseline before substantial population decline is documented would provide a practical basis for conserving the species' genetic resources while supporting sustainable cultivation and future </w:t>
      </w:r>
      <w:r>
        <w:rPr>
          <w:rFonts w:ascii="Times New Roman" w:eastAsia="Times New Roman" w:hAnsi="Times New Roman" w:cs="Times New Roman"/>
          <w:sz w:val="24"/>
          <w:szCs w:val="24"/>
          <w:highlight w:val="yellow"/>
          <w:lang w:eastAsia="en-GB"/>
        </w:rPr>
        <w:t>utilisation</w:t>
      </w:r>
      <w:r>
        <w:rPr>
          <w:rFonts w:ascii="Times New Roman" w:eastAsia="Times New Roman" w:hAnsi="Times New Roman" w:cs="Times New Roman"/>
          <w:sz w:val="24"/>
          <w:szCs w:val="24"/>
          <w:highlight w:val="green"/>
          <w:lang w:eastAsia="en-GB"/>
        </w:rPr>
        <w:t xml:space="preserve">. A coordinated conservation and seed-source network would therefore help maintain </w:t>
      </w:r>
      <w:r>
        <w:rPr>
          <w:rFonts w:ascii="Times New Roman" w:eastAsia="Times New Roman" w:hAnsi="Times New Roman" w:cs="Times New Roman"/>
          <w:i/>
          <w:iCs/>
          <w:sz w:val="24"/>
          <w:szCs w:val="24"/>
          <w:highlight w:val="green"/>
          <w:lang w:eastAsia="en-GB"/>
        </w:rPr>
        <w:t>H. kurzii</w:t>
      </w:r>
      <w:r>
        <w:rPr>
          <w:rFonts w:ascii="Times New Roman" w:eastAsia="Times New Roman" w:hAnsi="Times New Roman" w:cs="Times New Roman"/>
          <w:sz w:val="24"/>
          <w:szCs w:val="24"/>
          <w:highlight w:val="green"/>
          <w:lang w:eastAsia="en-GB"/>
        </w:rPr>
        <w:t xml:space="preserve"> as a component of native forest biodiversity and as a valuable medicinal and forest genetic resource.</w:t>
      </w:r>
    </w:p>
    <w:p w14:paraId="43D9FCF3" w14:textId="3E580BCC" w:rsidR="00B3204F" w:rsidRPr="00B3204F" w:rsidRDefault="00B3204F" w:rsidP="00B3204F">
      <w:pPr>
        <w:spacing w:before="100" w:beforeAutospacing="1" w:after="100" w:afterAutospacing="1" w:line="360" w:lineRule="auto"/>
        <w:jc w:val="both"/>
        <w:rPr>
          <w:rFonts w:ascii="Times New Roman" w:eastAsia="Times New Roman" w:hAnsi="Times New Roman" w:cs="Times New Roman"/>
          <w:b/>
          <w:bCs/>
          <w:sz w:val="24"/>
          <w:szCs w:val="24"/>
          <w:lang w:eastAsia="en-GB"/>
        </w:rPr>
      </w:pPr>
      <w:r w:rsidRPr="00B3204F">
        <w:rPr>
          <w:rFonts w:ascii="Times New Roman" w:eastAsia="Times New Roman" w:hAnsi="Times New Roman" w:cs="Times New Roman"/>
          <w:b/>
          <w:bCs/>
          <w:sz w:val="24"/>
          <w:szCs w:val="24"/>
          <w:lang w:eastAsia="en-GB"/>
        </w:rPr>
        <w:t xml:space="preserve">Limitation </w:t>
      </w:r>
    </w:p>
    <w:p w14:paraId="0646C40F" w14:textId="52C963FB" w:rsidR="00B3204F" w:rsidRPr="00170661" w:rsidRDefault="00B3204F" w:rsidP="00B3204F">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3204F">
        <w:rPr>
          <w:rFonts w:ascii="Times New Roman" w:eastAsia="Times New Roman" w:hAnsi="Times New Roman" w:cs="Times New Roman"/>
          <w:sz w:val="24"/>
          <w:szCs w:val="24"/>
          <w:lang w:eastAsia="en-GB"/>
        </w:rPr>
        <w:t xml:space="preserve">The proposed conservation framework is constrained by limited species-specific information on population size, regeneration, genetic diversity, reproductive output and long-term demographic trends of </w:t>
      </w:r>
      <w:proofErr w:type="spellStart"/>
      <w:r w:rsidRPr="00B3204F">
        <w:rPr>
          <w:rFonts w:ascii="Times New Roman" w:eastAsia="Times New Roman" w:hAnsi="Times New Roman" w:cs="Times New Roman"/>
          <w:sz w:val="24"/>
          <w:szCs w:val="24"/>
          <w:lang w:eastAsia="en-GB"/>
        </w:rPr>
        <w:t>Hydnocarpus</w:t>
      </w:r>
      <w:proofErr w:type="spellEnd"/>
      <w:r w:rsidRPr="00B3204F">
        <w:rPr>
          <w:rFonts w:ascii="Times New Roman" w:eastAsia="Times New Roman" w:hAnsi="Times New Roman" w:cs="Times New Roman"/>
          <w:sz w:val="24"/>
          <w:szCs w:val="24"/>
          <w:lang w:eastAsia="en-GB"/>
        </w:rPr>
        <w:t xml:space="preserve"> </w:t>
      </w:r>
      <w:proofErr w:type="spellStart"/>
      <w:r w:rsidRPr="00B3204F">
        <w:rPr>
          <w:rFonts w:ascii="Times New Roman" w:eastAsia="Times New Roman" w:hAnsi="Times New Roman" w:cs="Times New Roman"/>
          <w:sz w:val="24"/>
          <w:szCs w:val="24"/>
          <w:lang w:eastAsia="en-GB"/>
        </w:rPr>
        <w:t>kurzii</w:t>
      </w:r>
      <w:proofErr w:type="spellEnd"/>
      <w:r w:rsidRPr="00B3204F">
        <w:rPr>
          <w:rFonts w:ascii="Times New Roman" w:eastAsia="Times New Roman" w:hAnsi="Times New Roman" w:cs="Times New Roman"/>
          <w:sz w:val="24"/>
          <w:szCs w:val="24"/>
          <w:lang w:eastAsia="en-GB"/>
        </w:rPr>
        <w:t xml:space="preserve"> across Northeast India. Consequently, the </w:t>
      </w:r>
      <w:r w:rsidRPr="00B3204F">
        <w:rPr>
          <w:rFonts w:ascii="Times New Roman" w:eastAsia="Times New Roman" w:hAnsi="Times New Roman" w:cs="Times New Roman"/>
          <w:sz w:val="24"/>
          <w:szCs w:val="24"/>
          <w:lang w:eastAsia="en-GB"/>
        </w:rPr>
        <w:lastRenderedPageBreak/>
        <w:t>proposed priorities require validation through systematic field surveys, molecular studies, long-term population monitoring and provenance-based trials before broad application to conservation, seed sourcing, cultivation or restoration programmes.</w:t>
      </w:r>
    </w:p>
    <w:p w14:paraId="56E6FC85" w14:textId="77777777" w:rsidR="00626A29" w:rsidRPr="004F229E" w:rsidRDefault="00626A29" w:rsidP="00626A29">
      <w:pPr>
        <w:spacing w:after="0" w:line="360" w:lineRule="auto"/>
        <w:jc w:val="both"/>
        <w:rPr>
          <w:rFonts w:ascii="Times New Roman" w:hAnsi="Times New Roman" w:cs="Times New Roman"/>
          <w:b/>
          <w:sz w:val="24"/>
          <w:szCs w:val="24"/>
        </w:rPr>
      </w:pPr>
      <w:r w:rsidRPr="004F229E">
        <w:rPr>
          <w:rFonts w:ascii="Times New Roman" w:hAnsi="Times New Roman" w:cs="Times New Roman"/>
          <w:b/>
          <w:sz w:val="24"/>
          <w:szCs w:val="24"/>
        </w:rPr>
        <w:t>Declaration of AI Use</w:t>
      </w:r>
    </w:p>
    <w:p w14:paraId="76725919" w14:textId="77777777" w:rsidR="00626A29" w:rsidRPr="004F229E" w:rsidRDefault="00626A29" w:rsidP="00626A29">
      <w:pPr>
        <w:spacing w:after="0" w:line="360" w:lineRule="auto"/>
        <w:jc w:val="both"/>
        <w:rPr>
          <w:rFonts w:ascii="Times New Roman" w:hAnsi="Times New Roman" w:cs="Times New Roman"/>
          <w:sz w:val="24"/>
          <w:szCs w:val="24"/>
        </w:rPr>
      </w:pPr>
      <w:r w:rsidRPr="004F229E">
        <w:rPr>
          <w:rFonts w:ascii="Times New Roman" w:hAnsi="Times New Roman" w:cs="Times New Roman"/>
          <w:sz w:val="24"/>
          <w:szCs w:val="24"/>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BD10BAC" w14:textId="77777777" w:rsidR="00626A29" w:rsidRDefault="00626A29" w:rsidP="00626A29">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r w:rsidRPr="009C6D81">
        <w:rPr>
          <w:rFonts w:ascii="Times New Roman" w:eastAsia="Times New Roman" w:hAnsi="Times New Roman" w:cs="Times New Roman"/>
          <w:b/>
          <w:bCs/>
          <w:sz w:val="24"/>
          <w:szCs w:val="24"/>
          <w:lang w:eastAsia="en-GB"/>
        </w:rPr>
        <w:t>References</w:t>
      </w:r>
    </w:p>
    <w:p w14:paraId="3DB97510" w14:textId="77777777" w:rsidR="00626A29" w:rsidRPr="00DB47A5" w:rsidRDefault="00626A29" w:rsidP="00626A29">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r>
        <w:rPr>
          <w:rFonts w:ascii="Times New Roman" w:hAnsi="Times New Roman" w:cs="Times New Roman"/>
          <w:sz w:val="24"/>
          <w:szCs w:val="24"/>
          <w:highlight w:val="green"/>
        </w:rPr>
        <w:t xml:space="preserve">Aspalter, S., Ciceu, A., Landivar Albis, C. M., Chakraborty, D., &amp; Schueler, S. (2025). Provenance variation in functional traits of European forest trees: Meta-analysis reveals effects of taxa and age despite critical research gaps. </w:t>
      </w:r>
      <w:r>
        <w:rPr>
          <w:rFonts w:ascii="Times New Roman" w:hAnsi="Times New Roman" w:cs="Times New Roman"/>
          <w:i/>
          <w:iCs/>
          <w:sz w:val="24"/>
          <w:szCs w:val="24"/>
          <w:highlight w:val="green"/>
        </w:rPr>
        <w:t>Ecology and Evolution, 15</w:t>
      </w:r>
      <w:r>
        <w:rPr>
          <w:rFonts w:ascii="Times New Roman" w:hAnsi="Times New Roman" w:cs="Times New Roman"/>
          <w:sz w:val="24"/>
          <w:szCs w:val="24"/>
          <w:highlight w:val="green"/>
        </w:rPr>
        <w:t xml:space="preserve">(8), e71834. </w:t>
      </w:r>
      <w:hyperlink r:id="rId8" w:history="1">
        <w:r>
          <w:rPr>
            <w:rFonts w:ascii="Times New Roman" w:hAnsi="Times New Roman" w:cs="Times New Roman"/>
            <w:color w:val="0000FF"/>
            <w:sz w:val="24"/>
            <w:szCs w:val="24"/>
            <w:highlight w:val="green"/>
            <w:u w:val="single"/>
          </w:rPr>
          <w:t>https://doi.org/10.1002/ece3.71834</w:t>
        </w:r>
      </w:hyperlink>
    </w:p>
    <w:p w14:paraId="0ECCCDC4" w14:textId="77777777" w:rsidR="00D8175D" w:rsidRDefault="00000000">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highlight w:val="yellow"/>
        </w:rPr>
        <w:t xml:space="preserve">Avanzi, C., Bagnoli, F., Romiti, E., Spanu, I., Tsuda, Y., Vajana, E., Vendramin, G. G., &amp; Piotti, A. (2025). Latitudinal trends in genetic diversity and distinctiveness of </w:t>
      </w:r>
      <w:r>
        <w:rPr>
          <w:rFonts w:ascii="Times New Roman" w:eastAsia="Times New Roman" w:hAnsi="Times New Roman" w:cs="Times New Roman"/>
          <w:i/>
          <w:sz w:val="24"/>
          <w:highlight w:val="yellow"/>
        </w:rPr>
        <w:t>Quercus robur</w:t>
      </w:r>
      <w:r>
        <w:rPr>
          <w:rFonts w:ascii="Times New Roman" w:eastAsia="Times New Roman" w:hAnsi="Times New Roman" w:cs="Times New Roman"/>
          <w:sz w:val="24"/>
          <w:highlight w:val="yellow"/>
        </w:rPr>
        <w:t xml:space="preserve"> rear edge forest remnants call for new conservation priorities. </w:t>
      </w:r>
      <w:r>
        <w:rPr>
          <w:rFonts w:ascii="Times New Roman" w:eastAsia="Times New Roman" w:hAnsi="Times New Roman" w:cs="Times New Roman"/>
          <w:i/>
          <w:sz w:val="24"/>
          <w:highlight w:val="yellow"/>
        </w:rPr>
        <w:t>Diversity and Distributions, 31</w:t>
      </w:r>
      <w:r>
        <w:rPr>
          <w:rFonts w:ascii="Times New Roman" w:eastAsia="Times New Roman" w:hAnsi="Times New Roman" w:cs="Times New Roman"/>
          <w:sz w:val="24"/>
          <w:highlight w:val="yellow"/>
        </w:rPr>
        <w:t xml:space="preserve">(4), e70018. </w:t>
      </w:r>
      <w:hyperlink r:id="rId9" w:history="1">
        <w:r w:rsidR="00D8175D">
          <w:rPr>
            <w:rFonts w:ascii="Times New Roman" w:eastAsia="Times New Roman" w:hAnsi="Times New Roman" w:cs="Times New Roman"/>
            <w:color w:val="0000FF"/>
            <w:sz w:val="24"/>
            <w:szCs w:val="24"/>
            <w:highlight w:val="yellow"/>
            <w:u w:val="single"/>
          </w:rPr>
          <w:t>https://doi.org/10.1111/ddi.70018</w:t>
        </w:r>
      </w:hyperlink>
    </w:p>
    <w:p w14:paraId="61FEA1B5" w14:textId="77777777" w:rsidR="00626A29" w:rsidRPr="009C6D81"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Barua, K. N., Gogoi, G., &amp; Hazarika, P. (2018). Comparative study on structural composition and community association of Nambor Wildlife Sanctuary and its south-westward extended Bornewria forest, Assam, India. </w:t>
      </w:r>
      <w:r>
        <w:rPr>
          <w:rFonts w:ascii="Times New Roman" w:eastAsia="Times New Roman" w:hAnsi="Times New Roman" w:cs="Times New Roman"/>
          <w:i/>
          <w:iCs/>
          <w:sz w:val="24"/>
          <w:szCs w:val="24"/>
          <w:lang w:eastAsia="en-GB"/>
        </w:rPr>
        <w:t>Tropical Plant Research, 5</w:t>
      </w:r>
      <w:r>
        <w:rPr>
          <w:rFonts w:ascii="Times New Roman" w:eastAsia="Times New Roman" w:hAnsi="Times New Roman" w:cs="Times New Roman"/>
          <w:sz w:val="24"/>
          <w:szCs w:val="24"/>
          <w:lang w:eastAsia="en-GB"/>
        </w:rPr>
        <w:t xml:space="preserve">(2), 233–242. </w:t>
      </w:r>
      <w:hyperlink r:id="rId10" w:history="1">
        <w:r>
          <w:rPr>
            <w:rFonts w:ascii="Times New Roman" w:eastAsia="Times New Roman" w:hAnsi="Times New Roman" w:cs="Times New Roman"/>
            <w:color w:val="0000FF"/>
            <w:sz w:val="24"/>
            <w:szCs w:val="24"/>
            <w:u w:val="single"/>
            <w:lang w:eastAsia="en-GB"/>
          </w:rPr>
          <w:t>https://doi.org/10.22271/tpr.2018.v5.i2.030</w:t>
        </w:r>
      </w:hyperlink>
    </w:p>
    <w:p w14:paraId="008E7DDD" w14:textId="77777777" w:rsidR="00626A29" w:rsidRPr="00C739AC"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hAnsi="Times New Roman" w:cs="Times New Roman"/>
          <w:sz w:val="24"/>
          <w:szCs w:val="24"/>
          <w:highlight w:val="green"/>
        </w:rPr>
        <w:t xml:space="preserve">Bioversity International &amp; International Center for Tropical Agriculture, &amp; Asia Pacific Forest Genetic Resources Programme. (2025). </w:t>
      </w:r>
      <w:r>
        <w:rPr>
          <w:rFonts w:ascii="Times New Roman" w:hAnsi="Times New Roman" w:cs="Times New Roman"/>
          <w:i/>
          <w:iCs/>
          <w:sz w:val="24"/>
          <w:szCs w:val="24"/>
          <w:highlight w:val="green"/>
        </w:rPr>
        <w:t>Regional guidelines for identifying genetic conservation units and seed sources</w:t>
      </w:r>
      <w:r>
        <w:rPr>
          <w:rFonts w:ascii="Times New Roman" w:hAnsi="Times New Roman" w:cs="Times New Roman"/>
          <w:sz w:val="24"/>
          <w:szCs w:val="24"/>
          <w:highlight w:val="green"/>
        </w:rPr>
        <w:t xml:space="preserve">. Bioversity International/APFORGEN. </w:t>
      </w:r>
      <w:hyperlink r:id="rId11" w:history="1">
        <w:r>
          <w:rPr>
            <w:rFonts w:ascii="Times New Roman" w:hAnsi="Times New Roman" w:cs="Times New Roman"/>
            <w:color w:val="0000FF"/>
            <w:sz w:val="24"/>
            <w:szCs w:val="24"/>
            <w:highlight w:val="green"/>
            <w:u w:val="single"/>
          </w:rPr>
          <w:t>https://www.apforgen.org/resources/publications/publication/regional-guidelines-for-identifying-genetic-conservation-units-and-seed-sources</w:t>
        </w:r>
      </w:hyperlink>
    </w:p>
    <w:p w14:paraId="757F4A58" w14:textId="77777777" w:rsidR="00626A29" w:rsidRPr="009C6D81"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 xml:space="preserve">Engert, J. E., Middleby, K., Vogado, N. O., &amp; Laurance, S. G. W. (2026). Seed collection practices in tropical rainforest restoration and implications for provenance research. </w:t>
      </w:r>
      <w:r>
        <w:rPr>
          <w:rFonts w:ascii="Times New Roman" w:eastAsia="Times New Roman" w:hAnsi="Times New Roman" w:cs="Times New Roman"/>
          <w:i/>
          <w:iCs/>
          <w:sz w:val="24"/>
          <w:szCs w:val="24"/>
          <w:lang w:eastAsia="en-GB"/>
        </w:rPr>
        <w:t>Forest Ecology and Management, 602</w:t>
      </w:r>
      <w:r>
        <w:rPr>
          <w:rFonts w:ascii="Times New Roman" w:eastAsia="Times New Roman" w:hAnsi="Times New Roman" w:cs="Times New Roman"/>
          <w:sz w:val="24"/>
          <w:szCs w:val="24"/>
          <w:lang w:eastAsia="en-GB"/>
        </w:rPr>
        <w:t xml:space="preserve">, 123376. </w:t>
      </w:r>
      <w:hyperlink r:id="rId12" w:history="1">
        <w:r>
          <w:rPr>
            <w:rFonts w:ascii="Times New Roman" w:eastAsia="Times New Roman" w:hAnsi="Times New Roman" w:cs="Times New Roman"/>
            <w:color w:val="0000FF"/>
            <w:sz w:val="24"/>
            <w:szCs w:val="24"/>
            <w:u w:val="single"/>
            <w:lang w:eastAsia="en-GB"/>
          </w:rPr>
          <w:t>https://doi.org/10.1016/j.foreco.2025.123376</w:t>
        </w:r>
      </w:hyperlink>
    </w:p>
    <w:p w14:paraId="2F54019D" w14:textId="77777777" w:rsidR="00626A29" w:rsidRPr="0057522C"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Fremout, T., Thomas, E., Bocanegra-González, K. T., Aguirre-Morales, C. A., Morillo-Paz, A. T., Atkinson, R., Kettle, C. J., González-M., R., Alcázar-Caicedo, C., González, M. A., Gil-Tobón, C., Gutiérrez, J. P., Moscoso-Higuita, L. G., Becerra López-Lavalle, L. A., de Carvalho, D., &amp; Muys, B. (2021). Dynamic seed zones to guide climate-smart seed sourcing for tropical dry forest restoration in Colombia. </w:t>
      </w:r>
      <w:r>
        <w:rPr>
          <w:rFonts w:ascii="Times New Roman" w:eastAsia="Times New Roman" w:hAnsi="Times New Roman" w:cs="Times New Roman"/>
          <w:i/>
          <w:iCs/>
          <w:sz w:val="24"/>
          <w:szCs w:val="24"/>
          <w:lang w:eastAsia="en-GB"/>
        </w:rPr>
        <w:t>Forest Ecology and Management, 490</w:t>
      </w:r>
      <w:r>
        <w:rPr>
          <w:rFonts w:ascii="Times New Roman" w:eastAsia="Times New Roman" w:hAnsi="Times New Roman" w:cs="Times New Roman"/>
          <w:sz w:val="24"/>
          <w:szCs w:val="24"/>
          <w:lang w:eastAsia="en-GB"/>
        </w:rPr>
        <w:t xml:space="preserve">, 119127. </w:t>
      </w:r>
      <w:hyperlink r:id="rId13" w:history="1">
        <w:r>
          <w:rPr>
            <w:rFonts w:ascii="Times New Roman" w:eastAsia="Times New Roman" w:hAnsi="Times New Roman" w:cs="Times New Roman"/>
            <w:color w:val="0000FF"/>
            <w:sz w:val="24"/>
            <w:szCs w:val="24"/>
            <w:u w:val="single"/>
            <w:lang w:eastAsia="en-GB"/>
          </w:rPr>
          <w:t>https://doi.org/10.1016/j.foreco.2021.119127</w:t>
        </w:r>
      </w:hyperlink>
    </w:p>
    <w:p w14:paraId="44CEBBC7" w14:textId="77777777" w:rsidR="00626A29" w:rsidRPr="0057522C"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Jalonen, R., Fremout, T., Warrier, R. R., Yuskianti, V., Tolentino, E., Jr., Tiburan, C., Jr., Miah, M. Z. R., Rahaman, M. T., Wilkie, P., Sudrajat, D. J., Denny, &amp; Kettle, C. J. (2026). Are there enough native tree seed sources to meet forest restoration targets? A spatially explicit assessment in tropical Asia. </w:t>
      </w:r>
      <w:r>
        <w:rPr>
          <w:rFonts w:ascii="Times New Roman" w:eastAsia="Times New Roman" w:hAnsi="Times New Roman" w:cs="Times New Roman"/>
          <w:i/>
          <w:iCs/>
          <w:sz w:val="24"/>
          <w:szCs w:val="24"/>
          <w:lang w:eastAsia="en-GB"/>
        </w:rPr>
        <w:t>Biological Conservation, 317</w:t>
      </w:r>
      <w:r>
        <w:rPr>
          <w:rFonts w:ascii="Times New Roman" w:eastAsia="Times New Roman" w:hAnsi="Times New Roman" w:cs="Times New Roman"/>
          <w:sz w:val="24"/>
          <w:szCs w:val="24"/>
          <w:lang w:eastAsia="en-GB"/>
        </w:rPr>
        <w:t xml:space="preserve">, 111811. </w:t>
      </w:r>
      <w:hyperlink r:id="rId14" w:history="1">
        <w:r>
          <w:rPr>
            <w:rFonts w:ascii="Times New Roman" w:eastAsia="Times New Roman" w:hAnsi="Times New Roman" w:cs="Times New Roman"/>
            <w:color w:val="0000FF"/>
            <w:sz w:val="24"/>
            <w:szCs w:val="24"/>
            <w:u w:val="single"/>
            <w:lang w:eastAsia="en-GB"/>
          </w:rPr>
          <w:t>https://doi.org/10.1016/j.biocon.2026.111811</w:t>
        </w:r>
      </w:hyperlink>
    </w:p>
    <w:p w14:paraId="4A068FAB" w14:textId="77777777" w:rsidR="00626A29" w:rsidRPr="009C6D81"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Linan, A. G., Gereau, R. E., Sucher, R., Mashimba, F. H., Bassuner, B., Wyatt, A., &amp; Edwards, C. E. (2024). Capturing and managing genetic diversity in ex situ collections of threatened tropical trees: A case study in </w:t>
      </w:r>
      <w:r>
        <w:rPr>
          <w:rFonts w:ascii="Times New Roman" w:eastAsia="Times New Roman" w:hAnsi="Times New Roman" w:cs="Times New Roman"/>
          <w:i/>
          <w:iCs/>
          <w:sz w:val="24"/>
          <w:szCs w:val="24"/>
          <w:lang w:eastAsia="en-GB"/>
        </w:rPr>
        <w:t>Karomia gigas</w:t>
      </w:r>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i/>
          <w:iCs/>
          <w:sz w:val="24"/>
          <w:szCs w:val="24"/>
          <w:lang w:eastAsia="en-GB"/>
        </w:rPr>
        <w:t>Applications in Plant Sciences, 12</w:t>
      </w:r>
      <w:r>
        <w:rPr>
          <w:rFonts w:ascii="Times New Roman" w:eastAsia="Times New Roman" w:hAnsi="Times New Roman" w:cs="Times New Roman"/>
          <w:sz w:val="24"/>
          <w:szCs w:val="24"/>
          <w:lang w:eastAsia="en-GB"/>
        </w:rPr>
        <w:t xml:space="preserve">(3), e11589. </w:t>
      </w:r>
      <w:hyperlink r:id="rId15" w:history="1">
        <w:r>
          <w:rPr>
            <w:rFonts w:ascii="Times New Roman" w:eastAsia="Times New Roman" w:hAnsi="Times New Roman" w:cs="Times New Roman"/>
            <w:color w:val="0000FF"/>
            <w:sz w:val="24"/>
            <w:szCs w:val="24"/>
            <w:u w:val="single"/>
            <w:lang w:eastAsia="en-GB"/>
          </w:rPr>
          <w:t>https://doi.org/10.1002/aps3.11589</w:t>
        </w:r>
      </w:hyperlink>
    </w:p>
    <w:p w14:paraId="78C26CCF" w14:textId="77777777" w:rsidR="00626A29" w:rsidRDefault="00626A29" w:rsidP="00626A29">
      <w:pPr>
        <w:spacing w:before="100" w:beforeAutospacing="1" w:after="100" w:afterAutospacing="1" w:line="360" w:lineRule="auto"/>
        <w:jc w:val="both"/>
        <w:rPr>
          <w:rFonts w:ascii="Times New Roman" w:eastAsia="Times New Roman" w:hAnsi="Times New Roman" w:cs="Times New Roman"/>
          <w:color w:val="0000FF"/>
          <w:sz w:val="24"/>
          <w:szCs w:val="24"/>
          <w:u w:val="single"/>
          <w:lang w:eastAsia="en-GB"/>
        </w:rPr>
      </w:pPr>
      <w:r>
        <w:rPr>
          <w:rFonts w:ascii="Times New Roman" w:eastAsia="Times New Roman" w:hAnsi="Times New Roman" w:cs="Times New Roman"/>
          <w:sz w:val="24"/>
          <w:szCs w:val="24"/>
          <w:lang w:eastAsia="en-GB"/>
        </w:rPr>
        <w:t xml:space="preserve">Luo, W., Strijk, J. S., Barstow, M., &amp; Wee, A. K. S. (2022). The role of protected areas in tropical tree conservation post-2020: A case study using threatened Dipterocarpaceae. </w:t>
      </w:r>
      <w:r>
        <w:rPr>
          <w:rFonts w:ascii="Times New Roman" w:eastAsia="Times New Roman" w:hAnsi="Times New Roman" w:cs="Times New Roman"/>
          <w:i/>
          <w:iCs/>
          <w:sz w:val="24"/>
          <w:szCs w:val="24"/>
          <w:lang w:eastAsia="en-GB"/>
        </w:rPr>
        <w:t>Biological Conservation, 272</w:t>
      </w:r>
      <w:r>
        <w:rPr>
          <w:rFonts w:ascii="Times New Roman" w:eastAsia="Times New Roman" w:hAnsi="Times New Roman" w:cs="Times New Roman"/>
          <w:sz w:val="24"/>
          <w:szCs w:val="24"/>
          <w:lang w:eastAsia="en-GB"/>
        </w:rPr>
        <w:t xml:space="preserve">, 109634. </w:t>
      </w:r>
      <w:hyperlink r:id="rId16" w:history="1">
        <w:r>
          <w:rPr>
            <w:rFonts w:ascii="Times New Roman" w:eastAsia="Times New Roman" w:hAnsi="Times New Roman" w:cs="Times New Roman"/>
            <w:color w:val="0000FF"/>
            <w:sz w:val="24"/>
            <w:szCs w:val="24"/>
            <w:u w:val="single"/>
            <w:lang w:eastAsia="en-GB"/>
          </w:rPr>
          <w:t>https://doi.org/10.1016/j.biocon.2022.109634</w:t>
        </w:r>
      </w:hyperlink>
    </w:p>
    <w:p w14:paraId="55D52B4C" w14:textId="77777777" w:rsidR="00626A29" w:rsidRPr="00DB47A5"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hAnsi="Times New Roman" w:cs="Times New Roman"/>
          <w:sz w:val="24"/>
          <w:szCs w:val="24"/>
          <w:highlight w:val="green"/>
        </w:rPr>
        <w:t xml:space="preserve">Majumdar, K., Adhikari, D., Datta, B. K., &amp; Barik, S. K. (2019). Identifying corridors for landscape connectivity using species distribution modeling of </w:t>
      </w:r>
      <w:r>
        <w:rPr>
          <w:rFonts w:ascii="Times New Roman" w:hAnsi="Times New Roman" w:cs="Times New Roman"/>
          <w:i/>
          <w:iCs/>
          <w:sz w:val="24"/>
          <w:szCs w:val="24"/>
          <w:highlight w:val="green"/>
        </w:rPr>
        <w:t>Hydnocarpus kurzii</w:t>
      </w:r>
      <w:r>
        <w:rPr>
          <w:rFonts w:ascii="Times New Roman" w:hAnsi="Times New Roman" w:cs="Times New Roman"/>
          <w:sz w:val="24"/>
          <w:szCs w:val="24"/>
          <w:highlight w:val="green"/>
        </w:rPr>
        <w:t xml:space="preserve"> (King) Warb., a threatened species of the Indo-Burma Biodiversity Hotspot. </w:t>
      </w:r>
      <w:r>
        <w:rPr>
          <w:rFonts w:ascii="Times New Roman" w:hAnsi="Times New Roman" w:cs="Times New Roman"/>
          <w:i/>
          <w:iCs/>
          <w:sz w:val="24"/>
          <w:szCs w:val="24"/>
          <w:highlight w:val="green"/>
        </w:rPr>
        <w:t>Landscape and Ecological Engineering, 15</w:t>
      </w:r>
      <w:r>
        <w:rPr>
          <w:rFonts w:ascii="Times New Roman" w:hAnsi="Times New Roman" w:cs="Times New Roman"/>
          <w:sz w:val="24"/>
          <w:szCs w:val="24"/>
          <w:highlight w:val="green"/>
        </w:rPr>
        <w:t xml:space="preserve">(1), 13–23. </w:t>
      </w:r>
      <w:hyperlink r:id="rId17" w:history="1">
        <w:r>
          <w:rPr>
            <w:rFonts w:ascii="Times New Roman" w:hAnsi="Times New Roman" w:cs="Times New Roman"/>
            <w:color w:val="0000FF"/>
            <w:sz w:val="24"/>
            <w:szCs w:val="24"/>
            <w:highlight w:val="green"/>
            <w:u w:val="single"/>
          </w:rPr>
          <w:t>https://doi.org/10.1007/s11355-018-0353-2</w:t>
        </w:r>
      </w:hyperlink>
    </w:p>
    <w:p w14:paraId="6DEAE43D" w14:textId="77777777" w:rsidR="00D8175D" w:rsidRDefault="00000000">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highlight w:val="yellow"/>
        </w:rPr>
        <w:t xml:space="preserve">Nayak, H. B. (2026). Medicinal plant diversity, traditional therapeutics and conservation perspectives in Odisha, India. </w:t>
      </w:r>
      <w:r>
        <w:rPr>
          <w:rFonts w:ascii="Times New Roman" w:eastAsia="Times New Roman" w:hAnsi="Times New Roman" w:cs="Times New Roman"/>
          <w:i/>
          <w:sz w:val="24"/>
          <w:highlight w:val="yellow"/>
        </w:rPr>
        <w:t>Journal of Medicine and Health Research, 11</w:t>
      </w:r>
      <w:r>
        <w:rPr>
          <w:rFonts w:ascii="Times New Roman" w:eastAsia="Times New Roman" w:hAnsi="Times New Roman" w:cs="Times New Roman"/>
          <w:sz w:val="24"/>
          <w:highlight w:val="yellow"/>
        </w:rPr>
        <w:t xml:space="preserve">(2), 52–68. </w:t>
      </w:r>
      <w:hyperlink r:id="rId18" w:history="1">
        <w:r w:rsidR="00D8175D">
          <w:rPr>
            <w:rFonts w:ascii="Times New Roman" w:eastAsia="Times New Roman" w:hAnsi="Times New Roman" w:cs="Times New Roman"/>
            <w:color w:val="0000FF"/>
            <w:sz w:val="24"/>
            <w:szCs w:val="24"/>
            <w:highlight w:val="yellow"/>
            <w:u w:val="single"/>
          </w:rPr>
          <w:t>https://doi.org/10.56557/jomahr/2026/v11i210684</w:t>
        </w:r>
      </w:hyperlink>
    </w:p>
    <w:p w14:paraId="6742EBFF" w14:textId="77777777" w:rsidR="00626A29" w:rsidRPr="009C6D81"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 xml:space="preserve">Norton, S. A. (1994). Useful plants of dermatology. I. </w:t>
      </w:r>
      <w:r>
        <w:rPr>
          <w:rFonts w:ascii="Times New Roman" w:eastAsia="Times New Roman" w:hAnsi="Times New Roman" w:cs="Times New Roman"/>
          <w:i/>
          <w:iCs/>
          <w:sz w:val="24"/>
          <w:szCs w:val="24"/>
          <w:lang w:eastAsia="en-GB"/>
        </w:rPr>
        <w:t>Hydnocarpus</w:t>
      </w:r>
      <w:r>
        <w:rPr>
          <w:rFonts w:ascii="Times New Roman" w:eastAsia="Times New Roman" w:hAnsi="Times New Roman" w:cs="Times New Roman"/>
          <w:sz w:val="24"/>
          <w:szCs w:val="24"/>
          <w:lang w:eastAsia="en-GB"/>
        </w:rPr>
        <w:t xml:space="preserve"> and chaulmoogra. </w:t>
      </w:r>
      <w:r>
        <w:rPr>
          <w:rFonts w:ascii="Times New Roman" w:eastAsia="Times New Roman" w:hAnsi="Times New Roman" w:cs="Times New Roman"/>
          <w:i/>
          <w:iCs/>
          <w:sz w:val="24"/>
          <w:szCs w:val="24"/>
          <w:lang w:eastAsia="en-GB"/>
        </w:rPr>
        <w:t>Journal of the American Academy of Dermatology, 31</w:t>
      </w:r>
      <w:r>
        <w:rPr>
          <w:rFonts w:ascii="Times New Roman" w:eastAsia="Times New Roman" w:hAnsi="Times New Roman" w:cs="Times New Roman"/>
          <w:sz w:val="24"/>
          <w:szCs w:val="24"/>
          <w:lang w:eastAsia="en-GB"/>
        </w:rPr>
        <w:t xml:space="preserve">(4), 683–686. </w:t>
      </w:r>
      <w:hyperlink r:id="rId19" w:history="1">
        <w:r>
          <w:rPr>
            <w:rFonts w:ascii="Times New Roman" w:eastAsia="Times New Roman" w:hAnsi="Times New Roman" w:cs="Times New Roman"/>
            <w:color w:val="0000FF"/>
            <w:sz w:val="24"/>
            <w:szCs w:val="24"/>
            <w:u w:val="single"/>
            <w:lang w:eastAsia="en-GB"/>
          </w:rPr>
          <w:t>https://doi.org/10.1016/S0190-9622(08)81744-6</w:t>
        </w:r>
      </w:hyperlink>
    </w:p>
    <w:p w14:paraId="0D648EF3" w14:textId="77777777" w:rsidR="00626A29" w:rsidRPr="0057522C"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Potter, K. M., Jetton, R. M., Bower, A. D., Jacobs, D. F., Man, G., Hipkins, V. D., &amp; Westwood, M. (2017). Banking on the future: Progress, challenges and opportunities for the genetic conservation of forest trees. </w:t>
      </w:r>
      <w:r>
        <w:rPr>
          <w:rFonts w:ascii="Times New Roman" w:eastAsia="Times New Roman" w:hAnsi="Times New Roman" w:cs="Times New Roman"/>
          <w:i/>
          <w:iCs/>
          <w:sz w:val="24"/>
          <w:szCs w:val="24"/>
          <w:lang w:eastAsia="en-GB"/>
        </w:rPr>
        <w:t>New Forests, 48</w:t>
      </w:r>
      <w:r>
        <w:rPr>
          <w:rFonts w:ascii="Times New Roman" w:eastAsia="Times New Roman" w:hAnsi="Times New Roman" w:cs="Times New Roman"/>
          <w:sz w:val="24"/>
          <w:szCs w:val="24"/>
          <w:lang w:eastAsia="en-GB"/>
        </w:rPr>
        <w:t xml:space="preserve">, 153–180. </w:t>
      </w:r>
      <w:hyperlink r:id="rId20" w:history="1">
        <w:r>
          <w:rPr>
            <w:rFonts w:ascii="Times New Roman" w:eastAsia="Times New Roman" w:hAnsi="Times New Roman" w:cs="Times New Roman"/>
            <w:color w:val="0000FF"/>
            <w:sz w:val="24"/>
            <w:szCs w:val="24"/>
            <w:u w:val="single"/>
            <w:lang w:eastAsia="en-GB"/>
          </w:rPr>
          <w:t>https://doi.org/10.1007/s11056-017-9582-8</w:t>
        </w:r>
      </w:hyperlink>
    </w:p>
    <w:p w14:paraId="65CCB6AC" w14:textId="77777777" w:rsidR="00626A29" w:rsidRPr="0057522C"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Prakash, A., Capblancq, T., Shallows, K., Saville, D., Landau, D., Landress, C., Jacobs, T., &amp; Keller, S. R. (2024). Bringing genomics to the field: An integrative approach to seed sourcing for forest restoration. </w:t>
      </w:r>
      <w:r>
        <w:rPr>
          <w:rFonts w:ascii="Times New Roman" w:eastAsia="Times New Roman" w:hAnsi="Times New Roman" w:cs="Times New Roman"/>
          <w:i/>
          <w:iCs/>
          <w:sz w:val="24"/>
          <w:szCs w:val="24"/>
          <w:lang w:eastAsia="en-GB"/>
        </w:rPr>
        <w:t>Applications in Plant Sciences, 12</w:t>
      </w:r>
      <w:r>
        <w:rPr>
          <w:rFonts w:ascii="Times New Roman" w:eastAsia="Times New Roman" w:hAnsi="Times New Roman" w:cs="Times New Roman"/>
          <w:sz w:val="24"/>
          <w:szCs w:val="24"/>
          <w:lang w:eastAsia="en-GB"/>
        </w:rPr>
        <w:t xml:space="preserve">(3), e11600. </w:t>
      </w:r>
      <w:hyperlink r:id="rId21" w:history="1">
        <w:r>
          <w:rPr>
            <w:rFonts w:ascii="Times New Roman" w:eastAsia="Times New Roman" w:hAnsi="Times New Roman" w:cs="Times New Roman"/>
            <w:color w:val="0000FF"/>
            <w:sz w:val="24"/>
            <w:szCs w:val="24"/>
            <w:u w:val="single"/>
            <w:lang w:eastAsia="en-GB"/>
          </w:rPr>
          <w:t>https://doi.org/10.1002/aps3.11600</w:t>
        </w:r>
      </w:hyperlink>
    </w:p>
    <w:p w14:paraId="7988DFBD" w14:textId="77777777" w:rsidR="00626A29" w:rsidRDefault="00626A29" w:rsidP="00626A29">
      <w:pPr>
        <w:spacing w:before="100" w:beforeAutospacing="1" w:after="100" w:afterAutospacing="1" w:line="360" w:lineRule="auto"/>
        <w:jc w:val="both"/>
        <w:rPr>
          <w:rFonts w:ascii="Times New Roman" w:eastAsia="Times New Roman" w:hAnsi="Times New Roman" w:cs="Times New Roman"/>
          <w:color w:val="0000FF"/>
          <w:sz w:val="24"/>
          <w:szCs w:val="24"/>
          <w:u w:val="single"/>
          <w:lang w:eastAsia="en-GB"/>
        </w:rPr>
      </w:pPr>
      <w:r>
        <w:rPr>
          <w:rFonts w:ascii="Times New Roman" w:eastAsia="Times New Roman" w:hAnsi="Times New Roman" w:cs="Times New Roman"/>
          <w:sz w:val="24"/>
          <w:szCs w:val="24"/>
          <w:lang w:eastAsia="en-GB"/>
        </w:rPr>
        <w:t xml:space="preserve">Sahoo, M. R., Dhanabal, S. P., Jadhav, A. N., Reddy, V., Muguli, G., Babu, U. V., &amp; Rangesh, P. (2014). </w:t>
      </w:r>
      <w:r>
        <w:rPr>
          <w:rFonts w:ascii="Times New Roman" w:eastAsia="Times New Roman" w:hAnsi="Times New Roman" w:cs="Times New Roman"/>
          <w:i/>
          <w:iCs/>
          <w:sz w:val="24"/>
          <w:szCs w:val="24"/>
          <w:lang w:eastAsia="en-GB"/>
        </w:rPr>
        <w:t>Hydnocarpus</w:t>
      </w:r>
      <w:r>
        <w:rPr>
          <w:rFonts w:ascii="Times New Roman" w:eastAsia="Times New Roman" w:hAnsi="Times New Roman" w:cs="Times New Roman"/>
          <w:sz w:val="24"/>
          <w:szCs w:val="24"/>
          <w:lang w:eastAsia="en-GB"/>
        </w:rPr>
        <w:t xml:space="preserve">: An ethnopharmacological, phytochemical and pharmacological review. </w:t>
      </w:r>
      <w:r>
        <w:rPr>
          <w:rFonts w:ascii="Times New Roman" w:eastAsia="Times New Roman" w:hAnsi="Times New Roman" w:cs="Times New Roman"/>
          <w:i/>
          <w:iCs/>
          <w:sz w:val="24"/>
          <w:szCs w:val="24"/>
          <w:lang w:eastAsia="en-GB"/>
        </w:rPr>
        <w:t>Journal of Ethnopharmacology, 154</w:t>
      </w:r>
      <w:r>
        <w:rPr>
          <w:rFonts w:ascii="Times New Roman" w:eastAsia="Times New Roman" w:hAnsi="Times New Roman" w:cs="Times New Roman"/>
          <w:sz w:val="24"/>
          <w:szCs w:val="24"/>
          <w:lang w:eastAsia="en-GB"/>
        </w:rPr>
        <w:t xml:space="preserve">(1), 17–25. </w:t>
      </w:r>
      <w:hyperlink r:id="rId22" w:history="1">
        <w:r>
          <w:rPr>
            <w:rFonts w:ascii="Times New Roman" w:eastAsia="Times New Roman" w:hAnsi="Times New Roman" w:cs="Times New Roman"/>
            <w:color w:val="0000FF"/>
            <w:sz w:val="24"/>
            <w:szCs w:val="24"/>
            <w:u w:val="single"/>
            <w:lang w:eastAsia="en-GB"/>
          </w:rPr>
          <w:t>https://doi.org/10.1016/j.jep.2014.03.029</w:t>
        </w:r>
      </w:hyperlink>
    </w:p>
    <w:p w14:paraId="12FC4E26" w14:textId="77777777" w:rsidR="00D8175D" w:rsidRDefault="00000000">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highlight w:val="yellow"/>
        </w:rPr>
        <w:t xml:space="preserve">Satpathi, S., &amp; Ramesh. (2025). Genetic tools for sustainable management and conservation of forest genetic resources: Opportunities and challenges. </w:t>
      </w:r>
      <w:r>
        <w:rPr>
          <w:rFonts w:ascii="Times New Roman" w:eastAsia="Times New Roman" w:hAnsi="Times New Roman" w:cs="Times New Roman"/>
          <w:i/>
          <w:sz w:val="24"/>
          <w:highlight w:val="yellow"/>
        </w:rPr>
        <w:t>Biotechnology Journal International, 29</w:t>
      </w:r>
      <w:r>
        <w:rPr>
          <w:rFonts w:ascii="Times New Roman" w:eastAsia="Times New Roman" w:hAnsi="Times New Roman" w:cs="Times New Roman"/>
          <w:sz w:val="24"/>
          <w:highlight w:val="yellow"/>
        </w:rPr>
        <w:t xml:space="preserve">(5), 55–65. </w:t>
      </w:r>
      <w:hyperlink r:id="rId23" w:history="1">
        <w:r w:rsidR="00D8175D">
          <w:rPr>
            <w:rFonts w:ascii="Times New Roman" w:eastAsia="Times New Roman" w:hAnsi="Times New Roman" w:cs="Times New Roman"/>
            <w:color w:val="0000FF"/>
            <w:sz w:val="24"/>
            <w:szCs w:val="24"/>
            <w:highlight w:val="yellow"/>
            <w:u w:val="single"/>
          </w:rPr>
          <w:t>https://doi.org/10.9734/bji/2025/v29i5795</w:t>
        </w:r>
      </w:hyperlink>
    </w:p>
    <w:p w14:paraId="744EBE46" w14:textId="77777777" w:rsidR="00D8175D" w:rsidRDefault="00000000">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highlight w:val="yellow"/>
        </w:rPr>
        <w:t xml:space="preserve">Shahnaseri, G., Malekian, M., Müller, M., &amp; Gailing, O. (2026). Conservation hotspots of </w:t>
      </w:r>
      <w:r>
        <w:rPr>
          <w:rFonts w:ascii="Times New Roman" w:eastAsia="Times New Roman" w:hAnsi="Times New Roman" w:cs="Times New Roman"/>
          <w:i/>
          <w:sz w:val="24"/>
          <w:highlight w:val="yellow"/>
        </w:rPr>
        <w:t>Quercus castaneifolia</w:t>
      </w:r>
      <w:r>
        <w:rPr>
          <w:rFonts w:ascii="Times New Roman" w:eastAsia="Times New Roman" w:hAnsi="Times New Roman" w:cs="Times New Roman"/>
          <w:sz w:val="24"/>
          <w:highlight w:val="yellow"/>
        </w:rPr>
        <w:t xml:space="preserve"> revealed through the integration of genetic diversity and landscape connectivity. </w:t>
      </w:r>
      <w:r>
        <w:rPr>
          <w:rFonts w:ascii="Times New Roman" w:eastAsia="Times New Roman" w:hAnsi="Times New Roman" w:cs="Times New Roman"/>
          <w:i/>
          <w:sz w:val="24"/>
          <w:highlight w:val="yellow"/>
        </w:rPr>
        <w:t>Ecology and Evolution, 16</w:t>
      </w:r>
      <w:r>
        <w:rPr>
          <w:rFonts w:ascii="Times New Roman" w:eastAsia="Times New Roman" w:hAnsi="Times New Roman" w:cs="Times New Roman"/>
          <w:sz w:val="24"/>
          <w:highlight w:val="yellow"/>
        </w:rPr>
        <w:t xml:space="preserve">(4), e73393. </w:t>
      </w:r>
      <w:hyperlink r:id="rId24" w:history="1">
        <w:r w:rsidR="00D8175D">
          <w:rPr>
            <w:rFonts w:ascii="Times New Roman" w:eastAsia="Times New Roman" w:hAnsi="Times New Roman" w:cs="Times New Roman"/>
            <w:color w:val="0000FF"/>
            <w:sz w:val="24"/>
            <w:szCs w:val="24"/>
            <w:highlight w:val="yellow"/>
            <w:u w:val="single"/>
          </w:rPr>
          <w:t>https://doi.org/10.1002/ece3.73393</w:t>
        </w:r>
      </w:hyperlink>
    </w:p>
    <w:p w14:paraId="0BE685A9" w14:textId="77777777" w:rsidR="00626A29" w:rsidRPr="00D9748B"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hAnsi="Times New Roman" w:cs="Times New Roman"/>
          <w:sz w:val="24"/>
          <w:szCs w:val="24"/>
          <w:highlight w:val="green"/>
        </w:rPr>
        <w:t xml:space="preserve">Shankar, R., &amp; Rawat, M. S. (2013). Conservation and cultivation of threatened and high valued medicinal plants in North East India. </w:t>
      </w:r>
      <w:r>
        <w:rPr>
          <w:rFonts w:ascii="Times New Roman" w:hAnsi="Times New Roman" w:cs="Times New Roman"/>
          <w:i/>
          <w:iCs/>
          <w:sz w:val="24"/>
          <w:szCs w:val="24"/>
          <w:highlight w:val="green"/>
        </w:rPr>
        <w:t>International Journal of Biodiversity and Conservation, 5</w:t>
      </w:r>
      <w:r>
        <w:rPr>
          <w:rFonts w:ascii="Times New Roman" w:hAnsi="Times New Roman" w:cs="Times New Roman"/>
          <w:sz w:val="24"/>
          <w:szCs w:val="24"/>
          <w:highlight w:val="green"/>
        </w:rPr>
        <w:t xml:space="preserve">(9), 584–591. </w:t>
      </w:r>
      <w:hyperlink r:id="rId25" w:history="1">
        <w:r>
          <w:rPr>
            <w:rFonts w:ascii="Times New Roman" w:hAnsi="Times New Roman" w:cs="Times New Roman"/>
            <w:color w:val="0000FF"/>
            <w:sz w:val="24"/>
            <w:szCs w:val="24"/>
            <w:highlight w:val="green"/>
            <w:u w:val="single"/>
          </w:rPr>
          <w:t>https://doi.org/10.5897/IJBC12.113</w:t>
        </w:r>
      </w:hyperlink>
    </w:p>
    <w:p w14:paraId="25A24C2F" w14:textId="77777777" w:rsidR="00626A29" w:rsidRPr="0057522C"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Thomas, E., Jalonen, R., Loo, J., Boshier, D., Gallo, L., Cavers, S., Bordács, S., Smith, P., &amp; Bozzano, M. (2014). Genetic considerations in ecosystem restoration using native tree species. </w:t>
      </w:r>
      <w:r>
        <w:rPr>
          <w:rFonts w:ascii="Times New Roman" w:eastAsia="Times New Roman" w:hAnsi="Times New Roman" w:cs="Times New Roman"/>
          <w:i/>
          <w:iCs/>
          <w:sz w:val="24"/>
          <w:szCs w:val="24"/>
          <w:lang w:eastAsia="en-GB"/>
        </w:rPr>
        <w:t>Forest Ecology and Management, 333</w:t>
      </w:r>
      <w:r>
        <w:rPr>
          <w:rFonts w:ascii="Times New Roman" w:eastAsia="Times New Roman" w:hAnsi="Times New Roman" w:cs="Times New Roman"/>
          <w:sz w:val="24"/>
          <w:szCs w:val="24"/>
          <w:lang w:eastAsia="en-GB"/>
        </w:rPr>
        <w:t xml:space="preserve">, 66–75. </w:t>
      </w:r>
      <w:hyperlink r:id="rId26" w:history="1">
        <w:r>
          <w:rPr>
            <w:rFonts w:ascii="Times New Roman" w:eastAsia="Times New Roman" w:hAnsi="Times New Roman" w:cs="Times New Roman"/>
            <w:color w:val="0000FF"/>
            <w:sz w:val="24"/>
            <w:szCs w:val="24"/>
            <w:u w:val="single"/>
            <w:lang w:eastAsia="en-GB"/>
          </w:rPr>
          <w:t>https://doi.org/10.1016/j.foreco.2014.07.015</w:t>
        </w:r>
      </w:hyperlink>
    </w:p>
    <w:p w14:paraId="5E516BDB" w14:textId="77777777" w:rsidR="00D8175D" w:rsidRDefault="00000000">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highlight w:val="yellow"/>
        </w:rPr>
        <w:lastRenderedPageBreak/>
        <w:t xml:space="preserve">Thorne, J. H., Godfrey, J. M., Boynton, R. M., Shapiro, K. D., Stern, M. A., Pawlak, C., Ritter, M., &amp; Choe, H. (2025). A spatial triage of at-risk conifer forests to support seed collection efforts and sustainable forestry. </w:t>
      </w:r>
      <w:r>
        <w:rPr>
          <w:rFonts w:ascii="Times New Roman" w:eastAsia="Times New Roman" w:hAnsi="Times New Roman" w:cs="Times New Roman"/>
          <w:i/>
          <w:sz w:val="24"/>
          <w:highlight w:val="yellow"/>
        </w:rPr>
        <w:t>Journal of Environmental Management, 373</w:t>
      </w:r>
      <w:r>
        <w:rPr>
          <w:rFonts w:ascii="Times New Roman" w:eastAsia="Times New Roman" w:hAnsi="Times New Roman" w:cs="Times New Roman"/>
          <w:sz w:val="24"/>
          <w:highlight w:val="yellow"/>
        </w:rPr>
        <w:t xml:space="preserve">, 123654. </w:t>
      </w:r>
      <w:hyperlink r:id="rId27" w:history="1">
        <w:r w:rsidR="00D8175D">
          <w:rPr>
            <w:rFonts w:ascii="Times New Roman" w:eastAsia="Times New Roman" w:hAnsi="Times New Roman" w:cs="Times New Roman"/>
            <w:color w:val="0000FF"/>
            <w:sz w:val="24"/>
            <w:szCs w:val="24"/>
            <w:highlight w:val="yellow"/>
            <w:u w:val="single"/>
          </w:rPr>
          <w:t>https://doi.org/10.1016/j.jenvman.2024.123654</w:t>
        </w:r>
      </w:hyperlink>
    </w:p>
    <w:p w14:paraId="74A3A704" w14:textId="77777777" w:rsidR="00626A29" w:rsidRPr="0057522C"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Török, K., Valkó, O., &amp; Deák, B. (2024). Ecosystem restoration with local or broad seed provenancing: Debates and perceptions in science and practice. </w:t>
      </w:r>
      <w:r>
        <w:rPr>
          <w:rFonts w:ascii="Times New Roman" w:eastAsia="Times New Roman" w:hAnsi="Times New Roman" w:cs="Times New Roman"/>
          <w:i/>
          <w:iCs/>
          <w:sz w:val="24"/>
          <w:szCs w:val="24"/>
          <w:lang w:eastAsia="en-GB"/>
        </w:rPr>
        <w:t>Biological Conservation, 293</w:t>
      </w:r>
      <w:r>
        <w:rPr>
          <w:rFonts w:ascii="Times New Roman" w:eastAsia="Times New Roman" w:hAnsi="Times New Roman" w:cs="Times New Roman"/>
          <w:sz w:val="24"/>
          <w:szCs w:val="24"/>
          <w:lang w:eastAsia="en-GB"/>
        </w:rPr>
        <w:t xml:space="preserve">, 110535. </w:t>
      </w:r>
      <w:hyperlink r:id="rId28" w:history="1">
        <w:r>
          <w:rPr>
            <w:rFonts w:ascii="Times New Roman" w:eastAsia="Times New Roman" w:hAnsi="Times New Roman" w:cs="Times New Roman"/>
            <w:color w:val="0000FF"/>
            <w:sz w:val="24"/>
            <w:szCs w:val="24"/>
            <w:u w:val="single"/>
            <w:lang w:eastAsia="en-GB"/>
          </w:rPr>
          <w:t>https://doi.org/10.1016/j.biocon.2024.110535</w:t>
        </w:r>
      </w:hyperlink>
    </w:p>
    <w:p w14:paraId="454B4B53" w14:textId="77777777" w:rsidR="00626A29" w:rsidRPr="009C6D81"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Vitt, P., Finch, J., Barak, R. S., Braum, A., Frischie, S., &amp; Redlinski, I. (2022). Seed sourcing strategies for ecological restoration under climate change: A review of the current literature. </w:t>
      </w:r>
      <w:r>
        <w:rPr>
          <w:rFonts w:ascii="Times New Roman" w:eastAsia="Times New Roman" w:hAnsi="Times New Roman" w:cs="Times New Roman"/>
          <w:i/>
          <w:iCs/>
          <w:sz w:val="24"/>
          <w:szCs w:val="24"/>
          <w:lang w:eastAsia="en-GB"/>
        </w:rPr>
        <w:t>Frontiers in Conservation Science, 3</w:t>
      </w:r>
      <w:r>
        <w:rPr>
          <w:rFonts w:ascii="Times New Roman" w:eastAsia="Times New Roman" w:hAnsi="Times New Roman" w:cs="Times New Roman"/>
          <w:sz w:val="24"/>
          <w:szCs w:val="24"/>
          <w:lang w:eastAsia="en-GB"/>
        </w:rPr>
        <w:t xml:space="preserve">, 938110. </w:t>
      </w:r>
      <w:hyperlink r:id="rId29" w:history="1">
        <w:r>
          <w:rPr>
            <w:rFonts w:ascii="Times New Roman" w:eastAsia="Times New Roman" w:hAnsi="Times New Roman" w:cs="Times New Roman"/>
            <w:color w:val="0000FF"/>
            <w:sz w:val="24"/>
            <w:szCs w:val="24"/>
            <w:u w:val="single"/>
            <w:lang w:eastAsia="en-GB"/>
          </w:rPr>
          <w:t>https://doi.org/10.3389/fcosc.2022.938110</w:t>
        </w:r>
      </w:hyperlink>
    </w:p>
    <w:p w14:paraId="74958731" w14:textId="77777777" w:rsidR="00626A29" w:rsidRPr="0057522C"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Vranckx, G., Jacquemyn, H., Muys, B., &amp; Honnay, O. (2012). Meta-analysis of susceptibility of woody plants to loss of genetic diversity through habitat fragmentation. </w:t>
      </w:r>
      <w:r>
        <w:rPr>
          <w:rFonts w:ascii="Times New Roman" w:eastAsia="Times New Roman" w:hAnsi="Times New Roman" w:cs="Times New Roman"/>
          <w:i/>
          <w:iCs/>
          <w:sz w:val="24"/>
          <w:szCs w:val="24"/>
          <w:lang w:eastAsia="en-GB"/>
        </w:rPr>
        <w:t>Conservation Biology, 26</w:t>
      </w:r>
      <w:r>
        <w:rPr>
          <w:rFonts w:ascii="Times New Roman" w:eastAsia="Times New Roman" w:hAnsi="Times New Roman" w:cs="Times New Roman"/>
          <w:sz w:val="24"/>
          <w:szCs w:val="24"/>
          <w:lang w:eastAsia="en-GB"/>
        </w:rPr>
        <w:t xml:space="preserve">(2), 228–237. </w:t>
      </w:r>
      <w:hyperlink r:id="rId30" w:history="1">
        <w:r>
          <w:rPr>
            <w:rFonts w:ascii="Times New Roman" w:eastAsia="Times New Roman" w:hAnsi="Times New Roman" w:cs="Times New Roman"/>
            <w:color w:val="0000FF"/>
            <w:sz w:val="24"/>
            <w:szCs w:val="24"/>
            <w:u w:val="single"/>
            <w:lang w:eastAsia="en-GB"/>
          </w:rPr>
          <w:t>https://doi.org/10.1111/j.1523-1739.2011.01778.x</w:t>
        </w:r>
      </w:hyperlink>
    </w:p>
    <w:p w14:paraId="27704D0D" w14:textId="77777777" w:rsidR="00626A29" w:rsidRPr="009C6D81" w:rsidRDefault="00626A29" w:rsidP="00626A29">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World Flora Online Consortium. (2026). </w:t>
      </w:r>
      <w:r>
        <w:rPr>
          <w:rFonts w:ascii="Times New Roman" w:eastAsia="Times New Roman" w:hAnsi="Times New Roman" w:cs="Times New Roman"/>
          <w:i/>
          <w:iCs/>
          <w:sz w:val="24"/>
          <w:szCs w:val="24"/>
          <w:lang w:eastAsia="en-GB"/>
        </w:rPr>
        <w:t>Hydnocarpus kurzii</w:t>
      </w:r>
      <w:r>
        <w:rPr>
          <w:rFonts w:ascii="Times New Roman" w:eastAsia="Times New Roman" w:hAnsi="Times New Roman" w:cs="Times New Roman"/>
          <w:sz w:val="24"/>
          <w:szCs w:val="24"/>
          <w:lang w:eastAsia="en-GB"/>
        </w:rPr>
        <w:t xml:space="preserve"> (King) Warb. </w:t>
      </w:r>
      <w:r>
        <w:rPr>
          <w:rFonts w:ascii="Times New Roman" w:eastAsia="Times New Roman" w:hAnsi="Times New Roman" w:cs="Times New Roman"/>
          <w:i/>
          <w:iCs/>
          <w:sz w:val="24"/>
          <w:szCs w:val="24"/>
          <w:lang w:eastAsia="en-GB"/>
        </w:rPr>
        <w:t>World Flora Online</w:t>
      </w:r>
      <w:r>
        <w:rPr>
          <w:rFonts w:ascii="Times New Roman" w:eastAsia="Times New Roman" w:hAnsi="Times New Roman" w:cs="Times New Roman"/>
          <w:sz w:val="24"/>
          <w:szCs w:val="24"/>
          <w:lang w:eastAsia="en-GB"/>
        </w:rPr>
        <w:t xml:space="preserve">. Retrieved September 24, 2026, from </w:t>
      </w:r>
      <w:hyperlink r:id="rId31" w:history="1">
        <w:r>
          <w:rPr>
            <w:rFonts w:ascii="Times New Roman" w:eastAsia="Times New Roman" w:hAnsi="Times New Roman" w:cs="Times New Roman"/>
            <w:color w:val="0000FF"/>
            <w:sz w:val="24"/>
            <w:szCs w:val="24"/>
            <w:u w:val="single"/>
            <w:lang w:eastAsia="en-GB"/>
          </w:rPr>
          <w:t>https://www.worldfloraonline.org/taxon/wfo-0001062631</w:t>
        </w:r>
      </w:hyperlink>
    </w:p>
    <w:p w14:paraId="1A48B515" w14:textId="77777777" w:rsidR="00626A29" w:rsidRPr="009C6D81" w:rsidRDefault="00626A29" w:rsidP="00626A29">
      <w:pPr>
        <w:spacing w:line="360" w:lineRule="auto"/>
        <w:jc w:val="both"/>
        <w:rPr>
          <w:sz w:val="24"/>
          <w:szCs w:val="24"/>
        </w:rPr>
      </w:pPr>
    </w:p>
    <w:p w14:paraId="7257936F" w14:textId="77777777" w:rsidR="00626A29" w:rsidRPr="00BD4D7B" w:rsidRDefault="00626A29" w:rsidP="00626A29">
      <w:pPr>
        <w:spacing w:line="360" w:lineRule="auto"/>
        <w:jc w:val="both"/>
        <w:rPr>
          <w:rFonts w:ascii="Times New Roman" w:hAnsi="Times New Roman" w:cs="Times New Roman"/>
          <w:sz w:val="24"/>
          <w:szCs w:val="24"/>
        </w:rPr>
      </w:pPr>
    </w:p>
    <w:p w14:paraId="24BFFAFE" w14:textId="77777777" w:rsidR="00626A29" w:rsidRPr="00BD4D7B" w:rsidRDefault="00626A29"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p>
    <w:sectPr w:rsidR="00626A29" w:rsidRPr="00BD4D7B">
      <w:headerReference w:type="even" r:id="rId32"/>
      <w:headerReference w:type="default" r:id="rId33"/>
      <w:footerReference w:type="even" r:id="rId34"/>
      <w:footerReference w:type="default" r:id="rId35"/>
      <w:headerReference w:type="first" r:id="rId36"/>
      <w:footerReference w:type="first" r:id="rId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BD004" w14:textId="77777777" w:rsidR="007B5E3F" w:rsidRDefault="007B5E3F" w:rsidP="008827F5">
      <w:pPr>
        <w:spacing w:after="0" w:line="240" w:lineRule="auto"/>
      </w:pPr>
      <w:r>
        <w:separator/>
      </w:r>
    </w:p>
  </w:endnote>
  <w:endnote w:type="continuationSeparator" w:id="0">
    <w:p w14:paraId="7E061ABD" w14:textId="77777777" w:rsidR="007B5E3F" w:rsidRDefault="007B5E3F" w:rsidP="0088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D522C" w14:textId="77777777" w:rsidR="008827F5" w:rsidRDefault="008827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61F87" w14:textId="77777777" w:rsidR="008827F5" w:rsidRDefault="008827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337A4" w14:textId="77777777" w:rsidR="008827F5" w:rsidRDefault="00882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4BFF6" w14:textId="77777777" w:rsidR="007B5E3F" w:rsidRDefault="007B5E3F" w:rsidP="008827F5">
      <w:pPr>
        <w:spacing w:after="0" w:line="240" w:lineRule="auto"/>
      </w:pPr>
      <w:r>
        <w:separator/>
      </w:r>
    </w:p>
  </w:footnote>
  <w:footnote w:type="continuationSeparator" w:id="0">
    <w:p w14:paraId="4E98B053" w14:textId="77777777" w:rsidR="007B5E3F" w:rsidRDefault="007B5E3F" w:rsidP="0088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D8902" w14:textId="77777777" w:rsidR="008827F5" w:rsidRDefault="00000000">
    <w:pPr>
      <w:pStyle w:val="Header"/>
    </w:pPr>
    <w:r>
      <w:rPr>
        <w:noProof/>
      </w:rPr>
      <w:pict w14:anchorId="57607F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86360"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15F82" w14:textId="77777777" w:rsidR="008827F5" w:rsidRDefault="00000000">
    <w:pPr>
      <w:pStyle w:val="Header"/>
    </w:pPr>
    <w:r>
      <w:rPr>
        <w:noProof/>
      </w:rPr>
      <w:pict w14:anchorId="0C2295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86361"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83C3B" w14:textId="77777777" w:rsidR="008827F5" w:rsidRDefault="00000000">
    <w:pPr>
      <w:pStyle w:val="Header"/>
    </w:pPr>
    <w:r>
      <w:rPr>
        <w:noProof/>
      </w:rPr>
      <w:pict w14:anchorId="0AD11A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86359"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6541"/>
    <w:rsid w:val="001521E6"/>
    <w:rsid w:val="001B0009"/>
    <w:rsid w:val="00201EC6"/>
    <w:rsid w:val="00210BAB"/>
    <w:rsid w:val="002156C6"/>
    <w:rsid w:val="0024036B"/>
    <w:rsid w:val="00277693"/>
    <w:rsid w:val="002A3E8F"/>
    <w:rsid w:val="002E3D0D"/>
    <w:rsid w:val="002E5C5F"/>
    <w:rsid w:val="002E6541"/>
    <w:rsid w:val="00382F11"/>
    <w:rsid w:val="00455408"/>
    <w:rsid w:val="00545ACB"/>
    <w:rsid w:val="005521DC"/>
    <w:rsid w:val="00626A29"/>
    <w:rsid w:val="00662C89"/>
    <w:rsid w:val="006D08BD"/>
    <w:rsid w:val="006F7D10"/>
    <w:rsid w:val="0071035B"/>
    <w:rsid w:val="007130D1"/>
    <w:rsid w:val="007B55E7"/>
    <w:rsid w:val="007B5E3F"/>
    <w:rsid w:val="00875F71"/>
    <w:rsid w:val="008827F5"/>
    <w:rsid w:val="00955AF9"/>
    <w:rsid w:val="0097038E"/>
    <w:rsid w:val="009F6C3E"/>
    <w:rsid w:val="00A74BCB"/>
    <w:rsid w:val="00B3204F"/>
    <w:rsid w:val="00B72A4A"/>
    <w:rsid w:val="00BD4D7B"/>
    <w:rsid w:val="00BE6706"/>
    <w:rsid w:val="00CB21D3"/>
    <w:rsid w:val="00CD0F75"/>
    <w:rsid w:val="00D8175D"/>
    <w:rsid w:val="00DD3CB7"/>
    <w:rsid w:val="00E444CA"/>
    <w:rsid w:val="00EE70C9"/>
    <w:rsid w:val="00F960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AE035"/>
  <w15:docId w15:val="{60DAE01D-2583-406E-9A23-8480D87EB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4D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4D7B"/>
    <w:rPr>
      <w:rFonts w:ascii="Tahoma" w:hAnsi="Tahoma" w:cs="Tahoma"/>
      <w:sz w:val="16"/>
      <w:szCs w:val="16"/>
    </w:rPr>
  </w:style>
  <w:style w:type="paragraph" w:styleId="NoSpacing">
    <w:name w:val="No Spacing"/>
    <w:uiPriority w:val="1"/>
    <w:qFormat/>
    <w:rsid w:val="00DD3CB7"/>
    <w:pPr>
      <w:spacing w:after="0" w:line="240" w:lineRule="auto"/>
    </w:pPr>
  </w:style>
  <w:style w:type="paragraph" w:customStyle="1" w:styleId="isselectedend">
    <w:name w:val="isselectedend"/>
    <w:basedOn w:val="Normal"/>
    <w:rsid w:val="00545AC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45ACB"/>
    <w:rPr>
      <w:b/>
      <w:bCs/>
    </w:rPr>
  </w:style>
  <w:style w:type="character" w:customStyle="1" w:styleId="text-token-text-primary">
    <w:name w:val="text-token-text-primary"/>
    <w:basedOn w:val="DefaultParagraphFont"/>
    <w:rsid w:val="00545ACB"/>
  </w:style>
  <w:style w:type="paragraph" w:styleId="NormalWeb">
    <w:name w:val="Normal (Web)"/>
    <w:basedOn w:val="Normal"/>
    <w:uiPriority w:val="99"/>
    <w:semiHidden/>
    <w:unhideWhenUsed/>
    <w:rsid w:val="00545AC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01EC6"/>
    <w:rPr>
      <w:color w:val="0000FF" w:themeColor="hyperlink"/>
      <w:u w:val="single"/>
    </w:rPr>
  </w:style>
  <w:style w:type="character" w:customStyle="1" w:styleId="UnresolvedMention1">
    <w:name w:val="Unresolved Mention1"/>
    <w:basedOn w:val="DefaultParagraphFont"/>
    <w:uiPriority w:val="99"/>
    <w:semiHidden/>
    <w:unhideWhenUsed/>
    <w:rsid w:val="00201EC6"/>
    <w:rPr>
      <w:color w:val="605E5C"/>
      <w:shd w:val="clear" w:color="auto" w:fill="E1DFDD"/>
    </w:rPr>
  </w:style>
  <w:style w:type="table" w:styleId="TableGrid">
    <w:name w:val="Table Grid"/>
    <w:basedOn w:val="TableNormal"/>
    <w:uiPriority w:val="39"/>
    <w:rsid w:val="00875F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827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27F5"/>
  </w:style>
  <w:style w:type="paragraph" w:styleId="Footer">
    <w:name w:val="footer"/>
    <w:basedOn w:val="Normal"/>
    <w:link w:val="FooterChar"/>
    <w:uiPriority w:val="99"/>
    <w:unhideWhenUsed/>
    <w:rsid w:val="008827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27F5"/>
  </w:style>
  <w:style w:type="character" w:styleId="Emphasis">
    <w:name w:val="Emphasis"/>
    <w:basedOn w:val="DefaultParagraphFont"/>
    <w:uiPriority w:val="20"/>
    <w:qFormat/>
    <w:rsid w:val="007130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97593">
      <w:bodyDiv w:val="1"/>
      <w:marLeft w:val="0"/>
      <w:marRight w:val="0"/>
      <w:marTop w:val="0"/>
      <w:marBottom w:val="0"/>
      <w:divBdr>
        <w:top w:val="none" w:sz="0" w:space="0" w:color="auto"/>
        <w:left w:val="none" w:sz="0" w:space="0" w:color="auto"/>
        <w:bottom w:val="none" w:sz="0" w:space="0" w:color="auto"/>
        <w:right w:val="none" w:sz="0" w:space="0" w:color="auto"/>
      </w:divBdr>
    </w:div>
    <w:div w:id="716468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foreco.2021.119127" TargetMode="External"/><Relationship Id="rId18" Type="http://schemas.openxmlformats.org/officeDocument/2006/relationships/hyperlink" Target="https://doi.org/10.56557/jomahr/2026/v11i210684" TargetMode="External"/><Relationship Id="rId26" Type="http://schemas.openxmlformats.org/officeDocument/2006/relationships/hyperlink" Target="https://doi.org/10.1016/j.foreco.2014.07.015" TargetMode="External"/><Relationship Id="rId39" Type="http://schemas.openxmlformats.org/officeDocument/2006/relationships/theme" Target="theme/theme1.xml"/><Relationship Id="rId21" Type="http://schemas.openxmlformats.org/officeDocument/2006/relationships/hyperlink" Target="https://doi.org/10.1002/aps3.11600" TargetMode="External"/><Relationship Id="rId34"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hyperlink" Target="https://doi.org/10.1016/j.foreco.2025.123376" TargetMode="External"/><Relationship Id="rId17" Type="http://schemas.openxmlformats.org/officeDocument/2006/relationships/hyperlink" Target="https://doi.org/10.1007/s11355-018-0353-2" TargetMode="External"/><Relationship Id="rId25" Type="http://schemas.openxmlformats.org/officeDocument/2006/relationships/hyperlink" Target="https://doi.org/10.5897/IJBC12.113"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16/j.biocon.2022.109634" TargetMode="External"/><Relationship Id="rId20" Type="http://schemas.openxmlformats.org/officeDocument/2006/relationships/hyperlink" Target="https://doi.org/10.1007/s11056-017-9582-8" TargetMode="External"/><Relationship Id="rId29" Type="http://schemas.openxmlformats.org/officeDocument/2006/relationships/hyperlink" Target="https://doi.org/10.3389/fcosc.2022.938110"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apforgen.org/resources/publications/publication/regional-guidelines-for-identifying-genetic-conservation-units-and-seed-sources" TargetMode="External"/><Relationship Id="rId24" Type="http://schemas.openxmlformats.org/officeDocument/2006/relationships/hyperlink" Target="https://doi.org/10.1002/ece3.73393"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oi.org/10.1002/aps3.11589" TargetMode="External"/><Relationship Id="rId23" Type="http://schemas.openxmlformats.org/officeDocument/2006/relationships/hyperlink" Target="https://doi.org/10.9734/bji/2025/v29i5795" TargetMode="External"/><Relationship Id="rId28" Type="http://schemas.openxmlformats.org/officeDocument/2006/relationships/hyperlink" Target="https://doi.org/10.1016/j.biocon.2024.110535" TargetMode="External"/><Relationship Id="rId36" Type="http://schemas.openxmlformats.org/officeDocument/2006/relationships/header" Target="header3.xml"/><Relationship Id="rId10" Type="http://schemas.openxmlformats.org/officeDocument/2006/relationships/hyperlink" Target="https://doi.org/10.22271/tpr.2018.v5.i2.030" TargetMode="External"/><Relationship Id="rId19" Type="http://schemas.openxmlformats.org/officeDocument/2006/relationships/hyperlink" Target="https://doi.org/10.1016/S0190-9622(08)81744-6" TargetMode="External"/><Relationship Id="rId31" Type="http://schemas.openxmlformats.org/officeDocument/2006/relationships/hyperlink" Target="https://www.worldfloraonline.org/taxon/wfo-0001062631" TargetMode="External"/><Relationship Id="rId4" Type="http://schemas.openxmlformats.org/officeDocument/2006/relationships/webSettings" Target="webSettings.xml"/><Relationship Id="rId9" Type="http://schemas.openxmlformats.org/officeDocument/2006/relationships/hyperlink" Target="https://doi.org/10.1111/ddi.70018" TargetMode="External"/><Relationship Id="rId14" Type="http://schemas.openxmlformats.org/officeDocument/2006/relationships/hyperlink" Target="https://doi.org/10.1016/j.biocon.2026.111811" TargetMode="External"/><Relationship Id="rId22" Type="http://schemas.openxmlformats.org/officeDocument/2006/relationships/hyperlink" Target="https://doi.org/10.1016/j.jep.2014.03.029" TargetMode="External"/><Relationship Id="rId27" Type="http://schemas.openxmlformats.org/officeDocument/2006/relationships/hyperlink" Target="https://doi.org/10.1016/j.jenvman.2024.123654" TargetMode="External"/><Relationship Id="rId30" Type="http://schemas.openxmlformats.org/officeDocument/2006/relationships/hyperlink" Target="https://doi.org/10.1111/j.1523-1739.2011.01778.x" TargetMode="External"/><Relationship Id="rId35" Type="http://schemas.openxmlformats.org/officeDocument/2006/relationships/footer" Target="footer2.xml"/><Relationship Id="rId8" Type="http://schemas.openxmlformats.org/officeDocument/2006/relationships/hyperlink" Target="https://doi.org/10.1002/ece3.71834"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B72086-7D40-409B-BE46-B8836A358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17</Pages>
  <Words>5516</Words>
  <Characters>31442</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Remruata Sailo</dc:creator>
  <cp:keywords/>
  <dc:description/>
  <cp:lastModifiedBy>SDI CPU 1117</cp:lastModifiedBy>
  <cp:revision>47</cp:revision>
  <dcterms:created xsi:type="dcterms:W3CDTF">2026-09-15T11:09:00Z</dcterms:created>
  <dcterms:modified xsi:type="dcterms:W3CDTF">2026-09-24T10:02:00Z</dcterms:modified>
</cp:coreProperties>
</file>