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16AEC" w14:textId="77777777" w:rsidR="00B42E8E" w:rsidRPr="00CE1226" w:rsidRDefault="00CE1226" w:rsidP="00CE1226">
      <w:pPr>
        <w:pStyle w:val="Title"/>
        <w:jc w:val="center"/>
      </w:pPr>
      <w:r w:rsidRPr="00B42E8E">
        <w:rPr>
          <w:lang w:val="en-IN"/>
        </w:rPr>
        <w:t>A Conceptual Framework for Robust Explainable Deep Learning Under Distribution Shifts and Noisy Data</w:t>
      </w:r>
    </w:p>
    <w:p w14:paraId="4C7F9BE7" w14:textId="77777777" w:rsidR="003218AB" w:rsidRPr="003218AB" w:rsidRDefault="003218AB" w:rsidP="003218AB">
      <w:pPr>
        <w:rPr>
          <w:b/>
          <w:bCs/>
          <w:lang w:val="en-IN"/>
        </w:rPr>
      </w:pPr>
      <w:r w:rsidRPr="003218AB">
        <w:rPr>
          <w:b/>
          <w:bCs/>
          <w:lang w:val="en-IN"/>
        </w:rPr>
        <w:t>Abstract</w:t>
      </w:r>
    </w:p>
    <w:p w14:paraId="568CC149" w14:textId="77777777" w:rsidR="003218AB" w:rsidRPr="003218AB" w:rsidRDefault="003218AB" w:rsidP="003218AB">
      <w:pPr>
        <w:jc w:val="both"/>
        <w:rPr>
          <w:lang w:val="en-IN"/>
        </w:rPr>
      </w:pPr>
      <w:r w:rsidRPr="003218AB">
        <w:rPr>
          <w:lang w:val="en-IN"/>
        </w:rPr>
        <w:t xml:space="preserve">Deep learning systems may experience performance degradation when deployed under distribution shifts, noisy data, and changing operational conditions. Furthermore, explanations generated by explainable artificial intelligence (XAI) methods may become unstable or unreliable under such conditions, limiting the interpretability and trustworthiness of model predictions. This paper proposes a conceptual Robust Explainable Deep Learning (R-XDL) framework that integrates data-quality assessment, distribution-shift and noise diagnostics, robust prediction, uncertainty estimation, explanation fidelity and stability assessment, risk-aware decision-making, human oversight, and controlled model adaptation. A conceptual mathematical objective and a risk-scoring mechanism are introduced to </w:t>
      </w:r>
      <w:r w:rsidRPr="003218AB">
        <w:rPr>
          <w:highlight w:val="yellow"/>
          <w:lang w:val="en-IN"/>
        </w:rPr>
        <w:t>organise</w:t>
      </w:r>
      <w:r w:rsidRPr="003218AB">
        <w:rPr>
          <w:lang w:val="en-IN"/>
        </w:rPr>
        <w:t xml:space="preserve"> predictive robustness and explanation reliability within a unified lifecycle. The framework also proposes an explanation diagnostic gate that uses fidelity, stability, predictive uncertainty, and distribution-shift indicators to support decisions to accept a prediction, request human review, or defer automated decision-making. In addition, a proposed empirical evaluation protocol outlines the use of benchmark datasets, controlled corruption scenarios, appropriate baseline methods, calibration measures, explanation metrics, computational-cost analysis, and ablation studies. This manuscript presents a conceptual framework and proposed evaluation methodology; no experiments have been conducted, and no empirical performance results are claimed. Future research will implement and evaluate the framework to determine its effectiveness, limitations, and practical applicability. The proposed work provides a structured foundation for investigating the joint reliability of deep learning predictions and explanations under distribution shifts and noisy data.</w:t>
      </w:r>
    </w:p>
    <w:p w14:paraId="70DFFB96" w14:textId="77777777" w:rsidR="003218AB" w:rsidRPr="003218AB" w:rsidRDefault="003218AB" w:rsidP="003218AB">
      <w:pPr>
        <w:rPr>
          <w:lang w:val="en-IN"/>
        </w:rPr>
      </w:pPr>
      <w:r w:rsidRPr="003218AB">
        <w:rPr>
          <w:b/>
          <w:bCs/>
          <w:lang w:val="en-IN"/>
        </w:rPr>
        <w:t>Keywords:</w:t>
      </w:r>
      <w:r w:rsidRPr="003218AB">
        <w:rPr>
          <w:lang w:val="en-IN"/>
        </w:rPr>
        <w:t xml:space="preserve"> Explainable artificial intelligence; robust deep learning; distribution shift; noisy data; explanation fidelity; explanation stability; uncertainty estimation; out-of-distribution detection; trustworthy AI.</w:t>
      </w:r>
    </w:p>
    <w:p w14:paraId="5BC3A32D" w14:textId="77777777" w:rsidR="00325982" w:rsidRDefault="00325982"/>
    <w:p w14:paraId="7B57CE95" w14:textId="77777777" w:rsidR="00325982" w:rsidRDefault="00000000">
      <w:pPr>
        <w:pStyle w:val="Heading1"/>
      </w:pPr>
      <w:r>
        <w:lastRenderedPageBreak/>
        <w:t>1. Introduction</w:t>
      </w:r>
    </w:p>
    <w:p w14:paraId="729D3724" w14:textId="77777777" w:rsidR="00325982" w:rsidRDefault="00000000">
      <w:pPr>
        <w:jc w:val="both"/>
      </w:pPr>
      <w:r>
        <w:t xml:space="preserve">Deep learning has become an important approach for image recognition, natural language processing, time-series analysis, and decision support. Its success often depends on the assumption that deployment data resemble the data used for training and evaluation. In practice, that assumption may fail. Camera settings, lighting, sensors, seasonal conditions, population characteristics, collection procedures, or user </w:t>
      </w:r>
      <w:proofErr w:type="spellStart"/>
      <w:r>
        <w:t>behaviour</w:t>
      </w:r>
      <w:proofErr w:type="spellEnd"/>
      <w:r>
        <w:t xml:space="preserve"> can change. Labels may also contain errors, and observations may be incomplete or corrupted. Under these conditions, a model that performs well on an independent but similarly distributed test set may make less reliable predictions in deployment.</w:t>
      </w:r>
    </w:p>
    <w:p w14:paraId="14595A97" w14:textId="77777777" w:rsidR="00325982" w:rsidRDefault="00000000">
      <w:pPr>
        <w:jc w:val="both"/>
      </w:pPr>
      <w:r>
        <w:t>Distribution shift is not a single phenomenon. Covariate shift occurs when the input distribution changes while the conditional relationship between inputs and labels is assumed to remain stable. Label shift refers to changes in class prevalence, while concept drift or concept shift concerns changes in the relationship between inputs and outcomes. Input corruption and label noise are related but distinct problems: corruption alters observed features, whereas label noise affects the supervision signal. These mechanisms can co-occur and require different diagnostic and mitigation strategies.</w:t>
      </w:r>
    </w:p>
    <w:p w14:paraId="42F505BB" w14:textId="77777777" w:rsidR="0043558D" w:rsidRDefault="00000000">
      <w:pPr>
        <w:jc w:val="both"/>
      </w:pPr>
      <w:r>
        <w:rPr>
          <w:b/>
          <w:highlight w:val="yellow"/>
        </w:rPr>
        <w:t>A recent evaluation of contrastive vision-language models further illustrates the need to assess robustness beyond classification performance by considering predictive uncertainty and out-of-distribution detection (Tu et al., 2025).</w:t>
      </w:r>
    </w:p>
    <w:p w14:paraId="4CE9BD96" w14:textId="77777777" w:rsidR="00325982" w:rsidRDefault="00000000">
      <w:pPr>
        <w:jc w:val="both"/>
      </w:pPr>
      <w:r>
        <w:t>Explainability adds a further challenge. Methods such as LIME and SHAP can indicate which features influence a prediction, but explanations may be unstable under small input changes</w:t>
      </w:r>
      <w:r>
        <w:rPr>
          <w:highlight w:val="yellow"/>
        </w:rPr>
        <w:t>, may reflect spurious correlations or may be misinterpreted</w:t>
      </w:r>
      <w:r>
        <w:t xml:space="preserve"> as causal evidence (Lundberg &amp; Lee, 2017; Ribeiro et al., 2016). An explanation that appears plausible does not guarantee that the prediction is correct. Conversely, a robust prediction does not guarantee that the explanation faithfully represents the model. Robustness and explainability therefore need to be evaluated together.</w:t>
      </w:r>
    </w:p>
    <w:p w14:paraId="3E1AF77D" w14:textId="77777777" w:rsidR="0043558D" w:rsidRDefault="00000000">
      <w:pPr>
        <w:jc w:val="both"/>
      </w:pPr>
      <w:r>
        <w:rPr>
          <w:b/>
          <w:highlight w:val="yellow"/>
        </w:rPr>
        <w:t>In medical image recognition, natural and adversarial input corruptions have been shown to alter post-hoc explanations, sometimes even when predictions remain unchanged (Repetto et al., 2026). Analysis of unsupervised visual models has likewise identified reliance on incidental features that may undermine downstream performance under dataset shifts (Kauffmann et al., 2025).</w:t>
      </w:r>
    </w:p>
    <w:p w14:paraId="2B9541A4" w14:textId="77777777" w:rsidR="0043558D" w:rsidRDefault="00000000">
      <w:pPr>
        <w:jc w:val="both"/>
      </w:pPr>
      <w:r>
        <w:rPr>
          <w:b/>
          <w:highlight w:val="yellow"/>
        </w:rPr>
        <w:lastRenderedPageBreak/>
        <w:t>Mathematical and hybrid approaches to interpretable machine learning have also been proposed, although their existence does not establish explanation reliability under changing data conditions (Omokoh et al., 2025).</w:t>
      </w:r>
    </w:p>
    <w:p w14:paraId="1803F225" w14:textId="77777777" w:rsidR="00325982" w:rsidRDefault="00000000">
      <w:pPr>
        <w:jc w:val="both"/>
      </w:pPr>
      <w:r>
        <w:t xml:space="preserve">This paper proposes an integrated framework that connects noisy-data diagnostics and shift monitoring with robust inference, uncertainty estimation, explanation evaluation, and risk-aware decisions. The goal is not to claim a universally robust model, but to specify a testable architecture and evaluation protocol that </w:t>
      </w:r>
      <w:r>
        <w:rPr>
          <w:highlight w:val="yellow"/>
        </w:rPr>
        <w:t>can be implemented in different domains</w:t>
      </w:r>
      <w:r>
        <w:t>.</w:t>
      </w:r>
    </w:p>
    <w:p w14:paraId="6A6D2671" w14:textId="77777777" w:rsidR="0043558D" w:rsidRDefault="00000000">
      <w:pPr>
        <w:jc w:val="both"/>
      </w:pPr>
      <w:r>
        <w:rPr>
          <w:b/>
          <w:highlight w:val="yellow"/>
        </w:rPr>
        <w:t>A recent review of explainable cyberattack detection in healthcare also emphasises that explanation fidelity and stability for previously unseen events should be assessed empirically rather than assumed (Ogagayere-Osagie &amp; Kajero, 2026).</w:t>
      </w:r>
    </w:p>
    <w:p w14:paraId="7868B54F" w14:textId="77777777" w:rsidR="006A074A" w:rsidRDefault="0035062F">
      <w:pPr>
        <w:jc w:val="both"/>
      </w:pPr>
      <w:r w:rsidRPr="0035062F">
        <w:rPr>
          <w:lang w:val="en-IN"/>
        </w:rPr>
        <w:t>Agricultural image classification provides one practical application area for deep learning-based decision support. Recent work has examined automated cotton leaf disease detection using convolutional neural networks and lightweight deep learning models (</w:t>
      </w:r>
      <w:proofErr w:type="spellStart"/>
      <w:r w:rsidRPr="0035062F">
        <w:rPr>
          <w:lang w:val="en-IN"/>
        </w:rPr>
        <w:t>Ankatwar</w:t>
      </w:r>
      <w:proofErr w:type="spellEnd"/>
      <w:r w:rsidRPr="0035062F">
        <w:rPr>
          <w:lang w:val="en-IN"/>
        </w:rPr>
        <w:t xml:space="preserve"> &amp; </w:t>
      </w:r>
      <w:r w:rsidRPr="0035062F">
        <w:rPr>
          <w:highlight w:val="yellow"/>
          <w:lang w:val="en-IN"/>
        </w:rPr>
        <w:t>Dhawale, 2026a)</w:t>
      </w:r>
      <w:r w:rsidRPr="0035062F">
        <w:rPr>
          <w:lang w:val="en-IN"/>
        </w:rPr>
        <w:t>. Such application-specific research illustrates the relevance of evaluating predictive performance and computational requirements, while robustness under distribution shifts and explanation reliability require separate investigation.</w:t>
      </w:r>
    </w:p>
    <w:p w14:paraId="640085FE" w14:textId="77777777" w:rsidR="00325982" w:rsidRDefault="00000000">
      <w:pPr>
        <w:pStyle w:val="Heading2"/>
      </w:pPr>
      <w:r>
        <w:t>1.1 Problem Statement</w:t>
      </w:r>
    </w:p>
    <w:p w14:paraId="03214981" w14:textId="77777777" w:rsidR="00325982" w:rsidRDefault="00000000">
      <w:pPr>
        <w:jc w:val="both"/>
      </w:pPr>
      <w:r>
        <w:t>Many deep learning pipelines evaluate predictive performance on a fixed test set and assess explanation quality in a separate analysis. This can miss cases where shifts or noise simultaneously degrade predictions and alter explanations. A systematic design is needed to detect changes, communicate uncertainty, assess explanation reliability, and choose between prediction, human review, abstention, or controlled adaptation.</w:t>
      </w:r>
    </w:p>
    <w:p w14:paraId="2F0D8061" w14:textId="77777777" w:rsidR="00325982" w:rsidRDefault="00000000">
      <w:pPr>
        <w:pStyle w:val="Heading2"/>
      </w:pPr>
      <w:r>
        <w:rPr>
          <w:highlight w:val="yellow"/>
        </w:rPr>
        <w:t>1.2 Research Questions</w:t>
      </w:r>
    </w:p>
    <w:p w14:paraId="3402CAA7" w14:textId="77777777" w:rsidR="0058535B" w:rsidRPr="0058535B" w:rsidRDefault="0058535B" w:rsidP="0058535B">
      <w:pPr>
        <w:pStyle w:val="ListBullet"/>
        <w:numPr>
          <w:ilvl w:val="0"/>
          <w:numId w:val="0"/>
        </w:numPr>
        <w:rPr>
          <w:lang w:val="en-IN"/>
        </w:rPr>
      </w:pPr>
      <w:r w:rsidRPr="0058535B">
        <w:rPr>
          <w:lang w:val="en-IN"/>
        </w:rPr>
        <w:t>This conceptual study is guided by the following research questions:</w:t>
      </w:r>
    </w:p>
    <w:p w14:paraId="6A254919" w14:textId="77777777" w:rsidR="0058535B" w:rsidRPr="0058535B" w:rsidRDefault="0058535B" w:rsidP="0058535B">
      <w:pPr>
        <w:pStyle w:val="ListBullet"/>
        <w:rPr>
          <w:lang w:val="en-IN"/>
        </w:rPr>
      </w:pPr>
      <w:r w:rsidRPr="0058535B">
        <w:rPr>
          <w:b/>
          <w:bCs/>
          <w:lang w:val="en-IN"/>
        </w:rPr>
        <w:t>RQ1:</w:t>
      </w:r>
      <w:r w:rsidRPr="0058535B">
        <w:rPr>
          <w:lang w:val="en-IN"/>
        </w:rPr>
        <w:t xml:space="preserve"> How can predictive robustness, uncertainty estimation, and explanation reliability be integrated within a unified framework for deep learning under distribution shifts and noisy data?</w:t>
      </w:r>
    </w:p>
    <w:p w14:paraId="33723B85" w14:textId="77777777" w:rsidR="0058535B" w:rsidRPr="0058535B" w:rsidRDefault="0058535B" w:rsidP="0058535B">
      <w:pPr>
        <w:pStyle w:val="ListBullet"/>
        <w:rPr>
          <w:lang w:val="en-IN"/>
        </w:rPr>
      </w:pPr>
      <w:r w:rsidRPr="0058535B">
        <w:rPr>
          <w:b/>
          <w:bCs/>
          <w:lang w:val="en-IN"/>
        </w:rPr>
        <w:t>RQ2:</w:t>
      </w:r>
      <w:r w:rsidRPr="0058535B">
        <w:rPr>
          <w:lang w:val="en-IN"/>
        </w:rPr>
        <w:t xml:space="preserve"> How can explanation fidelity, explanation stability, predictive uncertainty, and distribution-shift diagnostics be incorporated into a diagnostic gate to support risk-aware decisions?</w:t>
      </w:r>
    </w:p>
    <w:p w14:paraId="40622553" w14:textId="77777777" w:rsidR="0058535B" w:rsidRPr="0058535B" w:rsidRDefault="0058535B" w:rsidP="0058535B">
      <w:pPr>
        <w:pStyle w:val="ListBullet"/>
        <w:rPr>
          <w:lang w:val="en-IN"/>
        </w:rPr>
      </w:pPr>
      <w:r w:rsidRPr="0058535B">
        <w:rPr>
          <w:b/>
          <w:bCs/>
          <w:lang w:val="en-IN"/>
        </w:rPr>
        <w:lastRenderedPageBreak/>
        <w:t>RQ3:</w:t>
      </w:r>
      <w:r w:rsidRPr="0058535B">
        <w:rPr>
          <w:lang w:val="en-IN"/>
        </w:rPr>
        <w:t xml:space="preserve"> How can the proposed R-XDL framework be evaluated against appropriate baseline methods using predictive performance, explanation reliability, uncertainty calibration, and computational cost?</w:t>
      </w:r>
    </w:p>
    <w:p w14:paraId="103EA9FC" w14:textId="77777777" w:rsidR="0058535B" w:rsidRPr="0058535B" w:rsidRDefault="0058535B" w:rsidP="0058535B">
      <w:pPr>
        <w:pStyle w:val="ListBullet"/>
        <w:numPr>
          <w:ilvl w:val="0"/>
          <w:numId w:val="0"/>
        </w:numPr>
        <w:rPr>
          <w:lang w:val="en-IN"/>
        </w:rPr>
      </w:pPr>
      <w:r w:rsidRPr="0058535B">
        <w:rPr>
          <w:lang w:val="en-IN"/>
        </w:rPr>
        <w:t>These questions guide the conceptual design and proposed evaluation protocol. They are not presented as empirically answered research questions; their practical answers require future implementation and controlled experiments.</w:t>
      </w:r>
    </w:p>
    <w:p w14:paraId="4F0BF14D" w14:textId="77777777" w:rsidR="002A5D6D" w:rsidRDefault="002A5D6D" w:rsidP="002A5D6D">
      <w:pPr>
        <w:pStyle w:val="ListBullet"/>
        <w:numPr>
          <w:ilvl w:val="0"/>
          <w:numId w:val="0"/>
        </w:numPr>
        <w:ind w:left="360" w:hanging="360"/>
      </w:pPr>
    </w:p>
    <w:p w14:paraId="1834FF20" w14:textId="77777777" w:rsidR="002A5D6D" w:rsidRPr="002A5D6D" w:rsidRDefault="002A5D6D" w:rsidP="009605BF">
      <w:pPr>
        <w:pStyle w:val="Heading2"/>
        <w:rPr>
          <w:lang w:val="en-IN"/>
        </w:rPr>
      </w:pPr>
      <w:r w:rsidRPr="002A5D6D">
        <w:rPr>
          <w:highlight w:val="yellow"/>
          <w:lang w:val="en-IN"/>
        </w:rPr>
        <w:t>1.3 Article Type and Research Contributions</w:t>
      </w:r>
    </w:p>
    <w:p w14:paraId="442C3488" w14:textId="77777777" w:rsidR="009605BF" w:rsidRDefault="002A5D6D" w:rsidP="009605BF">
      <w:pPr>
        <w:pStyle w:val="ListBullet"/>
        <w:numPr>
          <w:ilvl w:val="0"/>
          <w:numId w:val="0"/>
        </w:numPr>
        <w:jc w:val="both"/>
        <w:rPr>
          <w:lang w:val="en-IN"/>
        </w:rPr>
      </w:pPr>
      <w:r w:rsidRPr="002A5D6D">
        <w:rPr>
          <w:lang w:val="en-IN"/>
        </w:rPr>
        <w:t>This manuscript is presented as a conceptual framework study rather than an empirical experimental investigation. Its primary contribution is the proposed integration of predictive robustness, uncertainty estimation, explanation fidelity and stability assessment, risk-aware decision-making, and controlled model adaptation within a unified Robust Explainable Deep Learning (R-XDL) lifecycle. The manuscript further introduces a conceptual mathematical objective, a risk-scoring mechanism, and a structured evaluation protocol to guide future implementation and validation. The proposed framework is intended to support systematic investigation of the joint reliability of deep learning predictions and explanations under distribution shifts and noisy data. Its effectiveness and practical advantages remain to be established through future empirical studies.</w:t>
      </w:r>
    </w:p>
    <w:p w14:paraId="6EE8314D" w14:textId="77777777" w:rsidR="00351B29" w:rsidRDefault="009605BF" w:rsidP="00351B29">
      <w:pPr>
        <w:pStyle w:val="ListBullet"/>
        <w:numPr>
          <w:ilvl w:val="0"/>
          <w:numId w:val="0"/>
        </w:numPr>
        <w:jc w:val="both"/>
        <w:rPr>
          <w:lang w:val="en-IN"/>
        </w:rPr>
      </w:pPr>
      <w:r w:rsidRPr="009605BF">
        <w:rPr>
          <w:lang w:val="en-IN"/>
        </w:rPr>
        <w:t xml:space="preserve">The novelty of this work lies in its proposed reliability-oriented integration and decision workflow rather than in the introduction of a new predictive architecture or an independently validated learning algorithm. Specifically, the R-XDL framework </w:t>
      </w:r>
      <w:r w:rsidRPr="009605BF">
        <w:rPr>
          <w:highlight w:val="yellow"/>
          <w:lang w:val="en-IN"/>
        </w:rPr>
        <w:t>organises</w:t>
      </w:r>
      <w:r w:rsidRPr="009605BF">
        <w:rPr>
          <w:lang w:val="en-IN"/>
        </w:rPr>
        <w:t xml:space="preserve"> predictive robustness, uncertainty estimation, explanation fidelity, explanation stability, and distribution-shift diagnostics within a common lifecycle. It also proposes an explanation diagnostic gate to translate these diagnostic signals into provisional actions, including accepting a prediction, requesting human review, or deferring an automated decision. The framework further outlines an evaluation protocol for examining these components under controlled shifts and noise conditions. These contributions are conceptual and methodological; their novelty in practice, effectiveness, and advantages over existing approaches must be established through implementation and comparative empirical evaluation.</w:t>
      </w:r>
    </w:p>
    <w:p w14:paraId="5CB84664" w14:textId="77777777" w:rsidR="00351B29" w:rsidRPr="00351B29" w:rsidRDefault="00351B29" w:rsidP="00351B29">
      <w:pPr>
        <w:pStyle w:val="ListBullet"/>
        <w:numPr>
          <w:ilvl w:val="0"/>
          <w:numId w:val="0"/>
        </w:numPr>
        <w:jc w:val="both"/>
        <w:rPr>
          <w:lang w:val="en-IN"/>
        </w:rPr>
      </w:pPr>
      <w:r w:rsidRPr="00351B29">
        <w:rPr>
          <w:lang w:val="en-IN"/>
        </w:rPr>
        <w:t xml:space="preserve">The scope of this study is limited to the conceptual design of a framework for examining prediction and explanation reliability under distribution shifts and noisy data. The framework is intended to support future investigations involving deep learning models in which changes in input conditions </w:t>
      </w:r>
      <w:r w:rsidRPr="00351B29">
        <w:rPr>
          <w:lang w:val="en-IN"/>
        </w:rPr>
        <w:lastRenderedPageBreak/>
        <w:t>may affect predictive behaviour or explanation quality. It does not prescribe a single model architecture, explanation technique, or distribution-shift detector; these components should be selected according to the application domain and evaluation requirements. Similarly, the proposed diagnostic gate is intended as a configurable decision-support mechanism rather than an autonomous guarantee of safe or correct predictions. Clinical, agricultural, industrial, and other high-impact applications would require domain-specific validation, appropriate human oversight, and risk controls before deployment</w:t>
      </w:r>
      <w:r w:rsidRPr="00351B29">
        <w:rPr>
          <w:highlight w:val="yellow"/>
          <w:lang w:val="en-IN"/>
        </w:rPr>
        <w:t xml:space="preserve"> (Kelly et al., 2019)</w:t>
      </w:r>
      <w:r w:rsidRPr="00351B29">
        <w:rPr>
          <w:lang w:val="en-IN"/>
        </w:rPr>
        <w:t>. These applications are potential areas for future investigation and have not been validated by the present conceptual study.</w:t>
      </w:r>
    </w:p>
    <w:p w14:paraId="24714811" w14:textId="77777777" w:rsidR="0035062F" w:rsidRPr="0035062F" w:rsidRDefault="0035062F" w:rsidP="0035062F">
      <w:pPr>
        <w:pStyle w:val="ListBullet"/>
        <w:jc w:val="both"/>
        <w:rPr>
          <w:lang w:val="en-IN"/>
        </w:rPr>
      </w:pPr>
      <w:r w:rsidRPr="0035062F">
        <w:rPr>
          <w:lang w:val="en-IN"/>
        </w:rPr>
        <w:t xml:space="preserve">AI-based classification is also being investigated in species identification and taxonomy, illustrating the breadth of application domains for intelligent classification systems (Rao &amp; </w:t>
      </w:r>
      <w:proofErr w:type="spellStart"/>
      <w:r w:rsidRPr="0035062F">
        <w:rPr>
          <w:lang w:val="en-IN"/>
        </w:rPr>
        <w:t>Ankatwar</w:t>
      </w:r>
      <w:proofErr w:type="spellEnd"/>
      <w:r w:rsidRPr="0035062F">
        <w:rPr>
          <w:lang w:val="en-IN"/>
        </w:rPr>
        <w:t>, 2026). However, the reliability of such systems under distribution shifts and noisy data remains a distinct evaluation question within the scope of the proposed R-XDL framework.</w:t>
      </w:r>
    </w:p>
    <w:p w14:paraId="28E67092" w14:textId="77777777" w:rsidR="0043558D" w:rsidRDefault="00000000">
      <w:pPr>
        <w:pStyle w:val="Heading2"/>
      </w:pPr>
      <w:r>
        <w:rPr>
          <w:highlight w:val="yellow"/>
        </w:rPr>
        <w:t>1.4 Research Gap</w:t>
      </w:r>
    </w:p>
    <w:p w14:paraId="2B7953F4" w14:textId="77777777" w:rsidR="0043558D" w:rsidRDefault="00000000">
      <w:pPr>
        <w:jc w:val="both"/>
      </w:pPr>
      <w:r>
        <w:rPr>
          <w:b/>
          <w:highlight w:val="yellow"/>
        </w:rPr>
        <w:t>A remaining methodological question is how prediction quality, explanation fidelity, explanation stability, predictive uncertainty, and distribution-shift diagnostics can be assessed together using reproducible criteria and translated into risk-aware decisions. The present study addresses this question at a conceptual level; the practical value of the proposed decision workflow requires future empirical validation.</w:t>
      </w:r>
    </w:p>
    <w:p w14:paraId="689672FB" w14:textId="77777777" w:rsidR="00325982" w:rsidRDefault="00000000">
      <w:pPr>
        <w:pStyle w:val="Heading2"/>
      </w:pPr>
      <w:r>
        <w:rPr>
          <w:highlight w:val="yellow"/>
        </w:rPr>
        <w:t>1.5 Aim and Objectives</w:t>
      </w:r>
    </w:p>
    <w:p w14:paraId="6EC601FD" w14:textId="77777777" w:rsidR="00325982" w:rsidRDefault="00000000">
      <w:pPr>
        <w:jc w:val="both"/>
      </w:pPr>
      <w:r>
        <w:t>The aim is to propose a framework for robust and explainable deep learning under distribution shifts and noisy data. The objectives are to:</w:t>
      </w:r>
    </w:p>
    <w:p w14:paraId="3D473BF3" w14:textId="77777777" w:rsidR="00325982" w:rsidRDefault="00000000">
      <w:pPr>
        <w:pStyle w:val="ListBullet"/>
      </w:pPr>
      <w:r>
        <w:t>distinguish key shift and noise mechanisms and connect them to appropriate monitoring signals;</w:t>
      </w:r>
    </w:p>
    <w:p w14:paraId="70D3A8A0" w14:textId="77777777" w:rsidR="00325982" w:rsidRDefault="00000000">
      <w:pPr>
        <w:pStyle w:val="ListBullet"/>
      </w:pPr>
      <w:r>
        <w:t>integrate robust prediction and uncertainty estimation with explanation fidelity and stability assessment;</w:t>
      </w:r>
    </w:p>
    <w:p w14:paraId="02F8E9AE" w14:textId="77777777" w:rsidR="00325982" w:rsidRDefault="00000000">
      <w:pPr>
        <w:pStyle w:val="ListBullet"/>
      </w:pPr>
      <w:r>
        <w:t>define a risk-aware policy for automated output, human review, abstention, and controlled adaptation;</w:t>
      </w:r>
    </w:p>
    <w:p w14:paraId="22296CE3" w14:textId="77777777" w:rsidR="00325982" w:rsidRDefault="00000000">
      <w:pPr>
        <w:pStyle w:val="ListBullet"/>
      </w:pPr>
      <w:r>
        <w:t>propose a reproducible evaluation protocol spanning prediction, robustness, calibration, explanations, fairness, and deployment cost; and</w:t>
      </w:r>
    </w:p>
    <w:p w14:paraId="2A430E8B" w14:textId="77777777" w:rsidR="00325982" w:rsidRDefault="00000000">
      <w:pPr>
        <w:pStyle w:val="ListBullet"/>
      </w:pPr>
      <w:r>
        <w:t>identify limitations and empirical research questions for future validation.</w:t>
      </w:r>
    </w:p>
    <w:p w14:paraId="6991BF50" w14:textId="77777777" w:rsidR="00325982" w:rsidRDefault="00000000">
      <w:pPr>
        <w:pStyle w:val="Heading1"/>
      </w:pPr>
      <w:r>
        <w:lastRenderedPageBreak/>
        <w:t>2. Literature Review</w:t>
      </w:r>
    </w:p>
    <w:p w14:paraId="17655195" w14:textId="77777777" w:rsidR="00325982" w:rsidRDefault="00000000">
      <w:pPr>
        <w:pStyle w:val="Heading2"/>
      </w:pPr>
      <w:r>
        <w:t>2.1 Distribution Shift and Robust Learning</w:t>
      </w:r>
    </w:p>
    <w:p w14:paraId="24F77BBA" w14:textId="035FD708" w:rsidR="00325982" w:rsidRPr="002A5D6D" w:rsidRDefault="00000000">
      <w:pPr>
        <w:jc w:val="both"/>
        <w:rPr>
          <w:lang w:val="en-IN"/>
        </w:rPr>
      </w:pPr>
      <w:r>
        <w:t xml:space="preserve">Distribution shift can undermine </w:t>
      </w:r>
      <w:r>
        <w:rPr>
          <w:highlight w:val="yellow"/>
        </w:rPr>
        <w:t>generalisation</w:t>
      </w:r>
      <w:r>
        <w:t xml:space="preserve"> when deployment data differ from training data</w:t>
      </w:r>
      <w:r>
        <w:rPr>
          <w:highlight w:val="yellow"/>
        </w:rPr>
        <w:t xml:space="preserve"> </w:t>
      </w:r>
      <w:r w:rsidRPr="002A53DC">
        <w:rPr>
          <w:highlight w:val="yellow"/>
        </w:rPr>
        <w:t>(</w:t>
      </w:r>
      <w:proofErr w:type="spellStart"/>
      <w:r w:rsidR="002A53DC" w:rsidRPr="002A53DC">
        <w:rPr>
          <w:highlight w:val="yellow"/>
        </w:rPr>
        <w:t>Quiñonero</w:t>
      </w:r>
      <w:proofErr w:type="spellEnd"/>
      <w:r w:rsidR="002A53DC" w:rsidRPr="002A53DC">
        <w:rPr>
          <w:highlight w:val="yellow"/>
        </w:rPr>
        <w:t>-Candela</w:t>
      </w:r>
      <w:r w:rsidRPr="002A53DC">
        <w:rPr>
          <w:highlight w:val="yellow"/>
        </w:rPr>
        <w:t xml:space="preserve"> et </w:t>
      </w:r>
      <w:r>
        <w:rPr>
          <w:highlight w:val="yellow"/>
        </w:rPr>
        <w:t>al., 200</w:t>
      </w:r>
      <w:r w:rsidR="002A53DC">
        <w:rPr>
          <w:highlight w:val="yellow"/>
        </w:rPr>
        <w:t>8</w:t>
      </w:r>
      <w:r>
        <w:rPr>
          <w:highlight w:val="yellow"/>
        </w:rPr>
        <w:t>; Zhang et al., 2021)</w:t>
      </w:r>
      <w:r>
        <w:t xml:space="preserve">. Robust learning approaches include data augmentation, corruption-aware training, domain </w:t>
      </w:r>
      <w:r>
        <w:rPr>
          <w:highlight w:val="yellow"/>
        </w:rPr>
        <w:t>generalisation</w:t>
      </w:r>
      <w:r>
        <w:t xml:space="preserve">, domain adaptation, invariant representation learning, and uncertainty-based rejection. </w:t>
      </w:r>
      <w:r w:rsidR="005B0269" w:rsidRPr="005B0269">
        <w:rPr>
          <w:lang w:val="en-IN"/>
        </w:rPr>
        <w:t>Wang et al. (2025) conducted a critical analysis of out-of-distribution (OOD) detection and open-set recognition methods, evaluating their performance across different settings and benchmarks. Their study distinguished covariate shifts from semantic shifts and demonstrated the importance of evaluating detection methods under multiple distribution conditions rather than relying exclusively on standard benchmarks. These findings support the proposed R-XDL framework's inclusion of shift diagnostics before interpreting model predictions and explanations. However, detecting an out-of-distribution input does not, by itself, establish whether its associated explanation is faithful or stable; these properties require separate assessment within the proposed framework.</w:t>
      </w:r>
      <w:r w:rsidR="005B0269">
        <w:rPr>
          <w:lang w:val="en-IN"/>
        </w:rPr>
        <w:t xml:space="preserve"> </w:t>
      </w:r>
      <w:r w:rsidR="00492C5D" w:rsidRPr="00492C5D">
        <w:rPr>
          <w:lang w:val="en-IN"/>
        </w:rPr>
        <w:t xml:space="preserve">Transfer learning and image preprocessing are also widely used in deep learning-based agricultural image analysis. </w:t>
      </w:r>
      <w:proofErr w:type="spellStart"/>
      <w:r w:rsidR="00492C5D" w:rsidRPr="00492C5D">
        <w:rPr>
          <w:lang w:val="en-IN"/>
        </w:rPr>
        <w:t>Ankatwar</w:t>
      </w:r>
      <w:proofErr w:type="spellEnd"/>
      <w:r w:rsidR="00492C5D" w:rsidRPr="00492C5D">
        <w:rPr>
          <w:lang w:val="en-IN"/>
        </w:rPr>
        <w:t xml:space="preserve"> and </w:t>
      </w:r>
      <w:r w:rsidR="00492C5D" w:rsidRPr="00492C5D">
        <w:rPr>
          <w:highlight w:val="yellow"/>
          <w:lang w:val="en-IN"/>
        </w:rPr>
        <w:t>Dhawale (2026b)</w:t>
      </w:r>
      <w:r w:rsidR="00492C5D" w:rsidRPr="00492C5D">
        <w:rPr>
          <w:lang w:val="en-IN"/>
        </w:rPr>
        <w:t xml:space="preserve"> examined cotton crop health monitoring through transfer learning and image preprocessing, providing an application-specific reference for these techniques. Their relevance to robustness under distribution shifts should be assessed in relation to the conditions examined in the study; performance under changing data distributions requires separate evaluation.</w:t>
      </w:r>
      <w:r w:rsidR="00492C5D">
        <w:rPr>
          <w:lang w:val="en-IN"/>
        </w:rPr>
        <w:t xml:space="preserve"> </w:t>
      </w:r>
      <w:r>
        <w:t xml:space="preserve">Each approach addresses different assumptions: augmentation improves tolerance to specified transformations, domain adaptation uses information about a target domain, and domain </w:t>
      </w:r>
      <w:r>
        <w:rPr>
          <w:highlight w:val="yellow"/>
        </w:rPr>
        <w:t>generalisation</w:t>
      </w:r>
      <w:r>
        <w:t xml:space="preserve"> aims to perform across unseen domains.</w:t>
      </w:r>
      <w:r w:rsidR="002A5D6D">
        <w:t xml:space="preserve"> </w:t>
      </w:r>
      <w:r w:rsidR="002A5D6D" w:rsidRPr="002A5D6D">
        <w:rPr>
          <w:lang w:val="en-IN"/>
        </w:rPr>
        <w:t xml:space="preserve">Training strategies and preprocessing choices are also important considerations in deep learning-based image analysis. </w:t>
      </w:r>
      <w:proofErr w:type="spellStart"/>
      <w:r w:rsidR="002A5D6D" w:rsidRPr="002A5D6D">
        <w:rPr>
          <w:lang w:val="en-IN"/>
        </w:rPr>
        <w:t>Ankatwar</w:t>
      </w:r>
      <w:proofErr w:type="spellEnd"/>
      <w:r w:rsidR="002A5D6D" w:rsidRPr="002A5D6D">
        <w:rPr>
          <w:lang w:val="en-IN"/>
        </w:rPr>
        <w:t xml:space="preserve"> (2025) presented a study of CNN training techniques for image processing, providing additional context for discussing model training approaches. However, the contribution of individual training techniques to robustness under distribution shifts must be established through controlled experiments rather than assumed from their general application.</w:t>
      </w:r>
      <w:r>
        <w:t xml:space="preserve"> No method guarantees resilience to every unanticipated shift. Evaluation should therefore describe the shift family and severity rather than report a single generic robustness score.</w:t>
      </w:r>
    </w:p>
    <w:p w14:paraId="455243B2" w14:textId="77777777" w:rsidR="002A5D6D" w:rsidRPr="002A5D6D" w:rsidRDefault="002A5D6D" w:rsidP="002A5D6D">
      <w:pPr>
        <w:jc w:val="both"/>
        <w:rPr>
          <w:lang w:val="en-IN"/>
        </w:rPr>
      </w:pPr>
      <w:r w:rsidRPr="002A5D6D">
        <w:rPr>
          <w:lang w:val="en-IN"/>
        </w:rPr>
        <w:t xml:space="preserve">Related work by </w:t>
      </w:r>
      <w:proofErr w:type="spellStart"/>
      <w:r w:rsidRPr="002A5D6D">
        <w:rPr>
          <w:lang w:val="en-IN"/>
        </w:rPr>
        <w:t>Ankatwar</w:t>
      </w:r>
      <w:proofErr w:type="spellEnd"/>
      <w:r w:rsidRPr="002A5D6D">
        <w:rPr>
          <w:lang w:val="en-IN"/>
        </w:rPr>
        <w:t xml:space="preserve"> and Dhawale (2025) reviewed multispectral imaging and CNN architectures for cotton leaf disease classification, providing an application-specific perspective </w:t>
      </w:r>
      <w:r w:rsidRPr="002A5D6D">
        <w:rPr>
          <w:lang w:val="en-IN"/>
        </w:rPr>
        <w:lastRenderedPageBreak/>
        <w:t xml:space="preserve">on deep learning for agricultural image analysis. Such application-focused studies are relevant when considering the challenges of model </w:t>
      </w:r>
      <w:r w:rsidRPr="002A5D6D">
        <w:rPr>
          <w:highlight w:val="yellow"/>
          <w:lang w:val="en-IN"/>
        </w:rPr>
        <w:t>generalisation</w:t>
      </w:r>
      <w:r w:rsidRPr="002A5D6D">
        <w:rPr>
          <w:lang w:val="en-IN"/>
        </w:rPr>
        <w:t xml:space="preserve"> across imaging conditions and data characteristics. However, robustness under distribution shifts and explanation stability require dedicated evaluation and should not be inferred solely from classification performance.</w:t>
      </w:r>
    </w:p>
    <w:p w14:paraId="7FFBD52F" w14:textId="77777777" w:rsidR="002A5D6D" w:rsidRDefault="002A5D6D">
      <w:pPr>
        <w:jc w:val="both"/>
      </w:pPr>
    </w:p>
    <w:p w14:paraId="7B2E5DE3" w14:textId="77777777" w:rsidR="00325982" w:rsidRDefault="00000000">
      <w:pPr>
        <w:pStyle w:val="Heading2"/>
      </w:pPr>
      <w:r>
        <w:t>2.2 Learning with Noisy Data</w:t>
      </w:r>
    </w:p>
    <w:p w14:paraId="3CD4CA5F" w14:textId="77777777" w:rsidR="00325982" w:rsidRDefault="00000000">
      <w:pPr>
        <w:jc w:val="both"/>
      </w:pPr>
      <w:r>
        <w:t xml:space="preserve">Noise may arise from annotation mistakes, weak labels, sensor failures, missing values, measurement error, or adversarial perturbations. Common strategies include robust loss functions, sample reweighting, label correction, noise-aware </w:t>
      </w:r>
      <w:r>
        <w:rPr>
          <w:highlight w:val="yellow"/>
        </w:rPr>
        <w:t>modelling</w:t>
      </w:r>
      <w:r>
        <w:t xml:space="preserve">, data cleaning, and training with realistic corruptions. These strategies can introduce trade-offs: aggressive filtering may remove rare but valid cases, while synthetic corruption may not represent real operational noise. Data provenance and explicit noise </w:t>
      </w:r>
      <w:r>
        <w:rPr>
          <w:highlight w:val="yellow"/>
        </w:rPr>
        <w:t>characterisation</w:t>
      </w:r>
      <w:r>
        <w:t xml:space="preserve"> are consequently important parts of a reproducible study.</w:t>
      </w:r>
    </w:p>
    <w:p w14:paraId="4A64708F" w14:textId="77777777" w:rsidR="00804054" w:rsidRPr="009605BF" w:rsidRDefault="00804054">
      <w:pPr>
        <w:jc w:val="both"/>
        <w:rPr>
          <w:lang w:val="en-IN"/>
        </w:rPr>
      </w:pPr>
      <w:r w:rsidRPr="00804054">
        <w:rPr>
          <w:lang w:val="en-IN"/>
        </w:rPr>
        <w:t xml:space="preserve">Yang et al. (2022) introduced </w:t>
      </w:r>
      <w:proofErr w:type="spellStart"/>
      <w:r w:rsidRPr="00804054">
        <w:rPr>
          <w:lang w:val="en-IN"/>
        </w:rPr>
        <w:t>OpenOOD</w:t>
      </w:r>
      <w:proofErr w:type="spellEnd"/>
      <w:r w:rsidRPr="00804054">
        <w:rPr>
          <w:lang w:val="en-IN"/>
        </w:rPr>
        <w:t xml:space="preserve">, a benchmark framework for </w:t>
      </w:r>
      <w:r w:rsidRPr="00804054">
        <w:rPr>
          <w:highlight w:val="yellow"/>
          <w:lang w:val="en-IN"/>
        </w:rPr>
        <w:t>generalised</w:t>
      </w:r>
      <w:r w:rsidRPr="00804054">
        <w:rPr>
          <w:lang w:val="en-IN"/>
        </w:rPr>
        <w:t xml:space="preserve"> out-of-distribution detection that supports systematic comparisons of detection methods across different settings. Their work </w:t>
      </w:r>
      <w:r w:rsidRPr="00804054">
        <w:rPr>
          <w:highlight w:val="yellow"/>
          <w:lang w:val="en-IN"/>
        </w:rPr>
        <w:t>emphasises</w:t>
      </w:r>
      <w:r w:rsidRPr="00804054">
        <w:rPr>
          <w:lang w:val="en-IN"/>
        </w:rPr>
        <w:t xml:space="preserve"> the need for </w:t>
      </w:r>
      <w:r w:rsidRPr="00804054">
        <w:rPr>
          <w:highlight w:val="yellow"/>
          <w:lang w:val="en-IN"/>
        </w:rPr>
        <w:t>standardised</w:t>
      </w:r>
      <w:r w:rsidRPr="00804054">
        <w:rPr>
          <w:lang w:val="en-IN"/>
        </w:rPr>
        <w:t xml:space="preserve"> evaluation protocols because inconsistent experimental settings can lead to unfair comparisons and inconclusive conclusions. This finding is relevant to the proposed R-XDL framework, which requires a reproducible evaluation protocol for assessing distribution-shift detection alongside prediction and explanation reliability. </w:t>
      </w:r>
      <w:proofErr w:type="spellStart"/>
      <w:r w:rsidRPr="00804054">
        <w:rPr>
          <w:lang w:val="en-IN"/>
        </w:rPr>
        <w:t>OpenOOD</w:t>
      </w:r>
      <w:proofErr w:type="spellEnd"/>
      <w:r w:rsidRPr="00804054">
        <w:rPr>
          <w:lang w:val="en-IN"/>
        </w:rPr>
        <w:t xml:space="preserve"> can inform the selection of OOD evaluation methods; however, it does not by itself validate the proposed R-XDL framework or its explanation diagnostic gate.</w:t>
      </w:r>
    </w:p>
    <w:p w14:paraId="0A3EF3D2" w14:textId="77777777" w:rsidR="00325982" w:rsidRDefault="00000000">
      <w:pPr>
        <w:pStyle w:val="Heading2"/>
      </w:pPr>
      <w:r>
        <w:t>2.3 Explainability and Explanation Reliability</w:t>
      </w:r>
    </w:p>
    <w:p w14:paraId="2C1C78E9" w14:textId="77777777" w:rsidR="00325982" w:rsidRPr="00921C1F" w:rsidRDefault="00000000">
      <w:pPr>
        <w:jc w:val="both"/>
        <w:rPr>
          <w:lang w:val="en-IN"/>
        </w:rPr>
      </w:pPr>
      <w:r>
        <w:t>Post-hoc explanation methods include local surrogate models, feature attribution, counterfactual examples, saliency maps, and example-based explanations. LIME approximates a model locally with an interpretable surrogate, while SHAP provides a framework for feature attribution based on Shapley values (Lundberg &amp; Lee, 2017; Ribeiro et al., 2016). Saliency methods can highlight input regions influential to a prediction, but visual plausibility alone is insufficient to establish faithfulness.</w:t>
      </w:r>
      <w:r w:rsidR="003644DD">
        <w:t xml:space="preserve"> </w:t>
      </w:r>
      <w:r w:rsidR="003644DD" w:rsidRPr="003644DD">
        <w:rPr>
          <w:lang w:val="en-IN"/>
        </w:rPr>
        <w:t xml:space="preserve">Tan and Tian (2023) investigated the robustness of model explanations under adversarial perturbations and examined the relationship between explanation robustness and faithfulness. Their study highlighted a potential trade-off: making explanations more robust does not necessarily preserve their faithfulness to the model’s behaviour. This finding is relevant to the </w:t>
      </w:r>
      <w:r w:rsidR="003644DD" w:rsidRPr="003644DD">
        <w:rPr>
          <w:lang w:val="en-IN"/>
        </w:rPr>
        <w:lastRenderedPageBreak/>
        <w:t>proposed R-XDL framework because explanation stability should not be treated as sufficient evidence of explanation reliability. Accordingly, the proposed framework considers explanation stability alongside fidelity and predictive uncertainty. The effectiveness of combining these diagnostic measures remains to be established through empirical evaluation.</w:t>
      </w:r>
      <w:r w:rsidR="003644DD">
        <w:rPr>
          <w:lang w:val="en-IN"/>
        </w:rPr>
        <w:t xml:space="preserve"> </w:t>
      </w:r>
      <w:r w:rsidR="00C56565">
        <w:rPr>
          <w:lang w:val="en-IN"/>
        </w:rPr>
        <w:t xml:space="preserve"> </w:t>
      </w:r>
      <w:proofErr w:type="spellStart"/>
      <w:r w:rsidR="00C56565" w:rsidRPr="00C56565">
        <w:rPr>
          <w:lang w:val="en-IN"/>
        </w:rPr>
        <w:t>Bodria</w:t>
      </w:r>
      <w:proofErr w:type="spellEnd"/>
      <w:r w:rsidR="00C56565" w:rsidRPr="00C56565">
        <w:rPr>
          <w:lang w:val="en-IN"/>
        </w:rPr>
        <w:t xml:space="preserve"> et al. (2023) presented a comprehensive survey and benchmarking study of explanation methods for black-box models. Their work compared explanation techniques using quantitative criteria, including faithfulness, stability, robustness, and execution time. This research highlights the importance of evaluating explanations through multiple complementary measures rather than relying exclusively on visual inspection. For the proposed R-XDL framework, this motivates a structured evaluation protocol that considers explanation fidelity, stability under input perturbations, and computational overhead alongside predictive uncertainty. However, the combined diagnostic mechanism proposed in this paper requires separate empirical validation.</w:t>
      </w:r>
      <w:r w:rsidR="00C56565">
        <w:rPr>
          <w:lang w:val="en-IN"/>
        </w:rPr>
        <w:t xml:space="preserve"> </w:t>
      </w:r>
      <w:r w:rsidR="00C00DD4">
        <w:rPr>
          <w:lang w:val="en-IN"/>
        </w:rPr>
        <w:t xml:space="preserve"> </w:t>
      </w:r>
      <w:r w:rsidR="00C00DD4" w:rsidRPr="00C00DD4">
        <w:rPr>
          <w:lang w:val="en-IN"/>
        </w:rPr>
        <w:t>Gawantka et al. (2024) proposed a metric for evaluating the stability of explainable AI methods and highlighted the challenge of obtaining consistent explanations from methods that may produce different outputs for the same input and model. Their work supports the need to assess explanation stability quantitatively rather than relying solely on visual inspection. In the proposed R-XDL framework, this motivates evaluating explanations under controlled input perturbations and reporting a defined stability measure alongside fidelity and predictive uncertainty. The suitability of these measures for the proposed framework must be assessed in future empirical studies.</w:t>
      </w:r>
      <w:r w:rsidR="00C00DD4">
        <w:rPr>
          <w:lang w:val="en-IN"/>
        </w:rPr>
        <w:t xml:space="preserve"> </w:t>
      </w:r>
      <w:r w:rsidR="00921C1F" w:rsidRPr="00921C1F">
        <w:rPr>
          <w:lang w:val="en-IN"/>
        </w:rPr>
        <w:t xml:space="preserve">Recent developments in explainable artificial intelligence </w:t>
      </w:r>
      <w:r w:rsidR="00921C1F" w:rsidRPr="00921C1F">
        <w:rPr>
          <w:highlight w:val="yellow"/>
          <w:lang w:val="en-IN"/>
        </w:rPr>
        <w:t>emphasise</w:t>
      </w:r>
      <w:r w:rsidR="00921C1F" w:rsidRPr="00921C1F">
        <w:rPr>
          <w:lang w:val="en-IN"/>
        </w:rPr>
        <w:t xml:space="preserve"> that explanation quality should be evaluated beyond visual plausibility. In particular, explanation reliability requires consideration of faithfulness to model behaviour, stability under small input perturbations, and consistency across relevant data conditions. These considerations are especially important when deep learning models operate under distribution shifts or noisy inputs, because changes in model predictions may be accompanied by changes in the explanations used to interpret them. Robust XAI evaluation should therefore examine predictive performance and explanation quality jointly, using clearly defined metrics and controlled evaluation conditions. The selection of suitable stability metrics, out-of-distribution detection methods, and benchmarking procedures should be supported by recent peer-reviewed studies and validated for the intended application domain.</w:t>
      </w:r>
      <w:r w:rsidR="00921C1F">
        <w:rPr>
          <w:lang w:val="en-IN"/>
        </w:rPr>
        <w:t xml:space="preserve"> </w:t>
      </w:r>
      <w:r>
        <w:t>Adebayo et al. (2018) proposed sanity checks to test whether saliency methods are sensitive to learned model parameters and training data. Explanation evaluation should therefore include model sensitivity, stability, fidelity, and human-</w:t>
      </w:r>
      <w:proofErr w:type="spellStart"/>
      <w:r>
        <w:t>centred</w:t>
      </w:r>
      <w:proofErr w:type="spellEnd"/>
      <w:r>
        <w:t xml:space="preserve"> usefulness.</w:t>
      </w:r>
    </w:p>
    <w:p w14:paraId="5B575045" w14:textId="77777777" w:rsidR="002A5D6D" w:rsidRPr="002A5D6D" w:rsidRDefault="002A5D6D" w:rsidP="002A5D6D">
      <w:pPr>
        <w:jc w:val="both"/>
        <w:rPr>
          <w:lang w:val="en-IN"/>
        </w:rPr>
      </w:pPr>
      <w:r w:rsidRPr="002A5D6D">
        <w:rPr>
          <w:lang w:val="en-IN"/>
        </w:rPr>
        <w:lastRenderedPageBreak/>
        <w:t xml:space="preserve">Application-oriented research by </w:t>
      </w:r>
      <w:proofErr w:type="spellStart"/>
      <w:r w:rsidRPr="002A5D6D">
        <w:rPr>
          <w:lang w:val="en-IN"/>
        </w:rPr>
        <w:t>Ankatwar</w:t>
      </w:r>
      <w:proofErr w:type="spellEnd"/>
      <w:r w:rsidRPr="002A5D6D">
        <w:rPr>
          <w:lang w:val="en-IN"/>
        </w:rPr>
        <w:t xml:space="preserve"> and Dhawale (2024) examined explainable AI techniques for deep learning-based crop disease detection using spectral imaging. This work provides an agricultural image-analysis context for discussing how explanations can help interpret model predictions. Nevertheless, the reliability of explanations under distribution shifts and noisy inputs requires separate assessment of explanation fidelity and stability.</w:t>
      </w:r>
    </w:p>
    <w:p w14:paraId="3FAF47CD" w14:textId="77777777" w:rsidR="00325982" w:rsidRDefault="00000000">
      <w:pPr>
        <w:pStyle w:val="Heading2"/>
      </w:pPr>
      <w:r>
        <w:t>2.4 Uncertainty and Trustworthy AI</w:t>
      </w:r>
    </w:p>
    <w:p w14:paraId="42624A0E" w14:textId="77777777" w:rsidR="00325982" w:rsidRDefault="00000000">
      <w:pPr>
        <w:jc w:val="both"/>
      </w:pPr>
      <w:r>
        <w:t xml:space="preserve">Predictive uncertainty can support decisions about when a model should defer to a human or abstain. Calibration measures whether predicted probabilities correspond to empirical frequencies; selective prediction evaluates performance when a system is allowed to reject uncertain cases. These tools are not interchangeable: a model can be calibrated on one distribution and </w:t>
      </w:r>
      <w:proofErr w:type="spellStart"/>
      <w:r>
        <w:t>miscalibrated</w:t>
      </w:r>
      <w:proofErr w:type="spellEnd"/>
      <w:r>
        <w:t xml:space="preserve"> after a shift. Risk management guidance </w:t>
      </w:r>
      <w:r>
        <w:rPr>
          <w:highlight w:val="yellow"/>
        </w:rPr>
        <w:t>emphasises</w:t>
      </w:r>
      <w:r>
        <w:t xml:space="preserve"> lifecycle-based assessment of validity, reliability, transparency, fairness, privacy, security, and accountability (Tabassi, 2023). The proposed framework applies this perspective to joint monitoring of predictions and explanations.</w:t>
      </w:r>
    </w:p>
    <w:p w14:paraId="4FBFD8F8" w14:textId="77777777" w:rsidR="003D3869" w:rsidRDefault="003D3869" w:rsidP="003D3869">
      <w:pPr>
        <w:jc w:val="both"/>
        <w:rPr>
          <w:lang w:val="en-IN"/>
        </w:rPr>
      </w:pPr>
      <w:proofErr w:type="spellStart"/>
      <w:r w:rsidRPr="003D3869">
        <w:rPr>
          <w:lang w:val="en-IN"/>
        </w:rPr>
        <w:t>Crabbé</w:t>
      </w:r>
      <w:proofErr w:type="spellEnd"/>
      <w:r w:rsidRPr="003D3869">
        <w:rPr>
          <w:lang w:val="en-IN"/>
        </w:rPr>
        <w:t xml:space="preserve"> and van der Schaar (2023) investigated the robustness of interpretability methods through the concepts of explanation invariance and equivariance. Their work introduced metrics for assessing whether explanations remain consistent with the symmetry properties of the model and examined the robustness of different interpretability methods across multiple settings. This research provides a useful foundation for evaluating explanation behaviour beyond visual inspection. In the proposed R-XDL framework, these findings motivate the use of quantitative explanation-stability measures under controlled perturbations and relevant transformations. The applicability of these measures to the proposed diagnostic gate requires further empirical investigation.</w:t>
      </w:r>
    </w:p>
    <w:p w14:paraId="0DF392CA" w14:textId="77777777" w:rsidR="003D3869" w:rsidRDefault="003D3869" w:rsidP="003D3869">
      <w:pPr>
        <w:jc w:val="both"/>
        <w:rPr>
          <w:lang w:val="en-IN"/>
        </w:rPr>
      </w:pPr>
      <w:r w:rsidRPr="003D3869">
        <w:rPr>
          <w:lang w:val="en-IN"/>
        </w:rPr>
        <w:t xml:space="preserve">Le et al. (2023) examined the available toolkits and evaluation resources for explainable artificial intelligence and identified limitations in metric coverage, dataset availability, and comparability across evaluation tools. Their findings highlight the need for </w:t>
      </w:r>
      <w:r w:rsidRPr="003D3869">
        <w:rPr>
          <w:highlight w:val="yellow"/>
          <w:lang w:val="en-IN"/>
        </w:rPr>
        <w:t>standardised</w:t>
      </w:r>
      <w:r w:rsidRPr="003D3869">
        <w:rPr>
          <w:lang w:val="en-IN"/>
        </w:rPr>
        <w:t xml:space="preserve"> procedures when assessing explanation quality. This is relevant to the proposed R-XDL framework because its evaluation protocol combines multiple criteria, including explanation fidelity, stability, predictive uncertainty, and distribution-shift diagnostics. Consistent definitions of metrics and reproducible evaluation settings will be necessary to support meaningful comparisons between the proposed </w:t>
      </w:r>
      <w:r w:rsidRPr="003D3869">
        <w:rPr>
          <w:lang w:val="en-IN"/>
        </w:rPr>
        <w:lastRenderedPageBreak/>
        <w:t>framework and existing approaches. The effectiveness of the combined R-XDL evaluation protocol remains to be established through future empirical validation.</w:t>
      </w:r>
    </w:p>
    <w:p w14:paraId="54530A0D" w14:textId="77777777" w:rsidR="00625576" w:rsidRDefault="00625576" w:rsidP="00625576">
      <w:pPr>
        <w:jc w:val="both"/>
        <w:rPr>
          <w:lang w:val="en-IN"/>
        </w:rPr>
      </w:pPr>
      <w:proofErr w:type="spellStart"/>
      <w:r w:rsidRPr="00625576">
        <w:rPr>
          <w:lang w:val="en-IN"/>
        </w:rPr>
        <w:t>Gawlikowski</w:t>
      </w:r>
      <w:proofErr w:type="spellEnd"/>
      <w:r w:rsidRPr="00625576">
        <w:rPr>
          <w:lang w:val="en-IN"/>
        </w:rPr>
        <w:t xml:space="preserve"> et al. (2023) reviewed uncertainty estimation in deep neural networks, including methods for quantifying model and data uncertainty, calibration techniques, evaluation metrics, and benchmark datasets. Their survey </w:t>
      </w:r>
      <w:r w:rsidRPr="00625576">
        <w:rPr>
          <w:highlight w:val="yellow"/>
          <w:lang w:val="en-IN"/>
        </w:rPr>
        <w:t>emphasises</w:t>
      </w:r>
      <w:r w:rsidRPr="00625576">
        <w:rPr>
          <w:lang w:val="en-IN"/>
        </w:rPr>
        <w:t xml:space="preserve"> that predictive confidence alone is insufficient unless uncertainty estimates are also evaluated for reliability. This distinction is relevant to the R-XDL framework because predictive uncertainty and distribution-shift diagnostics provide complementary information about potentially unreliable predictions. Accordingly, the proposed framework considers uncertainty alongside explanation fidelity, explanation stability, and shift detection. The effectiveness of this combined approach remains to be established through future empirical evaluation.</w:t>
      </w:r>
    </w:p>
    <w:p w14:paraId="10B5772F" w14:textId="77777777" w:rsidR="0058535B" w:rsidRDefault="0058535B" w:rsidP="0058535B">
      <w:pPr>
        <w:jc w:val="both"/>
        <w:rPr>
          <w:b/>
          <w:bCs/>
          <w:lang w:val="en-IN"/>
        </w:rPr>
      </w:pPr>
      <w:r w:rsidRPr="0058535B">
        <w:rPr>
          <w:b/>
          <w:bCs/>
          <w:lang w:val="en-IN"/>
        </w:rPr>
        <w:t>Table 1. Summary of Related Research and the Motivation for the Proposed R-XDL Framework</w:t>
      </w:r>
    </w:p>
    <w:tbl>
      <w:tblPr>
        <w:tblStyle w:val="TableGrid"/>
        <w:tblW w:w="0" w:type="auto"/>
        <w:tblInd w:w="62" w:type="dxa"/>
        <w:tblLook w:val="0000" w:firstRow="0" w:lastRow="0" w:firstColumn="0" w:lastColumn="0" w:noHBand="0" w:noVBand="0"/>
      </w:tblPr>
      <w:tblGrid>
        <w:gridCol w:w="1843"/>
        <w:gridCol w:w="2043"/>
        <w:gridCol w:w="2861"/>
        <w:gridCol w:w="2541"/>
      </w:tblGrid>
      <w:tr w:rsidR="0058535B" w14:paraId="4E551E8F" w14:textId="77777777" w:rsidTr="00F600C6">
        <w:tc>
          <w:tcPr>
            <w:tcW w:w="0" w:type="auto"/>
            <w:vAlign w:val="center"/>
          </w:tcPr>
          <w:p w14:paraId="1CA9ED1D" w14:textId="77777777" w:rsidR="0058535B" w:rsidRDefault="0058535B" w:rsidP="0058535B">
            <w:pPr>
              <w:jc w:val="both"/>
              <w:rPr>
                <w:lang w:val="en-IN"/>
              </w:rPr>
            </w:pPr>
            <w:r w:rsidRPr="0058535B">
              <w:rPr>
                <w:b/>
                <w:bCs/>
                <w:lang w:val="en-IN"/>
              </w:rPr>
              <w:t>Research area</w:t>
            </w:r>
          </w:p>
        </w:tc>
        <w:tc>
          <w:tcPr>
            <w:tcW w:w="0" w:type="auto"/>
            <w:vAlign w:val="center"/>
          </w:tcPr>
          <w:p w14:paraId="3DFA3D5D" w14:textId="77777777" w:rsidR="0058535B" w:rsidRDefault="0058535B" w:rsidP="0058535B">
            <w:pPr>
              <w:jc w:val="both"/>
              <w:rPr>
                <w:lang w:val="en-IN"/>
              </w:rPr>
            </w:pPr>
            <w:r w:rsidRPr="0058535B">
              <w:rPr>
                <w:b/>
                <w:bCs/>
                <w:lang w:val="en-IN"/>
              </w:rPr>
              <w:t>Representative study</w:t>
            </w:r>
          </w:p>
        </w:tc>
        <w:tc>
          <w:tcPr>
            <w:tcW w:w="0" w:type="auto"/>
            <w:vAlign w:val="center"/>
          </w:tcPr>
          <w:p w14:paraId="4410EBBB" w14:textId="77777777" w:rsidR="0058535B" w:rsidRDefault="0058535B" w:rsidP="0058535B">
            <w:pPr>
              <w:jc w:val="both"/>
              <w:rPr>
                <w:lang w:val="en-IN"/>
              </w:rPr>
            </w:pPr>
            <w:r w:rsidRPr="0058535B">
              <w:rPr>
                <w:b/>
                <w:bCs/>
                <w:lang w:val="en-IN"/>
              </w:rPr>
              <w:t>Main relevance</w:t>
            </w:r>
          </w:p>
        </w:tc>
        <w:tc>
          <w:tcPr>
            <w:tcW w:w="0" w:type="auto"/>
            <w:vAlign w:val="center"/>
          </w:tcPr>
          <w:p w14:paraId="583041B2" w14:textId="77777777" w:rsidR="0058535B" w:rsidRDefault="0058535B" w:rsidP="0058535B">
            <w:pPr>
              <w:jc w:val="both"/>
              <w:rPr>
                <w:lang w:val="en-IN"/>
              </w:rPr>
            </w:pPr>
            <w:r w:rsidRPr="0058535B">
              <w:rPr>
                <w:b/>
                <w:bCs/>
                <w:lang w:val="en-IN"/>
              </w:rPr>
              <w:t>Remaining issue for R-XDL</w:t>
            </w:r>
          </w:p>
        </w:tc>
      </w:tr>
      <w:tr w:rsidR="0058535B" w14:paraId="20914F9C" w14:textId="77777777" w:rsidTr="00F600C6">
        <w:tc>
          <w:tcPr>
            <w:tcW w:w="0" w:type="auto"/>
            <w:vAlign w:val="center"/>
          </w:tcPr>
          <w:p w14:paraId="32822612" w14:textId="77777777" w:rsidR="0058535B" w:rsidRPr="0058535B" w:rsidRDefault="0058535B" w:rsidP="0058535B">
            <w:pPr>
              <w:jc w:val="both"/>
              <w:rPr>
                <w:b/>
                <w:bCs/>
                <w:lang w:val="en-IN"/>
              </w:rPr>
            </w:pPr>
            <w:r w:rsidRPr="0058535B">
              <w:rPr>
                <w:lang w:val="en-IN"/>
              </w:rPr>
              <w:t>Distribution-shift robustness</w:t>
            </w:r>
          </w:p>
        </w:tc>
        <w:tc>
          <w:tcPr>
            <w:tcW w:w="0" w:type="auto"/>
            <w:vAlign w:val="center"/>
          </w:tcPr>
          <w:p w14:paraId="45FB5D60" w14:textId="77777777" w:rsidR="0058535B" w:rsidRPr="0058535B" w:rsidRDefault="0058535B" w:rsidP="0058535B">
            <w:pPr>
              <w:jc w:val="both"/>
              <w:rPr>
                <w:b/>
                <w:bCs/>
                <w:lang w:val="en-IN"/>
              </w:rPr>
            </w:pPr>
            <w:r w:rsidRPr="0058535B">
              <w:rPr>
                <w:lang w:val="en-IN"/>
              </w:rPr>
              <w:t>Hendrycks and Dietterich (2019)</w:t>
            </w:r>
          </w:p>
        </w:tc>
        <w:tc>
          <w:tcPr>
            <w:tcW w:w="0" w:type="auto"/>
            <w:vAlign w:val="center"/>
          </w:tcPr>
          <w:p w14:paraId="573A07BC" w14:textId="77777777" w:rsidR="0058535B" w:rsidRPr="0058535B" w:rsidRDefault="0058535B" w:rsidP="0058535B">
            <w:pPr>
              <w:jc w:val="both"/>
              <w:rPr>
                <w:b/>
                <w:bCs/>
                <w:lang w:val="en-IN"/>
              </w:rPr>
            </w:pPr>
            <w:r w:rsidRPr="0058535B">
              <w:rPr>
                <w:lang w:val="en-IN"/>
              </w:rPr>
              <w:t>Evaluates model robustness under common image corruptions</w:t>
            </w:r>
          </w:p>
        </w:tc>
        <w:tc>
          <w:tcPr>
            <w:tcW w:w="0" w:type="auto"/>
            <w:vAlign w:val="center"/>
          </w:tcPr>
          <w:p w14:paraId="6847ABA9" w14:textId="77777777" w:rsidR="0058535B" w:rsidRPr="0058535B" w:rsidRDefault="0058535B" w:rsidP="0058535B">
            <w:pPr>
              <w:jc w:val="both"/>
              <w:rPr>
                <w:b/>
                <w:bCs/>
                <w:lang w:val="en-IN"/>
              </w:rPr>
            </w:pPr>
            <w:r w:rsidRPr="0058535B">
              <w:rPr>
                <w:lang w:val="en-IN"/>
              </w:rPr>
              <w:t>Explanation reliability must also be evaluated</w:t>
            </w:r>
          </w:p>
        </w:tc>
      </w:tr>
      <w:tr w:rsidR="0058535B" w14:paraId="00569775" w14:textId="77777777" w:rsidTr="00F600C6">
        <w:tc>
          <w:tcPr>
            <w:tcW w:w="0" w:type="auto"/>
            <w:vAlign w:val="center"/>
          </w:tcPr>
          <w:p w14:paraId="01A7C5A7" w14:textId="77777777" w:rsidR="0058535B" w:rsidRPr="0058535B" w:rsidRDefault="0058535B" w:rsidP="0058535B">
            <w:pPr>
              <w:jc w:val="both"/>
              <w:rPr>
                <w:lang w:val="en-IN"/>
              </w:rPr>
            </w:pPr>
            <w:r w:rsidRPr="0058535B">
              <w:rPr>
                <w:lang w:val="en-IN"/>
              </w:rPr>
              <w:t>OOD detection benchmarking</w:t>
            </w:r>
          </w:p>
        </w:tc>
        <w:tc>
          <w:tcPr>
            <w:tcW w:w="0" w:type="auto"/>
            <w:vAlign w:val="center"/>
          </w:tcPr>
          <w:p w14:paraId="1C565111" w14:textId="77777777" w:rsidR="0058535B" w:rsidRPr="0058535B" w:rsidRDefault="0058535B" w:rsidP="0058535B">
            <w:pPr>
              <w:jc w:val="both"/>
              <w:rPr>
                <w:lang w:val="en-IN"/>
              </w:rPr>
            </w:pPr>
            <w:r w:rsidRPr="0058535B">
              <w:rPr>
                <w:lang w:val="en-IN"/>
              </w:rPr>
              <w:t>Yang et al. (2022)</w:t>
            </w:r>
          </w:p>
        </w:tc>
        <w:tc>
          <w:tcPr>
            <w:tcW w:w="0" w:type="auto"/>
            <w:vAlign w:val="center"/>
          </w:tcPr>
          <w:p w14:paraId="3670B1E6" w14:textId="77777777" w:rsidR="0058535B" w:rsidRPr="0058535B" w:rsidRDefault="0058535B" w:rsidP="0058535B">
            <w:pPr>
              <w:jc w:val="both"/>
              <w:rPr>
                <w:lang w:val="en-IN"/>
              </w:rPr>
            </w:pPr>
            <w:r w:rsidRPr="0058535B">
              <w:rPr>
                <w:lang w:val="en-IN"/>
              </w:rPr>
              <w:t>Provides a benchmark for OOD detection</w:t>
            </w:r>
          </w:p>
        </w:tc>
        <w:tc>
          <w:tcPr>
            <w:tcW w:w="0" w:type="auto"/>
            <w:vAlign w:val="center"/>
          </w:tcPr>
          <w:p w14:paraId="1C6596CA" w14:textId="77777777" w:rsidR="0058535B" w:rsidRPr="0058535B" w:rsidRDefault="0058535B" w:rsidP="0058535B">
            <w:pPr>
              <w:jc w:val="both"/>
              <w:rPr>
                <w:lang w:val="en-IN"/>
              </w:rPr>
            </w:pPr>
            <w:r w:rsidRPr="0058535B">
              <w:rPr>
                <w:lang w:val="en-IN"/>
              </w:rPr>
              <w:t>OOD detection alone does not establish explanation fidelity</w:t>
            </w:r>
          </w:p>
        </w:tc>
      </w:tr>
      <w:tr w:rsidR="0058535B" w14:paraId="713BC77A" w14:textId="77777777" w:rsidTr="00F600C6">
        <w:tc>
          <w:tcPr>
            <w:tcW w:w="0" w:type="auto"/>
            <w:vAlign w:val="center"/>
          </w:tcPr>
          <w:p w14:paraId="14FD0F57" w14:textId="77777777" w:rsidR="0058535B" w:rsidRPr="0058535B" w:rsidRDefault="0058535B" w:rsidP="0058535B">
            <w:pPr>
              <w:jc w:val="both"/>
              <w:rPr>
                <w:lang w:val="en-IN"/>
              </w:rPr>
            </w:pPr>
            <w:r w:rsidRPr="0058535B">
              <w:rPr>
                <w:lang w:val="en-IN"/>
              </w:rPr>
              <w:t>Explanation benchmarking</w:t>
            </w:r>
          </w:p>
        </w:tc>
        <w:tc>
          <w:tcPr>
            <w:tcW w:w="0" w:type="auto"/>
            <w:vAlign w:val="center"/>
          </w:tcPr>
          <w:p w14:paraId="4B423A0C" w14:textId="77777777" w:rsidR="0058535B" w:rsidRPr="0058535B" w:rsidRDefault="0058535B" w:rsidP="0058535B">
            <w:pPr>
              <w:jc w:val="both"/>
              <w:rPr>
                <w:lang w:val="en-IN"/>
              </w:rPr>
            </w:pPr>
            <w:proofErr w:type="spellStart"/>
            <w:r w:rsidRPr="0058535B">
              <w:rPr>
                <w:lang w:val="en-IN"/>
              </w:rPr>
              <w:t>Bodria</w:t>
            </w:r>
            <w:proofErr w:type="spellEnd"/>
            <w:r w:rsidRPr="0058535B">
              <w:rPr>
                <w:lang w:val="en-IN"/>
              </w:rPr>
              <w:t xml:space="preserve"> et al. (2023)</w:t>
            </w:r>
          </w:p>
        </w:tc>
        <w:tc>
          <w:tcPr>
            <w:tcW w:w="0" w:type="auto"/>
            <w:vAlign w:val="center"/>
          </w:tcPr>
          <w:p w14:paraId="46B9C478" w14:textId="77777777" w:rsidR="0058535B" w:rsidRPr="0058535B" w:rsidRDefault="0058535B" w:rsidP="0058535B">
            <w:pPr>
              <w:jc w:val="both"/>
              <w:rPr>
                <w:lang w:val="en-IN"/>
              </w:rPr>
            </w:pPr>
            <w:r w:rsidRPr="0058535B">
              <w:rPr>
                <w:lang w:val="en-IN"/>
              </w:rPr>
              <w:t>Discusses quantitative evaluation of explanation methods</w:t>
            </w:r>
          </w:p>
        </w:tc>
        <w:tc>
          <w:tcPr>
            <w:tcW w:w="0" w:type="auto"/>
            <w:vAlign w:val="center"/>
          </w:tcPr>
          <w:p w14:paraId="5FB3010A" w14:textId="77777777" w:rsidR="0058535B" w:rsidRPr="0058535B" w:rsidRDefault="0058535B" w:rsidP="0058535B">
            <w:pPr>
              <w:jc w:val="both"/>
              <w:rPr>
                <w:lang w:val="en-IN"/>
              </w:rPr>
            </w:pPr>
            <w:r w:rsidRPr="0058535B">
              <w:rPr>
                <w:lang w:val="en-IN"/>
              </w:rPr>
              <w:t>Multiple diagnostic criteria need coordinated evaluation</w:t>
            </w:r>
          </w:p>
        </w:tc>
      </w:tr>
      <w:tr w:rsidR="0058535B" w14:paraId="00DC62FE" w14:textId="77777777" w:rsidTr="00F600C6">
        <w:tc>
          <w:tcPr>
            <w:tcW w:w="0" w:type="auto"/>
            <w:vAlign w:val="center"/>
          </w:tcPr>
          <w:p w14:paraId="1D609446" w14:textId="77777777" w:rsidR="0058535B" w:rsidRPr="0058535B" w:rsidRDefault="0058535B" w:rsidP="0058535B">
            <w:pPr>
              <w:jc w:val="both"/>
              <w:rPr>
                <w:lang w:val="en-IN"/>
              </w:rPr>
            </w:pPr>
            <w:r w:rsidRPr="0058535B">
              <w:rPr>
                <w:lang w:val="en-IN"/>
              </w:rPr>
              <w:t>Explanation stability</w:t>
            </w:r>
          </w:p>
        </w:tc>
        <w:tc>
          <w:tcPr>
            <w:tcW w:w="0" w:type="auto"/>
            <w:vAlign w:val="center"/>
          </w:tcPr>
          <w:p w14:paraId="1D250C23" w14:textId="77777777" w:rsidR="0058535B" w:rsidRPr="0058535B" w:rsidRDefault="0058535B" w:rsidP="0058535B">
            <w:pPr>
              <w:jc w:val="both"/>
              <w:rPr>
                <w:lang w:val="en-IN"/>
              </w:rPr>
            </w:pPr>
            <w:proofErr w:type="spellStart"/>
            <w:r w:rsidRPr="0058535B">
              <w:rPr>
                <w:lang w:val="en-IN"/>
              </w:rPr>
              <w:t>Crabbé</w:t>
            </w:r>
            <w:proofErr w:type="spellEnd"/>
            <w:r w:rsidRPr="0058535B">
              <w:rPr>
                <w:lang w:val="en-IN"/>
              </w:rPr>
              <w:t xml:space="preserve"> and van der Schaar (2023)</w:t>
            </w:r>
          </w:p>
        </w:tc>
        <w:tc>
          <w:tcPr>
            <w:tcW w:w="0" w:type="auto"/>
            <w:vAlign w:val="center"/>
          </w:tcPr>
          <w:p w14:paraId="314F51DD" w14:textId="77777777" w:rsidR="0058535B" w:rsidRPr="0058535B" w:rsidRDefault="0058535B" w:rsidP="0058535B">
            <w:pPr>
              <w:jc w:val="both"/>
              <w:rPr>
                <w:lang w:val="en-IN"/>
              </w:rPr>
            </w:pPr>
            <w:r w:rsidRPr="0058535B">
              <w:rPr>
                <w:lang w:val="en-IN"/>
              </w:rPr>
              <w:t>Examines robustness properties of explanations</w:t>
            </w:r>
          </w:p>
        </w:tc>
        <w:tc>
          <w:tcPr>
            <w:tcW w:w="0" w:type="auto"/>
            <w:vAlign w:val="center"/>
          </w:tcPr>
          <w:p w14:paraId="4B045923" w14:textId="77777777" w:rsidR="0058535B" w:rsidRPr="0058535B" w:rsidRDefault="0058535B" w:rsidP="0058535B">
            <w:pPr>
              <w:jc w:val="both"/>
              <w:rPr>
                <w:lang w:val="en-IN"/>
              </w:rPr>
            </w:pPr>
            <w:r w:rsidRPr="0058535B">
              <w:rPr>
                <w:lang w:val="en-IN"/>
              </w:rPr>
              <w:t>Application-specific reliability requires validation</w:t>
            </w:r>
          </w:p>
        </w:tc>
      </w:tr>
      <w:tr w:rsidR="0058535B" w14:paraId="4D4B4DE0" w14:textId="77777777" w:rsidTr="00F600C6">
        <w:tc>
          <w:tcPr>
            <w:tcW w:w="0" w:type="auto"/>
            <w:vAlign w:val="center"/>
          </w:tcPr>
          <w:p w14:paraId="21CE647F" w14:textId="77777777" w:rsidR="0058535B" w:rsidRPr="0058535B" w:rsidRDefault="0058535B" w:rsidP="0058535B">
            <w:pPr>
              <w:jc w:val="both"/>
              <w:rPr>
                <w:lang w:val="en-IN"/>
              </w:rPr>
            </w:pPr>
            <w:r w:rsidRPr="0058535B">
              <w:rPr>
                <w:lang w:val="en-IN"/>
              </w:rPr>
              <w:lastRenderedPageBreak/>
              <w:t>Deep-learning uncertainty</w:t>
            </w:r>
          </w:p>
        </w:tc>
        <w:tc>
          <w:tcPr>
            <w:tcW w:w="0" w:type="auto"/>
            <w:vAlign w:val="center"/>
          </w:tcPr>
          <w:p w14:paraId="05F214CA" w14:textId="77777777" w:rsidR="0058535B" w:rsidRPr="0058535B" w:rsidRDefault="0058535B" w:rsidP="0058535B">
            <w:pPr>
              <w:jc w:val="both"/>
              <w:rPr>
                <w:lang w:val="en-IN"/>
              </w:rPr>
            </w:pPr>
            <w:proofErr w:type="spellStart"/>
            <w:r w:rsidRPr="0058535B">
              <w:rPr>
                <w:lang w:val="en-IN"/>
              </w:rPr>
              <w:t>Gawlikowski</w:t>
            </w:r>
            <w:proofErr w:type="spellEnd"/>
            <w:r w:rsidRPr="0058535B">
              <w:rPr>
                <w:lang w:val="en-IN"/>
              </w:rPr>
              <w:t xml:space="preserve"> et al. (2023)</w:t>
            </w:r>
          </w:p>
        </w:tc>
        <w:tc>
          <w:tcPr>
            <w:tcW w:w="0" w:type="auto"/>
            <w:vAlign w:val="center"/>
          </w:tcPr>
          <w:p w14:paraId="33142E49" w14:textId="77777777" w:rsidR="0058535B" w:rsidRPr="0058535B" w:rsidRDefault="0058535B" w:rsidP="0058535B">
            <w:pPr>
              <w:jc w:val="both"/>
              <w:rPr>
                <w:lang w:val="en-IN"/>
              </w:rPr>
            </w:pPr>
            <w:r w:rsidRPr="0058535B">
              <w:rPr>
                <w:lang w:val="en-IN"/>
              </w:rPr>
              <w:t>Reviews uncertainty estimation and evaluation</w:t>
            </w:r>
          </w:p>
        </w:tc>
        <w:tc>
          <w:tcPr>
            <w:tcW w:w="0" w:type="auto"/>
            <w:vAlign w:val="center"/>
          </w:tcPr>
          <w:p w14:paraId="28407EC0" w14:textId="77777777" w:rsidR="0058535B" w:rsidRPr="0058535B" w:rsidRDefault="0058535B" w:rsidP="0058535B">
            <w:pPr>
              <w:jc w:val="both"/>
              <w:rPr>
                <w:lang w:val="en-IN"/>
              </w:rPr>
            </w:pPr>
            <w:r w:rsidRPr="0058535B">
              <w:rPr>
                <w:lang w:val="en-IN"/>
              </w:rPr>
              <w:t>Uncertainty must be considered alongside explanation quality</w:t>
            </w:r>
          </w:p>
        </w:tc>
      </w:tr>
      <w:tr w:rsidR="0058535B" w14:paraId="6A5205CE" w14:textId="77777777" w:rsidTr="00F600C6">
        <w:tc>
          <w:tcPr>
            <w:tcW w:w="0" w:type="auto"/>
            <w:vAlign w:val="center"/>
          </w:tcPr>
          <w:p w14:paraId="5CF75C75" w14:textId="77777777" w:rsidR="0058535B" w:rsidRPr="0058535B" w:rsidRDefault="0058535B" w:rsidP="0058535B">
            <w:pPr>
              <w:jc w:val="both"/>
              <w:rPr>
                <w:lang w:val="en-IN"/>
              </w:rPr>
            </w:pPr>
            <w:r w:rsidRPr="0058535B">
              <w:rPr>
                <w:lang w:val="en-IN"/>
              </w:rPr>
              <w:t>XAI evaluation resources</w:t>
            </w:r>
          </w:p>
        </w:tc>
        <w:tc>
          <w:tcPr>
            <w:tcW w:w="0" w:type="auto"/>
            <w:vAlign w:val="center"/>
          </w:tcPr>
          <w:p w14:paraId="18A2E101" w14:textId="77777777" w:rsidR="0058535B" w:rsidRPr="0058535B" w:rsidRDefault="0058535B" w:rsidP="0058535B">
            <w:pPr>
              <w:jc w:val="both"/>
              <w:rPr>
                <w:lang w:val="en-IN"/>
              </w:rPr>
            </w:pPr>
            <w:r w:rsidRPr="0058535B">
              <w:rPr>
                <w:lang w:val="en-IN"/>
              </w:rPr>
              <w:t>Le et al. (2023)</w:t>
            </w:r>
          </w:p>
        </w:tc>
        <w:tc>
          <w:tcPr>
            <w:tcW w:w="0" w:type="auto"/>
            <w:vAlign w:val="center"/>
          </w:tcPr>
          <w:p w14:paraId="3B9E9770" w14:textId="77777777" w:rsidR="0058535B" w:rsidRPr="0058535B" w:rsidRDefault="0058535B" w:rsidP="0058535B">
            <w:pPr>
              <w:jc w:val="both"/>
              <w:rPr>
                <w:lang w:val="en-IN"/>
              </w:rPr>
            </w:pPr>
            <w:r w:rsidRPr="0058535B">
              <w:rPr>
                <w:lang w:val="en-IN"/>
              </w:rPr>
              <w:t>Reviews evaluation toolkits and open challenges</w:t>
            </w:r>
          </w:p>
        </w:tc>
        <w:tc>
          <w:tcPr>
            <w:tcW w:w="0" w:type="auto"/>
            <w:vAlign w:val="center"/>
          </w:tcPr>
          <w:p w14:paraId="4E2486BE" w14:textId="77777777" w:rsidR="0058535B" w:rsidRPr="0058535B" w:rsidRDefault="0058535B" w:rsidP="0058535B">
            <w:pPr>
              <w:jc w:val="both"/>
              <w:rPr>
                <w:lang w:val="en-IN"/>
              </w:rPr>
            </w:pPr>
            <w:r w:rsidRPr="0058535B">
              <w:rPr>
                <w:lang w:val="en-IN"/>
              </w:rPr>
              <w:t>Reproducible evaluation procedures remain important</w:t>
            </w:r>
          </w:p>
        </w:tc>
      </w:tr>
      <w:tr w:rsidR="0058535B" w14:paraId="617C4D6D" w14:textId="77777777" w:rsidTr="00F600C6">
        <w:tc>
          <w:tcPr>
            <w:tcW w:w="0" w:type="auto"/>
            <w:vAlign w:val="center"/>
          </w:tcPr>
          <w:p w14:paraId="67B5A76B" w14:textId="77777777" w:rsidR="0058535B" w:rsidRPr="0058535B" w:rsidRDefault="0058535B" w:rsidP="0058535B">
            <w:pPr>
              <w:jc w:val="both"/>
              <w:rPr>
                <w:lang w:val="en-IN"/>
              </w:rPr>
            </w:pPr>
            <w:r w:rsidRPr="0058535B">
              <w:rPr>
                <w:lang w:val="en-IN"/>
              </w:rPr>
              <w:t>Proposed R-XDL framework</w:t>
            </w:r>
          </w:p>
        </w:tc>
        <w:tc>
          <w:tcPr>
            <w:tcW w:w="0" w:type="auto"/>
            <w:vAlign w:val="center"/>
          </w:tcPr>
          <w:p w14:paraId="3EE4B02D" w14:textId="77777777" w:rsidR="0058535B" w:rsidRPr="0058535B" w:rsidRDefault="0058535B" w:rsidP="0058535B">
            <w:pPr>
              <w:jc w:val="both"/>
              <w:rPr>
                <w:lang w:val="en-IN"/>
              </w:rPr>
            </w:pPr>
            <w:r w:rsidRPr="0058535B">
              <w:rPr>
                <w:lang w:val="en-IN"/>
              </w:rPr>
              <w:t>This paper</w:t>
            </w:r>
          </w:p>
        </w:tc>
        <w:tc>
          <w:tcPr>
            <w:tcW w:w="0" w:type="auto"/>
            <w:vAlign w:val="center"/>
          </w:tcPr>
          <w:p w14:paraId="6647954C" w14:textId="77777777" w:rsidR="0058535B" w:rsidRPr="0058535B" w:rsidRDefault="0058535B" w:rsidP="0058535B">
            <w:pPr>
              <w:jc w:val="both"/>
              <w:rPr>
                <w:lang w:val="en-IN"/>
              </w:rPr>
            </w:pPr>
            <w:r w:rsidRPr="0058535B">
              <w:rPr>
                <w:lang w:val="en-IN"/>
              </w:rPr>
              <w:t>Conceptually integrates robustness, uncertainty, explanation diagnostics, and risk-aware decisions</w:t>
            </w:r>
          </w:p>
        </w:tc>
        <w:tc>
          <w:tcPr>
            <w:tcW w:w="0" w:type="auto"/>
            <w:vAlign w:val="center"/>
          </w:tcPr>
          <w:p w14:paraId="6337747A" w14:textId="77777777" w:rsidR="0058535B" w:rsidRPr="0058535B" w:rsidRDefault="0058535B" w:rsidP="0058535B">
            <w:pPr>
              <w:jc w:val="both"/>
              <w:rPr>
                <w:lang w:val="en-IN"/>
              </w:rPr>
            </w:pPr>
            <w:r w:rsidRPr="0058535B">
              <w:rPr>
                <w:lang w:val="en-IN"/>
              </w:rPr>
              <w:t>Implementation and comparative experiments remain future work</w:t>
            </w:r>
          </w:p>
        </w:tc>
      </w:tr>
    </w:tbl>
    <w:p w14:paraId="78B33805" w14:textId="77777777" w:rsidR="00325982" w:rsidRDefault="00000000">
      <w:pPr>
        <w:pStyle w:val="Heading2"/>
      </w:pPr>
      <w:r>
        <w:t>2.5 Research Gap</w:t>
      </w:r>
    </w:p>
    <w:p w14:paraId="0E790777" w14:textId="77777777" w:rsidR="00325982" w:rsidRDefault="00000000">
      <w:pPr>
        <w:jc w:val="both"/>
      </w:pPr>
      <w:r>
        <w:t>The literature provides separate techniques for robustness, noise handling, drift detection, uncertainty estimation, and explanation generation. The practical gap addressed in this paper is a unified operational process that treats explanation reliability as a monitored property alongside prediction reliability. The proposed contribution is a conceptual architecture, a risk-aware decision policy, and a domain-adaptable evaluation plan. It does not claim that existing systems universally lack such capabilities or that the proposed integration has already been shown to outperform alternatives.</w:t>
      </w:r>
    </w:p>
    <w:p w14:paraId="54200638" w14:textId="77777777" w:rsidR="00A228D9" w:rsidRPr="00A228D9" w:rsidRDefault="00A228D9" w:rsidP="00A228D9">
      <w:pPr>
        <w:jc w:val="both"/>
        <w:rPr>
          <w:lang w:val="en-IN"/>
        </w:rPr>
      </w:pPr>
      <w:r w:rsidRPr="00A228D9">
        <w:rPr>
          <w:lang w:val="en-IN"/>
        </w:rPr>
        <w:t xml:space="preserve">Despite progress in robust learning, noisy-data handling, out-of-distribution detection, and explainable artificial intelligence, these areas are often evaluated using separate performance criteria. Predictive robustness does not necessarily guarantee explanation fidelity, and explanation stability alone does not establish that an explanation accurately represents model behaviour. Furthermore, distribution-shift detection and predictive uncertainty provide different types of evidence and should not be treated as interchangeable indicators of reliability. These considerations motivate a unified evaluation approach that examines prediction quality, explanation fidelity, explanation stability, uncertainty, and shift diagnostics together. To address this conceptual gap, the proposed Robust Explainable Deep Learning (R-XDL) framework integrates these components within a common lifecycle and introduces a proposed explanation diagnostic gate for risk-aware decision-making. The framework represents a conceptual contribution rather than an experimentally validated solution; its effectiveness, computational </w:t>
      </w:r>
      <w:r w:rsidRPr="00A228D9">
        <w:rPr>
          <w:lang w:val="en-IN"/>
        </w:rPr>
        <w:lastRenderedPageBreak/>
        <w:t>feasibility, and advantages over existing approaches remain to be established through controlled empirical studies.</w:t>
      </w:r>
    </w:p>
    <w:p w14:paraId="6B9B6FB4" w14:textId="77777777" w:rsidR="00325982" w:rsidRDefault="00000000">
      <w:pPr>
        <w:pStyle w:val="Heading1"/>
      </w:pPr>
      <w:r>
        <w:t>3. Proposed Methodology</w:t>
      </w:r>
    </w:p>
    <w:p w14:paraId="451932AB" w14:textId="77777777" w:rsidR="00325982" w:rsidRDefault="00000000">
      <w:pPr>
        <w:pStyle w:val="Heading2"/>
      </w:pPr>
      <w:r>
        <w:t>3.1 Research Design</w:t>
      </w:r>
    </w:p>
    <w:p w14:paraId="72B9A1B6" w14:textId="77777777" w:rsidR="00325982" w:rsidRDefault="00000000">
      <w:pPr>
        <w:jc w:val="both"/>
      </w:pPr>
      <w:r>
        <w:t>This manuscript adopts a conceptual framework-development approach based on established research in robust machine learning, explainable AI, and trustworthy AI risk management. It does not report a completed benchmark, original dataset, or user experiment. To convert the proposal into an empirical study, researchers should specify the application domain, datasets, shift scenarios, noise mechanisms, baselines, random seeds, compute environment, and statistical analysis before running experiments.</w:t>
      </w:r>
    </w:p>
    <w:p w14:paraId="567DA9EB" w14:textId="77777777" w:rsidR="00325982" w:rsidRDefault="00000000">
      <w:pPr>
        <w:pStyle w:val="Heading2"/>
      </w:pPr>
      <w:r>
        <w:t>3.2 Framework Architecture</w:t>
      </w:r>
    </w:p>
    <w:p w14:paraId="2DEC7E4E" w14:textId="77777777" w:rsidR="00325982" w:rsidRDefault="00000000">
      <w:pPr>
        <w:jc w:val="both"/>
      </w:pPr>
      <w:r>
        <w:t>The proposed Robust Explainable Deep Learning (R-XDL) lifecycle consists of the following connected stages:</w:t>
      </w:r>
    </w:p>
    <w:p w14:paraId="64B63952" w14:textId="77777777" w:rsidR="00325982" w:rsidRDefault="00000000">
      <w:pPr>
        <w:keepLines/>
        <w:jc w:val="both"/>
      </w:pPr>
      <w:r>
        <w:rPr>
          <w:b/>
        </w:rPr>
        <w:t xml:space="preserve">1. Data intake and provenance. </w:t>
      </w:r>
      <w:r>
        <w:t>Record source, timestamp, environment, preprocessing version, known quality limits, and applicable privacy constraints.</w:t>
      </w:r>
    </w:p>
    <w:p w14:paraId="3DC1E777" w14:textId="77777777" w:rsidR="00325982" w:rsidRDefault="00000000">
      <w:pPr>
        <w:keepLines/>
        <w:jc w:val="both"/>
      </w:pPr>
      <w:r>
        <w:rPr>
          <w:b/>
        </w:rPr>
        <w:t xml:space="preserve">2. Data quality and shift diagnostics. </w:t>
      </w:r>
      <w:r>
        <w:t>Check missingness, schema violations, range errors, corruption indicators, feature-distribution changes, and—when labels become available—changes in error or target relationships.</w:t>
      </w:r>
    </w:p>
    <w:p w14:paraId="52D9908E" w14:textId="77777777" w:rsidR="00325982" w:rsidRDefault="00000000">
      <w:pPr>
        <w:keepLines/>
        <w:jc w:val="both"/>
      </w:pPr>
      <w:r>
        <w:rPr>
          <w:b/>
        </w:rPr>
        <w:t xml:space="preserve">3. Robust prediction. </w:t>
      </w:r>
      <w:r>
        <w:t xml:space="preserve">Use a model trained with task-appropriate augmentation, </w:t>
      </w:r>
      <w:r>
        <w:rPr>
          <w:highlight w:val="yellow"/>
        </w:rPr>
        <w:t>regularisation</w:t>
      </w:r>
      <w:r>
        <w:t xml:space="preserve">, noise handling, or domain </w:t>
      </w:r>
      <w:r>
        <w:rPr>
          <w:highlight w:val="yellow"/>
        </w:rPr>
        <w:t>generalisation</w:t>
      </w:r>
      <w:r>
        <w:t>. Document the assumed shift families and limits.</w:t>
      </w:r>
    </w:p>
    <w:p w14:paraId="7F8B66A2" w14:textId="77777777" w:rsidR="00325982" w:rsidRDefault="00000000">
      <w:pPr>
        <w:keepLines/>
        <w:jc w:val="both"/>
      </w:pPr>
      <w:r>
        <w:rPr>
          <w:b/>
        </w:rPr>
        <w:t xml:space="preserve">4. Uncertainty estimation. </w:t>
      </w:r>
      <w:r>
        <w:t>Produce a calibrated confidence or uncertainty signal and assess its validity under clean and shifted conditions.</w:t>
      </w:r>
    </w:p>
    <w:p w14:paraId="21ED46E5" w14:textId="77777777" w:rsidR="00325982" w:rsidRDefault="00000000">
      <w:pPr>
        <w:keepLines/>
        <w:jc w:val="both"/>
      </w:pPr>
      <w:r>
        <w:rPr>
          <w:b/>
        </w:rPr>
        <w:t xml:space="preserve">5. Explanation generation. </w:t>
      </w:r>
      <w:r>
        <w:t>Generate an explanation appropriate to the model and modality, such as SHAP/LIME feature attribution, counterfactuals, or saliency maps.</w:t>
      </w:r>
    </w:p>
    <w:p w14:paraId="26C5845A" w14:textId="77777777" w:rsidR="00325982" w:rsidRDefault="00000000">
      <w:pPr>
        <w:keepLines/>
        <w:jc w:val="both"/>
      </w:pPr>
      <w:r>
        <w:rPr>
          <w:b/>
        </w:rPr>
        <w:t xml:space="preserve">6. Explanation diagnostics. </w:t>
      </w:r>
      <w:r>
        <w:t>Measure stability and fidelity under controlled perturbations, test sensitivity to model parameters where appropriate, and flag explanations that fail validation.</w:t>
      </w:r>
    </w:p>
    <w:p w14:paraId="02733D47" w14:textId="77777777" w:rsidR="00325982" w:rsidRDefault="00000000">
      <w:pPr>
        <w:keepLines/>
        <w:jc w:val="both"/>
      </w:pPr>
      <w:r>
        <w:rPr>
          <w:b/>
        </w:rPr>
        <w:t xml:space="preserve">7. Risk-aware decision gate. </w:t>
      </w:r>
      <w:r>
        <w:t>Combine uncertainty, shift/noise alerts, explanation diagnostics, and error consequences to choose automated support, human review, abstention, or a safe fallback.</w:t>
      </w:r>
    </w:p>
    <w:p w14:paraId="1A027256" w14:textId="77777777" w:rsidR="00325982" w:rsidRDefault="00000000">
      <w:pPr>
        <w:keepLines/>
        <w:jc w:val="both"/>
      </w:pPr>
      <w:r>
        <w:rPr>
          <w:b/>
        </w:rPr>
        <w:lastRenderedPageBreak/>
        <w:t xml:space="preserve">8. Feedback and controlled adaptation. </w:t>
      </w:r>
      <w:r>
        <w:t>Log errors, review outcomes, and shift evidence; consider recalibration, retraining, or domain adaptation only after investigation.</w:t>
      </w:r>
    </w:p>
    <w:p w14:paraId="6AE900CB" w14:textId="77777777" w:rsidR="00325982" w:rsidRDefault="00000000">
      <w:pPr>
        <w:keepLines/>
        <w:jc w:val="both"/>
      </w:pPr>
      <w:r>
        <w:rPr>
          <w:b/>
        </w:rPr>
        <w:t xml:space="preserve">9. Revalidation and rollback. </w:t>
      </w:r>
      <w:r>
        <w:t>Test candidate updates on clean, shifted, noisy, and subgroup-specific data; deploy only if predefined criteria are met and preserve rollback capability.</w:t>
      </w:r>
    </w:p>
    <w:p w14:paraId="07D05B65" w14:textId="77777777" w:rsidR="00325982" w:rsidRDefault="009152B4">
      <w:r>
        <w:rPr>
          <w:noProof/>
        </w:rPr>
        <w:drawing>
          <wp:inline distT="0" distB="0" distL="0" distR="0" wp14:anchorId="611FA2BC" wp14:editId="04089A04">
            <wp:extent cx="5943600" cy="3643952"/>
            <wp:effectExtent l="0" t="0" r="0" b="0"/>
            <wp:docPr id="602467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8007"/>
                    <a:stretch>
                      <a:fillRect/>
                    </a:stretch>
                  </pic:blipFill>
                  <pic:spPr bwMode="auto">
                    <a:xfrm>
                      <a:off x="0" y="0"/>
                      <a:ext cx="5943600" cy="3643952"/>
                    </a:xfrm>
                    <a:prstGeom prst="rect">
                      <a:avLst/>
                    </a:prstGeom>
                    <a:noFill/>
                    <a:ln>
                      <a:noFill/>
                    </a:ln>
                    <a:extLst>
                      <a:ext uri="{53640926-AAD7-44D8-BBD7-CCE9431645EC}">
                        <a14:shadowObscured xmlns:a14="http://schemas.microsoft.com/office/drawing/2010/main"/>
                      </a:ext>
                    </a:extLst>
                  </pic:spPr>
                </pic:pic>
              </a:graphicData>
            </a:graphic>
          </wp:inline>
        </w:drawing>
      </w:r>
    </w:p>
    <w:p w14:paraId="5F4ED7AE" w14:textId="77777777" w:rsidR="00325982" w:rsidRDefault="00000000">
      <w:pPr>
        <w:jc w:val="center"/>
      </w:pPr>
      <w:r>
        <w:rPr>
          <w:i/>
          <w:sz w:val="20"/>
        </w:rPr>
        <w:t>Figure 1. Proposed lifecycle for robust explainable deep learning under distribution shifts and noisy data.</w:t>
      </w:r>
    </w:p>
    <w:p w14:paraId="6EB50B92" w14:textId="77777777" w:rsidR="00325982" w:rsidRDefault="00000000">
      <w:pPr>
        <w:pStyle w:val="Heading2"/>
      </w:pPr>
      <w:r>
        <w:t>3.3 Mathematical Formulation</w:t>
      </w:r>
    </w:p>
    <w:p w14:paraId="3289C651" w14:textId="77777777" w:rsidR="00325982" w:rsidRDefault="00000000">
      <w:pPr>
        <w:jc w:val="both"/>
      </w:pPr>
      <w:r>
        <w:t xml:space="preserve">Let </w:t>
      </w:r>
      <w:proofErr w:type="spellStart"/>
      <w:r w:rsidRPr="00540D13">
        <w:rPr>
          <w:i/>
          <w:iCs/>
        </w:rPr>
        <w:t>D</w:t>
      </w:r>
      <w:r w:rsidRPr="00540D13">
        <w:rPr>
          <w:i/>
          <w:iCs/>
          <w:vertAlign w:val="subscript"/>
        </w:rPr>
        <w:t>train</w:t>
      </w:r>
      <w:proofErr w:type="spellEnd"/>
      <w:r>
        <w:t xml:space="preserve"> denote the training distribution and </w:t>
      </w:r>
      <w:proofErr w:type="spellStart"/>
      <w:r w:rsidRPr="00540D13">
        <w:rPr>
          <w:i/>
          <w:iCs/>
        </w:rPr>
        <w:t>D</w:t>
      </w:r>
      <w:r w:rsidRPr="00540D13">
        <w:rPr>
          <w:i/>
          <w:iCs/>
          <w:vertAlign w:val="subscript"/>
        </w:rPr>
        <w:t>test</w:t>
      </w:r>
      <w:proofErr w:type="spellEnd"/>
      <w:r>
        <w:t>,</w:t>
      </w:r>
      <w:r w:rsidR="00540D13">
        <w:t xml:space="preserve"> </w:t>
      </w:r>
      <w:r>
        <w:t xml:space="preserve">k </w:t>
      </w:r>
      <w:proofErr w:type="gramStart"/>
      <w:r>
        <w:t>denote</w:t>
      </w:r>
      <w:proofErr w:type="gramEnd"/>
      <w:r>
        <w:t xml:space="preserve"> an evaluation distribution under shift or corruption condition k. Let </w:t>
      </w:r>
      <w:proofErr w:type="spellStart"/>
      <w:r w:rsidRPr="00540D13">
        <w:rPr>
          <w:i/>
          <w:iCs/>
        </w:rPr>
        <w:t>f</w:t>
      </w:r>
      <w:r w:rsidRPr="00540D13">
        <w:rPr>
          <w:i/>
          <w:iCs/>
          <w:vertAlign w:val="subscript"/>
        </w:rPr>
        <w:t>θ</w:t>
      </w:r>
      <w:proofErr w:type="spellEnd"/>
      <w:r w:rsidRPr="00540D13">
        <w:rPr>
          <w:i/>
          <w:iCs/>
        </w:rPr>
        <w:t>(x)</w:t>
      </w:r>
      <w:r>
        <w:t xml:space="preserve"> be the predictive model, </w:t>
      </w:r>
      <w:proofErr w:type="spellStart"/>
      <w:r w:rsidRPr="00540D13">
        <w:rPr>
          <w:i/>
          <w:iCs/>
        </w:rPr>
        <w:t>L</w:t>
      </w:r>
      <w:r w:rsidRPr="00540D13">
        <w:rPr>
          <w:i/>
          <w:iCs/>
          <w:vertAlign w:val="subscript"/>
        </w:rPr>
        <w:t>pred</w:t>
      </w:r>
      <w:proofErr w:type="spellEnd"/>
      <w:r>
        <w:t xml:space="preserve"> the task loss, </w:t>
      </w:r>
      <w:r w:rsidRPr="00540D13">
        <w:rPr>
          <w:i/>
        </w:rPr>
        <w:t>T</w:t>
      </w:r>
      <w:r w:rsidRPr="00540D13">
        <w:rPr>
          <w:i/>
          <w:vertAlign w:val="subscript"/>
        </w:rPr>
        <w:t>k</w:t>
      </w:r>
      <w:r>
        <w:t xml:space="preserve"> a transformation or corruption process, and E(</w:t>
      </w:r>
      <w:proofErr w:type="spellStart"/>
      <w:proofErr w:type="gramStart"/>
      <w:r>
        <w:t>f,x</w:t>
      </w:r>
      <w:proofErr w:type="spellEnd"/>
      <w:proofErr w:type="gramEnd"/>
      <w:r>
        <w:t>) an explanation produced for input x. A conceptual robust objective can be written as:</w:t>
      </w:r>
    </w:p>
    <w:p w14:paraId="6A89E904" w14:textId="77777777" w:rsidR="00540D13" w:rsidRDefault="00000000">
      <w:pPr>
        <w:jc w:val="center"/>
        <w:rPr>
          <w:i/>
        </w:rPr>
      </w:pPr>
      <m:oMathPara>
        <m:oMath>
          <m:sSub>
            <m:sSubPr>
              <m:ctrlPr>
                <w:rPr>
                  <w:rFonts w:ascii="Cambria Math" w:hAnsi="Cambria Math"/>
                  <w:i/>
                </w:rPr>
              </m:ctrlPr>
            </m:sSubPr>
            <m:e>
              <m:r>
                <w:rPr>
                  <w:rFonts w:ascii="Cambria Math" w:hAnsi="Cambria Math"/>
                </w:rPr>
                <m:t>E</m:t>
              </m:r>
            </m:e>
            <m:sub>
              <m:d>
                <m:dPr>
                  <m:ctrlPr>
                    <w:rPr>
                      <w:rFonts w:ascii="Cambria Math" w:hAnsi="Cambria Math"/>
                      <w:i/>
                    </w:rPr>
                  </m:ctrlPr>
                </m:dPr>
                <m:e>
                  <m:r>
                    <w:rPr>
                      <w:rFonts w:ascii="Cambria Math" w:hAnsi="Cambria Math"/>
                    </w:rPr>
                    <m:t>x,y</m:t>
                  </m:r>
                </m:e>
              </m:d>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train</m:t>
                  </m:r>
                </m:sub>
              </m:sSub>
            </m:sub>
          </m:sSub>
          <m:d>
            <m:dPr>
              <m:begChr m:val="["/>
              <m:endChr m:val="]"/>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pred</m:t>
                  </m:r>
                </m:sub>
              </m:sSub>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θ</m:t>
                      </m:r>
                    </m:sub>
                  </m:sSub>
                  <m:r>
                    <w:rPr>
                      <w:rFonts w:ascii="Cambria Math" w:hAnsi="Cambria Math"/>
                    </w:rPr>
                    <m:t>(x</m:t>
                  </m:r>
                </m:e>
              </m:d>
              <m:r>
                <w:rPr>
                  <w:rFonts w:ascii="Cambria Math" w:hAnsi="Cambria Math"/>
                </w:rPr>
                <m:t>,y)</m:t>
              </m:r>
            </m:e>
          </m:d>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r</m:t>
              </m:r>
            </m:sub>
          </m:sSub>
          <m:sSub>
            <m:sSubPr>
              <m:ctrlPr>
                <w:rPr>
                  <w:rFonts w:ascii="Cambria Math" w:hAnsi="Cambria Math"/>
                  <w:i/>
                </w:rPr>
              </m:ctrlPr>
            </m:sSubPr>
            <m:e>
              <m:r>
                <w:rPr>
                  <w:rFonts w:ascii="Cambria Math" w:hAnsi="Cambria Math"/>
                </w:rPr>
                <m:t>E</m:t>
              </m:r>
            </m:e>
            <m:sub>
              <m:r>
                <w:rPr>
                  <w:rFonts w:ascii="Cambria Math" w:hAnsi="Cambria Math"/>
                </w:rPr>
                <m:t>k</m:t>
              </m:r>
            </m:sub>
          </m:sSub>
          <m:d>
            <m:dPr>
              <m:begChr m:val="["/>
              <m:endChr m:val="]"/>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pred</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θ</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k</m:t>
                      </m:r>
                    </m:sub>
                  </m:sSub>
                  <m:d>
                    <m:dPr>
                      <m:ctrlPr>
                        <w:rPr>
                          <w:rFonts w:ascii="Cambria Math" w:hAnsi="Cambria Math"/>
                          <w:i/>
                        </w:rPr>
                      </m:ctrlPr>
                    </m:dPr>
                    <m:e>
                      <m:r>
                        <w:rPr>
                          <w:rFonts w:ascii="Cambria Math" w:hAnsi="Cambria Math"/>
                        </w:rPr>
                        <m:t>x</m:t>
                      </m:r>
                    </m:e>
                  </m:d>
                </m:e>
              </m:d>
              <m:r>
                <w:rPr>
                  <w:rFonts w:ascii="Cambria Math" w:hAnsi="Cambria Math"/>
                </w:rPr>
                <m:t>,y</m:t>
              </m:r>
            </m:e>
          </m:d>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e</m:t>
              </m:r>
            </m:sub>
          </m:sSub>
          <m:sSub>
            <m:sSubPr>
              <m:ctrlPr>
                <w:rPr>
                  <w:rFonts w:ascii="Cambria Math" w:hAnsi="Cambria Math"/>
                  <w:i/>
                </w:rPr>
              </m:ctrlPr>
            </m:sSubPr>
            <m:e>
              <m:r>
                <w:rPr>
                  <w:rFonts w:ascii="Cambria Math" w:hAnsi="Cambria Math"/>
                </w:rPr>
                <m:t>L</m:t>
              </m:r>
            </m:e>
            <m:sub>
              <m:r>
                <w:rPr>
                  <w:rFonts w:ascii="Cambria Math" w:hAnsi="Cambria Math"/>
                </w:rPr>
                <m:t>expl</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c</m:t>
              </m:r>
            </m:sub>
          </m:sSub>
          <m:r>
            <w:rPr>
              <w:rFonts w:ascii="Cambria Math" w:hAnsi="Cambria Math"/>
            </w:rPr>
            <m:t xml:space="preserve"> Ω(θ)</m:t>
          </m:r>
        </m:oMath>
      </m:oMathPara>
    </w:p>
    <w:p w14:paraId="47BD2541" w14:textId="77777777" w:rsidR="00325982" w:rsidRDefault="00000000">
      <w:pPr>
        <w:jc w:val="both"/>
      </w:pPr>
      <w:r>
        <w:t xml:space="preserve">Here, </w:t>
      </w:r>
      <w:proofErr w:type="spellStart"/>
      <w:r>
        <w:t>λ</w:t>
      </w:r>
      <w:r w:rsidRPr="00966870">
        <w:rPr>
          <w:vertAlign w:val="subscript"/>
        </w:rPr>
        <w:t>r</w:t>
      </w:r>
      <w:proofErr w:type="spellEnd"/>
      <w:r>
        <w:t xml:space="preserve"> weights robustness to selected transformations, </w:t>
      </w:r>
      <w:proofErr w:type="spellStart"/>
      <w:r w:rsidRPr="00966870">
        <w:rPr>
          <w:i/>
          <w:iCs/>
        </w:rPr>
        <w:t>L</w:t>
      </w:r>
      <w:r w:rsidRPr="00966870">
        <w:rPr>
          <w:i/>
          <w:iCs/>
          <w:vertAlign w:val="subscript"/>
        </w:rPr>
        <w:t>expl</w:t>
      </w:r>
      <w:proofErr w:type="spellEnd"/>
      <w:r>
        <w:t xml:space="preserve"> penalizes a task-defined explanation inconsistency or fidelity failure, and Ω(θ) is a complexity or </w:t>
      </w:r>
      <w:r>
        <w:rPr>
          <w:highlight w:val="yellow"/>
        </w:rPr>
        <w:t>regularisation</w:t>
      </w:r>
      <w:r>
        <w:t xml:space="preserve"> term. This objective is illustrative: the exact definition of </w:t>
      </w:r>
      <w:proofErr w:type="spellStart"/>
      <w:r w:rsidRPr="00966870">
        <w:rPr>
          <w:i/>
          <w:iCs/>
        </w:rPr>
        <w:t>L</w:t>
      </w:r>
      <w:r w:rsidRPr="00966870">
        <w:rPr>
          <w:i/>
          <w:iCs/>
          <w:vertAlign w:val="subscript"/>
        </w:rPr>
        <w:t>expl</w:t>
      </w:r>
      <w:proofErr w:type="spellEnd"/>
      <w:r>
        <w:t xml:space="preserve"> depends on the explanation method and task. Explanation invariance should not be enforced blindly, because a transformation can legitimately change the evidence relevant to a prediction. The intended constraint is consistency under transformations </w:t>
      </w:r>
      <w:r>
        <w:lastRenderedPageBreak/>
        <w:t>that should preserve the underlying decision, and sensitivity when the decision-relevant evidence changes.</w:t>
      </w:r>
    </w:p>
    <w:p w14:paraId="3E4B108C" w14:textId="77777777" w:rsidR="00325982" w:rsidRDefault="00000000">
      <w:pPr>
        <w:jc w:val="both"/>
      </w:pPr>
      <w:r>
        <w:t>For inference at time t, define U</w:t>
      </w:r>
      <w:r w:rsidRPr="00966870">
        <w:rPr>
          <w:vertAlign w:val="subscript"/>
        </w:rPr>
        <w:t>t</w:t>
      </w:r>
      <w:r>
        <w:t xml:space="preserve"> as uncertainty, S</w:t>
      </w:r>
      <w:r w:rsidRPr="00966870">
        <w:rPr>
          <w:vertAlign w:val="subscript"/>
        </w:rPr>
        <w:t>t</w:t>
      </w:r>
      <w:r>
        <w:t xml:space="preserve"> as a shift/noise severity signal, </w:t>
      </w:r>
      <w:proofErr w:type="spellStart"/>
      <w:r>
        <w:t>X</w:t>
      </w:r>
      <w:r w:rsidRPr="00966870">
        <w:rPr>
          <w:vertAlign w:val="subscript"/>
        </w:rPr>
        <w:t>t</w:t>
      </w:r>
      <w:proofErr w:type="spellEnd"/>
      <w:r>
        <w:t xml:space="preserve"> as an explanation-diagnostic risk, and C</w:t>
      </w:r>
      <w:r w:rsidRPr="00966870">
        <w:rPr>
          <w:vertAlign w:val="subscript"/>
        </w:rPr>
        <w:t>t</w:t>
      </w:r>
      <w:r>
        <w:t xml:space="preserve"> as the consequence cost of error. A conceptual risk score is:</w:t>
      </w:r>
    </w:p>
    <w:p w14:paraId="60C68DD8" w14:textId="77777777" w:rsidR="00325982" w:rsidRDefault="00000000">
      <w:pPr>
        <w:jc w:val="center"/>
      </w:pPr>
      <w:r>
        <w:rPr>
          <w:i/>
        </w:rPr>
        <w:t>G</w:t>
      </w:r>
      <w:r w:rsidRPr="00966870">
        <w:rPr>
          <w:i/>
          <w:vertAlign w:val="subscript"/>
        </w:rPr>
        <w:t>t</w:t>
      </w:r>
      <w:r>
        <w:rPr>
          <w:i/>
        </w:rPr>
        <w:t xml:space="preserve"> = αU</w:t>
      </w:r>
      <w:r w:rsidRPr="00966870">
        <w:rPr>
          <w:i/>
          <w:vertAlign w:val="subscript"/>
        </w:rPr>
        <w:t>t</w:t>
      </w:r>
      <w:r>
        <w:rPr>
          <w:i/>
        </w:rPr>
        <w:t xml:space="preserve"> + βS</w:t>
      </w:r>
      <w:r w:rsidRPr="00966870">
        <w:rPr>
          <w:i/>
          <w:vertAlign w:val="subscript"/>
        </w:rPr>
        <w:t>t</w:t>
      </w:r>
      <w:r>
        <w:rPr>
          <w:i/>
        </w:rPr>
        <w:t xml:space="preserve"> + </w:t>
      </w:r>
      <w:proofErr w:type="spellStart"/>
      <w:r>
        <w:rPr>
          <w:i/>
        </w:rPr>
        <w:t>γX</w:t>
      </w:r>
      <w:r w:rsidRPr="00966870">
        <w:rPr>
          <w:i/>
          <w:vertAlign w:val="subscript"/>
        </w:rPr>
        <w:t>t</w:t>
      </w:r>
      <w:proofErr w:type="spellEnd"/>
      <w:r>
        <w:rPr>
          <w:i/>
        </w:rPr>
        <w:t xml:space="preserve"> + </w:t>
      </w:r>
      <w:proofErr w:type="spellStart"/>
      <w:r>
        <w:rPr>
          <w:i/>
        </w:rPr>
        <w:t>δC</w:t>
      </w:r>
      <w:r w:rsidRPr="00966870">
        <w:rPr>
          <w:i/>
          <w:vertAlign w:val="subscript"/>
        </w:rPr>
        <w:t>t</w:t>
      </w:r>
      <w:proofErr w:type="spellEnd"/>
    </w:p>
    <w:p w14:paraId="3C3C8025" w14:textId="77777777" w:rsidR="00325982" w:rsidRDefault="00000000">
      <w:pPr>
        <w:jc w:val="both"/>
      </w:pPr>
      <w:r>
        <w:t>The coefficients and thresholds must be selected and validated for a particular application. The score is not a universal calibrated probability of failure. If G</w:t>
      </w:r>
      <w:r w:rsidRPr="00966870">
        <w:rPr>
          <w:vertAlign w:val="subscript"/>
        </w:rPr>
        <w:t>t</w:t>
      </w:r>
      <w:r>
        <w:t xml:space="preserve"> is low and the input lies within the validated operating envelope, the system may provide decision support. If G</w:t>
      </w:r>
      <w:r w:rsidRPr="00966870">
        <w:rPr>
          <w:vertAlign w:val="subscript"/>
        </w:rPr>
        <w:t>t</w:t>
      </w:r>
      <w:r>
        <w:t xml:space="preserve"> is elevated, it should route the case for human review or abstain. If sustained degradation is verified, a governed adaptation process may be initiated.</w:t>
      </w:r>
    </w:p>
    <w:p w14:paraId="780CDBC3" w14:textId="77777777" w:rsidR="00325982" w:rsidRDefault="00000000">
      <w:pPr>
        <w:pStyle w:val="Heading2"/>
      </w:pPr>
      <w:r>
        <w:t>3.4 Algorithmic Workflow</w:t>
      </w:r>
    </w:p>
    <w:p w14:paraId="2057BD41" w14:textId="77777777" w:rsidR="00325982" w:rsidRDefault="00000000">
      <w:pPr>
        <w:pStyle w:val="ListBullet"/>
      </w:pPr>
      <w:r>
        <w:t>Receive input x and record source, context, timestamp, and pipeline version.</w:t>
      </w:r>
    </w:p>
    <w:p w14:paraId="6104325D" w14:textId="77777777" w:rsidR="00325982" w:rsidRDefault="00000000">
      <w:pPr>
        <w:pStyle w:val="ListBullet"/>
      </w:pPr>
      <w:r>
        <w:t>Validate input structure and quality; quarantine malformed or prohibited inputs.</w:t>
      </w:r>
    </w:p>
    <w:p w14:paraId="790D0C1F" w14:textId="77777777" w:rsidR="00325982" w:rsidRDefault="00000000">
      <w:pPr>
        <w:pStyle w:val="ListBullet"/>
      </w:pPr>
      <w:r>
        <w:t>Estimate applicable corruption and shift indicators and compare them with validated operating limits.</w:t>
      </w:r>
    </w:p>
    <w:p w14:paraId="04970883" w14:textId="77777777" w:rsidR="00325982" w:rsidRDefault="00000000">
      <w:pPr>
        <w:pStyle w:val="ListBullet"/>
      </w:pPr>
      <w:r>
        <w:t>Generate the prediction and uncertainty estimate.</w:t>
      </w:r>
    </w:p>
    <w:p w14:paraId="312E37D2" w14:textId="77777777" w:rsidR="00325982" w:rsidRDefault="00000000">
      <w:pPr>
        <w:pStyle w:val="ListBullet"/>
      </w:pPr>
      <w:r>
        <w:t>Generate an explanation and calculate method-appropriate fidelity and stability diagnostics.</w:t>
      </w:r>
    </w:p>
    <w:p w14:paraId="55204FE6" w14:textId="77777777" w:rsidR="00325982" w:rsidRDefault="00000000">
      <w:pPr>
        <w:pStyle w:val="ListBullet"/>
      </w:pPr>
      <w:r>
        <w:t>Apply the risk gate: return decision support, escalate to human review, abstain, or use an approved fallback.</w:t>
      </w:r>
    </w:p>
    <w:p w14:paraId="53A617E0" w14:textId="77777777" w:rsidR="00325982" w:rsidRDefault="00000000">
      <w:pPr>
        <w:pStyle w:val="ListBullet"/>
      </w:pPr>
      <w:r>
        <w:t>Log prediction, uncertainty, explanation method/version, monitoring signals, and human intervention.</w:t>
      </w:r>
    </w:p>
    <w:p w14:paraId="25EEC6BE" w14:textId="77777777" w:rsidR="00325982" w:rsidRDefault="00000000">
      <w:pPr>
        <w:pStyle w:val="ListBullet"/>
      </w:pPr>
      <w:r>
        <w:t>When evidence of sustained degradation is sufficient, prepare a candidate model or calibration update offline.</w:t>
      </w:r>
    </w:p>
    <w:p w14:paraId="544B1CBF" w14:textId="77777777" w:rsidR="00325982" w:rsidRDefault="00000000">
      <w:pPr>
        <w:pStyle w:val="ListBullet"/>
      </w:pPr>
      <w:r>
        <w:t>Re-evaluate the candidate on clean, shifted, noisy, subgroup, and stress-test conditions; deploy only after approval and retain rollback.</w:t>
      </w:r>
    </w:p>
    <w:p w14:paraId="609AAE4A" w14:textId="77777777" w:rsidR="00325982" w:rsidRDefault="00000000">
      <w:pPr>
        <w:pStyle w:val="Heading2"/>
      </w:pPr>
      <w:r>
        <w:t>3.5 Shift and Noise Taxonomy</w:t>
      </w:r>
    </w:p>
    <w:p w14:paraId="291D4418" w14:textId="77777777" w:rsidR="00966870" w:rsidRPr="00966870" w:rsidRDefault="00966870" w:rsidP="00966870">
      <w:r w:rsidRPr="00966870">
        <w:t>Table 2. Taxonomy of Distribution Shifts and Noise Conditions, with Evaluation and Monitoring Approaches</w:t>
      </w:r>
    </w:p>
    <w:tbl>
      <w:tblPr>
        <w:tblStyle w:val="TableGrid"/>
        <w:tblW w:w="0" w:type="auto"/>
        <w:jc w:val="center"/>
        <w:tblLook w:val="04A0" w:firstRow="1" w:lastRow="0" w:firstColumn="1" w:lastColumn="0" w:noHBand="0" w:noVBand="1"/>
      </w:tblPr>
      <w:tblGrid>
        <w:gridCol w:w="3116"/>
        <w:gridCol w:w="3116"/>
        <w:gridCol w:w="3118"/>
      </w:tblGrid>
      <w:tr w:rsidR="00325982" w14:paraId="1D9F2362" w14:textId="77777777">
        <w:trPr>
          <w:jc w:val="center"/>
        </w:trPr>
        <w:tc>
          <w:tcPr>
            <w:tcW w:w="3120" w:type="dxa"/>
            <w:vAlign w:val="center"/>
          </w:tcPr>
          <w:p w14:paraId="62CA262E" w14:textId="77777777" w:rsidR="00325982" w:rsidRPr="00966870" w:rsidRDefault="00000000">
            <w:pPr>
              <w:spacing w:after="40" w:line="240" w:lineRule="auto"/>
              <w:rPr>
                <w:b/>
                <w:bCs/>
              </w:rPr>
            </w:pPr>
            <w:r w:rsidRPr="00966870">
              <w:rPr>
                <w:b/>
                <w:bCs/>
                <w:sz w:val="18"/>
              </w:rPr>
              <w:t>Condition</w:t>
            </w:r>
          </w:p>
        </w:tc>
        <w:tc>
          <w:tcPr>
            <w:tcW w:w="3120" w:type="dxa"/>
            <w:vAlign w:val="center"/>
          </w:tcPr>
          <w:p w14:paraId="0027AE46" w14:textId="77777777" w:rsidR="00325982" w:rsidRPr="00966870" w:rsidRDefault="00000000">
            <w:pPr>
              <w:spacing w:after="40" w:line="240" w:lineRule="auto"/>
              <w:rPr>
                <w:b/>
                <w:bCs/>
              </w:rPr>
            </w:pPr>
            <w:r w:rsidRPr="00966870">
              <w:rPr>
                <w:b/>
                <w:bCs/>
                <w:sz w:val="18"/>
              </w:rPr>
              <w:t>Illustrative mechanism</w:t>
            </w:r>
          </w:p>
        </w:tc>
        <w:tc>
          <w:tcPr>
            <w:tcW w:w="3120" w:type="dxa"/>
            <w:vAlign w:val="center"/>
          </w:tcPr>
          <w:p w14:paraId="0D5554B4" w14:textId="77777777" w:rsidR="00325982" w:rsidRPr="00966870" w:rsidRDefault="00000000">
            <w:pPr>
              <w:spacing w:after="40" w:line="240" w:lineRule="auto"/>
              <w:rPr>
                <w:b/>
                <w:bCs/>
              </w:rPr>
            </w:pPr>
            <w:r w:rsidRPr="00966870">
              <w:rPr>
                <w:b/>
                <w:bCs/>
                <w:sz w:val="18"/>
              </w:rPr>
              <w:t>Evaluation or monitoring approach</w:t>
            </w:r>
          </w:p>
        </w:tc>
      </w:tr>
      <w:tr w:rsidR="00325982" w14:paraId="4439F199" w14:textId="77777777">
        <w:trPr>
          <w:jc w:val="center"/>
        </w:trPr>
        <w:tc>
          <w:tcPr>
            <w:tcW w:w="3120" w:type="dxa"/>
            <w:vAlign w:val="center"/>
          </w:tcPr>
          <w:p w14:paraId="7D1D2BF9" w14:textId="77777777" w:rsidR="00325982" w:rsidRDefault="00000000">
            <w:pPr>
              <w:spacing w:after="40" w:line="240" w:lineRule="auto"/>
            </w:pPr>
            <w:r>
              <w:rPr>
                <w:sz w:val="18"/>
              </w:rPr>
              <w:t>Covariate shift</w:t>
            </w:r>
          </w:p>
        </w:tc>
        <w:tc>
          <w:tcPr>
            <w:tcW w:w="3120" w:type="dxa"/>
            <w:vAlign w:val="center"/>
          </w:tcPr>
          <w:p w14:paraId="632CE80D" w14:textId="77777777" w:rsidR="00325982" w:rsidRDefault="00000000">
            <w:pPr>
              <w:spacing w:after="40" w:line="240" w:lineRule="auto"/>
            </w:pPr>
            <w:r>
              <w:rPr>
                <w:sz w:val="18"/>
              </w:rPr>
              <w:t>Input distribution changes while the target relationship is assumed stable</w:t>
            </w:r>
          </w:p>
        </w:tc>
        <w:tc>
          <w:tcPr>
            <w:tcW w:w="3120" w:type="dxa"/>
            <w:vAlign w:val="center"/>
          </w:tcPr>
          <w:p w14:paraId="4CCF353B" w14:textId="77777777" w:rsidR="00325982" w:rsidRDefault="00000000">
            <w:pPr>
              <w:spacing w:after="40" w:line="240" w:lineRule="auto"/>
            </w:pPr>
            <w:r>
              <w:rPr>
                <w:sz w:val="18"/>
              </w:rPr>
              <w:t>Feature/representation distribution tests; domain-stratified test sets</w:t>
            </w:r>
          </w:p>
        </w:tc>
      </w:tr>
      <w:tr w:rsidR="00325982" w14:paraId="6435B199" w14:textId="77777777">
        <w:trPr>
          <w:jc w:val="center"/>
        </w:trPr>
        <w:tc>
          <w:tcPr>
            <w:tcW w:w="3120" w:type="dxa"/>
            <w:vAlign w:val="center"/>
          </w:tcPr>
          <w:p w14:paraId="7DF65A43" w14:textId="77777777" w:rsidR="00325982" w:rsidRDefault="00000000">
            <w:pPr>
              <w:spacing w:after="40" w:line="240" w:lineRule="auto"/>
            </w:pPr>
            <w:r>
              <w:rPr>
                <w:sz w:val="18"/>
              </w:rPr>
              <w:lastRenderedPageBreak/>
              <w:t>Concept shift / drift</w:t>
            </w:r>
          </w:p>
        </w:tc>
        <w:tc>
          <w:tcPr>
            <w:tcW w:w="3120" w:type="dxa"/>
            <w:vAlign w:val="center"/>
          </w:tcPr>
          <w:p w14:paraId="6EF1BAD1" w14:textId="77777777" w:rsidR="00325982" w:rsidRDefault="00000000">
            <w:pPr>
              <w:spacing w:after="40" w:line="240" w:lineRule="auto"/>
            </w:pPr>
            <w:r>
              <w:rPr>
                <w:sz w:val="18"/>
              </w:rPr>
              <w:t>Input–target relationship changes</w:t>
            </w:r>
          </w:p>
        </w:tc>
        <w:tc>
          <w:tcPr>
            <w:tcW w:w="3120" w:type="dxa"/>
            <w:vAlign w:val="center"/>
          </w:tcPr>
          <w:p w14:paraId="4A98D524" w14:textId="77777777" w:rsidR="00325982" w:rsidRDefault="00000000">
            <w:pPr>
              <w:spacing w:after="40" w:line="240" w:lineRule="auto"/>
            </w:pPr>
            <w:r>
              <w:rPr>
                <w:sz w:val="18"/>
              </w:rPr>
              <w:t>Delayed-label error monitoring; time-based evaluation</w:t>
            </w:r>
          </w:p>
        </w:tc>
      </w:tr>
      <w:tr w:rsidR="00325982" w14:paraId="1A9CD582" w14:textId="77777777">
        <w:trPr>
          <w:jc w:val="center"/>
        </w:trPr>
        <w:tc>
          <w:tcPr>
            <w:tcW w:w="3120" w:type="dxa"/>
            <w:vAlign w:val="center"/>
          </w:tcPr>
          <w:p w14:paraId="7AEB2D85" w14:textId="77777777" w:rsidR="00325982" w:rsidRDefault="00000000">
            <w:pPr>
              <w:spacing w:after="40" w:line="240" w:lineRule="auto"/>
            </w:pPr>
            <w:r>
              <w:rPr>
                <w:sz w:val="18"/>
              </w:rPr>
              <w:t>Label shift</w:t>
            </w:r>
          </w:p>
        </w:tc>
        <w:tc>
          <w:tcPr>
            <w:tcW w:w="3120" w:type="dxa"/>
            <w:vAlign w:val="center"/>
          </w:tcPr>
          <w:p w14:paraId="2B3E3995" w14:textId="77777777" w:rsidR="00325982" w:rsidRDefault="00000000">
            <w:pPr>
              <w:spacing w:after="40" w:line="240" w:lineRule="auto"/>
            </w:pPr>
            <w:r>
              <w:rPr>
                <w:sz w:val="18"/>
              </w:rPr>
              <w:t>Class prevalence changes</w:t>
            </w:r>
          </w:p>
        </w:tc>
        <w:tc>
          <w:tcPr>
            <w:tcW w:w="3120" w:type="dxa"/>
            <w:vAlign w:val="center"/>
          </w:tcPr>
          <w:p w14:paraId="0D33E31F" w14:textId="77777777" w:rsidR="00325982" w:rsidRDefault="00000000">
            <w:pPr>
              <w:spacing w:after="40" w:line="240" w:lineRule="auto"/>
            </w:pPr>
            <w:r>
              <w:rPr>
                <w:sz w:val="18"/>
              </w:rPr>
              <w:t>Class-prior monitoring and recalibration checks</w:t>
            </w:r>
          </w:p>
        </w:tc>
      </w:tr>
      <w:tr w:rsidR="00325982" w14:paraId="7E6FBA68" w14:textId="77777777">
        <w:trPr>
          <w:jc w:val="center"/>
        </w:trPr>
        <w:tc>
          <w:tcPr>
            <w:tcW w:w="3120" w:type="dxa"/>
            <w:vAlign w:val="center"/>
          </w:tcPr>
          <w:p w14:paraId="0DB7AD61" w14:textId="77777777" w:rsidR="00325982" w:rsidRDefault="00000000">
            <w:pPr>
              <w:spacing w:after="40" w:line="240" w:lineRule="auto"/>
            </w:pPr>
            <w:r>
              <w:rPr>
                <w:sz w:val="18"/>
              </w:rPr>
              <w:t>Input corruption</w:t>
            </w:r>
          </w:p>
        </w:tc>
        <w:tc>
          <w:tcPr>
            <w:tcW w:w="3120" w:type="dxa"/>
            <w:vAlign w:val="center"/>
          </w:tcPr>
          <w:p w14:paraId="5A830AD9" w14:textId="77777777" w:rsidR="00325982" w:rsidRDefault="00000000">
            <w:pPr>
              <w:spacing w:after="40" w:line="240" w:lineRule="auto"/>
            </w:pPr>
            <w:r>
              <w:rPr>
                <w:sz w:val="18"/>
              </w:rPr>
              <w:t>Noise, blur, compression, missingness, sensor artefacts</w:t>
            </w:r>
          </w:p>
        </w:tc>
        <w:tc>
          <w:tcPr>
            <w:tcW w:w="3120" w:type="dxa"/>
            <w:vAlign w:val="center"/>
          </w:tcPr>
          <w:p w14:paraId="704411E7" w14:textId="77777777" w:rsidR="00325982" w:rsidRDefault="00000000">
            <w:pPr>
              <w:spacing w:after="40" w:line="240" w:lineRule="auto"/>
            </w:pPr>
            <w:r>
              <w:rPr>
                <w:sz w:val="18"/>
              </w:rPr>
              <w:t>Controlled corruption suite at documented severity levels</w:t>
            </w:r>
          </w:p>
        </w:tc>
      </w:tr>
      <w:tr w:rsidR="00325982" w14:paraId="57DD6A9C" w14:textId="77777777">
        <w:trPr>
          <w:jc w:val="center"/>
        </w:trPr>
        <w:tc>
          <w:tcPr>
            <w:tcW w:w="3120" w:type="dxa"/>
            <w:vAlign w:val="center"/>
          </w:tcPr>
          <w:p w14:paraId="1F4F32C7" w14:textId="77777777" w:rsidR="00325982" w:rsidRDefault="00000000">
            <w:pPr>
              <w:spacing w:after="40" w:line="240" w:lineRule="auto"/>
            </w:pPr>
            <w:r>
              <w:rPr>
                <w:sz w:val="18"/>
              </w:rPr>
              <w:t>Label noise</w:t>
            </w:r>
          </w:p>
        </w:tc>
        <w:tc>
          <w:tcPr>
            <w:tcW w:w="3120" w:type="dxa"/>
            <w:vAlign w:val="center"/>
          </w:tcPr>
          <w:p w14:paraId="3C5BADAC" w14:textId="77777777" w:rsidR="00325982" w:rsidRDefault="00000000">
            <w:pPr>
              <w:spacing w:after="40" w:line="240" w:lineRule="auto"/>
            </w:pPr>
            <w:r>
              <w:rPr>
                <w:sz w:val="18"/>
              </w:rPr>
              <w:t>Incorrect or inconsistent training labels</w:t>
            </w:r>
          </w:p>
        </w:tc>
        <w:tc>
          <w:tcPr>
            <w:tcW w:w="3120" w:type="dxa"/>
            <w:vAlign w:val="center"/>
          </w:tcPr>
          <w:p w14:paraId="24226DDD" w14:textId="77777777" w:rsidR="00325982" w:rsidRDefault="00000000">
            <w:pPr>
              <w:spacing w:after="40" w:line="240" w:lineRule="auto"/>
            </w:pPr>
            <w:r>
              <w:rPr>
                <w:sz w:val="18"/>
              </w:rPr>
              <w:t>Expert audits, synthetic label-noise experiments, robust-loss comparisons</w:t>
            </w:r>
          </w:p>
        </w:tc>
      </w:tr>
      <w:tr w:rsidR="00325982" w14:paraId="66AB3E28" w14:textId="77777777">
        <w:trPr>
          <w:jc w:val="center"/>
        </w:trPr>
        <w:tc>
          <w:tcPr>
            <w:tcW w:w="3120" w:type="dxa"/>
            <w:vAlign w:val="center"/>
          </w:tcPr>
          <w:p w14:paraId="644FCCC5" w14:textId="77777777" w:rsidR="00325982" w:rsidRDefault="00000000">
            <w:pPr>
              <w:spacing w:after="40" w:line="240" w:lineRule="auto"/>
            </w:pPr>
            <w:r>
              <w:rPr>
                <w:sz w:val="18"/>
              </w:rPr>
              <w:t>Out-of-domain input</w:t>
            </w:r>
          </w:p>
        </w:tc>
        <w:tc>
          <w:tcPr>
            <w:tcW w:w="3120" w:type="dxa"/>
            <w:vAlign w:val="center"/>
          </w:tcPr>
          <w:p w14:paraId="646F8332" w14:textId="77777777" w:rsidR="00325982" w:rsidRDefault="00000000">
            <w:pPr>
              <w:spacing w:after="40" w:line="240" w:lineRule="auto"/>
            </w:pPr>
            <w:r>
              <w:rPr>
                <w:sz w:val="18"/>
              </w:rPr>
              <w:t>Input differs materially from validated scope</w:t>
            </w:r>
          </w:p>
        </w:tc>
        <w:tc>
          <w:tcPr>
            <w:tcW w:w="3120" w:type="dxa"/>
            <w:vAlign w:val="center"/>
          </w:tcPr>
          <w:p w14:paraId="25090901" w14:textId="77777777" w:rsidR="00325982" w:rsidRDefault="00000000">
            <w:pPr>
              <w:spacing w:after="40" w:line="240" w:lineRule="auto"/>
            </w:pPr>
            <w:r>
              <w:rPr>
                <w:sz w:val="18"/>
              </w:rPr>
              <w:t>OOD diagnostics, uncertainty checks, abstention analysis</w:t>
            </w:r>
          </w:p>
        </w:tc>
      </w:tr>
    </w:tbl>
    <w:p w14:paraId="527C79B8" w14:textId="77777777" w:rsidR="00F13CC7" w:rsidRPr="00F13CC7" w:rsidRDefault="00F13CC7">
      <w:pPr>
        <w:jc w:val="both"/>
        <w:rPr>
          <w:b/>
          <w:bCs/>
        </w:rPr>
      </w:pPr>
      <w:r w:rsidRPr="00F13CC7">
        <w:rPr>
          <w:b/>
          <w:bCs/>
        </w:rPr>
        <w:t>3.</w:t>
      </w:r>
      <w:r>
        <w:rPr>
          <w:b/>
          <w:bCs/>
        </w:rPr>
        <w:t xml:space="preserve">6. </w:t>
      </w:r>
      <w:r w:rsidRPr="00F13CC7">
        <w:rPr>
          <w:b/>
          <w:bCs/>
        </w:rPr>
        <w:t>Explanation Diagnostic Gate: Proposed Pseudocode</w:t>
      </w:r>
    </w:p>
    <w:p w14:paraId="0C5664FC" w14:textId="77777777" w:rsidR="00F13CC7" w:rsidRPr="00F13CC7" w:rsidRDefault="00F13CC7" w:rsidP="00F13CC7">
      <w:pPr>
        <w:jc w:val="both"/>
        <w:rPr>
          <w:lang w:val="en-IN"/>
        </w:rPr>
      </w:pPr>
      <w:r w:rsidRPr="00F13CC7">
        <w:rPr>
          <w:lang w:val="en-IN"/>
        </w:rPr>
        <w:t>The explanation diagnostic gate is a proposed decision mechanism for assessing whether a model explanation is sufficiently reliable to support a prediction under distribution shifts and noisy inputs. The gate evaluates explanation fidelity, explanation stability, predictive uncertainty, and detected input anomalies. Based on these diagnostics, the system assigns an explanation-reliability status and determines whether to accept the prediction, request human review, or defer the decision. The thresholds must be specified and validated during future empirical evaluation; they are not established experimental results in this conceptual study.</w:t>
      </w:r>
    </w:p>
    <w:p w14:paraId="696CC28E" w14:textId="77777777" w:rsidR="00F13CC7" w:rsidRPr="00F13CC7" w:rsidRDefault="00F13CC7" w:rsidP="00F13CC7">
      <w:pPr>
        <w:jc w:val="both"/>
        <w:rPr>
          <w:lang w:val="en-IN"/>
        </w:rPr>
      </w:pPr>
      <w:r w:rsidRPr="00F13CC7">
        <w:rPr>
          <w:b/>
          <w:bCs/>
          <w:lang w:val="en-IN"/>
        </w:rPr>
        <w:t>Algorithm 1. Proposed Explanation Diagnostic Gate</w:t>
      </w:r>
    </w:p>
    <w:p w14:paraId="0C70A578" w14:textId="77777777" w:rsidR="00F13CC7" w:rsidRPr="00F13CC7" w:rsidRDefault="00F13CC7" w:rsidP="00F13CC7">
      <w:pPr>
        <w:jc w:val="both"/>
        <w:rPr>
          <w:lang w:val="en-IN"/>
        </w:rPr>
      </w:pPr>
      <w:r w:rsidRPr="00F13CC7">
        <w:rPr>
          <w:b/>
          <w:bCs/>
          <w:lang w:val="en-IN"/>
        </w:rPr>
        <w:t>Input:</w:t>
      </w:r>
      <w:r w:rsidRPr="00F13CC7">
        <w:rPr>
          <w:lang w:val="en-IN"/>
        </w:rPr>
        <w:t xml:space="preserve"> Input sample </w:t>
      </w:r>
      <w:r w:rsidRPr="00F13CC7">
        <w:rPr>
          <w:i/>
          <w:iCs/>
          <w:lang w:val="en-IN"/>
        </w:rPr>
        <w:t>x</w:t>
      </w:r>
      <w:r w:rsidRPr="00F13CC7">
        <w:rPr>
          <w:lang w:val="en-IN"/>
        </w:rPr>
        <w:t xml:space="preserve">, trained model </w:t>
      </w:r>
      <w:r w:rsidRPr="00F13CC7">
        <w:rPr>
          <w:i/>
          <w:lang w:val="en-IN"/>
        </w:rPr>
        <w:t>f</w:t>
      </w:r>
      <w:r w:rsidRPr="00F13CC7">
        <w:rPr>
          <w:lang w:val="en-IN"/>
        </w:rPr>
        <w:t xml:space="preserve">, explanation method </w:t>
      </w:r>
      <w:r w:rsidRPr="00F13CC7">
        <w:rPr>
          <w:i/>
          <w:iCs/>
          <w:lang w:val="en-IN"/>
        </w:rPr>
        <w:t>E</w:t>
      </w:r>
      <w:r w:rsidRPr="00F13CC7">
        <w:rPr>
          <w:lang w:val="en-IN"/>
        </w:rPr>
        <w:t xml:space="preserve">, fidelity threshold </w:t>
      </w:r>
      <m:oMath>
        <m:r>
          <w:rPr>
            <w:rFonts w:ascii="Cambria Math" w:hAnsi="Cambria Math"/>
            <w:lang w:val="en-IN"/>
          </w:rPr>
          <m:t>τ</m:t>
        </m:r>
      </m:oMath>
      <w:r w:rsidRPr="00F13CC7">
        <w:rPr>
          <w:vertAlign w:val="subscript"/>
          <w:lang w:val="en-IN"/>
        </w:rPr>
        <w:t>f</w:t>
      </w:r>
      <w:r w:rsidRPr="00F13CC7">
        <w:rPr>
          <w:lang w:val="en-IN"/>
        </w:rPr>
        <w:t>, stability threshold</w:t>
      </w:r>
      <w:r w:rsidR="00966870">
        <w:rPr>
          <w:lang w:val="en-IN"/>
        </w:rPr>
        <w:t xml:space="preserve"> </w:t>
      </w:r>
      <m:oMath>
        <m:r>
          <w:rPr>
            <w:rFonts w:ascii="Cambria Math" w:hAnsi="Cambria Math"/>
            <w:lang w:val="en-IN"/>
          </w:rPr>
          <m:t>τ</m:t>
        </m:r>
      </m:oMath>
      <w:r w:rsidR="00966870" w:rsidRPr="00F13CC7">
        <w:rPr>
          <w:vertAlign w:val="subscript"/>
          <w:lang w:val="en-IN"/>
        </w:rPr>
        <w:t>s</w:t>
      </w:r>
      <w:r w:rsidRPr="00F13CC7">
        <w:rPr>
          <w:lang w:val="en-IN"/>
        </w:rPr>
        <w:t xml:space="preserve">, uncertainty threshold </w:t>
      </w:r>
      <m:oMath>
        <m:r>
          <w:rPr>
            <w:rFonts w:ascii="Cambria Math" w:hAnsi="Cambria Math"/>
            <w:lang w:val="en-IN"/>
          </w:rPr>
          <m:t>τ</m:t>
        </m:r>
      </m:oMath>
      <w:r w:rsidRPr="00F13CC7">
        <w:rPr>
          <w:vertAlign w:val="subscript"/>
          <w:lang w:val="en-IN"/>
        </w:rPr>
        <w:t>u</w:t>
      </w:r>
      <w:r w:rsidRPr="00F13CC7">
        <w:rPr>
          <w:lang w:val="en-IN"/>
        </w:rPr>
        <w:t xml:space="preserve">, and anomaly threshold </w:t>
      </w:r>
      <m:oMath>
        <m:r>
          <w:rPr>
            <w:rFonts w:ascii="Cambria Math" w:hAnsi="Cambria Math"/>
            <w:lang w:val="en-IN"/>
          </w:rPr>
          <m:t>τ</m:t>
        </m:r>
      </m:oMath>
      <w:r w:rsidRPr="00F13CC7">
        <w:rPr>
          <w:vertAlign w:val="subscript"/>
          <w:lang w:val="en-IN"/>
        </w:rPr>
        <w:t>a</w:t>
      </w:r>
      <w:r w:rsidRPr="00F13CC7">
        <w:rPr>
          <w:lang w:val="en-IN"/>
        </w:rPr>
        <w:t>.</w:t>
      </w:r>
    </w:p>
    <w:p w14:paraId="5888A4F0" w14:textId="77777777" w:rsidR="00F13CC7" w:rsidRPr="00F13CC7" w:rsidRDefault="00F13CC7" w:rsidP="00F13CC7">
      <w:pPr>
        <w:jc w:val="both"/>
        <w:rPr>
          <w:lang w:val="en-IN"/>
        </w:rPr>
      </w:pPr>
      <w:r w:rsidRPr="00F13CC7">
        <w:rPr>
          <w:b/>
          <w:bCs/>
          <w:lang w:val="en-IN"/>
        </w:rPr>
        <w:t>Output:</w:t>
      </w:r>
      <w:r w:rsidRPr="00F13CC7">
        <w:rPr>
          <w:lang w:val="en-IN"/>
        </w:rPr>
        <w:t xml:space="preserve"> Prediction </w:t>
      </w:r>
      <w:r w:rsidRPr="00F13CC7">
        <w:rPr>
          <w:i/>
          <w:iCs/>
          <w:lang w:val="en-IN"/>
        </w:rPr>
        <w:t>y</w:t>
      </w:r>
      <w:r w:rsidRPr="00F13CC7">
        <w:rPr>
          <w:lang w:val="en-IN"/>
        </w:rPr>
        <w:t xml:space="preserve">, explanation </w:t>
      </w:r>
      <w:r w:rsidRPr="00F13CC7">
        <w:rPr>
          <w:i/>
          <w:iCs/>
          <w:lang w:val="en-IN"/>
        </w:rPr>
        <w:t>e</w:t>
      </w:r>
      <w:r w:rsidRPr="00F13CC7">
        <w:rPr>
          <w:lang w:val="en-IN"/>
        </w:rPr>
        <w:t xml:space="preserve">, reliability status </w:t>
      </w:r>
      <w:r w:rsidRPr="00F13CC7">
        <w:rPr>
          <w:i/>
          <w:iCs/>
          <w:lang w:val="en-IN"/>
        </w:rPr>
        <w:t>r</w:t>
      </w:r>
      <w:r w:rsidRPr="00F13CC7">
        <w:rPr>
          <w:lang w:val="en-IN"/>
        </w:rPr>
        <w:t xml:space="preserve">, and decision action </w:t>
      </w:r>
      <w:r w:rsidRPr="00F13CC7">
        <w:rPr>
          <w:i/>
          <w:iCs/>
          <w:lang w:val="en-IN"/>
        </w:rPr>
        <w:t>a</w:t>
      </w:r>
      <w:r w:rsidRPr="00F13CC7">
        <w:rPr>
          <w:lang w:val="en-IN"/>
        </w:rPr>
        <w:t>.</w:t>
      </w:r>
    </w:p>
    <w:p w14:paraId="0D2C7BCF" w14:textId="77777777" w:rsidR="00F13CC7" w:rsidRPr="00F13CC7" w:rsidRDefault="00F13CC7" w:rsidP="00F13CC7">
      <w:pPr>
        <w:numPr>
          <w:ilvl w:val="0"/>
          <w:numId w:val="10"/>
        </w:numPr>
        <w:jc w:val="both"/>
        <w:rPr>
          <w:lang w:val="en-IN"/>
        </w:rPr>
      </w:pPr>
      <w:r w:rsidRPr="00F13CC7">
        <w:rPr>
          <w:lang w:val="en-IN"/>
        </w:rPr>
        <w:t>Obtain prediction y = f(x) and predictive uncertainty</w:t>
      </w:r>
      <w:r w:rsidR="00966870">
        <w:rPr>
          <w:lang w:val="en-IN"/>
        </w:rPr>
        <w:t xml:space="preserve"> </w:t>
      </w:r>
      <w:r w:rsidRPr="00F13CC7">
        <w:rPr>
          <w:lang w:val="en-IN"/>
        </w:rPr>
        <w:t>u.</w:t>
      </w:r>
    </w:p>
    <w:p w14:paraId="7E9667E5" w14:textId="77777777" w:rsidR="00F13CC7" w:rsidRPr="00F13CC7" w:rsidRDefault="00F13CC7" w:rsidP="00F13CC7">
      <w:pPr>
        <w:numPr>
          <w:ilvl w:val="0"/>
          <w:numId w:val="10"/>
        </w:numPr>
        <w:jc w:val="both"/>
        <w:rPr>
          <w:lang w:val="en-IN"/>
        </w:rPr>
      </w:pPr>
      <w:r w:rsidRPr="00F13CC7">
        <w:rPr>
          <w:lang w:val="en-IN"/>
        </w:rPr>
        <w:t>Generate explanation e = E(</w:t>
      </w:r>
      <w:proofErr w:type="spellStart"/>
      <w:proofErr w:type="gramStart"/>
      <w:r w:rsidRPr="00F13CC7">
        <w:rPr>
          <w:lang w:val="en-IN"/>
        </w:rPr>
        <w:t>f,x</w:t>
      </w:r>
      <w:proofErr w:type="spellEnd"/>
      <w:proofErr w:type="gramEnd"/>
      <w:r w:rsidRPr="00F13CC7">
        <w:rPr>
          <w:lang w:val="en-IN"/>
        </w:rPr>
        <w:t>).</w:t>
      </w:r>
    </w:p>
    <w:p w14:paraId="6B1CC921" w14:textId="77777777" w:rsidR="00F13CC7" w:rsidRPr="00F13CC7" w:rsidRDefault="00F13CC7" w:rsidP="00F13CC7">
      <w:pPr>
        <w:numPr>
          <w:ilvl w:val="0"/>
          <w:numId w:val="10"/>
        </w:numPr>
        <w:jc w:val="both"/>
        <w:rPr>
          <w:lang w:val="en-IN"/>
        </w:rPr>
      </w:pPr>
      <w:r w:rsidRPr="00F13CC7">
        <w:rPr>
          <w:lang w:val="en-IN"/>
        </w:rPr>
        <w:t>Estimate explanation fidelity F using a predefined fidelity metric.</w:t>
      </w:r>
    </w:p>
    <w:p w14:paraId="4A5CEA74" w14:textId="77777777" w:rsidR="00F13CC7" w:rsidRPr="00F13CC7" w:rsidRDefault="00F13CC7" w:rsidP="00F13CC7">
      <w:pPr>
        <w:numPr>
          <w:ilvl w:val="0"/>
          <w:numId w:val="10"/>
        </w:numPr>
        <w:jc w:val="both"/>
        <w:rPr>
          <w:lang w:val="en-IN"/>
        </w:rPr>
      </w:pPr>
      <w:r w:rsidRPr="00F13CC7">
        <w:rPr>
          <w:lang w:val="en-IN"/>
        </w:rPr>
        <w:t>Apply controlled perturbations to x and generate corresponding explanations.</w:t>
      </w:r>
    </w:p>
    <w:p w14:paraId="699B3A88" w14:textId="77777777" w:rsidR="00F13CC7" w:rsidRPr="00F13CC7" w:rsidRDefault="00F13CC7" w:rsidP="00F13CC7">
      <w:pPr>
        <w:numPr>
          <w:ilvl w:val="0"/>
          <w:numId w:val="10"/>
        </w:numPr>
        <w:jc w:val="both"/>
        <w:rPr>
          <w:lang w:val="en-IN"/>
        </w:rPr>
      </w:pPr>
      <w:r w:rsidRPr="00F13CC7">
        <w:rPr>
          <w:lang w:val="en-IN"/>
        </w:rPr>
        <w:t>Calculate explanation stability S across the perturbed inputs.</w:t>
      </w:r>
    </w:p>
    <w:p w14:paraId="03215DCF" w14:textId="77777777" w:rsidR="00F13CC7" w:rsidRPr="00F13CC7" w:rsidRDefault="00F13CC7" w:rsidP="00F13CC7">
      <w:pPr>
        <w:numPr>
          <w:ilvl w:val="0"/>
          <w:numId w:val="10"/>
        </w:numPr>
        <w:jc w:val="both"/>
        <w:rPr>
          <w:lang w:val="en-IN"/>
        </w:rPr>
      </w:pPr>
      <w:r w:rsidRPr="00F13CC7">
        <w:rPr>
          <w:lang w:val="en-IN"/>
        </w:rPr>
        <w:t>Estimate the input anomaly or distribution-shift score D.</w:t>
      </w:r>
    </w:p>
    <w:p w14:paraId="32187EFB" w14:textId="77777777" w:rsidR="00F13CC7" w:rsidRPr="00F13CC7" w:rsidRDefault="00F13CC7" w:rsidP="00F13CC7">
      <w:pPr>
        <w:numPr>
          <w:ilvl w:val="0"/>
          <w:numId w:val="10"/>
        </w:numPr>
        <w:jc w:val="both"/>
        <w:rPr>
          <w:lang w:val="en-IN"/>
        </w:rPr>
      </w:pPr>
      <w:r w:rsidRPr="00F13CC7">
        <w:rPr>
          <w:lang w:val="en-IN"/>
        </w:rPr>
        <w:t xml:space="preserve">If (F &lt; </w:t>
      </w:r>
      <m:oMath>
        <m:r>
          <w:rPr>
            <w:rFonts w:ascii="Cambria Math" w:hAnsi="Cambria Math"/>
            <w:lang w:val="en-IN"/>
          </w:rPr>
          <m:t>τ</m:t>
        </m:r>
      </m:oMath>
      <w:r w:rsidRPr="00F13CC7">
        <w:rPr>
          <w:vertAlign w:val="subscript"/>
          <w:lang w:val="en-IN"/>
        </w:rPr>
        <w:t>f</w:t>
      </w:r>
      <w:r w:rsidRPr="00F13CC7">
        <w:rPr>
          <w:lang w:val="en-IN"/>
        </w:rPr>
        <w:t xml:space="preserve">) or (S &lt; </w:t>
      </w:r>
      <m:oMath>
        <m:r>
          <w:rPr>
            <w:rFonts w:ascii="Cambria Math" w:hAnsi="Cambria Math"/>
            <w:lang w:val="en-IN"/>
          </w:rPr>
          <m:t>τ</m:t>
        </m:r>
      </m:oMath>
      <w:r w:rsidR="00966870" w:rsidRPr="00F13CC7">
        <w:rPr>
          <w:vertAlign w:val="subscript"/>
          <w:lang w:val="en-IN"/>
        </w:rPr>
        <w:t>s</w:t>
      </w:r>
      <w:r w:rsidRPr="00F13CC7">
        <w:rPr>
          <w:lang w:val="en-IN"/>
        </w:rPr>
        <w:t>), mark the explanation as unreliable.</w:t>
      </w:r>
    </w:p>
    <w:p w14:paraId="70CC202D" w14:textId="77777777" w:rsidR="00F13CC7" w:rsidRPr="00F13CC7" w:rsidRDefault="00F13CC7" w:rsidP="00F13CC7">
      <w:pPr>
        <w:numPr>
          <w:ilvl w:val="0"/>
          <w:numId w:val="10"/>
        </w:numPr>
        <w:jc w:val="both"/>
        <w:rPr>
          <w:lang w:val="en-IN"/>
        </w:rPr>
      </w:pPr>
      <w:r w:rsidRPr="00F13CC7">
        <w:rPr>
          <w:lang w:val="en-IN"/>
        </w:rPr>
        <w:t xml:space="preserve">Else if (u &gt; </w:t>
      </w:r>
      <m:oMath>
        <m:r>
          <w:rPr>
            <w:rFonts w:ascii="Cambria Math" w:hAnsi="Cambria Math"/>
            <w:lang w:val="en-IN"/>
          </w:rPr>
          <m:t>τ</m:t>
        </m:r>
      </m:oMath>
      <w:r w:rsidR="00966870">
        <w:rPr>
          <w:vertAlign w:val="subscript"/>
          <w:lang w:val="en-IN"/>
        </w:rPr>
        <w:t>u</w:t>
      </w:r>
      <w:r w:rsidRPr="00F13CC7">
        <w:rPr>
          <w:lang w:val="en-IN"/>
        </w:rPr>
        <w:t xml:space="preserve">) or (D &gt; </w:t>
      </w:r>
      <m:oMath>
        <m:r>
          <w:rPr>
            <w:rFonts w:ascii="Cambria Math" w:hAnsi="Cambria Math"/>
            <w:lang w:val="en-IN"/>
          </w:rPr>
          <m:t>τ</m:t>
        </m:r>
      </m:oMath>
      <w:r w:rsidRPr="00F13CC7">
        <w:rPr>
          <w:vertAlign w:val="subscript"/>
          <w:lang w:val="en-IN"/>
        </w:rPr>
        <w:t>a</w:t>
      </w:r>
      <w:r w:rsidRPr="00F13CC7">
        <w:rPr>
          <w:lang w:val="en-IN"/>
        </w:rPr>
        <w:t>), flag the prediction for additional review.</w:t>
      </w:r>
    </w:p>
    <w:p w14:paraId="61FB49A5" w14:textId="77777777" w:rsidR="00F13CC7" w:rsidRPr="00F13CC7" w:rsidRDefault="00F13CC7" w:rsidP="00F13CC7">
      <w:pPr>
        <w:numPr>
          <w:ilvl w:val="0"/>
          <w:numId w:val="10"/>
        </w:numPr>
        <w:jc w:val="both"/>
        <w:rPr>
          <w:lang w:val="en-IN"/>
        </w:rPr>
      </w:pPr>
      <w:r w:rsidRPr="00F13CC7">
        <w:rPr>
          <w:lang w:val="en-IN"/>
        </w:rPr>
        <w:t>Otherwise, mark the explanation as provisionally reliable.</w:t>
      </w:r>
    </w:p>
    <w:p w14:paraId="00451CFB" w14:textId="77777777" w:rsidR="00F13CC7" w:rsidRPr="00F13CC7" w:rsidRDefault="00F13CC7" w:rsidP="00F13CC7">
      <w:pPr>
        <w:numPr>
          <w:ilvl w:val="0"/>
          <w:numId w:val="10"/>
        </w:numPr>
        <w:jc w:val="both"/>
        <w:rPr>
          <w:lang w:val="en-IN"/>
        </w:rPr>
      </w:pPr>
      <w:r w:rsidRPr="00F13CC7">
        <w:rPr>
          <w:lang w:val="en-IN"/>
        </w:rPr>
        <w:t>If the explanation is unreliable or the prediction is flagged, route the case to human review or abstain from automated decision-making, according to the application’s risk policy.</w:t>
      </w:r>
    </w:p>
    <w:p w14:paraId="76757B15" w14:textId="77777777" w:rsidR="00F13CC7" w:rsidRPr="00F13CC7" w:rsidRDefault="00F13CC7" w:rsidP="00F13CC7">
      <w:pPr>
        <w:numPr>
          <w:ilvl w:val="0"/>
          <w:numId w:val="10"/>
        </w:numPr>
        <w:jc w:val="both"/>
        <w:rPr>
          <w:lang w:val="en-IN"/>
        </w:rPr>
      </w:pPr>
      <w:r w:rsidRPr="00F13CC7">
        <w:rPr>
          <w:lang w:val="en-IN"/>
        </w:rPr>
        <w:lastRenderedPageBreak/>
        <w:t>Otherwise, return the prediction and explanation for use, subject to the system’s deployment requirements.</w:t>
      </w:r>
    </w:p>
    <w:p w14:paraId="13FFD3C9" w14:textId="77777777" w:rsidR="00F13CC7" w:rsidRPr="00F13CC7" w:rsidRDefault="00F13CC7" w:rsidP="00F13CC7">
      <w:pPr>
        <w:numPr>
          <w:ilvl w:val="0"/>
          <w:numId w:val="10"/>
        </w:numPr>
        <w:jc w:val="both"/>
        <w:rPr>
          <w:lang w:val="en-IN"/>
        </w:rPr>
      </w:pPr>
      <w:r w:rsidRPr="00F13CC7">
        <w:rPr>
          <w:lang w:val="en-IN"/>
        </w:rPr>
        <w:t>Record the diagnostic scores and decision action for subsequent auditing.</w:t>
      </w:r>
    </w:p>
    <w:p w14:paraId="586C9152" w14:textId="77777777" w:rsidR="00325982" w:rsidRDefault="00000000">
      <w:pPr>
        <w:pStyle w:val="Heading1"/>
      </w:pPr>
      <w:r>
        <w:t>4. Proposed Empirical Evaluation Protocol</w:t>
      </w:r>
    </w:p>
    <w:p w14:paraId="580FE5AF" w14:textId="77777777" w:rsidR="00325982" w:rsidRDefault="00000000">
      <w:pPr>
        <w:jc w:val="both"/>
      </w:pPr>
      <w:r>
        <w:t>The proposed framework requires empirical validation. A suitable study should compare an integrated R-XDL system against clearly specified baselines, such as (a) a standard deep learning model, (b) the same model with corruption-aware training, (c) a model with post-hoc explanations but no explanation diagnostics, and (d) a model with uncertainty-based rejection but no integrated shift monitoring. Baselines should be selected according to the domain and implemented with comparable training data and tuning budgets.</w:t>
      </w:r>
    </w:p>
    <w:p w14:paraId="74EB3DD1" w14:textId="77777777" w:rsidR="00325982" w:rsidRDefault="00000000">
      <w:pPr>
        <w:pStyle w:val="Heading2"/>
      </w:pPr>
      <w:r>
        <w:t>4.1 Experimental Conditions</w:t>
      </w:r>
    </w:p>
    <w:p w14:paraId="7FAF738F" w14:textId="77777777" w:rsidR="00325982" w:rsidRDefault="00000000">
      <w:pPr>
        <w:pStyle w:val="ListBullet"/>
      </w:pPr>
      <w:r>
        <w:t>Clean in-distribution test data, held out from all training and model-selection decisions.</w:t>
      </w:r>
    </w:p>
    <w:p w14:paraId="08F11FE0" w14:textId="77777777" w:rsidR="00325982" w:rsidRDefault="00000000">
      <w:pPr>
        <w:pStyle w:val="ListBullet"/>
      </w:pPr>
      <w:r>
        <w:t>One or more naturally occurring or temporally separated distribution shifts.</w:t>
      </w:r>
    </w:p>
    <w:p w14:paraId="25608FA5" w14:textId="77777777" w:rsidR="00325982" w:rsidRDefault="00000000">
      <w:pPr>
        <w:pStyle w:val="ListBullet"/>
      </w:pPr>
      <w:r>
        <w:t>Controlled corruption types and multiple documented severity levels, including only transformations relevant to the task.</w:t>
      </w:r>
    </w:p>
    <w:p w14:paraId="04737A6C" w14:textId="77777777" w:rsidR="00325982" w:rsidRDefault="00000000">
      <w:pPr>
        <w:pStyle w:val="ListBullet"/>
      </w:pPr>
      <w:r>
        <w:t>Training-label noise experiments at prespecified rates, clearly distinguished from test-input corruption.</w:t>
      </w:r>
    </w:p>
    <w:p w14:paraId="5D2C2DAA" w14:textId="77777777" w:rsidR="00325982" w:rsidRDefault="00000000">
      <w:pPr>
        <w:pStyle w:val="ListBullet"/>
      </w:pPr>
      <w:r>
        <w:t>Subgroup and rare-class analysis to detect concentrated failure modes</w:t>
      </w:r>
      <w:r>
        <w:rPr>
          <w:highlight w:val="yellow"/>
        </w:rPr>
        <w:t xml:space="preserve"> (Mehrabi et al., 2021)</w:t>
      </w:r>
      <w:r>
        <w:t>.</w:t>
      </w:r>
    </w:p>
    <w:p w14:paraId="02E0C7F3" w14:textId="77777777" w:rsidR="00325982" w:rsidRDefault="00000000">
      <w:pPr>
        <w:pStyle w:val="ListBullet"/>
      </w:pPr>
      <w:r>
        <w:t>Explanation stability tests under decision-preserving perturbations and explanation sensitivity tests where relevant evidence changes.</w:t>
      </w:r>
    </w:p>
    <w:p w14:paraId="04636C0E" w14:textId="77777777" w:rsidR="006A6E8B" w:rsidRDefault="006A6E8B" w:rsidP="006A6E8B">
      <w:pPr>
        <w:pStyle w:val="Heading3"/>
        <w:rPr>
          <w:sz w:val="27"/>
        </w:rPr>
      </w:pPr>
      <w:r>
        <w:t>4.1 Experimental Conditions</w:t>
      </w:r>
    </w:p>
    <w:p w14:paraId="75350018" w14:textId="77777777" w:rsidR="006A6E8B" w:rsidRDefault="006A6E8B" w:rsidP="006A6E8B">
      <w:pPr>
        <w:pStyle w:val="NormalWeb"/>
      </w:pPr>
      <w:r>
        <w:t xml:space="preserve">The proposed evaluation of the Robust Explainable Deep Learning (R-XDL) framework should examine model </w:t>
      </w:r>
      <w:proofErr w:type="spellStart"/>
      <w:r>
        <w:t>behaviour</w:t>
      </w:r>
      <w:proofErr w:type="spellEnd"/>
      <w:r>
        <w:t xml:space="preserve"> under clean data conditions, distribution shifts, and noisy input scenarios. The evaluation should consider multiple types of distribution shifts, including covariate shift, domain shift, and out-of-distribution inputs, together with relevant noise conditions such as label noise, input corruption, and measurement noise. These conditions are intended to represent challenges that may arise when deep learning models are deployed in real-world environments.</w:t>
      </w:r>
    </w:p>
    <w:p w14:paraId="0D519398" w14:textId="77777777" w:rsidR="006A6E8B" w:rsidRDefault="006A6E8B" w:rsidP="006A6E8B">
      <w:pPr>
        <w:pStyle w:val="NormalWeb"/>
      </w:pPr>
      <w:r>
        <w:lastRenderedPageBreak/>
        <w:t>The evaluation protocol should establish a clean-data baseline before introducing predefined shifts and noise levels. Model performance under these conditions should be compared to determine the extent of predictive degradation and the reliability of generated explanations. Where applicable, the same datasets, data splits, preprocessing procedures, and evaluation conditions should be used across the selected baseline models and the proposed framework to support meaningful comparisons.</w:t>
      </w:r>
    </w:p>
    <w:p w14:paraId="0D97F4BB" w14:textId="77777777" w:rsidR="006A6E8B" w:rsidRDefault="006A6E8B" w:rsidP="006A6E8B">
      <w:pPr>
        <w:pStyle w:val="NormalWeb"/>
      </w:pPr>
      <w:r>
        <w:t xml:space="preserve">The experimental design should also examine the </w:t>
      </w:r>
      <w:proofErr w:type="spellStart"/>
      <w:r>
        <w:t>behaviour</w:t>
      </w:r>
      <w:proofErr w:type="spellEnd"/>
      <w:r>
        <w:t xml:space="preserve"> of the explanation diagnostic gate under different levels of predictive uncertainty, explanation instability, and distributional deviation. The gate should be assessed according to its ability to identify potentially unreliable predictions or explanations and to determine when additional review, abstention, or risk-aware handling may be appropriate. Diagnostic thresholds should be established using validation data and fixed before final testing to reduce the risk of test-data leakage.</w:t>
      </w:r>
    </w:p>
    <w:p w14:paraId="19945A7D" w14:textId="77777777" w:rsidR="006A6E8B" w:rsidRDefault="006A6E8B" w:rsidP="006A6E8B">
      <w:pPr>
        <w:pStyle w:val="NormalWeb"/>
      </w:pPr>
      <w:r>
        <w:t>For reproducibility, future implementation should document dataset sources and versions, preprocessing steps, model architectures, training configurations, noise-generation procedures, distribution-shift settings, software dependencies, and hardware specifications. Where computationally feasible, repeated runs with different random seeds should be performed, and the variability of the resulting metrics should be reported.</w:t>
      </w:r>
    </w:p>
    <w:p w14:paraId="6B603BDC" w14:textId="77777777" w:rsidR="006A6E8B" w:rsidRDefault="006A6E8B" w:rsidP="006A6E8B">
      <w:pPr>
        <w:pStyle w:val="NormalWeb"/>
      </w:pPr>
      <w:r>
        <w:t>As this article presents a conceptual framework, the conditions described above define a proposed experimental protocol. The selection of specific datasets, shift severity levels, noise parameters, and model configurations remains part of future empirical implementation. No completed experiments or empirical performance improvements are claimed.</w:t>
      </w:r>
    </w:p>
    <w:p w14:paraId="65E54794" w14:textId="77777777" w:rsidR="00325982" w:rsidRDefault="00000000" w:rsidP="00DC7CB7">
      <w:pPr>
        <w:pStyle w:val="Heading2"/>
        <w:numPr>
          <w:ilvl w:val="1"/>
          <w:numId w:val="11"/>
        </w:numPr>
      </w:pPr>
      <w:r>
        <w:t>Evaluation Metrics</w:t>
      </w:r>
    </w:p>
    <w:p w14:paraId="27F7DEE5" w14:textId="77777777" w:rsidR="00DC7CB7" w:rsidRPr="00DC7CB7" w:rsidRDefault="00DC7CB7" w:rsidP="00DC7CB7">
      <w:pPr>
        <w:pStyle w:val="ListParagraph"/>
        <w:ind w:left="360"/>
      </w:pPr>
      <w:r w:rsidRPr="00DC7CB7">
        <w:t>Table 3. Proposed Evaluation Metrics for Assessing Predictive Performance, Robustness, Explanation Reliability, and Operational Cost</w:t>
      </w:r>
    </w:p>
    <w:tbl>
      <w:tblPr>
        <w:tblStyle w:val="TableGrid"/>
        <w:tblW w:w="0" w:type="auto"/>
        <w:jc w:val="center"/>
        <w:tblLook w:val="04A0" w:firstRow="1" w:lastRow="0" w:firstColumn="1" w:lastColumn="0" w:noHBand="0" w:noVBand="1"/>
      </w:tblPr>
      <w:tblGrid>
        <w:gridCol w:w="3116"/>
        <w:gridCol w:w="3117"/>
        <w:gridCol w:w="3117"/>
      </w:tblGrid>
      <w:tr w:rsidR="00325982" w14:paraId="5F5074B3" w14:textId="77777777">
        <w:trPr>
          <w:jc w:val="center"/>
        </w:trPr>
        <w:tc>
          <w:tcPr>
            <w:tcW w:w="3120" w:type="dxa"/>
            <w:vAlign w:val="center"/>
          </w:tcPr>
          <w:p w14:paraId="6B2EC0C5" w14:textId="77777777" w:rsidR="00325982" w:rsidRPr="00DC7CB7" w:rsidRDefault="00000000">
            <w:pPr>
              <w:spacing w:after="40" w:line="240" w:lineRule="auto"/>
              <w:rPr>
                <w:b/>
                <w:bCs/>
              </w:rPr>
            </w:pPr>
            <w:r w:rsidRPr="00DC7CB7">
              <w:rPr>
                <w:b/>
                <w:bCs/>
                <w:sz w:val="18"/>
              </w:rPr>
              <w:t>Dimension</w:t>
            </w:r>
          </w:p>
        </w:tc>
        <w:tc>
          <w:tcPr>
            <w:tcW w:w="3120" w:type="dxa"/>
            <w:vAlign w:val="center"/>
          </w:tcPr>
          <w:p w14:paraId="7BA62DA3" w14:textId="77777777" w:rsidR="00325982" w:rsidRPr="00DC7CB7" w:rsidRDefault="00000000">
            <w:pPr>
              <w:spacing w:after="40" w:line="240" w:lineRule="auto"/>
              <w:rPr>
                <w:b/>
                <w:bCs/>
              </w:rPr>
            </w:pPr>
            <w:r w:rsidRPr="00DC7CB7">
              <w:rPr>
                <w:b/>
                <w:bCs/>
                <w:sz w:val="18"/>
              </w:rPr>
              <w:t>Candidate measures</w:t>
            </w:r>
          </w:p>
        </w:tc>
        <w:tc>
          <w:tcPr>
            <w:tcW w:w="3120" w:type="dxa"/>
            <w:vAlign w:val="center"/>
          </w:tcPr>
          <w:p w14:paraId="3131D1F5" w14:textId="77777777" w:rsidR="00325982" w:rsidRPr="00DC7CB7" w:rsidRDefault="00000000">
            <w:pPr>
              <w:spacing w:after="40" w:line="240" w:lineRule="auto"/>
              <w:rPr>
                <w:b/>
                <w:bCs/>
              </w:rPr>
            </w:pPr>
            <w:r w:rsidRPr="00DC7CB7">
              <w:rPr>
                <w:b/>
                <w:bCs/>
                <w:sz w:val="18"/>
              </w:rPr>
              <w:t>Interpretation</w:t>
            </w:r>
          </w:p>
        </w:tc>
      </w:tr>
      <w:tr w:rsidR="00325982" w14:paraId="12065107" w14:textId="77777777">
        <w:trPr>
          <w:jc w:val="center"/>
        </w:trPr>
        <w:tc>
          <w:tcPr>
            <w:tcW w:w="3120" w:type="dxa"/>
            <w:vAlign w:val="center"/>
          </w:tcPr>
          <w:p w14:paraId="2C99E8EB" w14:textId="77777777" w:rsidR="00325982" w:rsidRDefault="00000000">
            <w:pPr>
              <w:spacing w:after="40" w:line="240" w:lineRule="auto"/>
            </w:pPr>
            <w:r>
              <w:rPr>
                <w:sz w:val="18"/>
              </w:rPr>
              <w:t>Prediction</w:t>
            </w:r>
          </w:p>
        </w:tc>
        <w:tc>
          <w:tcPr>
            <w:tcW w:w="3120" w:type="dxa"/>
            <w:vAlign w:val="center"/>
          </w:tcPr>
          <w:p w14:paraId="27895CCF" w14:textId="77777777" w:rsidR="00325982" w:rsidRDefault="00000000">
            <w:pPr>
              <w:spacing w:after="40" w:line="240" w:lineRule="auto"/>
            </w:pPr>
            <w:r>
              <w:rPr>
                <w:sz w:val="18"/>
              </w:rPr>
              <w:t>Accuracy, precision, recall, F1, AUROC, task-specific loss</w:t>
            </w:r>
          </w:p>
        </w:tc>
        <w:tc>
          <w:tcPr>
            <w:tcW w:w="3120" w:type="dxa"/>
            <w:vAlign w:val="center"/>
          </w:tcPr>
          <w:p w14:paraId="5BBA3814" w14:textId="77777777" w:rsidR="00325982" w:rsidRDefault="00000000">
            <w:pPr>
              <w:spacing w:after="40" w:line="240" w:lineRule="auto"/>
            </w:pPr>
            <w:r>
              <w:rPr>
                <w:sz w:val="18"/>
              </w:rPr>
              <w:t>Use metrics appropriate to class balance and error costs.</w:t>
            </w:r>
          </w:p>
        </w:tc>
      </w:tr>
      <w:tr w:rsidR="00325982" w14:paraId="15AAA5F0" w14:textId="77777777">
        <w:trPr>
          <w:jc w:val="center"/>
        </w:trPr>
        <w:tc>
          <w:tcPr>
            <w:tcW w:w="3120" w:type="dxa"/>
            <w:vAlign w:val="center"/>
          </w:tcPr>
          <w:p w14:paraId="175F3364" w14:textId="77777777" w:rsidR="00325982" w:rsidRDefault="00000000">
            <w:pPr>
              <w:spacing w:after="40" w:line="240" w:lineRule="auto"/>
            </w:pPr>
            <w:r>
              <w:rPr>
                <w:sz w:val="18"/>
              </w:rPr>
              <w:t>Robustness</w:t>
            </w:r>
          </w:p>
        </w:tc>
        <w:tc>
          <w:tcPr>
            <w:tcW w:w="3120" w:type="dxa"/>
            <w:vAlign w:val="center"/>
          </w:tcPr>
          <w:p w14:paraId="3A433F7F" w14:textId="77777777" w:rsidR="00325982" w:rsidRDefault="00000000">
            <w:pPr>
              <w:spacing w:after="40" w:line="240" w:lineRule="auto"/>
            </w:pPr>
            <w:r>
              <w:rPr>
                <w:sz w:val="18"/>
              </w:rPr>
              <w:t>Performance drop by shift/noise type and severity; worst-group performance</w:t>
            </w:r>
          </w:p>
        </w:tc>
        <w:tc>
          <w:tcPr>
            <w:tcW w:w="3120" w:type="dxa"/>
            <w:vAlign w:val="center"/>
          </w:tcPr>
          <w:p w14:paraId="40E7BF82" w14:textId="77777777" w:rsidR="00325982" w:rsidRDefault="00000000">
            <w:pPr>
              <w:spacing w:after="40" w:line="240" w:lineRule="auto"/>
            </w:pPr>
            <w:r>
              <w:rPr>
                <w:sz w:val="18"/>
              </w:rPr>
              <w:t>Measure degradation, not only average performance.</w:t>
            </w:r>
          </w:p>
        </w:tc>
      </w:tr>
      <w:tr w:rsidR="00325982" w14:paraId="5F57D447" w14:textId="77777777">
        <w:trPr>
          <w:jc w:val="center"/>
        </w:trPr>
        <w:tc>
          <w:tcPr>
            <w:tcW w:w="3120" w:type="dxa"/>
            <w:vAlign w:val="center"/>
          </w:tcPr>
          <w:p w14:paraId="4EAC9525" w14:textId="77777777" w:rsidR="00325982" w:rsidRDefault="00000000">
            <w:pPr>
              <w:spacing w:after="40" w:line="240" w:lineRule="auto"/>
            </w:pPr>
            <w:r>
              <w:rPr>
                <w:sz w:val="18"/>
              </w:rPr>
              <w:t>Calibration</w:t>
            </w:r>
          </w:p>
        </w:tc>
        <w:tc>
          <w:tcPr>
            <w:tcW w:w="3120" w:type="dxa"/>
            <w:vAlign w:val="center"/>
          </w:tcPr>
          <w:p w14:paraId="4DE285AE" w14:textId="77777777" w:rsidR="00325982" w:rsidRDefault="00000000">
            <w:pPr>
              <w:spacing w:after="40" w:line="240" w:lineRule="auto"/>
            </w:pPr>
            <w:r>
              <w:rPr>
                <w:sz w:val="18"/>
              </w:rPr>
              <w:t>Brier score, log loss, expected calibration error</w:t>
            </w:r>
          </w:p>
        </w:tc>
        <w:tc>
          <w:tcPr>
            <w:tcW w:w="3120" w:type="dxa"/>
            <w:vAlign w:val="center"/>
          </w:tcPr>
          <w:p w14:paraId="062F4ADE" w14:textId="77777777" w:rsidR="00325982" w:rsidRDefault="00000000">
            <w:pPr>
              <w:spacing w:after="40" w:line="240" w:lineRule="auto"/>
            </w:pPr>
            <w:r>
              <w:rPr>
                <w:sz w:val="18"/>
              </w:rPr>
              <w:t>Assess whether confidence corresponds to observed outcomes.</w:t>
            </w:r>
          </w:p>
        </w:tc>
      </w:tr>
      <w:tr w:rsidR="00325982" w14:paraId="1ECEA40B" w14:textId="77777777">
        <w:trPr>
          <w:jc w:val="center"/>
        </w:trPr>
        <w:tc>
          <w:tcPr>
            <w:tcW w:w="3120" w:type="dxa"/>
            <w:vAlign w:val="center"/>
          </w:tcPr>
          <w:p w14:paraId="47779962" w14:textId="77777777" w:rsidR="00325982" w:rsidRDefault="00000000">
            <w:pPr>
              <w:spacing w:after="40" w:line="240" w:lineRule="auto"/>
            </w:pPr>
            <w:r>
              <w:rPr>
                <w:sz w:val="18"/>
              </w:rPr>
              <w:t>Selective prediction</w:t>
            </w:r>
          </w:p>
        </w:tc>
        <w:tc>
          <w:tcPr>
            <w:tcW w:w="3120" w:type="dxa"/>
            <w:vAlign w:val="center"/>
          </w:tcPr>
          <w:p w14:paraId="52442C87" w14:textId="77777777" w:rsidR="00325982" w:rsidRDefault="00000000">
            <w:pPr>
              <w:spacing w:after="40" w:line="240" w:lineRule="auto"/>
            </w:pPr>
            <w:r>
              <w:rPr>
                <w:sz w:val="18"/>
              </w:rPr>
              <w:t>Coverage, risk–coverage curve, error rate among accepted cases</w:t>
            </w:r>
          </w:p>
        </w:tc>
        <w:tc>
          <w:tcPr>
            <w:tcW w:w="3120" w:type="dxa"/>
            <w:vAlign w:val="center"/>
          </w:tcPr>
          <w:p w14:paraId="1C6D0E69" w14:textId="77777777" w:rsidR="00325982" w:rsidRDefault="00000000">
            <w:pPr>
              <w:spacing w:after="40" w:line="240" w:lineRule="auto"/>
            </w:pPr>
            <w:r>
              <w:rPr>
                <w:sz w:val="18"/>
              </w:rPr>
              <w:t>Evaluate the trade-off between abstention and retained-case reliability.</w:t>
            </w:r>
          </w:p>
        </w:tc>
      </w:tr>
      <w:tr w:rsidR="00325982" w14:paraId="4D2ACE30" w14:textId="77777777">
        <w:trPr>
          <w:jc w:val="center"/>
        </w:trPr>
        <w:tc>
          <w:tcPr>
            <w:tcW w:w="3120" w:type="dxa"/>
            <w:vAlign w:val="center"/>
          </w:tcPr>
          <w:p w14:paraId="787801ED" w14:textId="77777777" w:rsidR="00325982" w:rsidRDefault="00000000">
            <w:pPr>
              <w:spacing w:after="40" w:line="240" w:lineRule="auto"/>
            </w:pPr>
            <w:r>
              <w:rPr>
                <w:sz w:val="18"/>
              </w:rPr>
              <w:t>Explanation fidelity</w:t>
            </w:r>
          </w:p>
        </w:tc>
        <w:tc>
          <w:tcPr>
            <w:tcW w:w="3120" w:type="dxa"/>
            <w:vAlign w:val="center"/>
          </w:tcPr>
          <w:p w14:paraId="2EEEC953" w14:textId="77777777" w:rsidR="00325982" w:rsidRDefault="00000000">
            <w:pPr>
              <w:spacing w:after="40" w:line="240" w:lineRule="auto"/>
            </w:pPr>
            <w:r>
              <w:rPr>
                <w:sz w:val="18"/>
              </w:rPr>
              <w:t>Perturbation-based faithfulness tests or method-specific fidelity metrics</w:t>
            </w:r>
          </w:p>
        </w:tc>
        <w:tc>
          <w:tcPr>
            <w:tcW w:w="3120" w:type="dxa"/>
            <w:vAlign w:val="center"/>
          </w:tcPr>
          <w:p w14:paraId="19AE421B" w14:textId="77777777" w:rsidR="00325982" w:rsidRDefault="00000000">
            <w:pPr>
              <w:spacing w:after="40" w:line="240" w:lineRule="auto"/>
            </w:pPr>
            <w:r>
              <w:rPr>
                <w:sz w:val="18"/>
              </w:rPr>
              <w:t xml:space="preserve">Check whether explanations reflect model </w:t>
            </w:r>
            <w:proofErr w:type="spellStart"/>
            <w:r>
              <w:rPr>
                <w:sz w:val="18"/>
              </w:rPr>
              <w:t>behaviour</w:t>
            </w:r>
            <w:proofErr w:type="spellEnd"/>
            <w:r>
              <w:rPr>
                <w:sz w:val="18"/>
              </w:rPr>
              <w:t>.</w:t>
            </w:r>
          </w:p>
        </w:tc>
      </w:tr>
      <w:tr w:rsidR="00325982" w14:paraId="2FACAA3F" w14:textId="77777777">
        <w:trPr>
          <w:jc w:val="center"/>
        </w:trPr>
        <w:tc>
          <w:tcPr>
            <w:tcW w:w="3120" w:type="dxa"/>
            <w:vAlign w:val="center"/>
          </w:tcPr>
          <w:p w14:paraId="7E34F31B" w14:textId="77777777" w:rsidR="00325982" w:rsidRDefault="00000000">
            <w:pPr>
              <w:spacing w:after="40" w:line="240" w:lineRule="auto"/>
            </w:pPr>
            <w:r>
              <w:rPr>
                <w:sz w:val="18"/>
              </w:rPr>
              <w:lastRenderedPageBreak/>
              <w:t>Explanation stability</w:t>
            </w:r>
          </w:p>
        </w:tc>
        <w:tc>
          <w:tcPr>
            <w:tcW w:w="3120" w:type="dxa"/>
            <w:vAlign w:val="center"/>
          </w:tcPr>
          <w:p w14:paraId="505F53AF" w14:textId="77777777" w:rsidR="00325982" w:rsidRDefault="00000000">
            <w:pPr>
              <w:spacing w:after="40" w:line="240" w:lineRule="auto"/>
            </w:pPr>
            <w:r>
              <w:rPr>
                <w:sz w:val="18"/>
              </w:rPr>
              <w:t>Attribution similarity across decision-preserving perturbations; rank correlation where suitable</w:t>
            </w:r>
          </w:p>
        </w:tc>
        <w:tc>
          <w:tcPr>
            <w:tcW w:w="3120" w:type="dxa"/>
            <w:vAlign w:val="center"/>
          </w:tcPr>
          <w:p w14:paraId="741A4A98" w14:textId="77777777" w:rsidR="00325982" w:rsidRDefault="00000000">
            <w:pPr>
              <w:spacing w:after="40" w:line="240" w:lineRule="auto"/>
            </w:pPr>
            <w:r>
              <w:rPr>
                <w:sz w:val="18"/>
              </w:rPr>
              <w:t>Identify explanations that change without meaningful evidence changes.</w:t>
            </w:r>
          </w:p>
        </w:tc>
      </w:tr>
      <w:tr w:rsidR="00325982" w14:paraId="5776F568" w14:textId="77777777">
        <w:trPr>
          <w:jc w:val="center"/>
        </w:trPr>
        <w:tc>
          <w:tcPr>
            <w:tcW w:w="3120" w:type="dxa"/>
            <w:vAlign w:val="center"/>
          </w:tcPr>
          <w:p w14:paraId="0E0C04A3" w14:textId="77777777" w:rsidR="00325982" w:rsidRDefault="00000000">
            <w:pPr>
              <w:spacing w:after="40" w:line="240" w:lineRule="auto"/>
            </w:pPr>
            <w:r>
              <w:rPr>
                <w:sz w:val="18"/>
              </w:rPr>
              <w:t>Fairness</w:t>
            </w:r>
          </w:p>
        </w:tc>
        <w:tc>
          <w:tcPr>
            <w:tcW w:w="3120" w:type="dxa"/>
            <w:vAlign w:val="center"/>
          </w:tcPr>
          <w:p w14:paraId="7E1A9B35" w14:textId="77777777" w:rsidR="00325982" w:rsidRDefault="00000000">
            <w:pPr>
              <w:spacing w:after="40" w:line="240" w:lineRule="auto"/>
            </w:pPr>
            <w:r>
              <w:rPr>
                <w:sz w:val="18"/>
              </w:rPr>
              <w:t>Subgroup error, calibration, and coverage gaps</w:t>
            </w:r>
          </w:p>
        </w:tc>
        <w:tc>
          <w:tcPr>
            <w:tcW w:w="3120" w:type="dxa"/>
            <w:vAlign w:val="center"/>
          </w:tcPr>
          <w:p w14:paraId="5DC130B8" w14:textId="77777777" w:rsidR="00325982" w:rsidRDefault="00000000">
            <w:pPr>
              <w:spacing w:after="40" w:line="240" w:lineRule="auto"/>
            </w:pPr>
            <w:r>
              <w:rPr>
                <w:sz w:val="18"/>
              </w:rPr>
              <w:t>Identify whether shifts affect groups differently.</w:t>
            </w:r>
          </w:p>
        </w:tc>
      </w:tr>
      <w:tr w:rsidR="00325982" w14:paraId="3BDE827D" w14:textId="77777777">
        <w:trPr>
          <w:jc w:val="center"/>
        </w:trPr>
        <w:tc>
          <w:tcPr>
            <w:tcW w:w="3120" w:type="dxa"/>
            <w:vAlign w:val="center"/>
          </w:tcPr>
          <w:p w14:paraId="09B18C92" w14:textId="77777777" w:rsidR="00325982" w:rsidRDefault="00000000">
            <w:pPr>
              <w:spacing w:after="40" w:line="240" w:lineRule="auto"/>
            </w:pPr>
            <w:r>
              <w:rPr>
                <w:sz w:val="18"/>
              </w:rPr>
              <w:t>Operational cost</w:t>
            </w:r>
          </w:p>
        </w:tc>
        <w:tc>
          <w:tcPr>
            <w:tcW w:w="3120" w:type="dxa"/>
            <w:vAlign w:val="center"/>
          </w:tcPr>
          <w:p w14:paraId="7B6A8531" w14:textId="77777777" w:rsidR="00325982" w:rsidRDefault="00000000">
            <w:pPr>
              <w:spacing w:after="40" w:line="240" w:lineRule="auto"/>
            </w:pPr>
            <w:r>
              <w:rPr>
                <w:sz w:val="18"/>
              </w:rPr>
              <w:t>Latency, throughput, memory, compute cost, review workload</w:t>
            </w:r>
          </w:p>
        </w:tc>
        <w:tc>
          <w:tcPr>
            <w:tcW w:w="3120" w:type="dxa"/>
            <w:vAlign w:val="center"/>
          </w:tcPr>
          <w:p w14:paraId="4084A5EE" w14:textId="77777777" w:rsidR="00325982" w:rsidRDefault="00000000">
            <w:pPr>
              <w:spacing w:after="40" w:line="240" w:lineRule="auto"/>
            </w:pPr>
            <w:r>
              <w:rPr>
                <w:sz w:val="18"/>
              </w:rPr>
              <w:t xml:space="preserve">Assess practical </w:t>
            </w:r>
            <w:proofErr w:type="spellStart"/>
            <w:r>
              <w:rPr>
                <w:sz w:val="18"/>
              </w:rPr>
              <w:t>deployability</w:t>
            </w:r>
            <w:proofErr w:type="spellEnd"/>
            <w:r>
              <w:rPr>
                <w:sz w:val="18"/>
              </w:rPr>
              <w:t xml:space="preserve"> and human workload.</w:t>
            </w:r>
          </w:p>
        </w:tc>
      </w:tr>
    </w:tbl>
    <w:p w14:paraId="6240C5E2" w14:textId="77777777" w:rsidR="00325982" w:rsidRDefault="00000000">
      <w:pPr>
        <w:pStyle w:val="Heading2"/>
      </w:pPr>
      <w:r>
        <w:t>4.3 Reproducibility and Statistical Reporting</w:t>
      </w:r>
    </w:p>
    <w:p w14:paraId="69F44C16" w14:textId="77777777" w:rsidR="00325982" w:rsidRDefault="00000000">
      <w:pPr>
        <w:jc w:val="both"/>
      </w:pPr>
      <w:r>
        <w:t>The empirical study should specify dataset versions, sample counts, preprocessing, train/validation/test splits, corruption definitions, noise rates, random seeds, hardware, software versions, hyperparameters, explanation configurations, and threshold-selection procedures. Avoid leakage by ensuring that test data are not used for training or threshold tuning. Repeat experiments where computationally feasible and report means with standard deviations or confidence intervals. Use statistical tests appropriate to paired or independent comparisons, report effect sizes, and investigate failures by class, subgroup, and shift type. Numerical values should be inserted only after actual analysis.</w:t>
      </w:r>
    </w:p>
    <w:p w14:paraId="5C17D1CA" w14:textId="77777777" w:rsidR="00325982" w:rsidRDefault="00000000">
      <w:pPr>
        <w:pStyle w:val="Heading2"/>
      </w:pPr>
      <w:r>
        <w:t>4.4 Hypotheses for Future Testing</w:t>
      </w:r>
    </w:p>
    <w:p w14:paraId="18D81E82" w14:textId="77777777" w:rsidR="00325982" w:rsidRDefault="00000000">
      <w:pPr>
        <w:pStyle w:val="ListBullet"/>
      </w:pPr>
      <w:r>
        <w:t>H1: Robust training will reduce predictive degradation under the specified corruption and shift conditions compared with a standard training baseline.</w:t>
      </w:r>
    </w:p>
    <w:p w14:paraId="361718D3" w14:textId="77777777" w:rsidR="00325982" w:rsidRDefault="00000000">
      <w:pPr>
        <w:pStyle w:val="ListBullet"/>
      </w:pPr>
      <w:r>
        <w:t>H2: Combining uncertainty and shift signals will identify high-risk cases more effectively than confidence-only routing.</w:t>
      </w:r>
    </w:p>
    <w:p w14:paraId="2F2027F3" w14:textId="77777777" w:rsidR="00325982" w:rsidRDefault="00000000">
      <w:pPr>
        <w:pStyle w:val="ListBullet"/>
      </w:pPr>
      <w:r>
        <w:t>H3: Explanation diagnostics will detect cases where explanations become unstable or insufficiently faithful under perturbation.</w:t>
      </w:r>
    </w:p>
    <w:p w14:paraId="7FA9722F" w14:textId="77777777" w:rsidR="00325982" w:rsidRDefault="00000000">
      <w:pPr>
        <w:pStyle w:val="ListBullet"/>
      </w:pPr>
      <w:r>
        <w:t>H4: Controlled adaptation with post-update validation will reduce the risk of deploying regressions compared with unvalidated immediate updates.</w:t>
      </w:r>
    </w:p>
    <w:p w14:paraId="228E7E45" w14:textId="77777777" w:rsidR="009605BF" w:rsidRDefault="00000000">
      <w:pPr>
        <w:jc w:val="both"/>
      </w:pPr>
      <w:r>
        <w:t>These are hypotheses, not findings; their direction and magnitude remain to be established experimentally.</w:t>
      </w:r>
    </w:p>
    <w:p w14:paraId="4F8EE705" w14:textId="77777777" w:rsidR="009605BF" w:rsidRPr="009605BF" w:rsidRDefault="009605BF" w:rsidP="009605BF">
      <w:pPr>
        <w:jc w:val="both"/>
        <w:rPr>
          <w:lang w:val="en-IN"/>
        </w:rPr>
      </w:pPr>
      <w:r w:rsidRPr="009605BF">
        <w:rPr>
          <w:lang w:val="en-IN"/>
        </w:rPr>
        <w:t xml:space="preserve">The future evaluation should compare the proposed R-XDL framework with appropriate baseline configurations to determine whether integrating the diagnostic components provides measurable benefits. The comparison should include a standard predictive model without additional robustness interventions, a robustness-oriented configuration, and an explainability configuration evaluated without the proposed diagnostic gate. Where feasible, additional comparisons should examine the individual contributions of uncertainty estimation, distribution-shift detection, explanation fidelity assessment, and explanation stability assessment through ablation studies. All configurations </w:t>
      </w:r>
      <w:r w:rsidRPr="009605BF">
        <w:rPr>
          <w:lang w:val="en-IN"/>
        </w:rPr>
        <w:lastRenderedPageBreak/>
        <w:t>should use consistent datasets, data splits, evaluation conditions, and computational reporting procedures. The comparison should investigate predictive performance, explanation reliability, risk-sensitive decision outcomes, and computational overhead. The specific baseline models and methods should be selected according to the application domain and justified in the final experimental design. These comparisons are proposed for future work and have not been conducted in this manuscript.</w:t>
      </w:r>
    </w:p>
    <w:p w14:paraId="38418F5F" w14:textId="77777777" w:rsidR="009605BF" w:rsidRDefault="009605BF">
      <w:pPr>
        <w:jc w:val="both"/>
      </w:pPr>
    </w:p>
    <w:p w14:paraId="46260036" w14:textId="77777777" w:rsidR="00325982" w:rsidRDefault="00000000">
      <w:pPr>
        <w:pStyle w:val="Heading1"/>
      </w:pPr>
      <w:r>
        <w:t>5. Discussion</w:t>
      </w:r>
    </w:p>
    <w:p w14:paraId="3AE2E325" w14:textId="77777777" w:rsidR="00325982" w:rsidRDefault="00000000">
      <w:pPr>
        <w:pStyle w:val="Heading2"/>
      </w:pPr>
      <w:r>
        <w:t>5.1 Joint Reliability of Predictions and Explanations</w:t>
      </w:r>
    </w:p>
    <w:p w14:paraId="2D30DFE1" w14:textId="77777777" w:rsidR="00325982" w:rsidRDefault="00000000">
      <w:pPr>
        <w:jc w:val="both"/>
      </w:pPr>
      <w:r>
        <w:t xml:space="preserve">The proposed framework treats explanations as outputs whose reliability must be examined, rather than as decorative additions to a prediction. </w:t>
      </w:r>
      <w:r>
        <w:rPr>
          <w:highlight w:val="yellow"/>
        </w:rPr>
        <w:t>Under distribution shift,</w:t>
      </w:r>
      <w:r>
        <w:t xml:space="preserve"> a model may rely on different features, and an explanation may reveal that it has begun to use background artefacts or unstable cues</w:t>
      </w:r>
      <w:r>
        <w:rPr>
          <w:highlight w:val="yellow"/>
        </w:rPr>
        <w:t xml:space="preserve"> (Geirhos et al., 2020)</w:t>
      </w:r>
      <w:r>
        <w:t>. However, an explanation alone cannot establish the true cause of a model error. Explanation diagnostics should be interpreted alongside predictive tests, data provenance, and domain knowledge.</w:t>
      </w:r>
    </w:p>
    <w:p w14:paraId="4709819F" w14:textId="77777777" w:rsidR="00325982" w:rsidRDefault="00000000">
      <w:pPr>
        <w:pStyle w:val="Heading2"/>
      </w:pPr>
      <w:r>
        <w:t>5.2 The Importance of Distinguishing Shift Types</w:t>
      </w:r>
    </w:p>
    <w:p w14:paraId="52BE8428" w14:textId="77777777" w:rsidR="00325982" w:rsidRDefault="00000000">
      <w:pPr>
        <w:jc w:val="both"/>
      </w:pPr>
      <w:r>
        <w:t>Different forms of shift imply different responses. A temporary sensor artefact may call for data validation or sensor maintenance, while a change in class prevalence may call for recalibration. A changed input–outcome relationship may require new labels and retraining. Treating all alerts as equivalent can cause unnecessary retraining or false reassurance. The system should therefore retain evidence about the nature, duration, severity, and likely operational cause of each shift.</w:t>
      </w:r>
    </w:p>
    <w:p w14:paraId="71E0D2BD" w14:textId="77777777" w:rsidR="00325982" w:rsidRDefault="00000000">
      <w:pPr>
        <w:pStyle w:val="Heading2"/>
      </w:pPr>
      <w:r>
        <w:t>5.3 Human Oversight and Abstention</w:t>
      </w:r>
    </w:p>
    <w:p w14:paraId="59017F31" w14:textId="77777777" w:rsidR="00325982" w:rsidRDefault="00000000">
      <w:pPr>
        <w:jc w:val="both"/>
      </w:pPr>
      <w:r>
        <w:t>Abstention is not necessarily a failure: in high-consequence settings, refusing to provide a definitive output can be safer than presenting an unreliable prediction. Human review is effective only when the reviewer has relevant expertise, sufficient context, and authority to disagree. Interfaces should communicate uncertainty and known limitations without encouraging automation bias. The acceptable balance between automation, review, and abstention depends on task risk and resource constraints.</w:t>
      </w:r>
    </w:p>
    <w:p w14:paraId="29794F3F" w14:textId="77777777" w:rsidR="00325982" w:rsidRDefault="00000000">
      <w:pPr>
        <w:pStyle w:val="Heading2"/>
      </w:pPr>
      <w:r>
        <w:lastRenderedPageBreak/>
        <w:t>5.4 Adaptation and Governance</w:t>
      </w:r>
    </w:p>
    <w:p w14:paraId="2DE1F290" w14:textId="77777777" w:rsidR="00325982" w:rsidRDefault="00000000">
      <w:pPr>
        <w:jc w:val="both"/>
      </w:pPr>
      <w:r>
        <w:t xml:space="preserve">Online adaptation can help respond to changing conditions but can also amplify data errors, bias, or feedback loops. The proposal therefore separates shift detection from </w:t>
      </w:r>
      <w:r>
        <w:rPr>
          <w:highlight w:val="yellow"/>
        </w:rPr>
        <w:t>authorisation</w:t>
      </w:r>
      <w:r>
        <w:t xml:space="preserve"> to change a model. Candidate updates should be evaluated offline, versioned, approved according to risk, and monitored after deployment. A rollback plan and audit record should be available for every material change.</w:t>
      </w:r>
    </w:p>
    <w:p w14:paraId="50234D83" w14:textId="77777777" w:rsidR="00325982" w:rsidRDefault="00000000">
      <w:pPr>
        <w:pStyle w:val="Heading2"/>
      </w:pPr>
      <w:r>
        <w:t>5.5 Limitations</w:t>
      </w:r>
    </w:p>
    <w:p w14:paraId="75617433" w14:textId="77777777" w:rsidR="00325982" w:rsidRDefault="00000000">
      <w:pPr>
        <w:jc w:val="both"/>
      </w:pPr>
      <w:r>
        <w:t>This paper presents a conceptual framework rather than a completed empirical study. The mathematical objective and risk score are design proposals, not validated universal formulations. Explanation stability is method- and task-dependent; identical explanations are not always desirable when the relevant evidence changes. Shift detectors may produce false alarms or miss gradual changes, and some forms of concept shift cannot be confirmed until labels become available. The framework also depends on access to representative evaluation data, domain expertise, and governance processes. Future work must assess whether its additional monitoring and explanation steps justify their computational and human costs.</w:t>
      </w:r>
    </w:p>
    <w:p w14:paraId="36B3D206" w14:textId="77777777" w:rsidR="00BE59A2" w:rsidRDefault="00BE59A2" w:rsidP="00BE59A2">
      <w:pPr>
        <w:jc w:val="both"/>
        <w:rPr>
          <w:lang w:val="en-IN"/>
        </w:rPr>
      </w:pPr>
      <w:r w:rsidRPr="00BE59A2">
        <w:rPr>
          <w:lang w:val="en-IN"/>
        </w:rPr>
        <w:t>The proposed R-XDL framework builds on existing research in robust learning, out-of-distribution detection, uncertainty estimation, and explainable artificial intelligence by bringing these components into a common conceptual lifecycle. Its central premise is that reliable deployment requires attention not only to predictive performance but also to the quality and consistency of explanations under changing data conditions. The proposed explanation diagnostic gate provides a structured way to combine fidelity, stability, uncertainty, and distribution-shift indicators when determining whether a prediction should be accepted, reviewed, or deferred. Nevertheless, the framework should not be interpreted as demonstrating that these components can be integrated without trade-offs or that the proposed gate improves decision quality. These questions require implementation, comparison with suitable baselines, and empirical validation under controlled distribution shifts and noise conditions.</w:t>
      </w:r>
    </w:p>
    <w:p w14:paraId="2B8CEFA5" w14:textId="77777777" w:rsidR="00BE59A2" w:rsidRPr="00BE59A2" w:rsidRDefault="00BE59A2" w:rsidP="00BE59A2">
      <w:pPr>
        <w:jc w:val="both"/>
        <w:rPr>
          <w:lang w:val="en-IN"/>
        </w:rPr>
      </w:pPr>
      <w:r w:rsidRPr="00BE59A2">
        <w:rPr>
          <w:lang w:val="en-IN"/>
        </w:rPr>
        <w:t xml:space="preserve">Several limitations should be acknowledged. First, the R-XDL framework is conceptual and has not yet been implemented or empirically validated. Consequently, the proposed mathematical objective, risk-scoring mechanism, and explanation diagnostic gate should be interpreted as design proposals rather than established methods with demonstrated effectiveness. Second, the choice of distribution-shift scenarios, noise types, explanation methods, diagnostic thresholds, and </w:t>
      </w:r>
      <w:r w:rsidRPr="00BE59A2">
        <w:rPr>
          <w:lang w:val="en-IN"/>
        </w:rPr>
        <w:lastRenderedPageBreak/>
        <w:t>evaluation metrics may influence the assessment of reliability. These choices will require explicit justification and sensitivity analysis in future experiments. Third, integrating multiple diagnostic components may introduce additional computational costs and decision-making complexity. Finally, the usefulness of the framework may vary across datasets, model architectures, and application domains. Future research should implement the framework, compare it with appropriate baselines, evaluate it on established benchmarks, and report reproducible results, including uncertainty estimates and computational costs.</w:t>
      </w:r>
    </w:p>
    <w:p w14:paraId="58D26102" w14:textId="77777777" w:rsidR="00325982" w:rsidRDefault="00000000">
      <w:pPr>
        <w:pStyle w:val="Heading1"/>
      </w:pPr>
      <w:r>
        <w:t>6. Conclusion</w:t>
      </w:r>
    </w:p>
    <w:p w14:paraId="19E0824A" w14:textId="77777777" w:rsidR="00643411" w:rsidRPr="00643411" w:rsidRDefault="00643411" w:rsidP="00643411">
      <w:pPr>
        <w:jc w:val="both"/>
        <w:rPr>
          <w:lang w:val="en-IN"/>
        </w:rPr>
      </w:pPr>
      <w:r w:rsidRPr="00643411">
        <w:rPr>
          <w:lang w:val="en-IN"/>
        </w:rPr>
        <w:t xml:space="preserve">This paper presented a conceptual Robust Explainable Deep Learning (R-XDL) framework for investigating the reliability of deep learning predictions and explanations under distribution shifts and noisy data. The proposed framework integrates data-quality assessment, shift and noise diagnostics, robust prediction, uncertainty estimation, explanation fidelity and stability assessment, risk-aware decision-making, human oversight, and controlled model adaptation within a unified lifecycle. A conceptual mathematical objective, risk-scoring mechanism, and explanation diagnostic gate were introduced to </w:t>
      </w:r>
      <w:r w:rsidRPr="00643411">
        <w:rPr>
          <w:highlight w:val="yellow"/>
          <w:lang w:val="en-IN"/>
        </w:rPr>
        <w:t>organise</w:t>
      </w:r>
      <w:r w:rsidRPr="00643411">
        <w:rPr>
          <w:lang w:val="en-IN"/>
        </w:rPr>
        <w:t xml:space="preserve"> these components and guide future implementation.</w:t>
      </w:r>
    </w:p>
    <w:p w14:paraId="54F30E53" w14:textId="77777777" w:rsidR="00643411" w:rsidRPr="00643411" w:rsidRDefault="00643411" w:rsidP="00643411">
      <w:pPr>
        <w:jc w:val="both"/>
        <w:rPr>
          <w:lang w:val="en-IN"/>
        </w:rPr>
      </w:pPr>
      <w:r w:rsidRPr="00643411">
        <w:rPr>
          <w:lang w:val="en-IN"/>
        </w:rPr>
        <w:t>The primary contribution of this work is the conceptual integration of predictive robustness and explanation reliability within a common evaluation and decision-making framework. However, the proposed framework has not yet been implemented or experimentally validated. Therefore, no claims are made regarding its quantitative performance, superiority over existing methods, or practical effectiveness.</w:t>
      </w:r>
    </w:p>
    <w:p w14:paraId="0B795DE6" w14:textId="77777777" w:rsidR="00643411" w:rsidRPr="00643411" w:rsidRDefault="00643411" w:rsidP="00643411">
      <w:pPr>
        <w:jc w:val="both"/>
        <w:rPr>
          <w:lang w:val="en-IN"/>
        </w:rPr>
      </w:pPr>
      <w:r w:rsidRPr="00643411">
        <w:rPr>
          <w:lang w:val="en-IN"/>
        </w:rPr>
        <w:t>Future research should implement the framework and evaluate it using appropriate benchmark datasets, representative distribution shifts, controlled noise conditions, and established baseline methods. Such studies should assess predictive performance, explanation fidelity and stability, uncertainty calibration, out-of-distribution detection, computational cost, and the effectiveness of the proposed diagnostic gate. This empirical investigation will help determine the framework's applicability, limitations, and potential value for developing more reliable explainable deep learning systems.</w:t>
      </w:r>
    </w:p>
    <w:p w14:paraId="4A13E891" w14:textId="77777777" w:rsidR="00E3722A" w:rsidRDefault="00E3722A">
      <w:pPr>
        <w:jc w:val="both"/>
      </w:pPr>
    </w:p>
    <w:p w14:paraId="78CDDC5D" w14:textId="77777777" w:rsidR="00E3722A" w:rsidRPr="00E3722A" w:rsidRDefault="00E3722A" w:rsidP="00E3722A">
      <w:pPr>
        <w:spacing w:after="0" w:line="240" w:lineRule="auto"/>
        <w:rPr>
          <w:rFonts w:ascii="Arial" w:eastAsia="Calibri" w:hAnsi="Arial" w:cs="Arial"/>
          <w:b/>
          <w:sz w:val="20"/>
          <w:szCs w:val="20"/>
        </w:rPr>
      </w:pPr>
      <w:bookmarkStart w:id="0" w:name="_Hlk238550938"/>
      <w:bookmarkStart w:id="1" w:name="_Hlk237856463"/>
      <w:r w:rsidRPr="00E3722A">
        <w:rPr>
          <w:rFonts w:ascii="Arial" w:eastAsia="Calibri" w:hAnsi="Arial" w:cs="Arial"/>
          <w:b/>
          <w:sz w:val="20"/>
          <w:szCs w:val="20"/>
        </w:rPr>
        <w:t>Declaration of AI Use</w:t>
      </w:r>
    </w:p>
    <w:p w14:paraId="0C8BC5E3" w14:textId="77777777" w:rsidR="00E3722A" w:rsidRPr="00E3722A" w:rsidRDefault="00E3722A" w:rsidP="00E3722A">
      <w:pPr>
        <w:spacing w:after="0" w:line="240" w:lineRule="auto"/>
        <w:rPr>
          <w:rFonts w:ascii="Arial" w:eastAsia="Calibri" w:hAnsi="Arial" w:cs="Arial"/>
          <w:sz w:val="20"/>
          <w:szCs w:val="20"/>
        </w:rPr>
      </w:pPr>
      <w:bookmarkStart w:id="2" w:name="_Hlk239068730"/>
    </w:p>
    <w:p w14:paraId="693350BB" w14:textId="77777777" w:rsidR="00E3722A" w:rsidRPr="00E3722A" w:rsidRDefault="00E3722A" w:rsidP="00E3722A">
      <w:pPr>
        <w:spacing w:after="0" w:line="240" w:lineRule="auto"/>
        <w:rPr>
          <w:rFonts w:ascii="Arial" w:eastAsia="Calibri" w:hAnsi="Arial" w:cs="Arial"/>
          <w:sz w:val="20"/>
          <w:szCs w:val="20"/>
        </w:rPr>
      </w:pPr>
      <w:bookmarkStart w:id="3" w:name="_Hlk237862032"/>
      <w:r w:rsidRPr="00E3722A">
        <w:rPr>
          <w:rFonts w:ascii="Arial" w:eastAsia="Calibri" w:hAnsi="Arial" w:cs="Arial"/>
          <w:sz w:val="20"/>
          <w:szCs w:val="20"/>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E3722A">
        <w:rPr>
          <w:rFonts w:ascii="Arial" w:eastAsia="Calibri" w:hAnsi="Arial" w:cs="Arial"/>
          <w:sz w:val="20"/>
          <w:szCs w:val="20"/>
        </w:rPr>
        <w:t>.</w:t>
      </w:r>
    </w:p>
    <w:bookmarkEnd w:id="1"/>
    <w:bookmarkEnd w:id="2"/>
    <w:bookmarkEnd w:id="3"/>
    <w:p w14:paraId="70AD09C5" w14:textId="77777777" w:rsidR="00E3722A" w:rsidRDefault="00E3722A">
      <w:pPr>
        <w:jc w:val="both"/>
      </w:pPr>
    </w:p>
    <w:p w14:paraId="395CC3BA" w14:textId="77777777" w:rsidR="00325982" w:rsidRDefault="00000000">
      <w:pPr>
        <w:pStyle w:val="Heading1"/>
      </w:pPr>
      <w:r>
        <w:t>References</w:t>
      </w:r>
    </w:p>
    <w:p w14:paraId="6F0DF645" w14:textId="77777777" w:rsidR="002A5D6D" w:rsidRDefault="002A5D6D" w:rsidP="00EA1B89">
      <w:pPr>
        <w:spacing w:line="276" w:lineRule="auto"/>
        <w:ind w:left="432" w:hanging="432"/>
      </w:pPr>
    </w:p>
    <w:p w14:paraId="740B915B" w14:textId="77777777" w:rsidR="002A53DC" w:rsidRPr="002A53DC" w:rsidRDefault="002A53DC" w:rsidP="002A53DC">
      <w:pPr>
        <w:spacing w:before="100" w:beforeAutospacing="1" w:after="100" w:afterAutospacing="1" w:line="240" w:lineRule="auto"/>
        <w:rPr>
          <w:rFonts w:cs="Times New Roman"/>
          <w:szCs w:val="24"/>
        </w:rPr>
      </w:pPr>
      <w:r w:rsidRPr="002A53DC">
        <w:rPr>
          <w:rFonts w:cs="Times New Roman"/>
          <w:szCs w:val="24"/>
        </w:rPr>
        <w:t xml:space="preserve">Adebayo, J., Gilmer, J., </w:t>
      </w:r>
      <w:proofErr w:type="spellStart"/>
      <w:r w:rsidRPr="002A53DC">
        <w:rPr>
          <w:rFonts w:cs="Times New Roman"/>
          <w:szCs w:val="24"/>
        </w:rPr>
        <w:t>Muelly</w:t>
      </w:r>
      <w:proofErr w:type="spellEnd"/>
      <w:r w:rsidRPr="002A53DC">
        <w:rPr>
          <w:rFonts w:cs="Times New Roman"/>
          <w:szCs w:val="24"/>
        </w:rPr>
        <w:t xml:space="preserve">, M., Goodfellow, I., Hardt, M., &amp; Kim, B. (2018). Sanity checks for saliency maps. In Advances in Neural Information Processing Systems (Vol. 31, pp. 9505–9515). </w:t>
      </w:r>
      <w:hyperlink r:id="rId9" w:history="1">
        <w:r w:rsidRPr="002A53DC">
          <w:rPr>
            <w:rFonts w:cs="Times New Roman"/>
            <w:color w:val="0000FF"/>
            <w:szCs w:val="24"/>
            <w:u w:val="single"/>
          </w:rPr>
          <w:t>https://proceedings.neurips.cc/paper/2018/hash/294a8ed24b1ad22ec2e7efea049b8737-Abstract.html</w:t>
        </w:r>
      </w:hyperlink>
    </w:p>
    <w:p w14:paraId="1016B5B5" w14:textId="79822C2F" w:rsidR="002A53DC" w:rsidRPr="002A53DC" w:rsidRDefault="002A53DC" w:rsidP="002A53DC">
      <w:pPr>
        <w:spacing w:before="100" w:beforeAutospacing="1" w:after="100" w:afterAutospacing="1" w:line="240" w:lineRule="auto"/>
        <w:rPr>
          <w:rFonts w:cs="Times New Roman"/>
          <w:szCs w:val="24"/>
        </w:rPr>
      </w:pPr>
      <w:proofErr w:type="spellStart"/>
      <w:r w:rsidRPr="002A53DC">
        <w:rPr>
          <w:rFonts w:cs="Times New Roman"/>
          <w:szCs w:val="24"/>
        </w:rPr>
        <w:t>Ankatwar</w:t>
      </w:r>
      <w:proofErr w:type="spellEnd"/>
      <w:r w:rsidRPr="002A53DC">
        <w:rPr>
          <w:rFonts w:cs="Times New Roman"/>
          <w:szCs w:val="24"/>
        </w:rPr>
        <w:t xml:space="preserve">, G. (2025). A comprehensive study of CNN training techniques for image processing. The Academic, 3(8), 705–711. </w:t>
      </w:r>
      <w:hyperlink r:id="rId10" w:history="1">
        <w:r w:rsidRPr="002A53DC">
          <w:rPr>
            <w:rFonts w:cs="Times New Roman"/>
            <w:color w:val="0000FF"/>
            <w:szCs w:val="24"/>
            <w:u w:val="single"/>
          </w:rPr>
          <w:t>https://doi.org/10.5281/zenodo.17129739</w:t>
        </w:r>
      </w:hyperlink>
    </w:p>
    <w:p w14:paraId="0D09655E" w14:textId="55E2D13E" w:rsidR="002A53DC" w:rsidRPr="002A53DC" w:rsidRDefault="002A53DC" w:rsidP="002A53DC">
      <w:pPr>
        <w:spacing w:before="100" w:beforeAutospacing="1" w:after="100" w:afterAutospacing="1" w:line="240" w:lineRule="auto"/>
        <w:rPr>
          <w:rFonts w:cs="Times New Roman"/>
          <w:szCs w:val="24"/>
        </w:rPr>
      </w:pPr>
      <w:proofErr w:type="spellStart"/>
      <w:r w:rsidRPr="002A53DC">
        <w:rPr>
          <w:rFonts w:cs="Times New Roman"/>
          <w:szCs w:val="24"/>
        </w:rPr>
        <w:t>Ankatwar</w:t>
      </w:r>
      <w:proofErr w:type="spellEnd"/>
      <w:r w:rsidRPr="002A53DC">
        <w:rPr>
          <w:rFonts w:cs="Times New Roman"/>
          <w:szCs w:val="24"/>
        </w:rPr>
        <w:t xml:space="preserve">, G., &amp; Dhawale, C. (2024). Enhancing crop disease detection systems with explainable AI techniques for deep learning models using spectral imaging. In 2024 2nd International Conference on Emerging Trends in Engineering and Medical Sciences (ICETEMS) (pp. 312–319). IEEE. </w:t>
      </w:r>
      <w:hyperlink r:id="rId11" w:history="1">
        <w:r w:rsidRPr="002A53DC">
          <w:rPr>
            <w:rFonts w:cs="Times New Roman"/>
            <w:color w:val="0000FF"/>
            <w:szCs w:val="24"/>
            <w:u w:val="single"/>
          </w:rPr>
          <w:t>https://doi.org/10.1109/ICETEMS64039.2024.10965109</w:t>
        </w:r>
      </w:hyperlink>
    </w:p>
    <w:p w14:paraId="0D9F7931" w14:textId="01633487" w:rsidR="002A53DC" w:rsidRPr="002A53DC" w:rsidRDefault="002A53DC" w:rsidP="002A53DC">
      <w:pPr>
        <w:spacing w:before="100" w:beforeAutospacing="1" w:after="100" w:afterAutospacing="1" w:line="240" w:lineRule="auto"/>
        <w:rPr>
          <w:rFonts w:cs="Times New Roman"/>
          <w:szCs w:val="24"/>
        </w:rPr>
      </w:pPr>
      <w:proofErr w:type="spellStart"/>
      <w:r w:rsidRPr="002A53DC">
        <w:rPr>
          <w:rFonts w:cs="Times New Roman"/>
          <w:szCs w:val="24"/>
        </w:rPr>
        <w:t>Ankatwar</w:t>
      </w:r>
      <w:proofErr w:type="spellEnd"/>
      <w:r w:rsidRPr="002A53DC">
        <w:rPr>
          <w:rFonts w:cs="Times New Roman"/>
          <w:szCs w:val="24"/>
        </w:rPr>
        <w:t xml:space="preserve">, G., &amp; Dhawale, C. (2025). Multispectral imaging and CNN architectures for cotton leaf disease classification: A comprehensive review. International Journal for Multidisciplinary Research, 7(3), Article IJFMR250347769. </w:t>
      </w:r>
      <w:hyperlink r:id="rId12" w:history="1">
        <w:r w:rsidRPr="002A53DC">
          <w:rPr>
            <w:rFonts w:cs="Times New Roman"/>
            <w:color w:val="0000FF"/>
            <w:szCs w:val="24"/>
            <w:u w:val="single"/>
          </w:rPr>
          <w:t>https://doi.org/10.36948/ijfmr.2025.v07i03.47769</w:t>
        </w:r>
      </w:hyperlink>
    </w:p>
    <w:p w14:paraId="39F90945" w14:textId="77777777" w:rsidR="002A53DC" w:rsidRPr="002A53DC" w:rsidRDefault="002A53DC" w:rsidP="002A53DC">
      <w:pPr>
        <w:spacing w:before="100" w:beforeAutospacing="1" w:after="100" w:afterAutospacing="1" w:line="240" w:lineRule="auto"/>
        <w:rPr>
          <w:rFonts w:cs="Times New Roman"/>
          <w:szCs w:val="24"/>
        </w:rPr>
      </w:pPr>
      <w:proofErr w:type="spellStart"/>
      <w:r w:rsidRPr="002A53DC">
        <w:rPr>
          <w:rFonts w:cs="Times New Roman"/>
          <w:szCs w:val="24"/>
        </w:rPr>
        <w:t>Ankatwar</w:t>
      </w:r>
      <w:proofErr w:type="spellEnd"/>
      <w:r w:rsidRPr="002A53DC">
        <w:rPr>
          <w:rFonts w:cs="Times New Roman"/>
          <w:szCs w:val="24"/>
        </w:rPr>
        <w:t xml:space="preserve">, G., &amp; Dhawale, C. (2026a). Automated cotton leaf disease detection: A step towards smart and sustainable agriculture. In 2026 International Conference on Intelligent and Innovative Technologies in Computing, Electrical and Electronics (IITCEE) (pp. 1–6). IEEE. </w:t>
      </w:r>
      <w:hyperlink r:id="rId13" w:history="1">
        <w:r w:rsidRPr="002A53DC">
          <w:rPr>
            <w:rFonts w:cs="Times New Roman"/>
            <w:color w:val="0000FF"/>
            <w:szCs w:val="24"/>
            <w:u w:val="single"/>
          </w:rPr>
          <w:t>https://doi.org/10.1109/IITCEE67948.2026.11394454</w:t>
        </w:r>
      </w:hyperlink>
    </w:p>
    <w:p w14:paraId="21E565F3" w14:textId="77777777" w:rsidR="002A53DC" w:rsidRPr="002A53DC" w:rsidRDefault="002A53DC" w:rsidP="002A53DC">
      <w:pPr>
        <w:spacing w:before="100" w:beforeAutospacing="1" w:after="100" w:afterAutospacing="1" w:line="240" w:lineRule="auto"/>
        <w:rPr>
          <w:rFonts w:cs="Times New Roman"/>
          <w:szCs w:val="24"/>
        </w:rPr>
      </w:pPr>
      <w:proofErr w:type="spellStart"/>
      <w:r w:rsidRPr="002A53DC">
        <w:rPr>
          <w:rFonts w:cs="Times New Roman"/>
          <w:szCs w:val="24"/>
        </w:rPr>
        <w:t>Ankatwar</w:t>
      </w:r>
      <w:proofErr w:type="spellEnd"/>
      <w:r w:rsidRPr="002A53DC">
        <w:rPr>
          <w:rFonts w:cs="Times New Roman"/>
          <w:szCs w:val="24"/>
        </w:rPr>
        <w:t xml:space="preserve">, G., &amp; Dhawale, C. (2026b). Enhancing cotton crop health monitoring through transfer learning and image preprocessing. In 2026 International Conference on Intelligent and Innovative Technologies in Computing, Electrical and Electronics (IITCEE) (pp. 1–6). IEEE. </w:t>
      </w:r>
      <w:hyperlink r:id="rId14" w:history="1">
        <w:r w:rsidRPr="002A53DC">
          <w:rPr>
            <w:rFonts w:cs="Times New Roman"/>
            <w:color w:val="0000FF"/>
            <w:szCs w:val="24"/>
            <w:u w:val="single"/>
          </w:rPr>
          <w:t>https://doi.org/10.1109/IITCEE67948.2026.11394428</w:t>
        </w:r>
      </w:hyperlink>
    </w:p>
    <w:p w14:paraId="7884D27F" w14:textId="77777777" w:rsidR="002A53DC" w:rsidRPr="002A53DC" w:rsidRDefault="002A53DC" w:rsidP="002A53DC">
      <w:pPr>
        <w:spacing w:before="100" w:beforeAutospacing="1" w:after="100" w:afterAutospacing="1" w:line="240" w:lineRule="auto"/>
        <w:rPr>
          <w:rFonts w:cs="Times New Roman"/>
          <w:szCs w:val="24"/>
        </w:rPr>
      </w:pPr>
      <w:proofErr w:type="spellStart"/>
      <w:r w:rsidRPr="002A53DC">
        <w:rPr>
          <w:rFonts w:cs="Times New Roman"/>
          <w:szCs w:val="24"/>
        </w:rPr>
        <w:t>Bodria</w:t>
      </w:r>
      <w:proofErr w:type="spellEnd"/>
      <w:r w:rsidRPr="002A53DC">
        <w:rPr>
          <w:rFonts w:cs="Times New Roman"/>
          <w:szCs w:val="24"/>
        </w:rPr>
        <w:t xml:space="preserve">, F., Giannotti, F., Guidotti, R., </w:t>
      </w:r>
      <w:proofErr w:type="spellStart"/>
      <w:r w:rsidRPr="002A53DC">
        <w:rPr>
          <w:rFonts w:cs="Times New Roman"/>
          <w:szCs w:val="24"/>
        </w:rPr>
        <w:t>Naretto</w:t>
      </w:r>
      <w:proofErr w:type="spellEnd"/>
      <w:r w:rsidRPr="002A53DC">
        <w:rPr>
          <w:rFonts w:cs="Times New Roman"/>
          <w:szCs w:val="24"/>
        </w:rPr>
        <w:t xml:space="preserve">, F., </w:t>
      </w:r>
      <w:proofErr w:type="spellStart"/>
      <w:r w:rsidRPr="002A53DC">
        <w:rPr>
          <w:rFonts w:cs="Times New Roman"/>
          <w:szCs w:val="24"/>
        </w:rPr>
        <w:t>Pedreschi</w:t>
      </w:r>
      <w:proofErr w:type="spellEnd"/>
      <w:r w:rsidRPr="002A53DC">
        <w:rPr>
          <w:rFonts w:cs="Times New Roman"/>
          <w:szCs w:val="24"/>
        </w:rPr>
        <w:t xml:space="preserve">, D., &amp; </w:t>
      </w:r>
      <w:proofErr w:type="spellStart"/>
      <w:r w:rsidRPr="002A53DC">
        <w:rPr>
          <w:rFonts w:cs="Times New Roman"/>
          <w:szCs w:val="24"/>
        </w:rPr>
        <w:t>Rinzivillo</w:t>
      </w:r>
      <w:proofErr w:type="spellEnd"/>
      <w:r w:rsidRPr="002A53DC">
        <w:rPr>
          <w:rFonts w:cs="Times New Roman"/>
          <w:szCs w:val="24"/>
        </w:rPr>
        <w:t xml:space="preserve">, S. (2023). Benchmarking and survey of explanation methods for black box models. Data Mining and Knowledge Discovery, 37(5), 1719–1778. </w:t>
      </w:r>
      <w:hyperlink r:id="rId15" w:history="1">
        <w:r w:rsidRPr="002A53DC">
          <w:rPr>
            <w:rFonts w:cs="Times New Roman"/>
            <w:color w:val="0000FF"/>
            <w:szCs w:val="24"/>
            <w:u w:val="single"/>
          </w:rPr>
          <w:t>https://doi.org/10.1007/s10618-023-00933-9</w:t>
        </w:r>
      </w:hyperlink>
    </w:p>
    <w:p w14:paraId="0FFAD1B8" w14:textId="4F808732" w:rsidR="002A53DC" w:rsidRPr="002A53DC" w:rsidRDefault="002A53DC" w:rsidP="002A53DC">
      <w:pPr>
        <w:spacing w:before="100" w:beforeAutospacing="1" w:after="100" w:afterAutospacing="1" w:line="240" w:lineRule="auto"/>
        <w:rPr>
          <w:rFonts w:cs="Times New Roman"/>
          <w:szCs w:val="24"/>
        </w:rPr>
      </w:pPr>
      <w:proofErr w:type="spellStart"/>
      <w:r w:rsidRPr="002A53DC">
        <w:rPr>
          <w:rFonts w:cs="Times New Roman"/>
          <w:szCs w:val="24"/>
        </w:rPr>
        <w:t>Crabbé</w:t>
      </w:r>
      <w:proofErr w:type="spellEnd"/>
      <w:r w:rsidRPr="002A53DC">
        <w:rPr>
          <w:rFonts w:cs="Times New Roman"/>
          <w:szCs w:val="24"/>
        </w:rPr>
        <w:t xml:space="preserve">, J., &amp; van der Schaar, M. (2023). Evaluating the robustness of interpretability methods through explanation invariance and equivariance. Advances in Neural Information Processing Systems, 36, 71393–71429. </w:t>
      </w:r>
      <w:hyperlink r:id="rId16" w:history="1">
        <w:r w:rsidRPr="002A53DC">
          <w:rPr>
            <w:rFonts w:cs="Times New Roman"/>
            <w:color w:val="0000FF"/>
            <w:szCs w:val="24"/>
            <w:u w:val="single"/>
          </w:rPr>
          <w:t>https://doi.org/10.52202/075280-3127</w:t>
        </w:r>
      </w:hyperlink>
    </w:p>
    <w:p w14:paraId="244C2B01" w14:textId="77777777" w:rsidR="002A53DC" w:rsidRPr="002A53DC" w:rsidRDefault="002A53DC" w:rsidP="002A53DC">
      <w:pPr>
        <w:spacing w:before="100" w:beforeAutospacing="1" w:after="100" w:afterAutospacing="1" w:line="240" w:lineRule="auto"/>
        <w:rPr>
          <w:rFonts w:cs="Times New Roman"/>
          <w:szCs w:val="24"/>
        </w:rPr>
      </w:pPr>
      <w:proofErr w:type="spellStart"/>
      <w:r w:rsidRPr="002A53DC">
        <w:rPr>
          <w:rFonts w:cs="Times New Roman"/>
          <w:szCs w:val="24"/>
        </w:rPr>
        <w:lastRenderedPageBreak/>
        <w:t>Gawantka</w:t>
      </w:r>
      <w:proofErr w:type="spellEnd"/>
      <w:r w:rsidRPr="002A53DC">
        <w:rPr>
          <w:rFonts w:cs="Times New Roman"/>
          <w:szCs w:val="24"/>
        </w:rPr>
        <w:t xml:space="preserve">, F., Just, F., Savelyeva, M., Wappler, M., &amp; </w:t>
      </w:r>
      <w:proofErr w:type="spellStart"/>
      <w:r w:rsidRPr="002A53DC">
        <w:rPr>
          <w:rFonts w:cs="Times New Roman"/>
          <w:szCs w:val="24"/>
        </w:rPr>
        <w:t>Lässig</w:t>
      </w:r>
      <w:proofErr w:type="spellEnd"/>
      <w:r w:rsidRPr="002A53DC">
        <w:rPr>
          <w:rFonts w:cs="Times New Roman"/>
          <w:szCs w:val="24"/>
        </w:rPr>
        <w:t xml:space="preserve">, J. (2024). A novel metric for evaluating the stability of XAI explanations. Advances in Science, Technology and Engineering Systems Journal, 9(1), 133–142. </w:t>
      </w:r>
      <w:hyperlink r:id="rId17" w:history="1">
        <w:r w:rsidRPr="002A53DC">
          <w:rPr>
            <w:rFonts w:cs="Times New Roman"/>
            <w:color w:val="0000FF"/>
            <w:szCs w:val="24"/>
            <w:u w:val="single"/>
          </w:rPr>
          <w:t>https://doi.org/10.25046/aj090113</w:t>
        </w:r>
      </w:hyperlink>
    </w:p>
    <w:p w14:paraId="191A90D2" w14:textId="77777777" w:rsidR="002A53DC" w:rsidRPr="002A53DC" w:rsidRDefault="002A53DC" w:rsidP="002A53DC">
      <w:pPr>
        <w:spacing w:before="100" w:beforeAutospacing="1" w:after="100" w:afterAutospacing="1" w:line="240" w:lineRule="auto"/>
        <w:rPr>
          <w:rFonts w:cs="Times New Roman"/>
          <w:szCs w:val="24"/>
        </w:rPr>
      </w:pPr>
      <w:r w:rsidRPr="002A53DC">
        <w:rPr>
          <w:rFonts w:cs="Times New Roman"/>
          <w:szCs w:val="24"/>
        </w:rPr>
        <w:t xml:space="preserve">Gawlikowski, J., Tassi, C. R. N., Ali, M., Lee, J., </w:t>
      </w:r>
      <w:proofErr w:type="spellStart"/>
      <w:r w:rsidRPr="002A53DC">
        <w:rPr>
          <w:rFonts w:cs="Times New Roman"/>
          <w:szCs w:val="24"/>
        </w:rPr>
        <w:t>Humt</w:t>
      </w:r>
      <w:proofErr w:type="spellEnd"/>
      <w:r w:rsidRPr="002A53DC">
        <w:rPr>
          <w:rFonts w:cs="Times New Roman"/>
          <w:szCs w:val="24"/>
        </w:rPr>
        <w:t xml:space="preserve">, M., Feng, J., Kruspe, A., Triebel, R., Jung, P., Roscher, R., Shahzad, M., Yang, W., </w:t>
      </w:r>
      <w:proofErr w:type="spellStart"/>
      <w:r w:rsidRPr="002A53DC">
        <w:rPr>
          <w:rFonts w:cs="Times New Roman"/>
          <w:szCs w:val="24"/>
        </w:rPr>
        <w:t>Bamler</w:t>
      </w:r>
      <w:proofErr w:type="spellEnd"/>
      <w:r w:rsidRPr="002A53DC">
        <w:rPr>
          <w:rFonts w:cs="Times New Roman"/>
          <w:szCs w:val="24"/>
        </w:rPr>
        <w:t xml:space="preserve">, R., &amp; Zhu, X. X. (2023). A survey of uncertainty in deep neural networks. Artificial Intelligence Review, 56(Suppl. 1), 1513–1589. </w:t>
      </w:r>
      <w:hyperlink r:id="rId18" w:history="1">
        <w:r w:rsidRPr="002A53DC">
          <w:rPr>
            <w:rFonts w:cs="Times New Roman"/>
            <w:color w:val="0000FF"/>
            <w:szCs w:val="24"/>
            <w:u w:val="single"/>
          </w:rPr>
          <w:t>https://doi.org/10.1007/s10462-023-10562-9</w:t>
        </w:r>
      </w:hyperlink>
    </w:p>
    <w:p w14:paraId="2B327865" w14:textId="77777777" w:rsidR="002A53DC" w:rsidRPr="002A53DC" w:rsidRDefault="002A53DC" w:rsidP="002A53DC">
      <w:pPr>
        <w:spacing w:before="100" w:beforeAutospacing="1" w:after="100" w:afterAutospacing="1" w:line="240" w:lineRule="auto"/>
        <w:rPr>
          <w:rFonts w:cs="Times New Roman"/>
          <w:szCs w:val="24"/>
        </w:rPr>
      </w:pPr>
      <w:proofErr w:type="spellStart"/>
      <w:r w:rsidRPr="002A53DC">
        <w:rPr>
          <w:rFonts w:cs="Times New Roman"/>
          <w:szCs w:val="24"/>
        </w:rPr>
        <w:t>Geirhos</w:t>
      </w:r>
      <w:proofErr w:type="spellEnd"/>
      <w:r w:rsidRPr="002A53DC">
        <w:rPr>
          <w:rFonts w:cs="Times New Roman"/>
          <w:szCs w:val="24"/>
        </w:rPr>
        <w:t xml:space="preserve">, R., Jacobsen, J.-H., Michaelis, C., Zemel, R., Brendel, W., Bethge, M., &amp; Wichmann, F. A. (2020). Shortcut learning in deep neural networks. Nature Machine Intelligence, 2, 665–673. </w:t>
      </w:r>
      <w:hyperlink r:id="rId19" w:history="1">
        <w:r w:rsidRPr="002A53DC">
          <w:rPr>
            <w:rFonts w:cs="Times New Roman"/>
            <w:color w:val="0000FF"/>
            <w:szCs w:val="24"/>
            <w:u w:val="single"/>
          </w:rPr>
          <w:t>https://doi.org/10.1038/s42256-020-00257-z</w:t>
        </w:r>
      </w:hyperlink>
    </w:p>
    <w:p w14:paraId="4A4185B2" w14:textId="77777777" w:rsidR="002A53DC" w:rsidRPr="002A53DC" w:rsidRDefault="002A53DC" w:rsidP="002A53DC">
      <w:pPr>
        <w:spacing w:before="100" w:beforeAutospacing="1" w:after="100" w:afterAutospacing="1" w:line="240" w:lineRule="auto"/>
        <w:rPr>
          <w:rFonts w:cs="Times New Roman"/>
          <w:szCs w:val="24"/>
        </w:rPr>
      </w:pPr>
      <w:r w:rsidRPr="002A53DC">
        <w:rPr>
          <w:rFonts w:cs="Times New Roman"/>
          <w:szCs w:val="24"/>
        </w:rPr>
        <w:t xml:space="preserve">Hendrycks, D., &amp; Dietterich, T. (2019). Benchmarking neural network robustness to common corruptions and perturbations. In International Conference on Learning Representations. </w:t>
      </w:r>
      <w:hyperlink r:id="rId20" w:history="1">
        <w:r w:rsidRPr="002A53DC">
          <w:rPr>
            <w:rFonts w:cs="Times New Roman"/>
            <w:color w:val="0000FF"/>
            <w:szCs w:val="24"/>
            <w:u w:val="single"/>
          </w:rPr>
          <w:t>https://openreview.net/forum?id=HJz6tiCqYm</w:t>
        </w:r>
      </w:hyperlink>
    </w:p>
    <w:p w14:paraId="4EB2D0AF" w14:textId="77777777" w:rsidR="002A53DC" w:rsidRPr="002A53DC" w:rsidRDefault="002A53DC" w:rsidP="002A53DC">
      <w:pPr>
        <w:spacing w:before="100" w:beforeAutospacing="1" w:after="100" w:afterAutospacing="1" w:line="240" w:lineRule="auto"/>
        <w:rPr>
          <w:rFonts w:cs="Times New Roman"/>
          <w:szCs w:val="24"/>
        </w:rPr>
      </w:pPr>
      <w:r w:rsidRPr="002A53DC">
        <w:rPr>
          <w:rFonts w:cs="Times New Roman"/>
          <w:szCs w:val="24"/>
        </w:rPr>
        <w:t xml:space="preserve">Kauffmann, J., Dippel, J., Ruff, L., Samek, W., Müller, K.-R., &amp; Montavon, G. (2025). Explainable AI reveals Clever Hans effects in unsupervised learning models. Nature Machine Intelligence, 7, 412–422. </w:t>
      </w:r>
      <w:hyperlink r:id="rId21" w:history="1">
        <w:r w:rsidRPr="002A53DC">
          <w:rPr>
            <w:rFonts w:cs="Times New Roman"/>
            <w:color w:val="0000FF"/>
            <w:szCs w:val="24"/>
            <w:u w:val="single"/>
          </w:rPr>
          <w:t>https://doi.org/10.1038/s42256-025-01000-2</w:t>
        </w:r>
      </w:hyperlink>
    </w:p>
    <w:p w14:paraId="3CFCAD4E" w14:textId="77777777" w:rsidR="002A53DC" w:rsidRPr="002A53DC" w:rsidRDefault="002A53DC" w:rsidP="002A53DC">
      <w:pPr>
        <w:spacing w:before="100" w:beforeAutospacing="1" w:after="100" w:afterAutospacing="1" w:line="240" w:lineRule="auto"/>
        <w:rPr>
          <w:rFonts w:cs="Times New Roman"/>
          <w:szCs w:val="24"/>
        </w:rPr>
      </w:pPr>
      <w:r w:rsidRPr="002A53DC">
        <w:rPr>
          <w:rFonts w:cs="Times New Roman"/>
          <w:szCs w:val="24"/>
        </w:rPr>
        <w:t xml:space="preserve">Kelly, C. J., </w:t>
      </w:r>
      <w:proofErr w:type="spellStart"/>
      <w:r w:rsidRPr="002A53DC">
        <w:rPr>
          <w:rFonts w:cs="Times New Roman"/>
          <w:szCs w:val="24"/>
        </w:rPr>
        <w:t>Karthikesalingam</w:t>
      </w:r>
      <w:proofErr w:type="spellEnd"/>
      <w:r w:rsidRPr="002A53DC">
        <w:rPr>
          <w:rFonts w:cs="Times New Roman"/>
          <w:szCs w:val="24"/>
        </w:rPr>
        <w:t xml:space="preserve">, A., Suleyman, M., Corrado, G., &amp; King, D. (2019). Key challenges for delivering clinical impact with artificial intelligence. BMC Medicine, 17, Article 195. </w:t>
      </w:r>
      <w:hyperlink r:id="rId22" w:history="1">
        <w:r w:rsidRPr="002A53DC">
          <w:rPr>
            <w:rFonts w:cs="Times New Roman"/>
            <w:color w:val="0000FF"/>
            <w:szCs w:val="24"/>
            <w:u w:val="single"/>
          </w:rPr>
          <w:t>https://doi.org/10.1186/s12916-019-1426-2</w:t>
        </w:r>
      </w:hyperlink>
    </w:p>
    <w:p w14:paraId="44915A1C" w14:textId="77777777" w:rsidR="002A53DC" w:rsidRPr="002A53DC" w:rsidRDefault="002A53DC" w:rsidP="002A53DC">
      <w:pPr>
        <w:spacing w:before="100" w:beforeAutospacing="1" w:after="100" w:afterAutospacing="1" w:line="240" w:lineRule="auto"/>
        <w:rPr>
          <w:rFonts w:cs="Times New Roman"/>
          <w:szCs w:val="24"/>
        </w:rPr>
      </w:pPr>
      <w:r w:rsidRPr="002A53DC">
        <w:rPr>
          <w:rFonts w:cs="Times New Roman"/>
          <w:szCs w:val="24"/>
        </w:rPr>
        <w:t xml:space="preserve">Le, P. Q., Nauta, M., Nguyen, V. B., Pathak, S., </w:t>
      </w:r>
      <w:proofErr w:type="spellStart"/>
      <w:r w:rsidRPr="002A53DC">
        <w:rPr>
          <w:rFonts w:cs="Times New Roman"/>
          <w:szCs w:val="24"/>
        </w:rPr>
        <w:t>Schlötterer</w:t>
      </w:r>
      <w:proofErr w:type="spellEnd"/>
      <w:r w:rsidRPr="002A53DC">
        <w:rPr>
          <w:rFonts w:cs="Times New Roman"/>
          <w:szCs w:val="24"/>
        </w:rPr>
        <w:t xml:space="preserve">, J., &amp; Seifert, C. (2023). Benchmarking </w:t>
      </w:r>
      <w:proofErr w:type="spellStart"/>
      <w:r w:rsidRPr="002A53DC">
        <w:rPr>
          <w:rFonts w:cs="Times New Roman"/>
          <w:szCs w:val="24"/>
        </w:rPr>
        <w:t>eXplainable</w:t>
      </w:r>
      <w:proofErr w:type="spellEnd"/>
      <w:r w:rsidRPr="002A53DC">
        <w:rPr>
          <w:rFonts w:cs="Times New Roman"/>
          <w:szCs w:val="24"/>
        </w:rPr>
        <w:t xml:space="preserve"> AI—A survey on available toolkits and open challenges. In Proceedings of the Thirty-Second International Joint Conference on Artificial Intelligence (pp. 6665–6673). International Joint Conferences on Artificial Intelligence Organization. </w:t>
      </w:r>
      <w:hyperlink r:id="rId23" w:history="1">
        <w:r w:rsidRPr="002A53DC">
          <w:rPr>
            <w:rFonts w:cs="Times New Roman"/>
            <w:color w:val="0000FF"/>
            <w:szCs w:val="24"/>
            <w:u w:val="single"/>
          </w:rPr>
          <w:t>https://doi.org/10.24963/ijcai.2023/747</w:t>
        </w:r>
      </w:hyperlink>
    </w:p>
    <w:p w14:paraId="173AB6AC" w14:textId="77777777" w:rsidR="002A53DC" w:rsidRPr="002A53DC" w:rsidRDefault="002A53DC" w:rsidP="002A53DC">
      <w:pPr>
        <w:spacing w:before="100" w:beforeAutospacing="1" w:after="100" w:afterAutospacing="1" w:line="240" w:lineRule="auto"/>
        <w:rPr>
          <w:rFonts w:cs="Times New Roman"/>
          <w:szCs w:val="24"/>
        </w:rPr>
      </w:pPr>
      <w:r w:rsidRPr="002A53DC">
        <w:rPr>
          <w:rFonts w:cs="Times New Roman"/>
          <w:szCs w:val="24"/>
        </w:rPr>
        <w:t xml:space="preserve">Lundberg, S. M., &amp; Lee, S.-I. (2017). A unified approach to interpreting model predictions. In Advances in Neural Information Processing Systems (Vol. 30, pp. 4765–4774). </w:t>
      </w:r>
      <w:hyperlink r:id="rId24" w:history="1">
        <w:r w:rsidRPr="002A53DC">
          <w:rPr>
            <w:rFonts w:cs="Times New Roman"/>
            <w:color w:val="0000FF"/>
            <w:szCs w:val="24"/>
            <w:u w:val="single"/>
          </w:rPr>
          <w:t>https://proceedings.neurips.cc/paper/2017/hash/8a20a8621978632d76c43dfd28b67767-Abstract.html</w:t>
        </w:r>
      </w:hyperlink>
    </w:p>
    <w:p w14:paraId="427E9770" w14:textId="77777777" w:rsidR="002A53DC" w:rsidRPr="002A53DC" w:rsidRDefault="002A53DC" w:rsidP="002A53DC">
      <w:pPr>
        <w:spacing w:before="100" w:beforeAutospacing="1" w:after="100" w:afterAutospacing="1" w:line="240" w:lineRule="auto"/>
        <w:rPr>
          <w:rFonts w:cs="Times New Roman"/>
          <w:szCs w:val="24"/>
        </w:rPr>
      </w:pPr>
      <w:r w:rsidRPr="002A53DC">
        <w:rPr>
          <w:rFonts w:cs="Times New Roman"/>
          <w:szCs w:val="24"/>
        </w:rPr>
        <w:t xml:space="preserve">Mehrabi, N., </w:t>
      </w:r>
      <w:proofErr w:type="spellStart"/>
      <w:r w:rsidRPr="002A53DC">
        <w:rPr>
          <w:rFonts w:cs="Times New Roman"/>
          <w:szCs w:val="24"/>
        </w:rPr>
        <w:t>Morstatter</w:t>
      </w:r>
      <w:proofErr w:type="spellEnd"/>
      <w:r w:rsidRPr="002A53DC">
        <w:rPr>
          <w:rFonts w:cs="Times New Roman"/>
          <w:szCs w:val="24"/>
        </w:rPr>
        <w:t xml:space="preserve">, F., Saxena, N., Lerman, K., &amp; Galstyan, A. (2021). A survey on bias and fairness in machine learning. ACM Computing Surveys, 54(6), Article 115. </w:t>
      </w:r>
      <w:hyperlink r:id="rId25" w:history="1">
        <w:r w:rsidRPr="002A53DC">
          <w:rPr>
            <w:rFonts w:cs="Times New Roman"/>
            <w:color w:val="0000FF"/>
            <w:szCs w:val="24"/>
            <w:u w:val="single"/>
          </w:rPr>
          <w:t>https://doi.org/10.1145/3457607</w:t>
        </w:r>
      </w:hyperlink>
    </w:p>
    <w:p w14:paraId="342C74F4" w14:textId="76B485F8" w:rsidR="002A53DC" w:rsidRPr="002A53DC" w:rsidRDefault="002A53DC" w:rsidP="002A53DC">
      <w:pPr>
        <w:spacing w:before="100" w:beforeAutospacing="1" w:after="100" w:afterAutospacing="1" w:line="240" w:lineRule="auto"/>
        <w:rPr>
          <w:rFonts w:cs="Times New Roman"/>
          <w:szCs w:val="24"/>
        </w:rPr>
      </w:pPr>
      <w:proofErr w:type="spellStart"/>
      <w:r w:rsidRPr="002A53DC">
        <w:rPr>
          <w:rFonts w:cs="Times New Roman"/>
          <w:szCs w:val="24"/>
        </w:rPr>
        <w:t>Ogagayere</w:t>
      </w:r>
      <w:proofErr w:type="spellEnd"/>
      <w:r w:rsidRPr="002A53DC">
        <w:rPr>
          <w:rFonts w:cs="Times New Roman"/>
          <w:szCs w:val="24"/>
        </w:rPr>
        <w:t xml:space="preserve">-Osagie, L. O., &amp; </w:t>
      </w:r>
      <w:proofErr w:type="spellStart"/>
      <w:r w:rsidRPr="002A53DC">
        <w:rPr>
          <w:rFonts w:cs="Times New Roman"/>
          <w:szCs w:val="24"/>
        </w:rPr>
        <w:t>Kajero</w:t>
      </w:r>
      <w:proofErr w:type="spellEnd"/>
      <w:r w:rsidRPr="002A53DC">
        <w:rPr>
          <w:rFonts w:cs="Times New Roman"/>
          <w:szCs w:val="24"/>
        </w:rPr>
        <w:t xml:space="preserve">, O. (2026). Explainable artificial intelligence for zero-day cyberattack detection in healthcare: A critical review and an integrated framework for clinical cybersecurity. Asian Journal of Research in Computer Science, 19(10), 107–130. </w:t>
      </w:r>
      <w:hyperlink r:id="rId26" w:history="1">
        <w:r w:rsidRPr="006F022A">
          <w:rPr>
            <w:rStyle w:val="Hyperlink"/>
            <w:rFonts w:cs="Times New Roman"/>
            <w:szCs w:val="24"/>
          </w:rPr>
          <w:t>https://doi.org/10.9734/ajrcos/2026/v19i10922</w:t>
        </w:r>
      </w:hyperlink>
    </w:p>
    <w:p w14:paraId="03DB9D8E" w14:textId="5E5CC41F" w:rsidR="002A53DC" w:rsidRPr="002A53DC" w:rsidRDefault="002A53DC" w:rsidP="002A53DC">
      <w:pPr>
        <w:spacing w:before="100" w:beforeAutospacing="1" w:after="100" w:afterAutospacing="1" w:line="240" w:lineRule="auto"/>
        <w:rPr>
          <w:rFonts w:cs="Times New Roman"/>
          <w:szCs w:val="24"/>
        </w:rPr>
      </w:pPr>
      <w:proofErr w:type="spellStart"/>
      <w:r w:rsidRPr="002A53DC">
        <w:rPr>
          <w:rFonts w:cs="Times New Roman"/>
          <w:szCs w:val="24"/>
        </w:rPr>
        <w:t>Omokoh</w:t>
      </w:r>
      <w:proofErr w:type="spellEnd"/>
      <w:r w:rsidRPr="002A53DC">
        <w:rPr>
          <w:rFonts w:cs="Times New Roman"/>
          <w:szCs w:val="24"/>
        </w:rPr>
        <w:t xml:space="preserve">, E. S., </w:t>
      </w:r>
      <w:proofErr w:type="spellStart"/>
      <w:r w:rsidRPr="002A53DC">
        <w:rPr>
          <w:rFonts w:cs="Times New Roman"/>
          <w:szCs w:val="24"/>
        </w:rPr>
        <w:t>Enaroseha</w:t>
      </w:r>
      <w:proofErr w:type="spellEnd"/>
      <w:r w:rsidRPr="002A53DC">
        <w:rPr>
          <w:rFonts w:cs="Times New Roman"/>
          <w:szCs w:val="24"/>
        </w:rPr>
        <w:t xml:space="preserve">, O. O. E., Oghenero, A. E., &amp; </w:t>
      </w:r>
      <w:proofErr w:type="spellStart"/>
      <w:r w:rsidRPr="002A53DC">
        <w:rPr>
          <w:rFonts w:cs="Times New Roman"/>
          <w:szCs w:val="24"/>
        </w:rPr>
        <w:t>Omokoh</w:t>
      </w:r>
      <w:proofErr w:type="spellEnd"/>
      <w:r w:rsidRPr="002A53DC">
        <w:rPr>
          <w:rFonts w:cs="Times New Roman"/>
          <w:szCs w:val="24"/>
        </w:rPr>
        <w:t xml:space="preserve">, P. O. (2025). Interpretable machine learning through mathematical frameworks of explainable artificial intelligence (XAI). </w:t>
      </w:r>
      <w:r w:rsidRPr="002A53DC">
        <w:rPr>
          <w:rFonts w:cs="Times New Roman"/>
          <w:szCs w:val="24"/>
        </w:rPr>
        <w:lastRenderedPageBreak/>
        <w:t xml:space="preserve">Asian Journal of Pure and Applied Mathematics, 7(1), 701–708. </w:t>
      </w:r>
      <w:hyperlink r:id="rId27" w:history="1">
        <w:r w:rsidRPr="006F022A">
          <w:rPr>
            <w:rStyle w:val="Hyperlink"/>
            <w:rFonts w:cs="Times New Roman"/>
            <w:szCs w:val="24"/>
          </w:rPr>
          <w:t>https://doi.org/10.56557/ajpam/2025/v7i1234</w:t>
        </w:r>
      </w:hyperlink>
    </w:p>
    <w:p w14:paraId="1C52C62F" w14:textId="2A97A2F6" w:rsidR="002A53DC" w:rsidRPr="002A53DC" w:rsidRDefault="002A53DC" w:rsidP="002A53DC">
      <w:pPr>
        <w:spacing w:before="100" w:beforeAutospacing="1" w:after="100" w:afterAutospacing="1" w:line="240" w:lineRule="auto"/>
        <w:rPr>
          <w:rFonts w:cs="Times New Roman"/>
          <w:szCs w:val="24"/>
        </w:rPr>
      </w:pPr>
      <w:proofErr w:type="spellStart"/>
      <w:r w:rsidRPr="002A53DC">
        <w:rPr>
          <w:rFonts w:cs="Times New Roman"/>
          <w:szCs w:val="24"/>
        </w:rPr>
        <w:t>Quiñonero</w:t>
      </w:r>
      <w:proofErr w:type="spellEnd"/>
      <w:r w:rsidRPr="002A53DC">
        <w:rPr>
          <w:rFonts w:cs="Times New Roman"/>
          <w:szCs w:val="24"/>
        </w:rPr>
        <w:t xml:space="preserve">-Candela, J., Sugiyama, M., Schwaighofer, A., &amp; Lawrence, N. D. (Eds.). (2008). Dataset shift in machine learning. MIT Press. </w:t>
      </w:r>
      <w:hyperlink r:id="rId28" w:history="1">
        <w:r w:rsidRPr="006F022A">
          <w:rPr>
            <w:rStyle w:val="Hyperlink"/>
            <w:rFonts w:cs="Times New Roman"/>
            <w:szCs w:val="24"/>
          </w:rPr>
          <w:t>https://doi.org/10.7551/mitpress/9780262170055.001.0001</w:t>
        </w:r>
      </w:hyperlink>
    </w:p>
    <w:p w14:paraId="72E6EC4E" w14:textId="77777777" w:rsidR="002A53DC" w:rsidRPr="002A53DC" w:rsidRDefault="002A53DC" w:rsidP="002A53DC">
      <w:pPr>
        <w:spacing w:before="100" w:beforeAutospacing="1" w:after="100" w:afterAutospacing="1" w:line="240" w:lineRule="auto"/>
        <w:rPr>
          <w:rFonts w:cs="Times New Roman"/>
          <w:szCs w:val="24"/>
        </w:rPr>
      </w:pPr>
      <w:r w:rsidRPr="002A53DC">
        <w:rPr>
          <w:rFonts w:cs="Times New Roman"/>
          <w:szCs w:val="24"/>
        </w:rPr>
        <w:t xml:space="preserve">Rao, V. V. P., &amp; </w:t>
      </w:r>
      <w:proofErr w:type="spellStart"/>
      <w:r w:rsidRPr="002A53DC">
        <w:rPr>
          <w:rFonts w:cs="Times New Roman"/>
          <w:szCs w:val="24"/>
        </w:rPr>
        <w:t>Ankatwar</w:t>
      </w:r>
      <w:proofErr w:type="spellEnd"/>
      <w:r w:rsidRPr="002A53DC">
        <w:rPr>
          <w:rFonts w:cs="Times New Roman"/>
          <w:szCs w:val="24"/>
        </w:rPr>
        <w:t xml:space="preserve">, G. (2026). Artificial intelligence in taxonomy: Advancing species identification and classification. Asian Journal of Research in Computer Science, 19(1), 308–321. </w:t>
      </w:r>
      <w:hyperlink r:id="rId29" w:history="1">
        <w:r w:rsidRPr="002A53DC">
          <w:rPr>
            <w:rFonts w:cs="Times New Roman"/>
            <w:color w:val="0000FF"/>
            <w:szCs w:val="24"/>
            <w:u w:val="single"/>
          </w:rPr>
          <w:t>https://doi.org/10.9734/ajrcos/2026/v19i1820</w:t>
        </w:r>
      </w:hyperlink>
    </w:p>
    <w:p w14:paraId="20046665" w14:textId="77777777" w:rsidR="002A53DC" w:rsidRPr="002A53DC" w:rsidRDefault="002A53DC" w:rsidP="002A53DC">
      <w:pPr>
        <w:spacing w:before="100" w:beforeAutospacing="1" w:after="100" w:afterAutospacing="1" w:line="240" w:lineRule="auto"/>
        <w:rPr>
          <w:rFonts w:cs="Times New Roman"/>
          <w:szCs w:val="24"/>
        </w:rPr>
      </w:pPr>
      <w:r w:rsidRPr="002A53DC">
        <w:rPr>
          <w:rFonts w:cs="Times New Roman"/>
          <w:szCs w:val="24"/>
        </w:rPr>
        <w:t xml:space="preserve">Repetto, S., </w:t>
      </w:r>
      <w:proofErr w:type="spellStart"/>
      <w:r w:rsidRPr="002A53DC">
        <w:rPr>
          <w:rFonts w:cs="Times New Roman"/>
          <w:szCs w:val="24"/>
        </w:rPr>
        <w:t>Maljkovic</w:t>
      </w:r>
      <w:proofErr w:type="spellEnd"/>
      <w:r w:rsidRPr="002A53DC">
        <w:rPr>
          <w:rFonts w:cs="Times New Roman"/>
          <w:szCs w:val="24"/>
        </w:rPr>
        <w:t xml:space="preserve">, I., Lotto, M., </w:t>
      </w:r>
      <w:proofErr w:type="spellStart"/>
      <w:r w:rsidRPr="002A53DC">
        <w:rPr>
          <w:rFonts w:cs="Times New Roman"/>
          <w:szCs w:val="24"/>
        </w:rPr>
        <w:t>Cinà</w:t>
      </w:r>
      <w:proofErr w:type="spellEnd"/>
      <w:r w:rsidRPr="002A53DC">
        <w:rPr>
          <w:rFonts w:cs="Times New Roman"/>
          <w:szCs w:val="24"/>
        </w:rPr>
        <w:t xml:space="preserve">, A. E., Vascon, S., &amp; Roli, F. (2026). Evaluating the robustness of explainable AI in medical image recognition under natural and adversarial data corruption. Machine Learning, 115, Article 4. </w:t>
      </w:r>
      <w:hyperlink r:id="rId30" w:history="1">
        <w:r w:rsidRPr="002A53DC">
          <w:rPr>
            <w:rFonts w:cs="Times New Roman"/>
            <w:color w:val="0000FF"/>
            <w:szCs w:val="24"/>
            <w:u w:val="single"/>
          </w:rPr>
          <w:t>https://doi.org/10.1007/s10994-025-06919-6</w:t>
        </w:r>
      </w:hyperlink>
    </w:p>
    <w:p w14:paraId="63D9067C" w14:textId="77777777" w:rsidR="002A53DC" w:rsidRPr="002A53DC" w:rsidRDefault="002A53DC" w:rsidP="002A53DC">
      <w:pPr>
        <w:spacing w:before="100" w:beforeAutospacing="1" w:after="100" w:afterAutospacing="1" w:line="240" w:lineRule="auto"/>
        <w:rPr>
          <w:rFonts w:cs="Times New Roman"/>
          <w:szCs w:val="24"/>
        </w:rPr>
      </w:pPr>
      <w:r w:rsidRPr="002A53DC">
        <w:rPr>
          <w:rFonts w:cs="Times New Roman"/>
          <w:szCs w:val="24"/>
        </w:rPr>
        <w:t xml:space="preserve">Ribeiro, M. T., Singh, S., &amp; </w:t>
      </w:r>
      <w:proofErr w:type="spellStart"/>
      <w:r w:rsidRPr="002A53DC">
        <w:rPr>
          <w:rFonts w:cs="Times New Roman"/>
          <w:szCs w:val="24"/>
        </w:rPr>
        <w:t>Guestrin</w:t>
      </w:r>
      <w:proofErr w:type="spellEnd"/>
      <w:r w:rsidRPr="002A53DC">
        <w:rPr>
          <w:rFonts w:cs="Times New Roman"/>
          <w:szCs w:val="24"/>
        </w:rPr>
        <w:t xml:space="preserve">, C. (2016). “Why should I trust you?”: Explaining the predictions of any classifier. In Proceedings of the 22nd ACM SIGKDD International Conference on Knowledge Discovery and Data Mining (pp. 1135–1144). Association for Computing Machinery. </w:t>
      </w:r>
      <w:hyperlink r:id="rId31" w:history="1">
        <w:r w:rsidRPr="002A53DC">
          <w:rPr>
            <w:rFonts w:cs="Times New Roman"/>
            <w:color w:val="0000FF"/>
            <w:szCs w:val="24"/>
            <w:u w:val="single"/>
          </w:rPr>
          <w:t>https://doi.org/10.1145/2939672.2939778</w:t>
        </w:r>
      </w:hyperlink>
    </w:p>
    <w:p w14:paraId="17DA9C11" w14:textId="77777777" w:rsidR="002A53DC" w:rsidRPr="002A53DC" w:rsidRDefault="002A53DC" w:rsidP="002A53DC">
      <w:pPr>
        <w:spacing w:before="100" w:beforeAutospacing="1" w:after="100" w:afterAutospacing="1" w:line="240" w:lineRule="auto"/>
        <w:rPr>
          <w:rFonts w:cs="Times New Roman"/>
          <w:szCs w:val="24"/>
        </w:rPr>
      </w:pPr>
      <w:r w:rsidRPr="002A53DC">
        <w:rPr>
          <w:rFonts w:cs="Times New Roman"/>
          <w:szCs w:val="24"/>
        </w:rPr>
        <w:t xml:space="preserve">Tabassi, E. (2023). Artificial intelligence risk management framework (AI RMF 1.0) (NIST AI 100-1). National Institute of Standards and Technology. </w:t>
      </w:r>
      <w:hyperlink r:id="rId32" w:history="1">
        <w:r w:rsidRPr="002A53DC">
          <w:rPr>
            <w:rFonts w:cs="Times New Roman"/>
            <w:color w:val="0000FF"/>
            <w:szCs w:val="24"/>
            <w:u w:val="single"/>
          </w:rPr>
          <w:t>https://doi.org/10.6028/NIST.AI.100-1</w:t>
        </w:r>
      </w:hyperlink>
    </w:p>
    <w:p w14:paraId="38A1E38F" w14:textId="77777777" w:rsidR="002A53DC" w:rsidRPr="002A53DC" w:rsidRDefault="002A53DC" w:rsidP="002A53DC">
      <w:pPr>
        <w:spacing w:before="100" w:beforeAutospacing="1" w:after="100" w:afterAutospacing="1" w:line="240" w:lineRule="auto"/>
        <w:rPr>
          <w:rFonts w:cs="Times New Roman"/>
          <w:szCs w:val="24"/>
        </w:rPr>
      </w:pPr>
      <w:r w:rsidRPr="002A53DC">
        <w:rPr>
          <w:rFonts w:cs="Times New Roman"/>
          <w:szCs w:val="24"/>
        </w:rPr>
        <w:t xml:space="preserve">Tan, Z., &amp; Tian, Y. (2023). Robust explanation for free or at the cost of faithfulness. In Proceedings of the 40th International Conference on Machine Learning (Vol. 202, pp. 33534–33562). Proceedings of Machine Learning Research. </w:t>
      </w:r>
      <w:hyperlink r:id="rId33" w:history="1">
        <w:r w:rsidRPr="002A53DC">
          <w:rPr>
            <w:rFonts w:cs="Times New Roman"/>
            <w:color w:val="0000FF"/>
            <w:szCs w:val="24"/>
            <w:u w:val="single"/>
          </w:rPr>
          <w:t>https://proceedings.mlr.press/v202/tan23a.html</w:t>
        </w:r>
      </w:hyperlink>
    </w:p>
    <w:p w14:paraId="35A3C54F" w14:textId="77777777" w:rsidR="002A53DC" w:rsidRPr="002A53DC" w:rsidRDefault="002A53DC" w:rsidP="002A53DC">
      <w:pPr>
        <w:spacing w:before="100" w:beforeAutospacing="1" w:after="100" w:afterAutospacing="1" w:line="240" w:lineRule="auto"/>
        <w:rPr>
          <w:rFonts w:cs="Times New Roman"/>
          <w:szCs w:val="24"/>
        </w:rPr>
      </w:pPr>
      <w:r w:rsidRPr="002A53DC">
        <w:rPr>
          <w:rFonts w:cs="Times New Roman"/>
          <w:szCs w:val="24"/>
        </w:rPr>
        <w:t xml:space="preserve">Tu, W., Deng, W., &amp; Gedeon, T. (2025). Toward a holistic evaluation of robustness in CLIP models. IEEE Transactions on Pattern Analysis and Machine Intelligence, 47(9), 8280–8296. </w:t>
      </w:r>
      <w:hyperlink r:id="rId34" w:history="1">
        <w:r w:rsidRPr="002A53DC">
          <w:rPr>
            <w:rFonts w:cs="Times New Roman"/>
            <w:color w:val="0000FF"/>
            <w:szCs w:val="24"/>
            <w:u w:val="single"/>
          </w:rPr>
          <w:t>https://doi.org/10.1109/TPAMI.2025.3580234</w:t>
        </w:r>
      </w:hyperlink>
    </w:p>
    <w:p w14:paraId="66D531CD" w14:textId="77777777" w:rsidR="002A53DC" w:rsidRPr="002A53DC" w:rsidRDefault="002A53DC" w:rsidP="002A53DC">
      <w:pPr>
        <w:spacing w:before="100" w:beforeAutospacing="1" w:after="100" w:afterAutospacing="1" w:line="240" w:lineRule="auto"/>
        <w:rPr>
          <w:rFonts w:cs="Times New Roman"/>
          <w:szCs w:val="24"/>
        </w:rPr>
      </w:pPr>
      <w:r w:rsidRPr="002A53DC">
        <w:rPr>
          <w:rFonts w:cs="Times New Roman"/>
          <w:szCs w:val="24"/>
        </w:rPr>
        <w:t xml:space="preserve">Wang, H., Vaze, S., &amp; Han, K. (2025). Dissecting out-of-distribution detection and open-set recognition: A critical analysis of methods and benchmarks. International Journal of Computer Vision, 133, 1326–1351. </w:t>
      </w:r>
      <w:hyperlink r:id="rId35" w:history="1">
        <w:r w:rsidRPr="002A53DC">
          <w:rPr>
            <w:rFonts w:cs="Times New Roman"/>
            <w:color w:val="0000FF"/>
            <w:szCs w:val="24"/>
            <w:u w:val="single"/>
          </w:rPr>
          <w:t>https://doi.org/10.1007/s11263-024-02222-4</w:t>
        </w:r>
      </w:hyperlink>
    </w:p>
    <w:p w14:paraId="581CAADF" w14:textId="4BEAD9ED" w:rsidR="002A53DC" w:rsidRPr="002A53DC" w:rsidRDefault="002A53DC" w:rsidP="002A53DC">
      <w:pPr>
        <w:spacing w:before="100" w:beforeAutospacing="1" w:after="100" w:afterAutospacing="1" w:line="240" w:lineRule="auto"/>
        <w:rPr>
          <w:rFonts w:cs="Times New Roman"/>
          <w:szCs w:val="24"/>
        </w:rPr>
      </w:pPr>
      <w:r w:rsidRPr="002A53DC">
        <w:rPr>
          <w:rFonts w:cs="Times New Roman"/>
          <w:szCs w:val="24"/>
        </w:rPr>
        <w:t xml:space="preserve">Yang, J., Wang, P., Zou, D., Zhou, Z., Ding, K., Peng, W., Wang, H., Chen, G., Li, B., Sun, Y., Du, X., Zhou, K., Zhang, W., Hendrycks, D., Li, Y., &amp; Liu, Z. (2022). </w:t>
      </w:r>
      <w:proofErr w:type="spellStart"/>
      <w:r w:rsidRPr="002A53DC">
        <w:rPr>
          <w:rFonts w:cs="Times New Roman"/>
          <w:szCs w:val="24"/>
        </w:rPr>
        <w:t>OpenOOD</w:t>
      </w:r>
      <w:proofErr w:type="spellEnd"/>
      <w:r w:rsidRPr="002A53DC">
        <w:rPr>
          <w:rFonts w:cs="Times New Roman"/>
          <w:szCs w:val="24"/>
        </w:rPr>
        <w:t xml:space="preserve">: Benchmarking generalized out-of-distribution detection. Advances in Neural Information Processing Systems, 35, 32598–32611. </w:t>
      </w:r>
      <w:hyperlink r:id="rId36" w:history="1">
        <w:r w:rsidRPr="002A53DC">
          <w:rPr>
            <w:rFonts w:cs="Times New Roman"/>
            <w:color w:val="0000FF"/>
            <w:szCs w:val="24"/>
            <w:u w:val="single"/>
          </w:rPr>
          <w:t>https://doi.org/10.52202/068431-2362</w:t>
        </w:r>
      </w:hyperlink>
    </w:p>
    <w:p w14:paraId="5ED41769" w14:textId="77777777" w:rsidR="002A53DC" w:rsidRPr="002A53DC" w:rsidRDefault="002A53DC" w:rsidP="002A53DC">
      <w:pPr>
        <w:spacing w:before="100" w:beforeAutospacing="1" w:after="100" w:afterAutospacing="1" w:line="240" w:lineRule="auto"/>
        <w:rPr>
          <w:rFonts w:cs="Times New Roman"/>
          <w:szCs w:val="24"/>
        </w:rPr>
      </w:pPr>
      <w:r w:rsidRPr="002A53DC">
        <w:rPr>
          <w:rFonts w:cs="Times New Roman"/>
          <w:szCs w:val="24"/>
        </w:rPr>
        <w:t xml:space="preserve">Zhang, C., Bengio, S., Hardt, M., Recht, B., &amp; </w:t>
      </w:r>
      <w:proofErr w:type="spellStart"/>
      <w:r w:rsidRPr="002A53DC">
        <w:rPr>
          <w:rFonts w:cs="Times New Roman"/>
          <w:szCs w:val="24"/>
        </w:rPr>
        <w:t>Vinyals</w:t>
      </w:r>
      <w:proofErr w:type="spellEnd"/>
      <w:r w:rsidRPr="002A53DC">
        <w:rPr>
          <w:rFonts w:cs="Times New Roman"/>
          <w:szCs w:val="24"/>
        </w:rPr>
        <w:t xml:space="preserve">, O. (2021). Understanding deep learning (still) requires rethinking generalization. Communications of the ACM, 64(3), 107–115. </w:t>
      </w:r>
      <w:hyperlink r:id="rId37" w:history="1">
        <w:r w:rsidRPr="002A53DC">
          <w:rPr>
            <w:rFonts w:cs="Times New Roman"/>
            <w:color w:val="0000FF"/>
            <w:szCs w:val="24"/>
            <w:u w:val="single"/>
          </w:rPr>
          <w:t>https://doi.org/10.1145/3446776</w:t>
        </w:r>
      </w:hyperlink>
    </w:p>
    <w:p w14:paraId="0B40E288" w14:textId="77777777" w:rsidR="002A53DC" w:rsidRDefault="002A53DC" w:rsidP="00EA1B89">
      <w:pPr>
        <w:spacing w:line="276" w:lineRule="auto"/>
        <w:ind w:left="432" w:hanging="432"/>
      </w:pPr>
    </w:p>
    <w:sectPr w:rsidR="002A53DC" w:rsidSect="00034616">
      <w:headerReference w:type="even" r:id="rId38"/>
      <w:headerReference w:type="default" r:id="rId39"/>
      <w:footerReference w:type="even" r:id="rId40"/>
      <w:footerReference w:type="default" r:id="rId41"/>
      <w:headerReference w:type="first" r:id="rId42"/>
      <w:footerReference w:type="first" r:id="rId43"/>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58F80" w14:textId="77777777" w:rsidR="00C90967" w:rsidRDefault="00C90967">
      <w:pPr>
        <w:spacing w:after="0" w:line="240" w:lineRule="auto"/>
      </w:pPr>
      <w:r>
        <w:separator/>
      </w:r>
    </w:p>
  </w:endnote>
  <w:endnote w:type="continuationSeparator" w:id="0">
    <w:p w14:paraId="7246DA75" w14:textId="77777777" w:rsidR="00C90967" w:rsidRDefault="00C90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autami">
    <w:panose1 w:val="02000500000000000000"/>
    <w:charset w:val="00"/>
    <w:family w:val="swiss"/>
    <w:pitch w:val="variable"/>
    <w:sig w:usb0="002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CBF5C" w14:textId="77777777" w:rsidR="009C165D" w:rsidRDefault="009C16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38884" w14:textId="77777777" w:rsidR="00325982" w:rsidRDefault="00000000">
    <w:pPr>
      <w:pStyle w:val="Footer"/>
      <w:jc w:val="center"/>
    </w:pPr>
    <w:r>
      <w:t xml:space="preserve">Page </w:t>
    </w:r>
    <w:r>
      <w:fldChar w:fldCharType="begin"/>
    </w:r>
    <w:r>
      <w:instrText>PAGE</w:instrText>
    </w:r>
    <w:r>
      <w:fldChar w:fldCharType="separate"/>
    </w:r>
    <w:r w:rsidR="00EA1B89">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8A5CC" w14:textId="77777777" w:rsidR="009C165D" w:rsidRDefault="009C16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8F2C1" w14:textId="77777777" w:rsidR="00C90967" w:rsidRDefault="00C90967">
      <w:pPr>
        <w:spacing w:after="0" w:line="240" w:lineRule="auto"/>
      </w:pPr>
      <w:r>
        <w:separator/>
      </w:r>
    </w:p>
  </w:footnote>
  <w:footnote w:type="continuationSeparator" w:id="0">
    <w:p w14:paraId="3B61C9DC" w14:textId="77777777" w:rsidR="00C90967" w:rsidRDefault="00C909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EE9C1" w14:textId="77777777" w:rsidR="009C165D" w:rsidRDefault="00000000">
    <w:pPr>
      <w:pStyle w:val="Header"/>
    </w:pPr>
    <w:r>
      <w:rPr>
        <w:noProof/>
      </w:rPr>
      <w:pict w14:anchorId="093109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9049001"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0F1D2" w14:textId="77777777" w:rsidR="00325982" w:rsidRDefault="00000000">
    <w:pPr>
      <w:pStyle w:val="Header"/>
      <w:jc w:val="right"/>
    </w:pPr>
    <w:r>
      <w:rPr>
        <w:noProof/>
      </w:rPr>
      <w:pict w14:anchorId="6E66C5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9049002" o:spid="_x0000_s1027"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DD76D" w14:textId="77777777" w:rsidR="009C165D" w:rsidRDefault="00000000">
    <w:pPr>
      <w:pStyle w:val="Header"/>
    </w:pPr>
    <w:r>
      <w:rPr>
        <w:noProof/>
      </w:rPr>
      <w:pict w14:anchorId="2F3FD9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9049000"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82CC64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54C1E61"/>
    <w:multiLevelType w:val="multilevel"/>
    <w:tmpl w:val="2DF69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3C17C9"/>
    <w:multiLevelType w:val="multilevel"/>
    <w:tmpl w:val="809EA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023F35"/>
    <w:multiLevelType w:val="multilevel"/>
    <w:tmpl w:val="2280CB1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56BF3255"/>
    <w:multiLevelType w:val="multilevel"/>
    <w:tmpl w:val="322E859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23815264">
    <w:abstractNumId w:val="8"/>
  </w:num>
  <w:num w:numId="2" w16cid:durableId="1725173993">
    <w:abstractNumId w:val="6"/>
  </w:num>
  <w:num w:numId="3" w16cid:durableId="2087871742">
    <w:abstractNumId w:val="5"/>
  </w:num>
  <w:num w:numId="4" w16cid:durableId="1879272023">
    <w:abstractNumId w:val="4"/>
  </w:num>
  <w:num w:numId="5" w16cid:durableId="647784276">
    <w:abstractNumId w:val="7"/>
  </w:num>
  <w:num w:numId="6" w16cid:durableId="1988589813">
    <w:abstractNumId w:val="3"/>
  </w:num>
  <w:num w:numId="7" w16cid:durableId="1864710229">
    <w:abstractNumId w:val="2"/>
  </w:num>
  <w:num w:numId="8" w16cid:durableId="1105854948">
    <w:abstractNumId w:val="1"/>
  </w:num>
  <w:num w:numId="9" w16cid:durableId="1743066156">
    <w:abstractNumId w:val="0"/>
  </w:num>
  <w:num w:numId="10" w16cid:durableId="1537699629">
    <w:abstractNumId w:val="10"/>
  </w:num>
  <w:num w:numId="11" w16cid:durableId="1870145986">
    <w:abstractNumId w:val="11"/>
  </w:num>
  <w:num w:numId="12" w16cid:durableId="1906330406">
    <w:abstractNumId w:val="12"/>
  </w:num>
  <w:num w:numId="13" w16cid:durableId="17073690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16E7"/>
    <w:rsid w:val="001270DF"/>
    <w:rsid w:val="0015074B"/>
    <w:rsid w:val="001E15BD"/>
    <w:rsid w:val="001F5143"/>
    <w:rsid w:val="00270835"/>
    <w:rsid w:val="0029639D"/>
    <w:rsid w:val="002A53DC"/>
    <w:rsid w:val="002A5D6D"/>
    <w:rsid w:val="002C4C8A"/>
    <w:rsid w:val="003218AB"/>
    <w:rsid w:val="00323FB4"/>
    <w:rsid w:val="00324045"/>
    <w:rsid w:val="00325982"/>
    <w:rsid w:val="00326F90"/>
    <w:rsid w:val="003444ED"/>
    <w:rsid w:val="00347CB9"/>
    <w:rsid w:val="0035062F"/>
    <w:rsid w:val="00351B29"/>
    <w:rsid w:val="003644DD"/>
    <w:rsid w:val="003D3869"/>
    <w:rsid w:val="0043558D"/>
    <w:rsid w:val="00492C5D"/>
    <w:rsid w:val="00525999"/>
    <w:rsid w:val="00540D13"/>
    <w:rsid w:val="0058535B"/>
    <w:rsid w:val="005B0269"/>
    <w:rsid w:val="005B65D7"/>
    <w:rsid w:val="00611B49"/>
    <w:rsid w:val="00625576"/>
    <w:rsid w:val="00643411"/>
    <w:rsid w:val="00651067"/>
    <w:rsid w:val="006A074A"/>
    <w:rsid w:val="006A551B"/>
    <w:rsid w:val="006A6E8B"/>
    <w:rsid w:val="006B0E15"/>
    <w:rsid w:val="00735618"/>
    <w:rsid w:val="007B61C3"/>
    <w:rsid w:val="00804054"/>
    <w:rsid w:val="00813893"/>
    <w:rsid w:val="008F1BE3"/>
    <w:rsid w:val="009152B4"/>
    <w:rsid w:val="00921C1F"/>
    <w:rsid w:val="009605BF"/>
    <w:rsid w:val="00966870"/>
    <w:rsid w:val="009B16D5"/>
    <w:rsid w:val="009C165D"/>
    <w:rsid w:val="00A228D9"/>
    <w:rsid w:val="00AA1D8D"/>
    <w:rsid w:val="00AF0E0B"/>
    <w:rsid w:val="00AF6AEE"/>
    <w:rsid w:val="00B02A1A"/>
    <w:rsid w:val="00B42E8E"/>
    <w:rsid w:val="00B47730"/>
    <w:rsid w:val="00BE59A2"/>
    <w:rsid w:val="00C00DD4"/>
    <w:rsid w:val="00C56565"/>
    <w:rsid w:val="00C90967"/>
    <w:rsid w:val="00CB0664"/>
    <w:rsid w:val="00CE1226"/>
    <w:rsid w:val="00CE77FA"/>
    <w:rsid w:val="00D70348"/>
    <w:rsid w:val="00DC7CB7"/>
    <w:rsid w:val="00E3722A"/>
    <w:rsid w:val="00E63B6A"/>
    <w:rsid w:val="00E80B69"/>
    <w:rsid w:val="00EA1B89"/>
    <w:rsid w:val="00F13CC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e-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0E993A"/>
  <w14:defaultImageDpi w14:val="300"/>
  <w15:docId w15:val="{835833BC-D04A-4412-8AD6-CC89F1668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i/>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A1B89"/>
    <w:rPr>
      <w:color w:val="0000FF" w:themeColor="hyperlink"/>
      <w:u w:val="single"/>
    </w:rPr>
  </w:style>
  <w:style w:type="character" w:styleId="UnresolvedMention">
    <w:name w:val="Unresolved Mention"/>
    <w:basedOn w:val="DefaultParagraphFont"/>
    <w:uiPriority w:val="99"/>
    <w:semiHidden/>
    <w:unhideWhenUsed/>
    <w:rsid w:val="00EA1B89"/>
    <w:rPr>
      <w:color w:val="605E5C"/>
      <w:shd w:val="clear" w:color="auto" w:fill="E1DFDD"/>
    </w:rPr>
  </w:style>
  <w:style w:type="paragraph" w:styleId="NormalWeb">
    <w:name w:val="Normal (Web)"/>
    <w:basedOn w:val="Normal"/>
    <w:uiPriority w:val="99"/>
    <w:semiHidden/>
    <w:unhideWhenUsed/>
    <w:rsid w:val="002A5D6D"/>
    <w:rPr>
      <w:rFonts w:cs="Times New Roman"/>
      <w:szCs w:val="24"/>
    </w:rPr>
  </w:style>
  <w:style w:type="character" w:styleId="PlaceholderText">
    <w:name w:val="Placeholder Text"/>
    <w:basedOn w:val="DefaultParagraphFont"/>
    <w:uiPriority w:val="99"/>
    <w:semiHidden/>
    <w:rsid w:val="00540D1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09/IITCEE67948.2026.11394454?utm_source=chatgpt.com" TargetMode="External"/><Relationship Id="rId18" Type="http://schemas.openxmlformats.org/officeDocument/2006/relationships/hyperlink" Target="https://doi.org/10.1007/s10462-023-10562-9?utm_source=chatgpt.com" TargetMode="External"/><Relationship Id="rId26" Type="http://schemas.openxmlformats.org/officeDocument/2006/relationships/hyperlink" Target="https://doi.org/10.9734/ajrcos/2026/v19i10922" TargetMode="External"/><Relationship Id="rId39" Type="http://schemas.openxmlformats.org/officeDocument/2006/relationships/header" Target="header2.xml"/><Relationship Id="rId21" Type="http://schemas.openxmlformats.org/officeDocument/2006/relationships/hyperlink" Target="https://doi.org/10.1038/s42256-025-01000-2?utm_source=chatgpt.com" TargetMode="External"/><Relationship Id="rId34" Type="http://schemas.openxmlformats.org/officeDocument/2006/relationships/hyperlink" Target="https://doi.org/10.1109/TPAMI.2025.3580234?utm_source=chatgpt.com" TargetMode="External"/><Relationship Id="rId42"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52202/075280-3127?utm_source=chatgpt.com" TargetMode="External"/><Relationship Id="rId29" Type="http://schemas.openxmlformats.org/officeDocument/2006/relationships/hyperlink" Target="https://doi.org/10.9734/ajrcos/2026/v19i1820?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09/ICETEMS64039.2024.10965109?utm_source=chatgpt.com" TargetMode="External"/><Relationship Id="rId24" Type="http://schemas.openxmlformats.org/officeDocument/2006/relationships/hyperlink" Target="https://proceedings.neurips.cc/paper/2017/hash/8a20a8621978632d76c43dfd28b67767-Abstract.html?utm_source=chatgpt.com" TargetMode="External"/><Relationship Id="rId32" Type="http://schemas.openxmlformats.org/officeDocument/2006/relationships/hyperlink" Target="https://doi.org/10.6028/NIST.AI.100-1?utm_source=chatgpt.com" TargetMode="External"/><Relationship Id="rId37" Type="http://schemas.openxmlformats.org/officeDocument/2006/relationships/hyperlink" Target="https://doi.org/10.1145/3446776?utm_source=chatgpt.com"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07/s10618-023-00933-9?utm_source=chatgpt.com" TargetMode="External"/><Relationship Id="rId23" Type="http://schemas.openxmlformats.org/officeDocument/2006/relationships/hyperlink" Target="https://doi.org/10.24963/ijcai.2023/747?utm_source=chatgpt.com" TargetMode="External"/><Relationship Id="rId28" Type="http://schemas.openxmlformats.org/officeDocument/2006/relationships/hyperlink" Target="https://doi.org/10.7551/mitpress/9780262170055.001.0001" TargetMode="External"/><Relationship Id="rId36" Type="http://schemas.openxmlformats.org/officeDocument/2006/relationships/hyperlink" Target="https://doi.org/10.52202/068431-2362?utm_source=chatgpt.com" TargetMode="External"/><Relationship Id="rId10" Type="http://schemas.openxmlformats.org/officeDocument/2006/relationships/hyperlink" Target="https://doi.org/10.5281/zenodo.17129739?utm_source=chatgpt.com" TargetMode="External"/><Relationship Id="rId19" Type="http://schemas.openxmlformats.org/officeDocument/2006/relationships/hyperlink" Target="https://doi.org/10.1038/s42256-020-00257-z?utm_source=chatgpt.com" TargetMode="External"/><Relationship Id="rId31" Type="http://schemas.openxmlformats.org/officeDocument/2006/relationships/hyperlink" Target="https://doi.org/10.1145/2939672.2939778?utm_source=chatgpt.com"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roceedings.neurips.cc/paper/2018/hash/294a8ed24b1ad22ec2e7efea049b8737-Abstract.html?utm_source=chatgpt.com" TargetMode="External"/><Relationship Id="rId14" Type="http://schemas.openxmlformats.org/officeDocument/2006/relationships/hyperlink" Target="https://doi.org/10.1109/IITCEE67948.2026.11394428?utm_source=chatgpt.com" TargetMode="External"/><Relationship Id="rId22" Type="http://schemas.openxmlformats.org/officeDocument/2006/relationships/hyperlink" Target="https://doi.org/10.1186/s12916-019-1426-2?utm_source=chatgpt.com" TargetMode="External"/><Relationship Id="rId27" Type="http://schemas.openxmlformats.org/officeDocument/2006/relationships/hyperlink" Target="https://doi.org/10.56557/ajpam/2025/v7i1234" TargetMode="External"/><Relationship Id="rId30" Type="http://schemas.openxmlformats.org/officeDocument/2006/relationships/hyperlink" Target="https://doi.org/10.1007/s10994-025-06919-6?utm_source=chatgpt.com" TargetMode="External"/><Relationship Id="rId35" Type="http://schemas.openxmlformats.org/officeDocument/2006/relationships/hyperlink" Target="https://doi.org/10.1007/s11263-024-02222-4?utm_source=chatgpt.com" TargetMode="External"/><Relationship Id="rId43"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doi.org/10.36948/ijfmr.2025.v07i03.47769?utm_source=chatgpt.com" TargetMode="External"/><Relationship Id="rId17" Type="http://schemas.openxmlformats.org/officeDocument/2006/relationships/hyperlink" Target="https://doi.org/10.25046/aj090113?utm_source=chatgpt.com" TargetMode="External"/><Relationship Id="rId25" Type="http://schemas.openxmlformats.org/officeDocument/2006/relationships/hyperlink" Target="https://doi.org/10.1145/3457607?utm_source=chatgpt.com" TargetMode="External"/><Relationship Id="rId33" Type="http://schemas.openxmlformats.org/officeDocument/2006/relationships/hyperlink" Target="https://proceedings.mlr.press/v202/tan23a.html?utm_source=chatgpt.com" TargetMode="External"/><Relationship Id="rId38" Type="http://schemas.openxmlformats.org/officeDocument/2006/relationships/header" Target="header1.xml"/><Relationship Id="rId20" Type="http://schemas.openxmlformats.org/officeDocument/2006/relationships/hyperlink" Target="https://openreview.net/forum?id=HJz6tiCqYm&amp;utm_source=chatgpt.com" TargetMode="External"/><Relationship Id="rId4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24</Pages>
  <Words>8852</Words>
  <Characters>50462</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59196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1087</cp:lastModifiedBy>
  <cp:revision>56</cp:revision>
  <dcterms:created xsi:type="dcterms:W3CDTF">2026-10-10T08:07:00Z</dcterms:created>
  <dcterms:modified xsi:type="dcterms:W3CDTF">2026-10-17T09:29:00Z</dcterms:modified>
  <cp:category/>
</cp:coreProperties>
</file>