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3BC0" w14:textId="581A52E0" w:rsidR="0012072E" w:rsidRDefault="0012072E" w:rsidP="00C279E4">
      <w:pPr>
        <w:spacing w:before="100" w:beforeAutospacing="1" w:after="0" w:line="360" w:lineRule="auto"/>
        <w:jc w:val="center"/>
        <w:rPr>
          <w:rFonts w:ascii="Times New Roman" w:eastAsia="Times New Roman" w:hAnsi="Times New Roman" w:cs="Times New Roman"/>
          <w:b/>
          <w:kern w:val="0"/>
          <w14:ligatures w14:val="none"/>
        </w:rPr>
      </w:pPr>
      <w:r w:rsidRPr="004236D1">
        <w:rPr>
          <w:rFonts w:ascii="Times New Roman" w:eastAsia="Times New Roman" w:hAnsi="Times New Roman" w:cs="Times New Roman"/>
          <w:b/>
          <w:kern w:val="0"/>
          <w14:ligatures w14:val="none"/>
        </w:rPr>
        <w:t>MULTIVARI</w:t>
      </w:r>
      <w:r w:rsidR="00A02982" w:rsidRPr="004236D1">
        <w:rPr>
          <w:rFonts w:ascii="Times New Roman" w:eastAsia="Times New Roman" w:hAnsi="Times New Roman" w:cs="Times New Roman"/>
          <w:b/>
          <w:kern w:val="0"/>
          <w14:ligatures w14:val="none"/>
        </w:rPr>
        <w:t>ATE ANALYSIS OF THE VOLATILITY TRAN</w:t>
      </w:r>
      <w:r w:rsidR="00433390" w:rsidRPr="004236D1">
        <w:rPr>
          <w:rFonts w:ascii="Times New Roman" w:eastAsia="Times New Roman" w:hAnsi="Times New Roman" w:cs="Times New Roman"/>
          <w:b/>
          <w:kern w:val="0"/>
          <w14:ligatures w14:val="none"/>
        </w:rPr>
        <w:t>SM</w:t>
      </w:r>
      <w:r w:rsidR="00A02982" w:rsidRPr="004236D1">
        <w:rPr>
          <w:rFonts w:ascii="Times New Roman" w:eastAsia="Times New Roman" w:hAnsi="Times New Roman" w:cs="Times New Roman"/>
          <w:b/>
          <w:kern w:val="0"/>
          <w14:ligatures w14:val="none"/>
        </w:rPr>
        <w:t xml:space="preserve">ISSION </w:t>
      </w:r>
      <w:r w:rsidRPr="004236D1">
        <w:rPr>
          <w:rFonts w:ascii="Times New Roman" w:eastAsia="Times New Roman" w:hAnsi="Times New Roman" w:cs="Times New Roman"/>
          <w:b/>
          <w:kern w:val="0"/>
          <w14:ligatures w14:val="none"/>
        </w:rPr>
        <w:t>OF</w:t>
      </w:r>
      <w:r w:rsidR="00433390" w:rsidRPr="004236D1">
        <w:rPr>
          <w:rFonts w:ascii="Times New Roman" w:eastAsia="Times New Roman" w:hAnsi="Times New Roman" w:cs="Times New Roman"/>
          <w:b/>
          <w:kern w:val="0"/>
          <w14:ligatures w14:val="none"/>
        </w:rPr>
        <w:t xml:space="preserve"> </w:t>
      </w:r>
      <w:r w:rsidRPr="004236D1">
        <w:rPr>
          <w:rFonts w:ascii="Times New Roman" w:eastAsia="Times New Roman" w:hAnsi="Times New Roman" w:cs="Times New Roman"/>
          <w:b/>
          <w:kern w:val="0"/>
          <w14:ligatures w14:val="none"/>
        </w:rPr>
        <w:t>COMMODITY MARKET AND FINANCIAL MARKETS IN NIGERIA</w:t>
      </w:r>
    </w:p>
    <w:p w14:paraId="27EE71D1" w14:textId="77777777" w:rsidR="004E54C5" w:rsidRPr="004236D1" w:rsidRDefault="004E54C5" w:rsidP="00C279E4">
      <w:pPr>
        <w:spacing w:before="100" w:beforeAutospacing="1" w:after="0" w:line="360" w:lineRule="auto"/>
        <w:jc w:val="center"/>
        <w:rPr>
          <w:rFonts w:ascii="Times New Roman" w:eastAsia="Times New Roman" w:hAnsi="Times New Roman" w:cs="Times New Roman"/>
          <w:b/>
          <w:kern w:val="0"/>
          <w14:ligatures w14:val="none"/>
        </w:rPr>
      </w:pPr>
    </w:p>
    <w:p w14:paraId="3EF7F6EE" w14:textId="77777777" w:rsidR="00EE2346" w:rsidRDefault="00EE2346" w:rsidP="004236D1">
      <w:pPr>
        <w:spacing w:before="100" w:beforeAutospacing="1" w:after="0" w:line="360" w:lineRule="auto"/>
        <w:jc w:val="both"/>
        <w:rPr>
          <w:rFonts w:ascii="Times New Roman" w:eastAsia="Times New Roman" w:hAnsi="Times New Roman" w:cs="Times New Roman"/>
          <w:b/>
          <w:kern w:val="0"/>
          <w14:ligatures w14:val="none"/>
        </w:rPr>
      </w:pPr>
      <w:r w:rsidRPr="004236D1">
        <w:rPr>
          <w:rFonts w:ascii="Times New Roman" w:eastAsia="Times New Roman" w:hAnsi="Times New Roman" w:cs="Times New Roman"/>
          <w:b/>
          <w:kern w:val="0"/>
          <w14:ligatures w14:val="none"/>
        </w:rPr>
        <w:t>Abstract</w:t>
      </w:r>
    </w:p>
    <w:p w14:paraId="49C8CD2B" w14:textId="77777777" w:rsidR="007533BF" w:rsidRDefault="007533BF" w:rsidP="007533BF">
      <w:pPr>
        <w:spacing w:after="0" w:line="240" w:lineRule="auto"/>
        <w:jc w:val="both"/>
        <w:rPr>
          <w:rFonts w:ascii="Times New Roman" w:eastAsia="Times New Roman" w:hAnsi="Times New Roman" w:cs="Times New Roman"/>
          <w:kern w:val="0"/>
          <w14:ligatures w14:val="none"/>
        </w:rPr>
      </w:pPr>
      <w:r w:rsidRPr="007533BF">
        <w:rPr>
          <w:rFonts w:ascii="Times New Roman" w:eastAsia="Times New Roman" w:hAnsi="Times New Roman" w:cs="Times New Roman"/>
          <w:kern w:val="0"/>
          <w14:ligatures w14:val="none"/>
        </w:rPr>
        <w:t>This study examined the multivariate volatility transmission among selected commodity and financial markets in Nigeria, using daily observations on Brent crude oil, copper, gold, natural gas, exchange rate and stock market returns covering December 29, 2009 to November</w:t>
      </w:r>
      <w:r w:rsidR="004341D9">
        <w:rPr>
          <w:rFonts w:ascii="Times New Roman" w:eastAsia="Times New Roman" w:hAnsi="Times New Roman" w:cs="Times New Roman"/>
          <w:kern w:val="0"/>
          <w14:ligatures w14:val="none"/>
        </w:rPr>
        <w:t xml:space="preserve"> 7, 2025. The study</w:t>
      </w:r>
      <w:r w:rsidRPr="007533BF">
        <w:rPr>
          <w:rFonts w:ascii="Times New Roman" w:eastAsia="Times New Roman" w:hAnsi="Times New Roman" w:cs="Times New Roman"/>
          <w:kern w:val="0"/>
          <w14:ligatures w14:val="none"/>
        </w:rPr>
        <w:t xml:space="preserve"> examined the volatility and covariance transmission structure, estimated own-market and cross-market volatility spillovers, and assessed volatility persistence across the selected markets. The study adopted an ex-post facto research design and employed VECH-MGARCH and BEKK-GARCH models to capture the dynamic </w:t>
      </w:r>
      <w:proofErr w:type="spellStart"/>
      <w:r w:rsidRPr="007533BF">
        <w:rPr>
          <w:rFonts w:ascii="Times New Roman" w:eastAsia="Times New Roman" w:hAnsi="Times New Roman" w:cs="Times New Roman"/>
          <w:kern w:val="0"/>
          <w14:ligatures w14:val="none"/>
        </w:rPr>
        <w:t>behaviour</w:t>
      </w:r>
      <w:proofErr w:type="spellEnd"/>
      <w:r w:rsidRPr="007533BF">
        <w:rPr>
          <w:rFonts w:ascii="Times New Roman" w:eastAsia="Times New Roman" w:hAnsi="Times New Roman" w:cs="Times New Roman"/>
          <w:kern w:val="0"/>
          <w14:ligatures w14:val="none"/>
        </w:rPr>
        <w:t xml:space="preserve"> of conditional variances, covariances and volatility transmission. The results revealed substantial volatility clustering and non-normality in all the return series, with natural gas recording the highest standard deviation, while gold recorded the lowest. The VECH-MGARCH results showed significant own-market volatility effects across the markets, with the Nigerian stock market exhibiting the strongest immediate response to recent shocks, while the GARCH components indicated considerable persistence in volatility. Cross-market effects were also observed, including positive and negative transmission patterns among selected commodity, exchange-rate and stock-market pairs. The BEKK-GARCH results further confirmed significant own-market ARCH effects, ranging from 0.2159 for gold to 0.3037 for the stock market, while GARCH effects ranged from 0.8788 for natural gas to 0.9323 for gold. The combined persistence estimates exceeded unity across all six markets, ranging from 1.0986 for natural gas to 1.2235 for the exchange rate, indicating strong persistence but also raising an important model-stability consideration. Despite the evidence of persistent volatility and cross-market covariance dynamics, the estimated conditional correlations were generally very small, with the largest reported value being 0.0366 between copper and gold, suggesting weak contemporaneous linear co-movement among the markets. The study therefore concludes that the selected Nigerian commodity and financial markets exhibit substantial volatility persistence and identifiable cross-market transmission</w:t>
      </w:r>
      <w:r w:rsidR="009B1881">
        <w:rPr>
          <w:rFonts w:ascii="Times New Roman" w:eastAsia="Times New Roman" w:hAnsi="Times New Roman" w:cs="Times New Roman"/>
          <w:kern w:val="0"/>
          <w14:ligatures w14:val="none"/>
        </w:rPr>
        <w:t>.</w:t>
      </w:r>
    </w:p>
    <w:p w14:paraId="3773DA1E" w14:textId="77777777" w:rsidR="007533BF" w:rsidRDefault="007533BF" w:rsidP="007533BF">
      <w:pPr>
        <w:spacing w:after="0" w:line="240" w:lineRule="auto"/>
        <w:jc w:val="both"/>
        <w:rPr>
          <w:rFonts w:ascii="Times New Roman" w:eastAsia="Times New Roman" w:hAnsi="Times New Roman" w:cs="Times New Roman"/>
          <w:kern w:val="0"/>
          <w14:ligatures w14:val="none"/>
        </w:rPr>
      </w:pPr>
    </w:p>
    <w:p w14:paraId="0B54CCA8" w14:textId="3300E1C0" w:rsidR="00E90776" w:rsidRDefault="00E90776" w:rsidP="00B30818">
      <w:pPr>
        <w:tabs>
          <w:tab w:val="left" w:pos="1608"/>
        </w:tabs>
        <w:spacing w:after="0" w:line="240" w:lineRule="auto"/>
        <w:jc w:val="both"/>
        <w:rPr>
          <w:rFonts w:ascii="Times New Roman" w:hAnsi="Times New Roman" w:cs="Times New Roman"/>
          <w:bCs/>
        </w:rPr>
      </w:pPr>
      <w:r>
        <w:rPr>
          <w:rFonts w:ascii="Times New Roman" w:hAnsi="Times New Roman" w:cs="Times New Roman"/>
          <w:b/>
          <w:bCs/>
        </w:rPr>
        <w:t xml:space="preserve">Keywords: </w:t>
      </w:r>
      <w:r w:rsidR="00B30818" w:rsidRPr="00B30818">
        <w:rPr>
          <w:rFonts w:ascii="Times New Roman" w:hAnsi="Times New Roman" w:cs="Times New Roman"/>
          <w:bCs/>
        </w:rPr>
        <w:t>Multivariate GARCH; Volatility transmission; Volatility persistence; Brent crude oil; Copper; Gold; Natural gas; Exchange rate; Nigerian stock market; Conditional correlations.</w:t>
      </w:r>
    </w:p>
    <w:p w14:paraId="18905D97" w14:textId="77777777" w:rsidR="00B30818" w:rsidRPr="007533BF" w:rsidRDefault="00B30818" w:rsidP="00B30818">
      <w:pPr>
        <w:tabs>
          <w:tab w:val="left" w:pos="1608"/>
        </w:tabs>
        <w:spacing w:after="0" w:line="240" w:lineRule="auto"/>
        <w:jc w:val="both"/>
        <w:rPr>
          <w:rFonts w:ascii="Times New Roman" w:eastAsia="Times New Roman" w:hAnsi="Times New Roman" w:cs="Times New Roman"/>
          <w:kern w:val="0"/>
          <w14:ligatures w14:val="none"/>
        </w:rPr>
      </w:pPr>
    </w:p>
    <w:p w14:paraId="4F3C0E6A" w14:textId="77777777" w:rsidR="00EE2346" w:rsidRPr="007533BF" w:rsidRDefault="00DA5943" w:rsidP="007533BF">
      <w:pPr>
        <w:spacing w:after="0" w:line="240" w:lineRule="auto"/>
        <w:jc w:val="both"/>
        <w:rPr>
          <w:rFonts w:ascii="Times New Roman" w:eastAsia="Times New Roman" w:hAnsi="Times New Roman" w:cs="Times New Roman"/>
          <w:b/>
          <w:kern w:val="0"/>
          <w14:ligatures w14:val="none"/>
        </w:rPr>
      </w:pPr>
      <w:r w:rsidRPr="007533BF">
        <w:rPr>
          <w:rFonts w:ascii="Times New Roman" w:eastAsia="Times New Roman" w:hAnsi="Times New Roman" w:cs="Times New Roman"/>
          <w:b/>
          <w:kern w:val="0"/>
          <w14:ligatures w14:val="none"/>
        </w:rPr>
        <w:t>INTRODUCTION</w:t>
      </w:r>
    </w:p>
    <w:p w14:paraId="4E01D9FD" w14:textId="77777777" w:rsidR="006C1449" w:rsidRPr="004236D1" w:rsidRDefault="006C1449"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6C1449">
        <w:rPr>
          <w:rFonts w:ascii="Times New Roman" w:eastAsia="Times New Roman" w:hAnsi="Times New Roman" w:cs="Times New Roman"/>
          <w:kern w:val="0"/>
          <w14:ligatures w14:val="none"/>
        </w:rPr>
        <w:t xml:space="preserve">Commodity and financial markets are increasingly interconnected, making volatility transmission an important concern for economies that depend heavily on commodities and external financial flows. </w:t>
      </w:r>
      <w:r w:rsidR="00433390" w:rsidRPr="004236D1">
        <w:rPr>
          <w:rFonts w:ascii="Times New Roman" w:eastAsia="Times New Roman" w:hAnsi="Times New Roman" w:cs="Times New Roman"/>
          <w:kern w:val="0"/>
          <w14:ligatures w14:val="none"/>
        </w:rPr>
        <w:t xml:space="preserve">Nigeria's macroeconomic and financial structure remains deeply intertwined with the fortunes of global commodity markets, given that crude oil alone accounts for the overwhelming share of the country's export earnings and government revenue, while gold, copper, and natural gas increasingly shape investor sentiment and portfolio allocation decisions across emerging </w:t>
      </w:r>
      <w:r w:rsidR="00433390" w:rsidRPr="004236D1">
        <w:rPr>
          <w:rFonts w:ascii="Times New Roman" w:eastAsia="Times New Roman" w:hAnsi="Times New Roman" w:cs="Times New Roman"/>
          <w:kern w:val="0"/>
          <w14:ligatures w14:val="none"/>
        </w:rPr>
        <w:lastRenderedPageBreak/>
        <w:t xml:space="preserve">markets. This dependence exposes the Nigerian stock market and the naira exchange rate to recurring bouts of turbulence whenever commodity prices swing sharply, as has been evident during episodes such as the 2020 oil price collapse, the post-pandemic commodity rally, and the 2023–2024 foreign exchange unification shock. Because these shocks rarely originate from a single source, price movements in Brent crude, copper, gold, and natural gas often move together and transmit volatility simultaneously into the stock market and the exchange rate, creating a web of interdependence that a study of any one commodity in isolation cannot adequately capture. </w:t>
      </w:r>
      <w:r w:rsidRPr="006C1449">
        <w:rPr>
          <w:rFonts w:ascii="Times New Roman" w:eastAsia="Times New Roman" w:hAnsi="Times New Roman" w:cs="Times New Roman"/>
          <w:kern w:val="0"/>
          <w14:ligatures w14:val="none"/>
        </w:rPr>
        <w:t xml:space="preserve">A disturbance originating in one market may therefore spread to another, affecting asset prices, investment decisions, portfolio risk and the broader stability of financial markets. </w:t>
      </w:r>
    </w:p>
    <w:p w14:paraId="3814A4D0" w14:textId="744E026C" w:rsidR="006C1449" w:rsidRPr="004236D1" w:rsidRDefault="006C1449" w:rsidP="004F0955">
      <w:pPr>
        <w:pStyle w:val="NormalWeb"/>
        <w:spacing w:after="0" w:afterAutospacing="0" w:line="360" w:lineRule="auto"/>
        <w:jc w:val="both"/>
      </w:pPr>
      <w:r>
        <w:rPr>
          <w:rFonts w:ascii="Times New Roman" w:hAnsi="Times New Roman"/>
        </w:rPr>
        <w:t>Recent empirical studies such as Adi et al. (2022), using a VAR-AGARCH model and daily Nigerian data, found bidirectional volatility spillovers between oil prices and the naira exchange rate, with evidence of asymmetric shocks in some market pairs. Similarly, Okorie and Lin (2022) reported bidirectional volatility spillovers between Nigerian stocks and both Brent and WTI crude oil markets, alongside significant asymmetric effects. More recent evidence by Hassan et al. (2024) indicates that volatility and return transmission also extends beyond crude oil, with significant transmission from Brent oil and natural gas markets to the Nigerian Exchange Group, highlighting the exposure of the domestic stock market to external commodity-market shocks. In addition, Ben Flah et al. (2025), examining commodity and stock-market spillovers in African markets including Nigeria, found evidence of linkages between commodity-price volatility and stock-market movements during the 2020–2021 period. Likewise, Ben Salem et al. (2024) found that oil–exchange-rate volatility linkages changed during the COVID-19 pandemic and the Russia–Ukraine war, with exchange rates becoming more sensitive to oil shocks during crises, while Shittu et al. (2019) investigated Nigerian stock market volatility alongside selected economic indicators using multivariate GARCH models, reporting links between exchange-rate, inflation and stock-return volatility. These studies collectively confirm that financial and commodity markets have become increasingly interconnected and that volatility transmission is an important source of systemic risk. However, much of the existing Nigerian literature has concentrated on individual market pairs, particularly oil–exchange rate or oil–stock relationships. This leaves room for a broader multivariate assessment that considers several commodity and financial markets simultaneously and examines the pattern of volatility transmission and changing interdependence across the markets. It is on this note that this study sought to investigate the multivariate analysis of the volatility transmission of commodity market and financial markets in Nigeria. The following objectives will guide the study:</w:t>
      </w:r>
    </w:p>
    <w:p w14:paraId="0B039A9B" w14:textId="77777777" w:rsidR="00850589" w:rsidRPr="004236D1" w:rsidRDefault="00433390" w:rsidP="004236D1">
      <w:pPr>
        <w:pStyle w:val="ListParagraph"/>
        <w:numPr>
          <w:ilvl w:val="0"/>
          <w:numId w:val="1"/>
        </w:numPr>
        <w:spacing w:after="0" w:line="360" w:lineRule="auto"/>
        <w:jc w:val="both"/>
        <w:rPr>
          <w:rFonts w:ascii="Times New Roman" w:hAnsi="Times New Roman" w:cs="Times New Roman"/>
          <w:bCs/>
        </w:rPr>
      </w:pPr>
      <w:r w:rsidRPr="004236D1">
        <w:rPr>
          <w:rFonts w:ascii="Times New Roman" w:hAnsi="Times New Roman" w:cs="Times New Roman"/>
        </w:rPr>
        <w:t xml:space="preserve">examine the </w:t>
      </w:r>
      <w:r w:rsidR="00850589" w:rsidRPr="004236D1">
        <w:rPr>
          <w:rFonts w:ascii="Times New Roman" w:hAnsi="Times New Roman" w:cs="Times New Roman"/>
        </w:rPr>
        <w:t>volatility and covariance tr</w:t>
      </w:r>
      <w:r w:rsidR="009F64EC" w:rsidRPr="004236D1">
        <w:rPr>
          <w:rFonts w:ascii="Times New Roman" w:hAnsi="Times New Roman" w:cs="Times New Roman"/>
        </w:rPr>
        <w:t>ansmission structure</w:t>
      </w:r>
    </w:p>
    <w:p w14:paraId="244ED406" w14:textId="77777777" w:rsidR="009F64EC" w:rsidRPr="004236D1" w:rsidRDefault="00850589" w:rsidP="004236D1">
      <w:pPr>
        <w:pStyle w:val="ListParagraph"/>
        <w:numPr>
          <w:ilvl w:val="0"/>
          <w:numId w:val="1"/>
        </w:numPr>
        <w:spacing w:after="0" w:line="360" w:lineRule="auto"/>
        <w:jc w:val="both"/>
        <w:rPr>
          <w:rFonts w:ascii="Times New Roman" w:hAnsi="Times New Roman" w:cs="Times New Roman"/>
          <w:bCs/>
        </w:rPr>
      </w:pPr>
      <w:r w:rsidRPr="004236D1">
        <w:rPr>
          <w:rFonts w:ascii="Times New Roman" w:hAnsi="Times New Roman" w:cs="Times New Roman"/>
          <w:bCs/>
        </w:rPr>
        <w:t>estimate the own-market and cross-market volatility spillovers among Brent crude oil, copper, gold, natural gas, exchange rate, and stock market retu</w:t>
      </w:r>
      <w:r w:rsidR="009F64EC" w:rsidRPr="004236D1">
        <w:rPr>
          <w:rFonts w:ascii="Times New Roman" w:hAnsi="Times New Roman" w:cs="Times New Roman"/>
          <w:bCs/>
        </w:rPr>
        <w:t>rns.</w:t>
      </w:r>
    </w:p>
    <w:p w14:paraId="7F28A7FE" w14:textId="77777777" w:rsidR="009F64EC" w:rsidRPr="003D1C21" w:rsidRDefault="009F64EC" w:rsidP="004236D1">
      <w:pPr>
        <w:pStyle w:val="ListParagraph"/>
        <w:numPr>
          <w:ilvl w:val="0"/>
          <w:numId w:val="1"/>
        </w:numPr>
        <w:spacing w:after="0" w:line="360" w:lineRule="auto"/>
        <w:jc w:val="both"/>
        <w:rPr>
          <w:rFonts w:ascii="Times New Roman" w:hAnsi="Times New Roman" w:cs="Times New Roman"/>
          <w:b/>
        </w:rPr>
      </w:pPr>
      <w:r w:rsidRPr="004236D1">
        <w:rPr>
          <w:rFonts w:ascii="Times New Roman" w:eastAsia="Times New Roman" w:hAnsi="Times New Roman" w:cs="Times New Roman"/>
          <w:bCs/>
          <w:kern w:val="0"/>
          <w14:ligatures w14:val="none"/>
        </w:rPr>
        <w:t xml:space="preserve">examine the persistence across the selected commodity and financial markets in </w:t>
      </w:r>
      <w:proofErr w:type="gramStart"/>
      <w:r w:rsidRPr="004236D1">
        <w:rPr>
          <w:rFonts w:ascii="Times New Roman" w:eastAsia="Times New Roman" w:hAnsi="Times New Roman" w:cs="Times New Roman"/>
          <w:bCs/>
          <w:kern w:val="0"/>
          <w14:ligatures w14:val="none"/>
        </w:rPr>
        <w:t>Nigeria</w:t>
      </w:r>
      <w:r w:rsidRPr="004236D1">
        <w:rPr>
          <w:rFonts w:ascii="Times New Roman" w:hAnsi="Times New Roman" w:cs="Times New Roman"/>
        </w:rPr>
        <w:t xml:space="preserve"> .</w:t>
      </w:r>
      <w:proofErr w:type="gramEnd"/>
    </w:p>
    <w:p w14:paraId="55C1B5DB" w14:textId="77777777" w:rsidR="003D1C21" w:rsidRPr="0014154B" w:rsidRDefault="003D1C21" w:rsidP="003D1C21">
      <w:pPr>
        <w:pStyle w:val="ListParagraph"/>
        <w:numPr>
          <w:ilvl w:val="0"/>
          <w:numId w:val="1"/>
        </w:numPr>
        <w:spacing w:after="0" w:line="360" w:lineRule="auto"/>
        <w:jc w:val="both"/>
        <w:rPr>
          <w:rFonts w:ascii="Times New Roman" w:hAnsi="Times New Roman" w:cs="Times New Roman"/>
          <w:b/>
        </w:rPr>
      </w:pPr>
      <w:r w:rsidRPr="003D1C21">
        <w:rPr>
          <w:rFonts w:ascii="Times New Roman" w:hAnsi="Times New Roman" w:cs="Times New Roman"/>
        </w:rPr>
        <w:t xml:space="preserve">estimate the conditional-correlation </w:t>
      </w:r>
      <w:r w:rsidRPr="004236D1">
        <w:rPr>
          <w:rFonts w:ascii="Times New Roman" w:eastAsia="Times New Roman" w:hAnsi="Times New Roman" w:cs="Times New Roman"/>
          <w:bCs/>
          <w:kern w:val="0"/>
          <w14:ligatures w14:val="none"/>
        </w:rPr>
        <w:t xml:space="preserve">across the selected commodity and financial markets in </w:t>
      </w:r>
      <w:proofErr w:type="gramStart"/>
      <w:r w:rsidRPr="004236D1">
        <w:rPr>
          <w:rFonts w:ascii="Times New Roman" w:eastAsia="Times New Roman" w:hAnsi="Times New Roman" w:cs="Times New Roman"/>
          <w:bCs/>
          <w:kern w:val="0"/>
          <w14:ligatures w14:val="none"/>
        </w:rPr>
        <w:t>Nigeria</w:t>
      </w:r>
      <w:r w:rsidRPr="004236D1">
        <w:rPr>
          <w:rFonts w:ascii="Times New Roman" w:hAnsi="Times New Roman" w:cs="Times New Roman"/>
        </w:rPr>
        <w:t xml:space="preserve"> .</w:t>
      </w:r>
      <w:proofErr w:type="gramEnd"/>
    </w:p>
    <w:p w14:paraId="1ABA07C1" w14:textId="6715643F" w:rsidR="0014154B" w:rsidRPr="0014154B" w:rsidRDefault="0014154B" w:rsidP="0014154B">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hAnsi="Times New Roman"/>
        </w:rPr>
        <w:t>Watard et al. (2024) examined volatility spillovers among emerging African stock exchanges over 2018–2023 using univariate and multivariate GARCH models. They identified persistent own-market volatility and asymmetric reactions to information in several exchanges, underscoring the importance of market-specific dynamics and cross-market connectedness in African financial markets.</w:t>
      </w:r>
    </w:p>
    <w:p w14:paraId="6DC83CDE" w14:textId="30AA30DA" w:rsidR="0014154B" w:rsidRPr="0014154B" w:rsidRDefault="0014154B" w:rsidP="0014154B">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hAnsi="Times New Roman"/>
        </w:rPr>
        <w:t>Idris et al. (2026) examined crude oil price volatility and Nigerian stock market performance using realised volatility, GARCH, OVX and EGARCH measures. Their results indicated that these oil-volatility measures did not independently have statistically significant effects on Nigerian stock market performance, suggesting the need to consider other macroeconomic and market-specific transmission channels.</w:t>
      </w:r>
    </w:p>
    <w:p w14:paraId="35D414F9" w14:textId="339DD27F" w:rsidR="0014154B" w:rsidRPr="0014154B" w:rsidRDefault="0014154B" w:rsidP="0014154B">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hAnsi="Times New Roman"/>
        </w:rPr>
        <w:t>Ibrahim et al. (2024) studied exchange-rate volatility spillovers between Nigeria and the BRICS economies using multivariate VECH, diagonal BEKK and constant conditional correlation models. The study found evidence of exchange-rate shock transmission and highlighted the usefulness of multivariate GARCH specifications for assessing own-market and cross-market volatility dynamics.</w:t>
      </w:r>
    </w:p>
    <w:p w14:paraId="243565E8" w14:textId="5A3F10AD" w:rsidR="0014154B" w:rsidRPr="0014154B" w:rsidRDefault="0014154B" w:rsidP="0014154B">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hAnsi="Times New Roman"/>
        </w:rPr>
        <w:t>Malik and Ewing (2009) applied bivariate GARCH models to examine volatility transmission between oil prices and five United States equity sectors. They found significant transmission of shocks and volatility between oil prices and some sector returns, illustrating how commodity-market disturbances can affect sector-specific financial risk.</w:t>
      </w:r>
    </w:p>
    <w:p w14:paraId="2F9339C4" w14:textId="13B29296" w:rsidR="0014154B" w:rsidRPr="0014154B" w:rsidRDefault="0014154B" w:rsidP="0014154B">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hAnsi="Times New Roman"/>
        </w:rPr>
        <w:t>Lateef (2026) investigated remittance flows and exchange-rate volatility in Nigeria using a GARCH-MIDAS model that incorporates geopolitical risk and economic policy uncertainty. The findings suggest that remittance inflows can amplify exchange-rate volatility when uncertainty is elevated, emphasizing the importance of macroeconomic conditions in explaining currency-market risk.</w:t>
      </w:r>
    </w:p>
    <w:p w14:paraId="036A72B2" w14:textId="77777777" w:rsidR="009F64EC" w:rsidRPr="003D1C21" w:rsidRDefault="009F64EC" w:rsidP="003D1C21">
      <w:pPr>
        <w:spacing w:after="0" w:line="360" w:lineRule="auto"/>
        <w:jc w:val="both"/>
        <w:rPr>
          <w:rFonts w:ascii="Times New Roman" w:hAnsi="Times New Roman" w:cs="Times New Roman"/>
          <w:b/>
        </w:rPr>
      </w:pPr>
    </w:p>
    <w:p w14:paraId="25BECBDD" w14:textId="77777777" w:rsidR="005A0B5F" w:rsidRPr="004236D1" w:rsidRDefault="005A0B5F" w:rsidP="004236D1">
      <w:pPr>
        <w:spacing w:after="0" w:line="360" w:lineRule="auto"/>
        <w:jc w:val="both"/>
        <w:rPr>
          <w:rFonts w:ascii="Times New Roman" w:hAnsi="Times New Roman" w:cs="Times New Roman"/>
          <w:bCs/>
        </w:rPr>
      </w:pPr>
      <w:r w:rsidRPr="004236D1">
        <w:rPr>
          <w:rFonts w:ascii="Times New Roman" w:hAnsi="Times New Roman" w:cs="Times New Roman"/>
          <w:b/>
        </w:rPr>
        <w:t>METHODOLOGY</w:t>
      </w:r>
    </w:p>
    <w:p w14:paraId="239FB5C7" w14:textId="77777777" w:rsidR="005A0B5F" w:rsidRPr="004236D1" w:rsidRDefault="009F64EC" w:rsidP="004236D1">
      <w:pPr>
        <w:spacing w:after="0" w:line="360" w:lineRule="auto"/>
        <w:jc w:val="both"/>
        <w:rPr>
          <w:rFonts w:ascii="Times New Roman" w:hAnsi="Times New Roman" w:cs="Times New Roman"/>
          <w:color w:val="000000" w:themeColor="text1"/>
        </w:rPr>
      </w:pPr>
      <w:r w:rsidRPr="004236D1">
        <w:rPr>
          <w:rFonts w:ascii="Times New Roman" w:hAnsi="Times New Roman" w:cs="Times New Roman"/>
          <w:color w:val="000000" w:themeColor="text1"/>
        </w:rPr>
        <w:t xml:space="preserve">The </w:t>
      </w:r>
      <w:r w:rsidR="00A7534F">
        <w:rPr>
          <w:rFonts w:ascii="Times New Roman" w:hAnsi="Times New Roman" w:cs="Times New Roman"/>
          <w:color w:val="000000" w:themeColor="text1"/>
        </w:rPr>
        <w:t>research design used in this study is</w:t>
      </w:r>
      <w:r w:rsidR="005A0B5F" w:rsidRPr="004236D1">
        <w:rPr>
          <w:rFonts w:ascii="Times New Roman" w:hAnsi="Times New Roman" w:cs="Times New Roman"/>
          <w:color w:val="000000" w:themeColor="text1"/>
        </w:rPr>
        <w:t xml:space="preserve"> </w:t>
      </w:r>
      <w:proofErr w:type="spellStart"/>
      <w:r w:rsidR="005A0B5F" w:rsidRPr="004236D1">
        <w:rPr>
          <w:rFonts w:ascii="Times New Roman" w:hAnsi="Times New Roman" w:cs="Times New Roman"/>
          <w:color w:val="000000" w:themeColor="text1"/>
        </w:rPr>
        <w:t>expost</w:t>
      </w:r>
      <w:proofErr w:type="spellEnd"/>
      <w:r w:rsidR="005A0B5F" w:rsidRPr="004236D1">
        <w:rPr>
          <w:rFonts w:ascii="Times New Roman" w:hAnsi="Times New Roman" w:cs="Times New Roman"/>
          <w:color w:val="000000" w:themeColor="text1"/>
        </w:rPr>
        <w:t>-facto</w:t>
      </w:r>
      <w:r w:rsidR="00A7534F">
        <w:rPr>
          <w:rFonts w:ascii="Times New Roman" w:hAnsi="Times New Roman" w:cs="Times New Roman"/>
          <w:color w:val="000000" w:themeColor="text1"/>
        </w:rPr>
        <w:t>. This is because the</w:t>
      </w:r>
      <w:r w:rsidR="005A0B5F" w:rsidRPr="004236D1">
        <w:rPr>
          <w:rFonts w:ascii="Times New Roman" w:hAnsi="Times New Roman" w:cs="Times New Roman"/>
          <w:color w:val="000000" w:themeColor="text1"/>
        </w:rPr>
        <w:t xml:space="preserve"> </w:t>
      </w:r>
      <w:r w:rsidR="009B1881">
        <w:rPr>
          <w:rFonts w:ascii="Times New Roman" w:hAnsi="Times New Roman" w:cs="Times New Roman"/>
          <w:color w:val="000000" w:themeColor="text1"/>
        </w:rPr>
        <w:t xml:space="preserve">research </w:t>
      </w:r>
      <w:r w:rsidR="005A0B5F" w:rsidRPr="004236D1">
        <w:rPr>
          <w:rFonts w:ascii="Times New Roman" w:hAnsi="Times New Roman" w:cs="Times New Roman"/>
          <w:color w:val="000000" w:themeColor="text1"/>
        </w:rPr>
        <w:t xml:space="preserve">variables data are past events. </w:t>
      </w:r>
      <w:r w:rsidR="00A7534F">
        <w:rPr>
          <w:rFonts w:ascii="Times New Roman" w:hAnsi="Times New Roman" w:cs="Times New Roman"/>
          <w:color w:val="000000" w:themeColor="text1"/>
        </w:rPr>
        <w:t xml:space="preserve">The data was gotten from </w:t>
      </w:r>
      <w:r w:rsidR="00A7534F">
        <w:rPr>
          <w:rFonts w:ascii="Times New Roman" w:hAnsi="Times New Roman" w:cs="Times New Roman"/>
        </w:rPr>
        <w:t>i</w:t>
      </w:r>
      <w:r w:rsidR="00EE2346" w:rsidRPr="004236D1">
        <w:rPr>
          <w:rFonts w:ascii="Times New Roman" w:hAnsi="Times New Roman" w:cs="Times New Roman"/>
        </w:rPr>
        <w:t xml:space="preserve">nternational commodity prices for </w:t>
      </w:r>
      <w:r w:rsidR="00A7534F">
        <w:rPr>
          <w:rFonts w:ascii="Times New Roman" w:hAnsi="Times New Roman" w:cs="Times New Roman"/>
        </w:rPr>
        <w:t xml:space="preserve">variables </w:t>
      </w:r>
      <w:r w:rsidR="00EE2346" w:rsidRPr="004236D1">
        <w:rPr>
          <w:rFonts w:ascii="Times New Roman" w:hAnsi="Times New Roman" w:cs="Times New Roman"/>
        </w:rPr>
        <w:t xml:space="preserve">Brent crude oil, copper, gold, and natural gas was obtained from recognized global financial databases, </w:t>
      </w:r>
      <w:r w:rsidR="00A7534F">
        <w:rPr>
          <w:rFonts w:ascii="Times New Roman" w:hAnsi="Times New Roman" w:cs="Times New Roman"/>
        </w:rPr>
        <w:t xml:space="preserve">while </w:t>
      </w:r>
      <w:r w:rsidR="00EE2346" w:rsidRPr="004236D1">
        <w:rPr>
          <w:rFonts w:ascii="Times New Roman" w:hAnsi="Times New Roman" w:cs="Times New Roman"/>
        </w:rPr>
        <w:t>exchange rate data was sourced from the Central Bank of Nigeria (CBN) while stock market data was obtained from the Nigerian Exchange Group (NGX). The study cover</w:t>
      </w:r>
      <w:r w:rsidR="009B1881">
        <w:rPr>
          <w:rFonts w:ascii="Times New Roman" w:hAnsi="Times New Roman" w:cs="Times New Roman"/>
        </w:rPr>
        <w:t>s</w:t>
      </w:r>
      <w:r w:rsidR="00EE2346" w:rsidRPr="004236D1">
        <w:rPr>
          <w:rFonts w:ascii="Times New Roman" w:hAnsi="Times New Roman" w:cs="Times New Roman"/>
        </w:rPr>
        <w:t xml:space="preserve"> the period </w:t>
      </w:r>
      <w:r w:rsidR="00EE2346" w:rsidRPr="004236D1">
        <w:rPr>
          <w:rStyle w:val="Strong"/>
          <w:rFonts w:ascii="Times New Roman" w:eastAsiaTheme="majorEastAsia" w:hAnsi="Times New Roman" w:cs="Times New Roman"/>
          <w:b w:val="0"/>
        </w:rPr>
        <w:t>December 29, 2009 to November 7, 2025</w:t>
      </w:r>
      <w:r w:rsidR="00EE2346" w:rsidRPr="004236D1">
        <w:rPr>
          <w:rStyle w:val="Strong"/>
          <w:rFonts w:ascii="Times New Roman" w:eastAsiaTheme="majorEastAsia" w:hAnsi="Times New Roman" w:cs="Times New Roman"/>
        </w:rPr>
        <w:t>.</w:t>
      </w:r>
      <w:r w:rsidR="00EE2346" w:rsidRPr="004236D1">
        <w:rPr>
          <w:rFonts w:ascii="Times New Roman" w:hAnsi="Times New Roman" w:cs="Times New Roman"/>
          <w:color w:val="000000" w:themeColor="text1"/>
        </w:rPr>
        <w:t xml:space="preserve">  To achieve ARCH effect</w:t>
      </w:r>
      <w:r w:rsidR="005A0B5F" w:rsidRPr="004236D1">
        <w:rPr>
          <w:rFonts w:ascii="Times New Roman" w:hAnsi="Times New Roman" w:cs="Times New Roman"/>
          <w:color w:val="000000" w:themeColor="text1"/>
        </w:rPr>
        <w:t>, the study adopted Lagrange Multiplier (LM) Test with</w:t>
      </w:r>
      <w:r w:rsidR="00930BE1" w:rsidRPr="004236D1">
        <w:rPr>
          <w:rFonts w:ascii="Times New Roman" w:hAnsi="Times New Roman" w:cs="Times New Roman"/>
          <w:color w:val="000000" w:themeColor="text1"/>
        </w:rPr>
        <w:t xml:space="preserve"> appropriate significant level.</w:t>
      </w:r>
      <w:r w:rsidR="009B1881">
        <w:rPr>
          <w:rFonts w:ascii="Times New Roman" w:hAnsi="Times New Roman" w:cs="Times New Roman"/>
          <w:color w:val="000000" w:themeColor="text1"/>
        </w:rPr>
        <w:t xml:space="preserve"> </w:t>
      </w:r>
      <w:r w:rsidR="004F0955" w:rsidRPr="00B113BC">
        <w:rPr>
          <w:rFonts w:ascii="Times New Roman" w:eastAsia="Times New Roman" w:hAnsi="Times New Roman" w:cs="Times New Roman"/>
          <w:kern w:val="0"/>
          <w14:ligatures w14:val="none"/>
        </w:rPr>
        <w:t>Engle (1982) introduced the ARCH framework, and Bollerslev (1986) subsequently extended it to GARCH. The nature of financial econometrics suggests that volatility clustering, persistence, and spillover effects cannot be adequately explained using conventional linear econometric models because financial return series exhibit heteroskedasticity, leptokurtosis, and time-varying correlations. These characteristics have led to the widespread adoption of multivariate Generalized Autoregressive Conditional Heteroskedasticity (MGARCH) models in volatility research.</w:t>
      </w:r>
      <w:r w:rsidR="004F0955">
        <w:rPr>
          <w:rFonts w:ascii="Times New Roman" w:hAnsi="Times New Roman" w:cs="Times New Roman"/>
          <w:color w:val="000000" w:themeColor="text1"/>
        </w:rPr>
        <w:t xml:space="preserve"> </w:t>
      </w:r>
      <w:r w:rsidR="005A0B5F" w:rsidRPr="004236D1">
        <w:rPr>
          <w:rFonts w:ascii="Times New Roman" w:hAnsi="Times New Roman" w:cs="Times New Roman"/>
          <w:color w:val="000000" w:themeColor="text1"/>
        </w:rPr>
        <w:t xml:space="preserve">In MGARCH models, the conditional variance and covariance matrices evolve over time, depending on past values of the time series. </w:t>
      </w:r>
      <w:r w:rsidR="004236D1" w:rsidRPr="00B113BC">
        <w:rPr>
          <w:rFonts w:ascii="Times New Roman" w:eastAsia="Times New Roman" w:hAnsi="Times New Roman" w:cs="Times New Roman"/>
          <w:kern w:val="0"/>
          <w14:ligatures w14:val="none"/>
        </w:rPr>
        <w:t>Among these models, the </w:t>
      </w:r>
      <w:r w:rsidR="004236D1" w:rsidRPr="00B113BC">
        <w:rPr>
          <w:rFonts w:ascii="Times New Roman" w:eastAsia="Times New Roman" w:hAnsi="Times New Roman" w:cs="Times New Roman"/>
          <w:bCs/>
          <w:kern w:val="0"/>
          <w14:ligatures w14:val="none"/>
        </w:rPr>
        <w:t xml:space="preserve">VECH model </w:t>
      </w:r>
      <w:r w:rsidR="004236D1" w:rsidRPr="00B113BC">
        <w:rPr>
          <w:rFonts w:ascii="Times New Roman" w:eastAsia="Times New Roman" w:hAnsi="Times New Roman" w:cs="Times New Roman"/>
        </w:rPr>
        <w:t xml:space="preserve">was introduced by </w:t>
      </w:r>
      <w:r w:rsidR="004236D1" w:rsidRPr="00B113BC">
        <w:rPr>
          <w:rFonts w:ascii="Times New Roman" w:eastAsia="Times New Roman" w:hAnsi="Times New Roman" w:cs="Times New Roman"/>
          <w:iCs/>
        </w:rPr>
        <w:t>Bollerslev et al. (1988)</w:t>
      </w:r>
      <w:r w:rsidR="004236D1" w:rsidRPr="00B113BC">
        <w:rPr>
          <w:rFonts w:ascii="Times New Roman" w:eastAsia="Times New Roman" w:hAnsi="Times New Roman" w:cs="Times New Roman"/>
          <w:kern w:val="0"/>
          <w14:ligatures w14:val="none"/>
        </w:rPr>
        <w:t> to estimate the dynamic behavior of variances and covariances in multiple time series simultaneously. It is named after the </w:t>
      </w:r>
      <w:proofErr w:type="spellStart"/>
      <w:r w:rsidR="004236D1" w:rsidRPr="00B113BC">
        <w:rPr>
          <w:rFonts w:ascii="Times New Roman" w:eastAsia="Times New Roman" w:hAnsi="Times New Roman" w:cs="Times New Roman"/>
          <w:bCs/>
          <w:kern w:val="0"/>
          <w14:ligatures w14:val="none"/>
        </w:rPr>
        <w:t>vech</w:t>
      </w:r>
      <w:proofErr w:type="spellEnd"/>
      <w:r w:rsidR="004236D1" w:rsidRPr="00B113BC">
        <w:rPr>
          <w:rFonts w:ascii="Times New Roman" w:eastAsia="Times New Roman" w:hAnsi="Times New Roman" w:cs="Times New Roman"/>
          <w:bCs/>
          <w:kern w:val="0"/>
          <w14:ligatures w14:val="none"/>
        </w:rPr>
        <w:t xml:space="preserve"> operator</w:t>
      </w:r>
      <w:r w:rsidR="004236D1" w:rsidRPr="00B113BC">
        <w:rPr>
          <w:rFonts w:ascii="Times New Roman" w:eastAsia="Times New Roman" w:hAnsi="Times New Roman" w:cs="Times New Roman"/>
          <w:kern w:val="0"/>
          <w14:ligatures w14:val="none"/>
        </w:rPr>
        <w:t>, which takes a symmetric matrix and returns a vector containing only the elements from the lower triangle, including the diagonal (uses the </w:t>
      </w:r>
      <w:proofErr w:type="spellStart"/>
      <w:r w:rsidR="004236D1" w:rsidRPr="00B113BC">
        <w:rPr>
          <w:rFonts w:ascii="Times New Roman" w:eastAsia="Times New Roman" w:hAnsi="Times New Roman" w:cs="Times New Roman"/>
          <w:kern w:val="0"/>
          <w14:ligatures w14:val="none"/>
        </w:rPr>
        <w:t>vech</w:t>
      </w:r>
      <w:proofErr w:type="spellEnd"/>
      <w:r w:rsidR="004236D1" w:rsidRPr="00B113BC">
        <w:rPr>
          <w:rFonts w:ascii="Times New Roman" w:eastAsia="Times New Roman" w:hAnsi="Times New Roman" w:cs="Times New Roman"/>
          <w:kern w:val="0"/>
          <w14:ligatures w14:val="none"/>
        </w:rPr>
        <w:t> operator to stack the unique elements of the conditional covariance matrix </w:t>
      </w:r>
      <w:proofErr w:type="spellStart"/>
      <w:r w:rsidR="004236D1" w:rsidRPr="00B113BC">
        <w:rPr>
          <w:rFonts w:ascii="Times New Roman" w:eastAsia="Times New Roman" w:hAnsi="Times New Roman" w:cs="Times New Roman"/>
          <w:i/>
          <w:kern w:val="0"/>
          <w14:ligatures w14:val="none"/>
        </w:rPr>
        <w:t>H</w:t>
      </w:r>
      <w:r w:rsidR="004236D1" w:rsidRPr="00B113BC">
        <w:rPr>
          <w:rFonts w:ascii="Times New Roman" w:eastAsia="Times New Roman" w:hAnsi="Times New Roman" w:cs="Times New Roman"/>
          <w:i/>
          <w:kern w:val="0"/>
          <w:vertAlign w:val="subscript"/>
          <w14:ligatures w14:val="none"/>
        </w:rPr>
        <w:t>t</w:t>
      </w:r>
      <w:proofErr w:type="spellEnd"/>
      <w:r w:rsidR="004236D1" w:rsidRPr="00B113BC">
        <w:rPr>
          <w:rFonts w:ascii="Times New Roman" w:eastAsia="Times New Roman" w:hAnsi="Times New Roman" w:cs="Times New Roman"/>
          <w:b/>
          <w:bCs/>
          <w:kern w:val="0"/>
          <w14:ligatures w14:val="none"/>
        </w:rPr>
        <w:t xml:space="preserve"> </w:t>
      </w:r>
      <w:r w:rsidR="004236D1" w:rsidRPr="00B113BC">
        <w:rPr>
          <w:rFonts w:ascii="Times New Roman" w:eastAsia="Times New Roman" w:hAnsi="Times New Roman" w:cs="Times New Roman"/>
          <w:kern w:val="0"/>
          <w14:ligatures w14:val="none"/>
        </w:rPr>
        <w:t>into a vector and models it as a linear function of lagged </w:t>
      </w:r>
      <w:proofErr w:type="spellStart"/>
      <w:r w:rsidR="004236D1" w:rsidRPr="00B113BC">
        <w:rPr>
          <w:rFonts w:ascii="Times New Roman" w:eastAsia="Times New Roman" w:hAnsi="Times New Roman" w:cs="Times New Roman"/>
          <w:kern w:val="0"/>
          <w14:ligatures w14:val="none"/>
        </w:rPr>
        <w:t>vech</w:t>
      </w:r>
      <w:proofErr w:type="spellEnd"/>
      <w:r w:rsidR="004236D1" w:rsidRPr="00B113BC">
        <w:rPr>
          <w:rFonts w:ascii="Times New Roman" w:eastAsia="Times New Roman" w:hAnsi="Times New Roman" w:cs="Times New Roman"/>
          <w:kern w:val="0"/>
          <w14:ligatures w14:val="none"/>
        </w:rPr>
        <w:t> of squared errors and lagged </w:t>
      </w:r>
      <w:proofErr w:type="spellStart"/>
      <w:r w:rsidR="004236D1" w:rsidRPr="00B113BC">
        <w:rPr>
          <w:rFonts w:ascii="Times New Roman" w:eastAsia="Times New Roman" w:hAnsi="Times New Roman" w:cs="Times New Roman"/>
          <w:kern w:val="0"/>
          <w14:ligatures w14:val="none"/>
        </w:rPr>
        <w:t>vech</w:t>
      </w:r>
      <w:proofErr w:type="spellEnd"/>
      <w:r w:rsidR="004236D1" w:rsidRPr="00B113BC">
        <w:rPr>
          <w:rFonts w:ascii="Times New Roman" w:eastAsia="Times New Roman" w:hAnsi="Times New Roman" w:cs="Times New Roman"/>
          <w:kern w:val="0"/>
          <w14:ligatures w14:val="none"/>
        </w:rPr>
        <w:t> of </w:t>
      </w:r>
      <w:proofErr w:type="spellStart"/>
      <w:r w:rsidR="004236D1" w:rsidRPr="00B113BC">
        <w:rPr>
          <w:rFonts w:ascii="Times New Roman" w:eastAsia="Times New Roman" w:hAnsi="Times New Roman" w:cs="Times New Roman"/>
          <w:i/>
          <w:kern w:val="0"/>
          <w14:ligatures w14:val="none"/>
        </w:rPr>
        <w:t>H</w:t>
      </w:r>
      <w:r w:rsidR="004236D1" w:rsidRPr="00B113BC">
        <w:rPr>
          <w:rFonts w:ascii="Times New Roman" w:eastAsia="Times New Roman" w:hAnsi="Times New Roman" w:cs="Times New Roman"/>
          <w:i/>
          <w:kern w:val="0"/>
          <w:vertAlign w:val="subscript"/>
          <w14:ligatures w14:val="none"/>
        </w:rPr>
        <w:t>t</w:t>
      </w:r>
      <w:proofErr w:type="spellEnd"/>
      <w:r w:rsidR="004236D1" w:rsidRPr="00B113BC">
        <w:rPr>
          <w:rFonts w:ascii="Times New Roman" w:eastAsia="Times New Roman" w:hAnsi="Times New Roman" w:cs="Times New Roman"/>
          <w:i/>
          <w:kern w:val="0"/>
          <w:vertAlign w:val="subscript"/>
          <w14:ligatures w14:val="none"/>
        </w:rPr>
        <w:t>​</w:t>
      </w:r>
      <w:r w:rsidR="004236D1" w:rsidRPr="00B113BC">
        <w:rPr>
          <w:rFonts w:ascii="Times New Roman" w:eastAsia="Times New Roman" w:hAnsi="Times New Roman" w:cs="Times New Roman"/>
          <w:kern w:val="0"/>
          <w14:ligatures w14:val="none"/>
        </w:rPr>
        <w:t>).</w:t>
      </w:r>
      <w:r w:rsidR="004236D1" w:rsidRPr="00B113BC">
        <w:rPr>
          <w:rFonts w:ascii="Times New Roman" w:eastAsia="Times New Roman" w:hAnsi="Times New Roman" w:cs="Times New Roman"/>
          <w:i/>
          <w:kern w:val="0"/>
          <w:vertAlign w:val="subscript"/>
          <w14:ligatures w14:val="none"/>
        </w:rPr>
        <w:t xml:space="preserve"> </w:t>
      </w:r>
      <w:r w:rsidR="004236D1" w:rsidRPr="00B113BC">
        <w:rPr>
          <w:rFonts w:ascii="Times New Roman" w:eastAsia="Times New Roman" w:hAnsi="Times New Roman" w:cs="Times New Roman"/>
          <w:kern w:val="0"/>
          <w14:ligatures w14:val="none"/>
        </w:rPr>
        <w:t xml:space="preserve">This allows the model to handle the covariance matrix efficiently in vector form.  The BEKK-GARCH model proposed by Engle and Kroner (1995) has become one of the most used approaches for estimating volatility spillovers because it guarantees the positive definiteness of the conditional covariance matrix while simultaneously capturing bidirectional shock and volatility transmission among financial assets. </w:t>
      </w:r>
      <w:r w:rsidR="005A0B5F" w:rsidRPr="004236D1">
        <w:rPr>
          <w:rFonts w:ascii="Times New Roman" w:hAnsi="Times New Roman" w:cs="Times New Roman"/>
          <w:color w:val="000000" w:themeColor="text1"/>
        </w:rPr>
        <w:t>Generally, MGARCH model can be represented as:</w:t>
      </w:r>
    </w:p>
    <w:p w14:paraId="410D5AA0" w14:textId="77777777" w:rsidR="005A0B5F" w:rsidRPr="004236D1" w:rsidRDefault="00000000" w:rsidP="004236D1">
      <w:pPr>
        <w:spacing w:after="0" w:line="360" w:lineRule="auto"/>
        <w:ind w:firstLine="720"/>
        <w:jc w:val="both"/>
        <w:rPr>
          <w:rFonts w:ascii="Times New Roman" w:eastAsiaTheme="minorEastAsia" w:hAnsi="Times New Roman" w:cs="Times New Roman"/>
          <w:color w:val="000000" w:themeColor="text1"/>
        </w:rPr>
      </w:pPr>
      <m:oMath>
        <m:sSup>
          <m:sSupPr>
            <m:ctrlPr>
              <w:rPr>
                <w:rFonts w:ascii="Cambria Math" w:hAnsi="Cambria Math" w:cs="Times New Roman"/>
                <w:b/>
                <w:bCs/>
                <w:i/>
                <w:color w:val="000000" w:themeColor="text1"/>
              </w:rPr>
            </m:ctrlPr>
          </m:sSup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r</m:t>
                </m:r>
              </m:e>
              <m:sub>
                <m:r>
                  <m:rPr>
                    <m:sty m:val="bi"/>
                  </m:rPr>
                  <w:rPr>
                    <w:rFonts w:ascii="Cambria Math" w:hAnsi="Cambria Math" w:cs="Times New Roman"/>
                    <w:color w:val="000000" w:themeColor="text1"/>
                  </w:rPr>
                  <m:t>t</m:t>
                </m:r>
              </m:sub>
            </m:sSub>
          </m:e>
          <m:sup>
            <m:r>
              <m:rPr>
                <m:sty m:val="bi"/>
              </m:rPr>
              <w:rPr>
                <w:rFonts w:ascii="Cambria Math" w:hAnsi="Cambria Math" w:cs="Times New Roman"/>
                <w:color w:val="000000" w:themeColor="text1"/>
              </w:rPr>
              <m:t xml:space="preserve"> </m:t>
            </m:r>
          </m:sup>
        </m:sSup>
        <m:r>
          <w:rPr>
            <w:rFonts w:ascii="Cambria Math"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μ</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oMath>
      <w:r w:rsidR="001506C6" w:rsidRPr="004236D1">
        <w:rPr>
          <w:rFonts w:ascii="Times New Roman" w:eastAsiaTheme="minorEastAsia" w:hAnsi="Times New Roman" w:cs="Times New Roman"/>
          <w:color w:val="000000" w:themeColor="text1"/>
        </w:rPr>
        <w:t xml:space="preserve"> </w:t>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t xml:space="preserve"> </w:t>
      </w:r>
      <w:r w:rsidR="001506C6" w:rsidRPr="004236D1">
        <w:rPr>
          <w:rFonts w:ascii="Times New Roman" w:eastAsiaTheme="minorEastAsia" w:hAnsi="Times New Roman" w:cs="Times New Roman"/>
          <w:color w:val="000000" w:themeColor="text1"/>
        </w:rPr>
        <w:tab/>
        <w:t xml:space="preserve">    </w:t>
      </w:r>
      <w:r w:rsidR="0094428C" w:rsidRPr="004236D1">
        <w:rPr>
          <w:rFonts w:ascii="Times New Roman" w:eastAsiaTheme="minorEastAsia" w:hAnsi="Times New Roman" w:cs="Times New Roman"/>
          <w:color w:val="000000" w:themeColor="text1"/>
        </w:rPr>
        <w:tab/>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(1</w:t>
      </w:r>
      <w:r w:rsidR="005A0B5F" w:rsidRPr="004236D1">
        <w:rPr>
          <w:rFonts w:ascii="Times New Roman" w:eastAsiaTheme="minorEastAsia" w:hAnsi="Times New Roman" w:cs="Times New Roman"/>
          <w:color w:val="000000" w:themeColor="text1"/>
        </w:rPr>
        <w:t>)</w:t>
      </w:r>
      <w:r w:rsidR="005A0B5F" w:rsidRPr="004236D1">
        <w:rPr>
          <w:rFonts w:ascii="Times New Roman" w:eastAsiaTheme="minorEastAsia" w:hAnsi="Times New Roman" w:cs="Times New Roman"/>
          <w:color w:val="000000" w:themeColor="text1"/>
        </w:rPr>
        <w:tab/>
      </w:r>
    </w:p>
    <w:p w14:paraId="385A82F8" w14:textId="77777777" w:rsidR="005A0B5F" w:rsidRPr="004236D1" w:rsidRDefault="00000000" w:rsidP="004236D1">
      <w:pPr>
        <w:spacing w:after="0" w:line="360" w:lineRule="auto"/>
        <w:ind w:firstLine="720"/>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r>
          <w:rPr>
            <w:rFonts w:ascii="Cambria Math" w:hAnsi="Cambria Math" w:cs="Times New Roman"/>
            <w:color w:val="000000" w:themeColor="text1"/>
          </w:rPr>
          <m:t>=</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 xml:space="preserve"> </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oMath>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r>
      <w:r w:rsidR="005A0B5F" w:rsidRPr="004236D1">
        <w:rPr>
          <w:rFonts w:ascii="Times New Roman" w:eastAsiaTheme="minorEastAsia" w:hAnsi="Times New Roman" w:cs="Times New Roman"/>
          <w:color w:val="000000" w:themeColor="text1"/>
        </w:rPr>
        <w:tab/>
        <w:t xml:space="preserve">            </w:t>
      </w:r>
      <w:r w:rsidR="001506C6" w:rsidRPr="004236D1">
        <w:rPr>
          <w:rFonts w:ascii="Times New Roman" w:eastAsiaTheme="minorEastAsia" w:hAnsi="Times New Roman" w:cs="Times New Roman"/>
          <w:color w:val="000000" w:themeColor="text1"/>
        </w:rPr>
        <w:t xml:space="preserve">               </w:t>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 xml:space="preserve"> </w:t>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(2</w:t>
      </w:r>
      <w:r w:rsidR="005A0B5F" w:rsidRPr="004236D1">
        <w:rPr>
          <w:rFonts w:ascii="Times New Roman" w:eastAsiaTheme="minorEastAsia" w:hAnsi="Times New Roman" w:cs="Times New Roman"/>
          <w:color w:val="000000" w:themeColor="text1"/>
        </w:rPr>
        <w:t>)</w:t>
      </w:r>
    </w:p>
    <w:p w14:paraId="035F2B94" w14:textId="77777777" w:rsidR="005A0B5F" w:rsidRPr="004236D1" w:rsidRDefault="005A0B5F" w:rsidP="004236D1">
      <w:pPr>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Where:</w:t>
      </w:r>
    </w:p>
    <w:p w14:paraId="75178B2E" w14:textId="77777777" w:rsidR="005A0B5F" w:rsidRPr="004236D1" w:rsidRDefault="00000000" w:rsidP="004236D1">
      <w:pPr>
        <w:spacing w:after="0" w:line="360" w:lineRule="auto"/>
        <w:jc w:val="both"/>
        <w:rPr>
          <w:rFonts w:ascii="Times New Roman" w:hAnsi="Times New Roman" w:cs="Times New Roman"/>
          <w:color w:val="000000" w:themeColor="text1"/>
        </w:rPr>
      </w:pPr>
      <m:oMath>
        <m:sSup>
          <m:sSupPr>
            <m:ctrlPr>
              <w:rPr>
                <w:rFonts w:ascii="Cambria Math" w:hAnsi="Cambria Math" w:cs="Times New Roman"/>
                <w:b/>
                <w:bCs/>
                <w:i/>
                <w:color w:val="000000" w:themeColor="text1"/>
              </w:rPr>
            </m:ctrlPr>
          </m:sSup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r</m:t>
                </m:r>
              </m:e>
              <m:sub>
                <m:r>
                  <m:rPr>
                    <m:sty m:val="bi"/>
                  </m:rPr>
                  <w:rPr>
                    <w:rFonts w:ascii="Cambria Math" w:hAnsi="Cambria Math" w:cs="Times New Roman"/>
                    <w:color w:val="000000" w:themeColor="text1"/>
                  </w:rPr>
                  <m:t>t</m:t>
                </m:r>
              </m:sub>
            </m:sSub>
          </m:e>
          <m:sup>
            <m:r>
              <m:rPr>
                <m:sty m:val="bi"/>
              </m:rPr>
              <w:rPr>
                <w:rFonts w:ascii="Cambria Math" w:hAnsi="Cambria Math" w:cs="Times New Roman"/>
                <w:color w:val="000000" w:themeColor="text1"/>
              </w:rPr>
              <m:t xml:space="preserve"> </m:t>
            </m:r>
          </m:sup>
        </m:sSup>
        <m:r>
          <w:rPr>
            <w:rFonts w:ascii="Cambria Math" w:hAnsi="Cambria Math" w:cs="Times New Roman"/>
            <w:color w:val="000000" w:themeColor="text1"/>
          </w:rPr>
          <m:t>=</m:t>
        </m:r>
      </m:oMath>
      <w:r w:rsidR="005A0B5F" w:rsidRPr="004236D1">
        <w:rPr>
          <w:rFonts w:ascii="Times New Roman" w:hAnsi="Times New Roman" w:cs="Times New Roman"/>
          <w:i/>
          <w:iCs/>
          <w:color w:val="000000" w:themeColor="text1"/>
        </w:rPr>
        <w:t xml:space="preserve">n × </w:t>
      </w:r>
      <w:r w:rsidR="005A0B5F" w:rsidRPr="004236D1">
        <w:rPr>
          <w:rFonts w:ascii="Times New Roman" w:hAnsi="Times New Roman" w:cs="Times New Roman"/>
          <w:color w:val="000000" w:themeColor="text1"/>
        </w:rPr>
        <w:t xml:space="preserve">1 vector of log returns of </w:t>
      </w:r>
      <w:r w:rsidR="005A0B5F" w:rsidRPr="004236D1">
        <w:rPr>
          <w:rFonts w:ascii="Times New Roman" w:hAnsi="Times New Roman" w:cs="Times New Roman"/>
          <w:i/>
          <w:iCs/>
          <w:color w:val="000000" w:themeColor="text1"/>
        </w:rPr>
        <w:t xml:space="preserve">n </w:t>
      </w:r>
      <w:r w:rsidR="005A0B5F" w:rsidRPr="004236D1">
        <w:rPr>
          <w:rFonts w:ascii="Times New Roman" w:hAnsi="Times New Roman" w:cs="Times New Roman"/>
          <w:color w:val="000000" w:themeColor="text1"/>
        </w:rPr>
        <w:t xml:space="preserve">assets at time </w:t>
      </w:r>
      <w:r w:rsidR="005A0B5F" w:rsidRPr="004236D1">
        <w:rPr>
          <w:rFonts w:ascii="Times New Roman" w:hAnsi="Times New Roman" w:cs="Times New Roman"/>
          <w:i/>
          <w:iCs/>
          <w:color w:val="000000" w:themeColor="text1"/>
        </w:rPr>
        <w:t>t</w:t>
      </w:r>
      <w:r w:rsidR="005A0B5F" w:rsidRPr="004236D1">
        <w:rPr>
          <w:rFonts w:ascii="Times New Roman" w:hAnsi="Times New Roman" w:cs="Times New Roman"/>
          <w:color w:val="000000" w:themeColor="text1"/>
        </w:rPr>
        <w:t>.</w:t>
      </w:r>
    </w:p>
    <w:p w14:paraId="23434951" w14:textId="77777777" w:rsidR="005A0B5F" w:rsidRPr="004236D1" w:rsidRDefault="00000000" w:rsidP="004236D1">
      <w:pPr>
        <w:spacing w:after="0" w:line="360" w:lineRule="auto"/>
        <w:jc w:val="both"/>
        <w:rPr>
          <w:rFonts w:ascii="Times New Roman" w:hAnsi="Times New Roman" w:cs="Times New Roman"/>
          <w:iCs/>
          <w:color w:val="000000" w:themeColor="text1"/>
        </w:rPr>
      </w:pPr>
      <m:oMathPara>
        <m:oMathParaPr>
          <m:jc m:val="left"/>
        </m:oMathPara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μ</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r>
            <m:rPr>
              <m:sty m:val="p"/>
            </m:rPr>
            <w:rPr>
              <w:rFonts w:ascii="Cambria Math" w:hAnsi="Cambria Math" w:cs="Times New Roman"/>
              <w:color w:val="000000" w:themeColor="text1"/>
            </w:rPr>
            <m:t>is the vector of mean returns (or a constant)</m:t>
          </m:r>
        </m:oMath>
      </m:oMathPara>
    </w:p>
    <w:p w14:paraId="67606797"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r>
          <w:rPr>
            <w:rFonts w:ascii="Cambria Math" w:hAnsi="Cambria Math" w:cs="Times New Roman"/>
            <w:color w:val="000000" w:themeColor="text1"/>
          </w:rPr>
          <m:t>=</m:t>
        </m:r>
      </m:oMath>
      <w:r w:rsidR="005A0B5F" w:rsidRPr="004236D1">
        <w:rPr>
          <w:rFonts w:ascii="Times New Roman" w:eastAsiaTheme="minorEastAsia" w:hAnsi="Times New Roman" w:cs="Times New Roman"/>
          <w:color w:val="000000" w:themeColor="text1"/>
        </w:rPr>
        <w:t xml:space="preserve">  </w:t>
      </w:r>
      <w:r w:rsidR="005A0B5F" w:rsidRPr="004236D1">
        <w:rPr>
          <w:rFonts w:ascii="Times New Roman" w:eastAsiaTheme="minorEastAsia" w:hAnsi="Times New Roman" w:cs="Times New Roman"/>
          <w:i/>
          <w:iCs/>
          <w:color w:val="000000" w:themeColor="text1"/>
        </w:rPr>
        <w:t xml:space="preserve">n × </w:t>
      </w:r>
      <w:r w:rsidR="005A0B5F" w:rsidRPr="004236D1">
        <w:rPr>
          <w:rFonts w:ascii="Times New Roman" w:eastAsiaTheme="minorEastAsia" w:hAnsi="Times New Roman" w:cs="Times New Roman"/>
          <w:color w:val="000000" w:themeColor="text1"/>
        </w:rPr>
        <w:t>1 is the vector of residuals (errors) at time t,</w:t>
      </w:r>
      <m:oMath>
        <m:r>
          <w:rPr>
            <w:rFonts w:ascii="Cambria Math" w:eastAsiaTheme="minorEastAsia" w:hAnsi="Cambria Math" w:cs="Times New Roman"/>
            <w:color w:val="000000" w:themeColor="text1"/>
          </w:rPr>
          <m:t>E</m:t>
        </m:r>
        <m:d>
          <m:dPr>
            <m:ctrlPr>
              <w:rPr>
                <w:rFonts w:ascii="Cambria Math" w:eastAsiaTheme="minorEastAsia" w:hAnsi="Cambria Math" w:cs="Times New Roman"/>
                <w:i/>
                <w:color w:val="000000" w:themeColor="text1"/>
              </w:rPr>
            </m:ctrlPr>
          </m:d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ctrlPr>
              <w:rPr>
                <w:rFonts w:ascii="Cambria Math" w:hAnsi="Cambria Math" w:cs="Times New Roman"/>
                <w:b/>
                <w:bCs/>
                <w:i/>
                <w:color w:val="000000" w:themeColor="text1"/>
              </w:rPr>
            </m:ctrlPr>
          </m:e>
        </m:d>
        <m:r>
          <m:rPr>
            <m:sty m:val="bi"/>
          </m:rPr>
          <w:rPr>
            <w:rFonts w:ascii="Cambria Math" w:hAnsi="Cambria Math" w:cs="Times New Roman"/>
            <w:color w:val="000000" w:themeColor="text1"/>
          </w:rPr>
          <m:t xml:space="preserve">=0 </m:t>
        </m:r>
      </m:oMath>
      <w:r w:rsidR="005A0B5F" w:rsidRPr="004236D1">
        <w:rPr>
          <w:rFonts w:ascii="Times New Roman" w:eastAsiaTheme="minorEastAsia" w:hAnsi="Times New Roman" w:cs="Times New Roman"/>
          <w:color w:val="000000" w:themeColor="text1"/>
        </w:rPr>
        <w:t xml:space="preserve"> </w:t>
      </w:r>
      <m:oMath>
        <m:r>
          <w:rPr>
            <w:rFonts w:ascii="Cambria Math" w:eastAsiaTheme="minorEastAsia" w:hAnsi="Cambria Math" w:cs="Times New Roman"/>
            <w:color w:val="000000" w:themeColor="text1"/>
          </w:rPr>
          <m:t>Cov(</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a</m:t>
            </m:r>
          </m:e>
          <m:sub>
            <m:r>
              <m:rPr>
                <m:sty m:val="bi"/>
              </m:rPr>
              <w:rPr>
                <w:rFonts w:ascii="Cambria Math" w:hAnsi="Cambria Math" w:cs="Times New Roman"/>
                <w:color w:val="000000" w:themeColor="text1"/>
              </w:rPr>
              <m:t>t</m:t>
            </m:r>
          </m:sub>
        </m:sSub>
        <m:r>
          <w:rPr>
            <w:rFonts w:ascii="Cambria Math" w:eastAsiaTheme="minorEastAsia" w:hAnsi="Cambria Math" w:cs="Times New Roman"/>
            <w:color w:val="000000" w:themeColor="text1"/>
          </w:rPr>
          <m:t xml:space="preserve">) = </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r>
          <w:rPr>
            <w:rFonts w:ascii="Cambria Math" w:eastAsiaTheme="minorEastAsia" w:hAnsi="Cambria Math" w:cs="Times New Roman"/>
            <w:color w:val="000000" w:themeColor="text1"/>
          </w:rPr>
          <m:t>.</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μ</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i/>
          <w:iCs/>
          <w:color w:val="000000" w:themeColor="text1"/>
        </w:rPr>
        <w:t xml:space="preserve">n × </w:t>
      </w:r>
      <w:r w:rsidR="005A0B5F" w:rsidRPr="004236D1">
        <w:rPr>
          <w:rFonts w:ascii="Times New Roman" w:eastAsiaTheme="minorEastAsia" w:hAnsi="Times New Roman" w:cs="Times New Roman"/>
          <w:color w:val="000000" w:themeColor="text1"/>
        </w:rPr>
        <w:t>1 vector of the expected value of the conditional</w:t>
      </w:r>
      <w:r w:rsidR="005A0B5F" w:rsidRPr="004236D1">
        <w:rPr>
          <w:rFonts w:ascii="Times New Roman" w:eastAsiaTheme="minorEastAsia" w:hAnsi="Times New Roman" w:cs="Times New Roman"/>
          <w:b/>
          <w:bCs/>
          <w:color w:val="000000" w:themeColor="text1"/>
        </w:rPr>
        <w:t xml:space="preserve"> </w:t>
      </w: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R</m:t>
            </m:r>
          </m:e>
          <m:sub>
            <m:r>
              <m:rPr>
                <m:sty m:val="bi"/>
              </m:rPr>
              <w:rPr>
                <w:rFonts w:ascii="Cambria Math" w:hAnsi="Cambria Math" w:cs="Times New Roman"/>
                <w:color w:val="000000" w:themeColor="text1"/>
              </w:rPr>
              <m:t>t</m:t>
            </m:r>
          </m:sub>
        </m:sSub>
        <m:r>
          <m:rPr>
            <m:sty m:val="bi"/>
          </m:rPr>
          <w:rPr>
            <w:rFonts w:ascii="Cambria Math" w:hAnsi="Cambria Math" w:cs="Times New Roman"/>
            <w:color w:val="000000" w:themeColor="text1"/>
          </w:rPr>
          <m:t>.</m:t>
        </m:r>
      </m:oMath>
    </w:p>
    <w:p w14:paraId="7872EA69"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bCs/>
          <w:i/>
          <w:color w:val="000000" w:themeColor="text1"/>
        </w:rPr>
        <w:t xml:space="preserve"> </w:t>
      </w:r>
      <w:r w:rsidR="005A0B5F" w:rsidRPr="004236D1">
        <w:rPr>
          <w:rFonts w:ascii="Times New Roman" w:eastAsiaTheme="minorEastAsia" w:hAnsi="Times New Roman" w:cs="Times New Roman"/>
          <w:i/>
          <w:iCs/>
          <w:color w:val="000000" w:themeColor="text1"/>
        </w:rPr>
        <w:t xml:space="preserve">n × n </w:t>
      </w:r>
      <w:r w:rsidR="005A0B5F" w:rsidRPr="004236D1">
        <w:rPr>
          <w:rFonts w:ascii="Times New Roman" w:eastAsiaTheme="minorEastAsia" w:hAnsi="Times New Roman" w:cs="Times New Roman"/>
          <w:color w:val="000000" w:themeColor="text1"/>
        </w:rPr>
        <w:t xml:space="preserve">matrix of conditional variances at time </w:t>
      </w:r>
      <w:r w:rsidR="005A0B5F" w:rsidRPr="004236D1">
        <w:rPr>
          <w:rFonts w:ascii="Times New Roman" w:eastAsiaTheme="minorEastAsia" w:hAnsi="Times New Roman" w:cs="Times New Roman"/>
          <w:i/>
          <w:iCs/>
          <w:color w:val="000000" w:themeColor="text1"/>
        </w:rPr>
        <w:t>t</w:t>
      </w:r>
      <w:r w:rsidR="005A0B5F" w:rsidRPr="004236D1">
        <w:rPr>
          <w:rFonts w:ascii="Times New Roman" w:eastAsiaTheme="minorEastAsia" w:hAnsi="Times New Roman" w:cs="Times New Roman"/>
          <w:color w:val="000000" w:themeColor="text1"/>
        </w:rPr>
        <w:t>.</w:t>
      </w:r>
    </w:p>
    <w:p w14:paraId="6B97C730"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color w:val="000000" w:themeColor="text1"/>
        </w:rPr>
        <w:t xml:space="preserve">Any </w:t>
      </w:r>
      <w:r w:rsidR="005A0B5F" w:rsidRPr="004236D1">
        <w:rPr>
          <w:rFonts w:ascii="Times New Roman" w:eastAsiaTheme="minorEastAsia" w:hAnsi="Times New Roman" w:cs="Times New Roman"/>
          <w:i/>
          <w:iCs/>
          <w:color w:val="000000" w:themeColor="text1"/>
        </w:rPr>
        <w:t xml:space="preserve">n × n </w:t>
      </w:r>
      <w:r w:rsidR="005A0B5F" w:rsidRPr="004236D1">
        <w:rPr>
          <w:rFonts w:ascii="Times New Roman" w:eastAsiaTheme="minorEastAsia" w:hAnsi="Times New Roman" w:cs="Times New Roman"/>
          <w:color w:val="000000" w:themeColor="text1"/>
        </w:rPr>
        <w:t xml:space="preserve">matrix at time </w:t>
      </w:r>
      <w:r w:rsidR="005A0B5F" w:rsidRPr="004236D1">
        <w:rPr>
          <w:rFonts w:ascii="Times New Roman" w:eastAsiaTheme="minorEastAsia" w:hAnsi="Times New Roman" w:cs="Times New Roman"/>
          <w:i/>
          <w:iCs/>
          <w:color w:val="000000" w:themeColor="text1"/>
        </w:rPr>
        <w:t xml:space="preserve">t </w:t>
      </w:r>
      <w:r w:rsidR="005A0B5F" w:rsidRPr="004236D1">
        <w:rPr>
          <w:rFonts w:ascii="Times New Roman" w:eastAsiaTheme="minorEastAsia" w:hAnsi="Times New Roman" w:cs="Times New Roman"/>
          <w:color w:val="000000" w:themeColor="text1"/>
        </w:rPr>
        <w:t xml:space="preserve">such that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005A0B5F" w:rsidRPr="004236D1">
        <w:rPr>
          <w:rFonts w:ascii="Times New Roman" w:eastAsiaTheme="minorEastAsia" w:hAnsi="Times New Roman" w:cs="Times New Roman"/>
          <w:color w:val="000000" w:themeColor="text1"/>
        </w:rPr>
        <w:t xml:space="preserve">is the conditional variance matrix of </w:t>
      </w: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a</m:t>
            </m:r>
          </m:e>
          <m:sub>
            <m:r>
              <m:rPr>
                <m:sty m:val="bi"/>
              </m:rPr>
              <w:rPr>
                <w:rFonts w:ascii="Cambria Math" w:hAnsi="Cambria Math" w:cs="Times New Roman"/>
                <w:color w:val="000000" w:themeColor="text1"/>
              </w:rPr>
              <m:t>t</m:t>
            </m:r>
          </m:sub>
        </m:sSub>
      </m:oMath>
      <w:r w:rsidR="005A0B5F" w:rsidRPr="004236D1">
        <w:rPr>
          <w:rFonts w:ascii="Times New Roman" w:eastAsiaTheme="minorEastAsia" w:hAnsi="Times New Roman" w:cs="Times New Roman"/>
          <w:color w:val="000000" w:themeColor="text1"/>
        </w:rPr>
        <w:t xml:space="preserve">.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 xml:space="preserve"> </m:t>
        </m:r>
      </m:oMath>
      <w:r w:rsidR="005A0B5F" w:rsidRPr="004236D1">
        <w:rPr>
          <w:rFonts w:ascii="Times New Roman" w:eastAsiaTheme="minorEastAsia" w:hAnsi="Times New Roman" w:cs="Times New Roman"/>
          <w:b/>
          <w:bCs/>
          <w:i/>
          <w:iCs/>
          <w:color w:val="000000" w:themeColor="text1"/>
        </w:rPr>
        <w:t xml:space="preserve"> </w:t>
      </w:r>
      <w:r w:rsidR="005A0B5F" w:rsidRPr="004236D1">
        <w:rPr>
          <w:rFonts w:ascii="Times New Roman" w:eastAsiaTheme="minorEastAsia" w:hAnsi="Times New Roman" w:cs="Times New Roman"/>
          <w:color w:val="000000" w:themeColor="text1"/>
        </w:rPr>
        <w:t xml:space="preserve">could be gotten by Cholesky factorization of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H</m:t>
            </m:r>
          </m:e>
          <m:sub>
            <m:r>
              <w:rPr>
                <w:rFonts w:ascii="Cambria Math" w:hAnsi="Cambria Math" w:cs="Times New Roman"/>
                <w:color w:val="000000" w:themeColor="text1"/>
              </w:rPr>
              <m:t>t</m:t>
            </m:r>
          </m:sub>
          <m:sup>
            <m:r>
              <w:rPr>
                <w:rFonts w:ascii="Cambria Math" w:hAnsi="Cambria Math" w:cs="Times New Roman"/>
                <w:color w:val="000000" w:themeColor="text1"/>
              </w:rPr>
              <m:t xml:space="preserve"> </m:t>
            </m:r>
          </m:sup>
        </m:sSubSup>
      </m:oMath>
    </w:p>
    <w:p w14:paraId="38C15ED2"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m:t>
            </m:r>
          </m:e>
          <m:sub>
            <m:r>
              <m:rPr>
                <m:sty m:val="bi"/>
              </m:rPr>
              <w:rPr>
                <w:rFonts w:ascii="Cambria Math" w:hAnsi="Cambria Math" w:cs="Times New Roman"/>
                <w:color w:val="000000" w:themeColor="text1"/>
              </w:rPr>
              <m:t>t</m:t>
            </m:r>
          </m:sub>
        </m:sSub>
        <m:r>
          <m:rPr>
            <m:sty m:val="p"/>
          </m:rPr>
          <w:rPr>
            <w:rFonts w:ascii="Cambria Math" w:eastAsiaTheme="minorEastAsia" w:hAnsi="Cambria Math" w:cs="Times New Roman"/>
            <w:color w:val="000000" w:themeColor="text1"/>
          </w:rPr>
          <m:t xml:space="preserve"> </m:t>
        </m:r>
        <m:r>
          <w:rPr>
            <w:rFonts w:ascii="Cambria Math" w:hAnsi="Cambria Math" w:cs="Times New Roman"/>
            <w:color w:val="000000" w:themeColor="text1"/>
          </w:rPr>
          <m:t>=</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f>
              <m:fPr>
                <m:ctrlPr>
                  <w:rPr>
                    <w:rFonts w:ascii="Cambria Math" w:hAnsi="Cambria Math" w:cs="Times New Roman"/>
                    <w:b/>
                    <w:bCs/>
                    <w:i/>
                    <w:color w:val="000000" w:themeColor="text1"/>
                  </w:rPr>
                </m:ctrlPr>
              </m:fPr>
              <m:num>
                <m:r>
                  <m:rPr>
                    <m:sty m:val="bi"/>
                  </m:rPr>
                  <w:rPr>
                    <w:rFonts w:ascii="Cambria Math" w:hAnsi="Cambria Math" w:cs="Times New Roman"/>
                    <w:color w:val="000000" w:themeColor="text1"/>
                  </w:rPr>
                  <m:t>1</m:t>
                </m:r>
              </m:num>
              <m:den>
                <m:r>
                  <m:rPr>
                    <m:sty m:val="bi"/>
                  </m:rPr>
                  <w:rPr>
                    <w:rFonts w:ascii="Cambria Math" w:hAnsi="Cambria Math" w:cs="Times New Roman"/>
                    <w:color w:val="000000" w:themeColor="text1"/>
                  </w:rPr>
                  <m:t>2</m:t>
                </m:r>
              </m:den>
            </m:f>
          </m:sup>
        </m:sSubSup>
        <m:r>
          <m:rPr>
            <m:sty m:val="bi"/>
          </m:rPr>
          <w:rPr>
            <w:rFonts w:ascii="Cambria Math" w:hAnsi="Cambria Math" w:cs="Times New Roman"/>
            <w:color w:val="000000" w:themeColor="text1"/>
          </w:rPr>
          <m:t xml:space="preserve"> </m:t>
        </m:r>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color w:val="000000" w:themeColor="text1"/>
        </w:rPr>
        <w:t xml:space="preserve">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Z</m:t>
            </m:r>
          </m:e>
          <m:sub>
            <m:r>
              <w:rPr>
                <w:rFonts w:ascii="Cambria Math" w:hAnsi="Cambria Math" w:cs="Times New Roman"/>
                <w:color w:val="000000" w:themeColor="text1"/>
              </w:rPr>
              <m:t>t</m:t>
            </m:r>
          </m:sub>
        </m:sSub>
      </m:oMath>
      <w:r w:rsidR="005A0B5F" w:rsidRPr="004236D1">
        <w:rPr>
          <w:rFonts w:ascii="Times New Roman" w:eastAsiaTheme="minorEastAsia" w:hAnsi="Times New Roman" w:cs="Times New Roman"/>
          <w:color w:val="000000" w:themeColor="text1"/>
        </w:rPr>
        <w:t xml:space="preserve">  is a vector of independent and identically distributed errors (often assumed to be normal or t-distributed), and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005A0B5F" w:rsidRPr="004236D1">
        <w:rPr>
          <w:rFonts w:ascii="Times New Roman" w:eastAsiaTheme="minorEastAsia" w:hAnsi="Times New Roman" w:cs="Times New Roman"/>
          <w:color w:val="000000" w:themeColor="text1"/>
        </w:rPr>
        <w:t>​ is the conditional covariance matrix at time t.</w:t>
      </w:r>
    </w:p>
    <w:p w14:paraId="6D5F64CB" w14:textId="77777777" w:rsidR="005A0B5F"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r>
          <w:rPr>
            <w:rFonts w:ascii="Cambria Math" w:hAnsi="Cambria Math" w:cs="Times New Roman"/>
            <w:color w:val="000000" w:themeColor="text1"/>
          </w:rPr>
          <m:t xml:space="preserve"> </m:t>
        </m:r>
      </m:oMath>
      <w:r w:rsidR="005A0B5F" w:rsidRPr="004236D1">
        <w:rPr>
          <w:rFonts w:ascii="Times New Roman" w:eastAsiaTheme="minorEastAsia" w:hAnsi="Times New Roman" w:cs="Times New Roman"/>
          <w:i/>
          <w:color w:val="000000" w:themeColor="text1"/>
        </w:rPr>
        <w:t xml:space="preserve"> </w:t>
      </w:r>
      <w:r w:rsidR="005A0B5F" w:rsidRPr="004236D1">
        <w:rPr>
          <w:rFonts w:ascii="Times New Roman" w:eastAsiaTheme="minorEastAsia" w:hAnsi="Times New Roman" w:cs="Times New Roman"/>
          <w:iCs/>
          <w:color w:val="000000" w:themeColor="text1"/>
        </w:rPr>
        <w:t>is an</w:t>
      </w:r>
      <w:r w:rsidR="005A0B5F" w:rsidRPr="004236D1">
        <w:rPr>
          <w:rFonts w:ascii="Times New Roman" w:eastAsiaTheme="minorEastAsia" w:hAnsi="Times New Roman" w:cs="Times New Roman"/>
          <w:b/>
          <w:bCs/>
          <w:i/>
          <w:color w:val="000000" w:themeColor="text1"/>
        </w:rPr>
        <w:t xml:space="preserve">   </w:t>
      </w:r>
      <w:r w:rsidR="005A0B5F" w:rsidRPr="004236D1">
        <w:rPr>
          <w:rFonts w:ascii="Times New Roman" w:eastAsiaTheme="minorEastAsia" w:hAnsi="Times New Roman" w:cs="Times New Roman"/>
          <w:i/>
          <w:iCs/>
          <w:color w:val="000000" w:themeColor="text1"/>
        </w:rPr>
        <w:t xml:space="preserve">n × </w:t>
      </w:r>
      <w:r w:rsidR="005A0B5F" w:rsidRPr="004236D1">
        <w:rPr>
          <w:rFonts w:ascii="Times New Roman" w:eastAsiaTheme="minorEastAsia" w:hAnsi="Times New Roman" w:cs="Times New Roman"/>
          <w:color w:val="000000" w:themeColor="text1"/>
        </w:rPr>
        <w:t xml:space="preserve">1 vector of </w:t>
      </w:r>
      <w:proofErr w:type="spellStart"/>
      <w:r w:rsidR="005A0B5F" w:rsidRPr="004236D1">
        <w:rPr>
          <w:rFonts w:ascii="Times New Roman" w:eastAsiaTheme="minorEastAsia" w:hAnsi="Times New Roman" w:cs="Times New Roman"/>
          <w:color w:val="000000" w:themeColor="text1"/>
        </w:rPr>
        <w:t>iid</w:t>
      </w:r>
      <w:proofErr w:type="spellEnd"/>
      <w:r w:rsidR="005A0B5F" w:rsidRPr="004236D1">
        <w:rPr>
          <w:rFonts w:ascii="Times New Roman" w:eastAsiaTheme="minorEastAsia" w:hAnsi="Times New Roman" w:cs="Times New Roman"/>
          <w:color w:val="000000" w:themeColor="text1"/>
        </w:rPr>
        <w:t xml:space="preserve"> errors such that  </w:t>
      </w:r>
      <m:oMath>
        <m:r>
          <w:rPr>
            <w:rFonts w:ascii="Cambria Math" w:eastAsiaTheme="minorEastAsia" w:hAnsi="Cambria Math" w:cs="Times New Roman"/>
            <w:color w:val="000000" w:themeColor="text1"/>
          </w:rPr>
          <m:t>E</m:t>
        </m:r>
        <m:d>
          <m:dPr>
            <m:ctrlPr>
              <w:rPr>
                <w:rFonts w:ascii="Cambria Math" w:eastAsiaTheme="minorEastAsia" w:hAnsi="Cambria Math" w:cs="Times New Roman"/>
                <w:i/>
                <w:color w:val="000000" w:themeColor="text1"/>
              </w:rPr>
            </m:ctrlPr>
          </m:d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ctrlPr>
              <w:rPr>
                <w:rFonts w:ascii="Cambria Math" w:hAnsi="Cambria Math" w:cs="Times New Roman"/>
                <w:b/>
                <w:bCs/>
                <w:i/>
                <w:color w:val="000000" w:themeColor="text1"/>
              </w:rPr>
            </m:ctrlPr>
          </m:e>
        </m:d>
        <m:r>
          <m:rPr>
            <m:sty m:val="bi"/>
          </m:rPr>
          <w:rPr>
            <w:rFonts w:ascii="Cambria Math" w:hAnsi="Cambria Math" w:cs="Times New Roman"/>
            <w:color w:val="000000" w:themeColor="text1"/>
          </w:rPr>
          <m:t>=0</m:t>
        </m:r>
      </m:oMath>
      <w:r w:rsidR="005A0B5F" w:rsidRPr="004236D1">
        <w:rPr>
          <w:rFonts w:ascii="Times New Roman" w:eastAsiaTheme="minorEastAsia" w:hAnsi="Times New Roman" w:cs="Times New Roman"/>
          <w:b/>
          <w:bCs/>
          <w:color w:val="000000" w:themeColor="text1"/>
        </w:rPr>
        <w:t xml:space="preserve"> </w:t>
      </w:r>
      <w:r w:rsidR="005A0B5F" w:rsidRPr="004236D1">
        <w:rPr>
          <w:rFonts w:ascii="Times New Roman" w:eastAsiaTheme="minorEastAsia" w:hAnsi="Times New Roman" w:cs="Times New Roman"/>
          <w:color w:val="000000" w:themeColor="text1"/>
        </w:rPr>
        <w:t>and</w:t>
      </w:r>
      <w:r w:rsidR="005A0B5F" w:rsidRPr="004236D1">
        <w:rPr>
          <w:rFonts w:ascii="Times New Roman" w:eastAsiaTheme="minorEastAsia" w:hAnsi="Times New Roman" w:cs="Times New Roman"/>
          <w:b/>
          <w:bCs/>
          <w:color w:val="000000" w:themeColor="text1"/>
        </w:rPr>
        <w:t xml:space="preserve"> </w:t>
      </w:r>
      <m:oMath>
        <m:r>
          <w:rPr>
            <w:rFonts w:ascii="Cambria Math" w:eastAsiaTheme="minorEastAsia" w:hAnsi="Cambria Math" w:cs="Times New Roman"/>
            <w:color w:val="000000" w:themeColor="text1"/>
          </w:rPr>
          <m:t>E</m:t>
        </m:r>
        <m:d>
          <m:dPr>
            <m:ctrlPr>
              <w:rPr>
                <w:rFonts w:ascii="Cambria Math" w:eastAsiaTheme="minorEastAsia" w:hAnsi="Cambria Math" w:cs="Times New Roman"/>
                <w:i/>
                <w:color w:val="000000" w:themeColor="text1"/>
              </w:rPr>
            </m:ctrlPr>
          </m:d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sSup>
              <m:sSupPr>
                <m:ctrlPr>
                  <w:rPr>
                    <w:rFonts w:ascii="Cambria Math" w:hAnsi="Cambria Math" w:cs="Times New Roman"/>
                    <w:b/>
                    <w:bCs/>
                    <w:i/>
                    <w:color w:val="000000" w:themeColor="text1"/>
                  </w:rPr>
                </m:ctrlPr>
              </m:sSupPr>
              <m:e>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Z</m:t>
                    </m:r>
                  </m:e>
                  <m:sub>
                    <m:r>
                      <m:rPr>
                        <m:sty m:val="bi"/>
                      </m:rPr>
                      <w:rPr>
                        <w:rFonts w:ascii="Cambria Math" w:hAnsi="Cambria Math" w:cs="Times New Roman"/>
                        <w:color w:val="000000" w:themeColor="text1"/>
                      </w:rPr>
                      <m:t>t</m:t>
                    </m:r>
                  </m:sub>
                </m:sSub>
              </m:e>
              <m:sup>
                <m:r>
                  <m:rPr>
                    <m:sty m:val="bi"/>
                  </m:rPr>
                  <w:rPr>
                    <w:rFonts w:ascii="Cambria Math" w:hAnsi="Cambria Math" w:cs="Times New Roman"/>
                    <w:color w:val="000000" w:themeColor="text1"/>
                  </w:rPr>
                  <m:t>'</m:t>
                </m:r>
              </m:sup>
            </m:sSup>
            <m:ctrlPr>
              <w:rPr>
                <w:rFonts w:ascii="Cambria Math" w:hAnsi="Cambria Math" w:cs="Times New Roman"/>
                <w:b/>
                <w:bCs/>
                <w:i/>
                <w:color w:val="000000" w:themeColor="text1"/>
              </w:rPr>
            </m:ctrlPr>
          </m:e>
        </m:d>
        <m:r>
          <m:rPr>
            <m:sty m:val="bi"/>
          </m:rPr>
          <w:rPr>
            <w:rFonts w:ascii="Cambria Math" w:hAnsi="Cambria Math" w:cs="Times New Roman"/>
            <w:color w:val="000000" w:themeColor="text1"/>
          </w:rPr>
          <m:t>=1</m:t>
        </m:r>
      </m:oMath>
    </w:p>
    <w:p w14:paraId="7FAABD06" w14:textId="77777777" w:rsidR="00930BE1" w:rsidRPr="004236D1" w:rsidRDefault="005A0B5F" w:rsidP="004236D1">
      <w:pPr>
        <w:spacing w:after="0" w:line="360" w:lineRule="auto"/>
        <w:jc w:val="both"/>
        <w:rPr>
          <w:rFonts w:ascii="Times New Roman" w:hAnsi="Times New Roman" w:cs="Times New Roman"/>
          <w:color w:val="000000" w:themeColor="text1"/>
        </w:rPr>
      </w:pPr>
      <w:r w:rsidRPr="004236D1">
        <w:rPr>
          <w:rFonts w:ascii="Times New Roman" w:hAnsi="Times New Roman" w:cs="Times New Roman"/>
          <w:color w:val="000000" w:themeColor="text1"/>
        </w:rPr>
        <w:t>Just like in the single-variable case, the residuals (</w:t>
      </w:r>
      <m:oMath>
        <m:sSub>
          <m:sSubPr>
            <m:ctrlPr>
              <w:rPr>
                <w:rFonts w:ascii="Cambria Math" w:hAnsi="Cambria Math" w:cs="Times New Roman"/>
                <w:b/>
                <w:bCs/>
                <w:i/>
                <w:color w:val="000000" w:themeColor="text1"/>
              </w:rPr>
            </m:ctrlPr>
          </m:sSubPr>
          <m:e>
            <m:r>
              <m:rPr>
                <m:sty m:val="bi"/>
              </m:rPr>
              <w:rPr>
                <w:rFonts w:ascii="Cambria Math" w:hAnsi="Cambria Math" w:cs="Times New Roman"/>
                <w:color w:val="000000" w:themeColor="text1"/>
              </w:rPr>
              <m:t>a</m:t>
            </m:r>
          </m:e>
          <m:sub>
            <m:r>
              <m:rPr>
                <m:sty m:val="bi"/>
              </m:rPr>
              <w:rPr>
                <w:rFonts w:ascii="Cambria Math" w:hAnsi="Cambria Math" w:cs="Times New Roman"/>
                <w:color w:val="000000" w:themeColor="text1"/>
              </w:rPr>
              <m:t>t</m:t>
            </m:r>
          </m:sub>
        </m:sSub>
      </m:oMath>
      <w:r w:rsidRPr="004236D1">
        <w:rPr>
          <w:rFonts w:ascii="Times New Roman" w:hAnsi="Times New Roman" w:cs="Times New Roman"/>
          <w:color w:val="000000" w:themeColor="text1"/>
        </w:rPr>
        <w:t xml:space="preserve"> appear to be uncorrelated over time. There are numerous ways to specify the conditional covariance matrix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Pr="004236D1">
        <w:rPr>
          <w:rFonts w:ascii="Times New Roman" w:hAnsi="Times New Roman" w:cs="Times New Roman"/>
          <w:color w:val="000000" w:themeColor="text1"/>
        </w:rPr>
        <w:t xml:space="preserve">. However, as the number of variables (dimension of at) becomes larger, the number of parameters in </w:t>
      </w:r>
      <m:oMath>
        <m:sSubSup>
          <m:sSubSupPr>
            <m:ctrlPr>
              <w:rPr>
                <w:rFonts w:ascii="Cambria Math" w:hAnsi="Cambria Math" w:cs="Times New Roman"/>
                <w:bCs/>
                <w:i/>
                <w:color w:val="000000" w:themeColor="text1"/>
              </w:rPr>
            </m:ctrlPr>
          </m:sSubSupPr>
          <m:e>
            <m:r>
              <w:rPr>
                <w:rFonts w:ascii="Cambria Math" w:hAnsi="Cambria Math" w:cs="Times New Roman"/>
                <w:color w:val="000000" w:themeColor="text1"/>
              </w:rPr>
              <m:t>H</m:t>
            </m:r>
          </m:e>
          <m:sub>
            <m:r>
              <w:rPr>
                <w:rFonts w:ascii="Cambria Math" w:hAnsi="Cambria Math" w:cs="Times New Roman"/>
                <w:color w:val="000000" w:themeColor="text1"/>
              </w:rPr>
              <m:t>t</m:t>
            </m:r>
          </m:sub>
          <m:sup>
            <m:r>
              <w:rPr>
                <w:rFonts w:ascii="Cambria Math" w:hAnsi="Cambria Math" w:cs="Times New Roman"/>
                <w:color w:val="000000" w:themeColor="text1"/>
              </w:rPr>
              <m:t xml:space="preserve"> </m:t>
            </m:r>
          </m:sup>
        </m:sSubSup>
      </m:oMath>
      <w:r w:rsidRPr="004236D1">
        <w:rPr>
          <w:rFonts w:ascii="Times New Roman" w:hAnsi="Times New Roman" w:cs="Times New Roman"/>
          <w:color w:val="000000" w:themeColor="text1"/>
        </w:rPr>
        <w:t xml:space="preserve"> increases exponentially, making estimation computationally challenging, especially for large datasets. The conditional covariance matrix </w:t>
      </w:r>
      <m:oMath>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H</m:t>
            </m:r>
          </m:e>
          <m:sub>
            <m:r>
              <m:rPr>
                <m:sty m:val="bi"/>
              </m:rPr>
              <w:rPr>
                <w:rFonts w:ascii="Cambria Math" w:hAnsi="Cambria Math" w:cs="Times New Roman"/>
                <w:color w:val="000000" w:themeColor="text1"/>
              </w:rPr>
              <m:t>t</m:t>
            </m:r>
          </m:sub>
          <m:sup>
            <m:r>
              <m:rPr>
                <m:sty m:val="bi"/>
              </m:rPr>
              <w:rPr>
                <w:rFonts w:ascii="Cambria Math" w:hAnsi="Cambria Math" w:cs="Times New Roman"/>
                <w:color w:val="000000" w:themeColor="text1"/>
              </w:rPr>
              <m:t xml:space="preserve"> </m:t>
            </m:r>
          </m:sup>
        </m:sSubSup>
      </m:oMath>
      <w:r w:rsidRPr="004236D1">
        <w:rPr>
          <w:rFonts w:ascii="Times New Roman" w:hAnsi="Times New Roman" w:cs="Times New Roman"/>
          <w:color w:val="000000" w:themeColor="text1"/>
        </w:rPr>
        <w:t xml:space="preserve"> ​ in an MGARCH model depends on past residuals and past covariance terms, and it models how the volatility and correlation evolve over time. </w:t>
      </w:r>
    </w:p>
    <w:p w14:paraId="542283FE" w14:textId="77777777" w:rsidR="00930BE1" w:rsidRPr="004236D1" w:rsidRDefault="00930BE1" w:rsidP="004236D1">
      <w:pPr>
        <w:spacing w:after="0" w:line="360" w:lineRule="auto"/>
        <w:jc w:val="both"/>
        <w:rPr>
          <w:rFonts w:ascii="Times New Roman" w:hAnsi="Times New Roman" w:cs="Times New Roman"/>
          <w:color w:val="000000" w:themeColor="text1"/>
        </w:rPr>
      </w:pPr>
    </w:p>
    <w:p w14:paraId="4B2E8801" w14:textId="77777777" w:rsidR="005A0B5F" w:rsidRPr="004236D1" w:rsidRDefault="005A0B5F" w:rsidP="004236D1">
      <w:pPr>
        <w:spacing w:after="0" w:line="360" w:lineRule="auto"/>
        <w:jc w:val="both"/>
        <w:rPr>
          <w:rFonts w:ascii="Times New Roman" w:hAnsi="Times New Roman" w:cs="Times New Roman"/>
          <w:color w:val="000000" w:themeColor="text1"/>
        </w:rPr>
      </w:pPr>
      <w:r w:rsidRPr="004236D1">
        <w:rPr>
          <w:rFonts w:ascii="Times New Roman" w:hAnsi="Times New Roman" w:cs="Times New Roman"/>
          <w:b/>
          <w:bCs/>
          <w:iCs/>
          <w:color w:val="000000" w:themeColor="text1"/>
        </w:rPr>
        <w:t>VECH MODEL</w:t>
      </w:r>
    </w:p>
    <w:p w14:paraId="53247B4F" w14:textId="77777777" w:rsidR="005A0B5F" w:rsidRPr="004236D1" w:rsidRDefault="005A0B5F" w:rsidP="004236D1">
      <w:pPr>
        <w:spacing w:after="0" w:line="360" w:lineRule="auto"/>
        <w:jc w:val="both"/>
        <w:rPr>
          <w:rFonts w:ascii="Times New Roman" w:hAnsi="Times New Roman" w:cs="Times New Roman"/>
        </w:rPr>
      </w:pPr>
      <w:r w:rsidRPr="005376EB">
        <w:rPr>
          <w:rFonts w:ascii="Times New Roman" w:hAnsi="Times New Roman" w:cs="Times New Roman"/>
        </w:rPr>
        <w:t>The</w:t>
      </w:r>
      <w:r w:rsidRPr="004236D1">
        <w:rPr>
          <w:rFonts w:ascii="Times New Roman" w:hAnsi="Times New Roman" w:cs="Times New Roman"/>
          <w:b/>
        </w:rPr>
        <w:t xml:space="preserve"> </w:t>
      </w:r>
      <w:r w:rsidRPr="004236D1">
        <w:rPr>
          <w:rStyle w:val="Strong"/>
          <w:rFonts w:ascii="Times New Roman" w:hAnsi="Times New Roman" w:cs="Times New Roman"/>
          <w:b w:val="0"/>
        </w:rPr>
        <w:t>Vector Error Correction Heteroscedasticity (VECH) model</w:t>
      </w:r>
      <w:r w:rsidRPr="004236D1">
        <w:rPr>
          <w:rFonts w:ascii="Times New Roman" w:hAnsi="Times New Roman" w:cs="Times New Roman"/>
          <w:b/>
        </w:rPr>
        <w:t xml:space="preserve"> </w:t>
      </w:r>
      <w:r w:rsidRPr="004236D1">
        <w:rPr>
          <w:rFonts w:ascii="Times New Roman" w:hAnsi="Times New Roman" w:cs="Times New Roman"/>
        </w:rPr>
        <w:t xml:space="preserve">is one of the early multivariate generalized autoregressive conditional heteroscedasticity (MGARCH) specifications developed to model the time-varying conditional variances and covariances of several financial return series simultaneously. Let the vector returns from N financial or commodity markets at time </w:t>
      </w:r>
      <w:proofErr w:type="spellStart"/>
      <w:r w:rsidRPr="004236D1">
        <w:rPr>
          <w:rFonts w:ascii="Times New Roman" w:hAnsi="Times New Roman" w:cs="Times New Roman"/>
        </w:rPr>
        <w:t>t</w:t>
      </w:r>
      <w:proofErr w:type="spellEnd"/>
      <w:r w:rsidRPr="004236D1">
        <w:rPr>
          <w:rFonts w:ascii="Times New Roman" w:hAnsi="Times New Roman" w:cs="Times New Roman"/>
        </w:rPr>
        <w:t xml:space="preserve"> be defined as </w:t>
      </w:r>
    </w:p>
    <w:p w14:paraId="399B6396" w14:textId="77777777" w:rsidR="005A0B5F" w:rsidRPr="004236D1" w:rsidRDefault="00000000" w:rsidP="004236D1">
      <w:pPr>
        <w:spacing w:after="0" w:line="360" w:lineRule="auto"/>
        <w:ind w:left="360"/>
        <w:jc w:val="both"/>
        <w:rPr>
          <w:rFonts w:ascii="Times New Roman"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m>
              <m:mPr>
                <m:mcs>
                  <m:mc>
                    <m:mcPr>
                      <m:count m:val="1"/>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1t</m:t>
                      </m:r>
                    </m:sub>
                  </m:sSub>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2t</m:t>
                      </m:r>
                    </m:sub>
                  </m:sSub>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Nt</m:t>
                            </m:r>
                          </m:sub>
                        </m:sSub>
                      </m:e>
                    </m:mr>
                  </m:m>
                </m:e>
              </m:mr>
            </m:m>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(3</w:t>
      </w:r>
      <w:r w:rsidR="005A0B5F" w:rsidRPr="004236D1">
        <w:rPr>
          <w:rFonts w:ascii="Times New Roman" w:eastAsiaTheme="minorEastAsia" w:hAnsi="Times New Roman" w:cs="Times New Roman"/>
          <w:bCs/>
          <w:iCs/>
          <w:color w:val="000000" w:themeColor="text1"/>
        </w:rPr>
        <w:t>)</w:t>
      </w:r>
    </w:p>
    <w:p w14:paraId="19483BD3"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bCs/>
          <w:iCs/>
          <w:color w:val="000000" w:themeColor="text1"/>
        </w:rPr>
        <w:t xml:space="preserve">Where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it</m:t>
            </m:r>
          </m:sub>
        </m:sSub>
      </m:oMath>
      <w:r w:rsidRPr="004236D1">
        <w:rPr>
          <w:rFonts w:ascii="Times New Roman" w:eastAsiaTheme="minorEastAsia" w:hAnsi="Times New Roman" w:cs="Times New Roman"/>
          <w:bCs/>
          <w:iCs/>
          <w:color w:val="000000" w:themeColor="text1"/>
        </w:rPr>
        <w:t xml:space="preserve"> represents the return on market </w:t>
      </w:r>
      <w:proofErr w:type="spellStart"/>
      <w:r w:rsidRPr="004236D1">
        <w:rPr>
          <w:rFonts w:ascii="Times New Roman" w:eastAsiaTheme="minorEastAsia" w:hAnsi="Times New Roman" w:cs="Times New Roman"/>
          <w:bCs/>
          <w:i/>
          <w:iCs/>
          <w:color w:val="000000" w:themeColor="text1"/>
        </w:rPr>
        <w:t>i</w:t>
      </w:r>
      <w:proofErr w:type="spellEnd"/>
      <w:r w:rsidRPr="004236D1">
        <w:rPr>
          <w:rFonts w:ascii="Times New Roman" w:eastAsiaTheme="minorEastAsia" w:hAnsi="Times New Roman" w:cs="Times New Roman"/>
          <w:bCs/>
          <w:iCs/>
          <w:color w:val="000000" w:themeColor="text1"/>
        </w:rPr>
        <w:t xml:space="preserve"> at time</w:t>
      </w:r>
      <w:r w:rsidRPr="004236D1">
        <w:rPr>
          <w:rFonts w:ascii="Times New Roman" w:eastAsiaTheme="minorEastAsia" w:hAnsi="Times New Roman" w:cs="Times New Roman"/>
          <w:bCs/>
          <w:i/>
          <w:iCs/>
          <w:color w:val="000000" w:themeColor="text1"/>
        </w:rPr>
        <w:t xml:space="preserve"> t.</w:t>
      </w:r>
      <w:r w:rsidRPr="004236D1">
        <w:rPr>
          <w:rFonts w:ascii="Times New Roman" w:eastAsiaTheme="minorEastAsia" w:hAnsi="Times New Roman" w:cs="Times New Roman"/>
          <w:bCs/>
          <w:iCs/>
          <w:color w:val="000000" w:themeColor="text1"/>
        </w:rPr>
        <w:t xml:space="preserve"> The conditional mean equation can generally be expressed as </w:t>
      </w:r>
    </w:p>
    <w:p w14:paraId="032BC853" w14:textId="77777777" w:rsidR="005A0B5F" w:rsidRPr="004236D1" w:rsidRDefault="00000000" w:rsidP="004236D1">
      <w:pPr>
        <w:spacing w:after="0" w:line="360" w:lineRule="auto"/>
        <w:jc w:val="both"/>
        <w:rPr>
          <w:rFonts w:ascii="Times New Roman"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r>
          <w:rPr>
            <w:rFonts w:ascii="Cambria Math" w:hAnsi="Cambria Math" w:cs="Times New Roman"/>
            <w:color w:val="000000" w:themeColor="text1"/>
          </w:rPr>
          <m:t xml:space="preserve">= </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t</m:t>
            </m:r>
          </m:sub>
        </m:sSub>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(4</w:t>
      </w:r>
      <w:r w:rsidR="005A0B5F" w:rsidRPr="004236D1">
        <w:rPr>
          <w:rFonts w:ascii="Times New Roman" w:eastAsiaTheme="minorEastAsia" w:hAnsi="Times New Roman" w:cs="Times New Roman"/>
          <w:bCs/>
          <w:iCs/>
          <w:color w:val="000000" w:themeColor="text1"/>
        </w:rPr>
        <w:t>)</w:t>
      </w:r>
    </w:p>
    <w:p w14:paraId="41B0D43F" w14:textId="77777777" w:rsidR="005A0B5F" w:rsidRPr="004236D1" w:rsidRDefault="005A0B5F" w:rsidP="004236D1">
      <w:pPr>
        <w:spacing w:after="0" w:line="360" w:lineRule="auto"/>
        <w:jc w:val="both"/>
        <w:rPr>
          <w:rFonts w:ascii="Times New Roman" w:hAnsi="Times New Roman" w:cs="Times New Roman"/>
          <w:bCs/>
          <w:iCs/>
          <w:color w:val="000000" w:themeColor="text1"/>
        </w:rPr>
      </w:pPr>
      <w:proofErr w:type="gramStart"/>
      <w:r w:rsidRPr="004236D1">
        <w:rPr>
          <w:rFonts w:ascii="Times New Roman" w:hAnsi="Times New Roman" w:cs="Times New Roman"/>
          <w:bCs/>
          <w:iCs/>
          <w:color w:val="000000" w:themeColor="text1"/>
        </w:rPr>
        <w:t>where</w:t>
      </w:r>
      <w:proofErr w:type="gramEnd"/>
    </w:p>
    <w:p w14:paraId="37CB424A" w14:textId="77777777" w:rsidR="005A0B5F" w:rsidRPr="004236D1" w:rsidRDefault="005A0B5F" w:rsidP="004236D1">
      <w:pPr>
        <w:spacing w:after="0" w:line="360" w:lineRule="auto"/>
        <w:jc w:val="both"/>
        <w:rPr>
          <w:rFonts w:ascii="Times New Roman" w:hAnsi="Times New Roman" w:cs="Times New Roman"/>
          <w:b/>
          <w:bCs/>
          <w:iCs/>
          <w:color w:val="000000" w:themeColor="text1"/>
        </w:rPr>
      </w:pPr>
    </w:p>
    <w:p w14:paraId="0BBAF3B7"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Para>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w:rPr>
              <w:rFonts w:ascii="Cambria Math" w:hAnsi="Cambria Math" w:cs="Times New Roman"/>
              <w:color w:val="000000" w:themeColor="text1"/>
            </w:rPr>
            <m:t xml:space="preserve">~ (0, </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r>
            <w:rPr>
              <w:rFonts w:ascii="Cambria Math" w:hAnsi="Cambria Math" w:cs="Times New Roman"/>
              <w:color w:val="000000" w:themeColor="text1"/>
            </w:rPr>
            <m:t>)</m:t>
          </m:r>
        </m:oMath>
      </m:oMathPara>
    </w:p>
    <w:p w14:paraId="1E247D5D"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w:rPr>
            <w:rFonts w:ascii="Cambria Math" w:hAnsi="Cambria Math" w:cs="Times New Roman"/>
            <w:color w:val="000000" w:themeColor="text1"/>
          </w:rPr>
          <m:t xml:space="preserve"> </m:t>
        </m:r>
      </m:oMath>
      <w:r w:rsidR="005A0B5F" w:rsidRPr="004236D1">
        <w:rPr>
          <w:rFonts w:ascii="Times New Roman" w:hAnsi="Times New Roman" w:cs="Times New Roman"/>
          <w:bCs/>
          <w:iCs/>
          <w:color w:val="000000" w:themeColor="text1"/>
        </w:rPr>
        <w:t xml:space="preserve">respresents the information set available at time </w:t>
      </w:r>
      <w:r w:rsidR="005A0B5F" w:rsidRPr="004236D1">
        <w:rPr>
          <w:rFonts w:ascii="Times New Roman" w:hAnsi="Times New Roman" w:cs="Times New Roman"/>
          <w:bCs/>
          <w:i/>
          <w:iCs/>
          <w:color w:val="000000" w:themeColor="text1"/>
        </w:rPr>
        <w:t>t-1</w:t>
      </w:r>
      <w:r w:rsidR="005A0B5F" w:rsidRPr="004236D1">
        <w:rPr>
          <w:rFonts w:ascii="Times New Roman" w:hAnsi="Times New Roman" w:cs="Times New Roman"/>
          <w:bCs/>
          <w:iCs/>
          <w:color w:val="000000" w:themeColor="text1"/>
        </w:rPr>
        <w:t xml:space="preserve">, and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oMath>
      <w:r w:rsidR="005A0B5F" w:rsidRPr="004236D1">
        <w:rPr>
          <w:rFonts w:ascii="Times New Roman" w:eastAsiaTheme="minorEastAsia" w:hAnsi="Times New Roman" w:cs="Times New Roman"/>
          <w:bCs/>
          <w:iCs/>
          <w:color w:val="000000" w:themeColor="text1"/>
        </w:rPr>
        <w:t xml:space="preserve"> is the </w:t>
      </w:r>
      <w:r w:rsidR="005A0B5F" w:rsidRPr="004236D1">
        <w:rPr>
          <w:rFonts w:ascii="Times New Roman" w:eastAsiaTheme="minorEastAsia" w:hAnsi="Times New Roman" w:cs="Times New Roman"/>
          <w:bCs/>
          <w:i/>
          <w:iCs/>
          <w:color w:val="000000" w:themeColor="text1"/>
        </w:rPr>
        <w:t>N x N</w:t>
      </w:r>
      <w:r w:rsidR="005A0B5F" w:rsidRPr="004236D1">
        <w:rPr>
          <w:rFonts w:ascii="Times New Roman" w:eastAsiaTheme="minorEastAsia" w:hAnsi="Times New Roman" w:cs="Times New Roman"/>
          <w:bCs/>
          <w:iCs/>
          <w:color w:val="000000" w:themeColor="text1"/>
        </w:rPr>
        <w:t xml:space="preserve"> conditional variance-covariance matrix.</w:t>
      </w:r>
    </w:p>
    <w:p w14:paraId="78EA1001"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Thus,</w:t>
      </w:r>
    </w:p>
    <w:p w14:paraId="4674F18C"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m>
              <m:mPr>
                <m:mcs>
                  <m:mc>
                    <m:mcPr>
                      <m:count m:val="3"/>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11,t</m:t>
                      </m:r>
                    </m:sub>
                  </m:sSub>
                </m:e>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q12,t</m:t>
                      </m:r>
                    </m:sub>
                  </m:sSub>
                </m:e>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21,t</m:t>
                      </m:r>
                    </m:sub>
                  </m:sSub>
                </m:e>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22,t</m:t>
                      </m:r>
                    </m:sub>
                  </m:sSub>
                </m:e>
                <m:e>
                  <m:r>
                    <w:rPr>
                      <w:rFonts w:ascii="Cambria Math" w:hAnsi="Cambria Math" w:cs="Times New Roman"/>
                      <w:color w:val="000000" w:themeColor="text1"/>
                    </w:rPr>
                    <m:t>…</m:t>
                  </m:r>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N1,t</m:t>
                            </m:r>
                          </m:sub>
                        </m:sSub>
                      </m:e>
                    </m:mr>
                  </m:m>
                </m:e>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N2, t</m:t>
                            </m:r>
                          </m:sub>
                        </m:sSub>
                      </m:e>
                    </m:mr>
                  </m:m>
                </m:e>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r>
                          <w:rPr>
                            <w:rFonts w:ascii="Cambria Math" w:hAnsi="Cambria Math" w:cs="Times New Roman"/>
                            <w:color w:val="000000" w:themeColor="text1"/>
                          </w:rPr>
                          <m:t>…</m:t>
                        </m:r>
                      </m:e>
                    </m:mr>
                  </m:m>
                </m:e>
              </m:mr>
            </m:m>
            <m:m>
              <m:mPr>
                <m:mcs>
                  <m:mc>
                    <m:mcPr>
                      <m:count m:val="1"/>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1N,t</m:t>
                      </m:r>
                    </m:sub>
                  </m:sSub>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2N,t</m:t>
                      </m:r>
                    </m:sub>
                  </m:sSub>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NN,t</m:t>
                            </m:r>
                          </m:sub>
                        </m:sSub>
                      </m:e>
                    </m:mr>
                  </m:m>
                </m:e>
              </m:mr>
            </m:m>
          </m:e>
        </m:d>
      </m:oMath>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5A0B5F" w:rsidRPr="004236D1">
        <w:rPr>
          <w:rFonts w:ascii="Times New Roman" w:eastAsiaTheme="minorEastAsia" w:hAnsi="Times New Roman" w:cs="Times New Roman"/>
          <w:bCs/>
          <w:iCs/>
          <w:color w:val="000000" w:themeColor="text1"/>
        </w:rPr>
        <w:t xml:space="preserve"> </w:t>
      </w:r>
      <w:r w:rsidR="001506C6" w:rsidRPr="004236D1">
        <w:rPr>
          <w:rFonts w:ascii="Times New Roman" w:eastAsiaTheme="minorEastAsia" w:hAnsi="Times New Roman" w:cs="Times New Roman"/>
          <w:bCs/>
          <w:iCs/>
          <w:color w:val="000000" w:themeColor="text1"/>
        </w:rPr>
        <w:t>(5</w:t>
      </w:r>
      <w:r w:rsidR="005A0B5F" w:rsidRPr="004236D1">
        <w:rPr>
          <w:rFonts w:ascii="Times New Roman" w:eastAsiaTheme="minorEastAsia" w:hAnsi="Times New Roman" w:cs="Times New Roman"/>
          <w:bCs/>
          <w:iCs/>
          <w:color w:val="000000" w:themeColor="text1"/>
        </w:rPr>
        <w:t>)</w:t>
      </w:r>
    </w:p>
    <w:p w14:paraId="0F635304" w14:textId="77777777" w:rsidR="005A0B5F" w:rsidRPr="004236D1" w:rsidRDefault="005A0B5F" w:rsidP="004236D1">
      <w:pPr>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 xml:space="preserve">Because </w:t>
      </w:r>
    </w:p>
    <w:p w14:paraId="70747B0B"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ij,t</m:t>
            </m:r>
          </m:sub>
        </m:sSub>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ji,t</m:t>
            </m:r>
          </m:sub>
        </m:sSub>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(6</w:t>
      </w:r>
      <w:r w:rsidR="005A0B5F" w:rsidRPr="004236D1">
        <w:rPr>
          <w:rFonts w:ascii="Times New Roman" w:eastAsiaTheme="minorEastAsia" w:hAnsi="Times New Roman" w:cs="Times New Roman"/>
          <w:bCs/>
          <w:iCs/>
          <w:color w:val="000000" w:themeColor="text1"/>
        </w:rPr>
        <w:t>)</w:t>
      </w:r>
    </w:p>
    <w:p w14:paraId="3FA156D9"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bCs/>
          <w:iCs/>
          <w:color w:val="000000" w:themeColor="text1"/>
        </w:rPr>
        <w:t xml:space="preserve">The matrix is symmetric. The diagonal elements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ii,t</m:t>
            </m:r>
          </m:sub>
        </m:sSub>
      </m:oMath>
      <w:r w:rsidRPr="004236D1">
        <w:rPr>
          <w:rFonts w:ascii="Times New Roman" w:eastAsiaTheme="minorEastAsia" w:hAnsi="Times New Roman" w:cs="Times New Roman"/>
          <w:bCs/>
          <w:iCs/>
          <w:color w:val="000000" w:themeColor="text1"/>
        </w:rPr>
        <w:t xml:space="preserve"> represent the conditional variances of the individual return series, while the off-diagonal elements </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ij,t</m:t>
            </m:r>
          </m:sub>
        </m:sSub>
      </m:oMath>
      <w:r w:rsidRPr="004236D1">
        <w:rPr>
          <w:rFonts w:ascii="Times New Roman" w:eastAsiaTheme="minorEastAsia" w:hAnsi="Times New Roman" w:cs="Times New Roman"/>
          <w:bCs/>
          <w:iCs/>
          <w:color w:val="000000" w:themeColor="text1"/>
        </w:rPr>
        <w:t xml:space="preserve"> represent the conditional covariances between return series i and j.</w:t>
      </w:r>
    </w:p>
    <w:p w14:paraId="2B8D946E"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Thus,</w:t>
      </w:r>
    </w:p>
    <w:p w14:paraId="71841261"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ii,t</m:t>
            </m:r>
          </m:sub>
        </m:sSub>
        <m:r>
          <m:rPr>
            <m:sty m:val="p"/>
          </m:rPr>
          <w:rPr>
            <w:rFonts w:ascii="Cambria Math" w:eastAsiaTheme="minorEastAsia" w:hAnsi="Cambria Math" w:cs="Times New Roman"/>
            <w:color w:val="000000" w:themeColor="text1"/>
          </w:rPr>
          <m:t>=E</m:t>
        </m:r>
      </m:oMath>
      <w:r w:rsidR="005A0B5F" w:rsidRPr="004236D1">
        <w:rPr>
          <w:rFonts w:ascii="Times New Roman" w:eastAsiaTheme="minorEastAsia" w:hAnsi="Times New Roman" w:cs="Times New Roman"/>
          <w:bCs/>
          <w:iCs/>
          <w:color w:val="000000" w:themeColor="text1"/>
        </w:rPr>
        <w:t>(</w:t>
      </w:r>
      <m:oMath>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it</m:t>
            </m:r>
          </m:sub>
          <m:sup>
            <m:r>
              <w:rPr>
                <w:rFonts w:ascii="Cambria Math" w:eastAsiaTheme="minorEastAsia" w:hAnsi="Cambria Math" w:cs="Times New Roman"/>
                <w:color w:val="000000" w:themeColor="text1"/>
              </w:rPr>
              <m:t>2</m:t>
            </m:r>
          </m:sup>
        </m:sSubSup>
        <m: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1506C6" w:rsidRPr="004236D1">
        <w:rPr>
          <w:rFonts w:ascii="Times New Roman" w:eastAsiaTheme="minorEastAsia" w:hAnsi="Times New Roman" w:cs="Times New Roman"/>
          <w:color w:val="000000" w:themeColor="text1"/>
        </w:rPr>
        <w:tab/>
      </w:r>
      <w:r w:rsidR="0094428C" w:rsidRPr="004236D1">
        <w:rPr>
          <w:rFonts w:ascii="Times New Roman" w:eastAsiaTheme="minorEastAsia" w:hAnsi="Times New Roman" w:cs="Times New Roman"/>
          <w:color w:val="000000" w:themeColor="text1"/>
        </w:rPr>
        <w:tab/>
      </w:r>
      <w:r w:rsidR="0094428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(7</w:t>
      </w:r>
      <w:r w:rsidR="005A0B5F" w:rsidRPr="004236D1">
        <w:rPr>
          <w:rFonts w:ascii="Times New Roman" w:eastAsiaTheme="minorEastAsia" w:hAnsi="Times New Roman" w:cs="Times New Roman"/>
          <w:color w:val="000000" w:themeColor="text1"/>
        </w:rPr>
        <w:t>)</w:t>
      </w:r>
    </w:p>
    <w:p w14:paraId="72C20BF2"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and</w:t>
      </w:r>
    </w:p>
    <w:p w14:paraId="195134BC" w14:textId="77777777" w:rsidR="005A0B5F" w:rsidRPr="004236D1" w:rsidRDefault="00000000" w:rsidP="004236D1">
      <w:pPr>
        <w:spacing w:after="0" w:line="360" w:lineRule="auto"/>
        <w:jc w:val="both"/>
        <w:rPr>
          <w:rFonts w:ascii="Times New Roman" w:eastAsiaTheme="minorEastAsia" w:hAnsi="Times New Roman" w:cs="Times New Roman"/>
          <w:b/>
          <w:color w:val="000000" w:themeColor="text1"/>
        </w:rPr>
      </w:pP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ii,t</m:t>
            </m:r>
          </m:sub>
        </m:sSub>
        <m:r>
          <m:rPr>
            <m:sty m:val="p"/>
          </m:rPr>
          <w:rPr>
            <w:rFonts w:ascii="Cambria Math" w:eastAsiaTheme="minorEastAsia" w:hAnsi="Cambria Math" w:cs="Times New Roman"/>
            <w:color w:val="000000" w:themeColor="text1"/>
          </w:rPr>
          <m:t>=E</m:t>
        </m:r>
      </m:oMath>
      <w:r w:rsidR="005A0B5F" w:rsidRPr="004236D1">
        <w:rPr>
          <w:rFonts w:ascii="Times New Roman" w:eastAsiaTheme="minorEastAsia" w:hAnsi="Times New Roman" w:cs="Times New Roman"/>
          <w:bCs/>
          <w:iCs/>
          <w:color w:val="000000" w:themeColor="text1"/>
        </w:rPr>
        <w:t>(</w:t>
      </w:r>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it</m:t>
            </m:r>
          </m:sub>
        </m:sSub>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jt</m:t>
            </m:r>
          </m:sub>
        </m:sSub>
        <m:r>
          <m:rPr>
            <m:sty m:val="bi"/>
          </m:rPr>
          <w:rPr>
            <w:rFonts w:ascii="Cambria Math" w:hAnsi="Cambria Math" w:cs="Times New Roman"/>
            <w:color w:val="000000" w:themeColor="text1"/>
          </w:rPr>
          <m:t>|</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t-1</m:t>
            </m:r>
          </m:sub>
        </m:sSub>
        <m:r>
          <m:rPr>
            <m:sty m:val="bi"/>
          </m:rPr>
          <w:rPr>
            <w:rFonts w:ascii="Cambria Math" w:hAnsi="Cambria Math" w:cs="Times New Roman"/>
            <w:color w:val="000000" w:themeColor="text1"/>
          </w:rPr>
          <m:t>)</m:t>
        </m:r>
      </m:oMath>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5A0B5F" w:rsidRPr="004236D1">
        <w:rPr>
          <w:rFonts w:ascii="Times New Roman" w:eastAsiaTheme="minorEastAsia" w:hAnsi="Times New Roman" w:cs="Times New Roman"/>
          <w:b/>
          <w:color w:val="000000" w:themeColor="text1"/>
        </w:rPr>
        <w:tab/>
      </w:r>
      <w:r w:rsidR="0094428C" w:rsidRPr="004236D1">
        <w:rPr>
          <w:rFonts w:ascii="Times New Roman" w:eastAsiaTheme="minorEastAsia" w:hAnsi="Times New Roman" w:cs="Times New Roman"/>
          <w:b/>
          <w:color w:val="000000" w:themeColor="text1"/>
        </w:rPr>
        <w:tab/>
      </w:r>
      <w:r w:rsidR="0094428C" w:rsidRPr="004236D1">
        <w:rPr>
          <w:rFonts w:ascii="Times New Roman" w:eastAsiaTheme="minorEastAsia" w:hAnsi="Times New Roman" w:cs="Times New Roman"/>
          <w:b/>
          <w:color w:val="000000" w:themeColor="text1"/>
        </w:rPr>
        <w:tab/>
      </w:r>
      <w:r w:rsidR="001506C6" w:rsidRPr="004236D1">
        <w:rPr>
          <w:rFonts w:ascii="Times New Roman" w:eastAsiaTheme="minorEastAsia" w:hAnsi="Times New Roman" w:cs="Times New Roman"/>
          <w:color w:val="000000" w:themeColor="text1"/>
        </w:rPr>
        <w:t>(8</w:t>
      </w:r>
      <w:r w:rsidR="005A0B5F" w:rsidRPr="004236D1">
        <w:rPr>
          <w:rFonts w:ascii="Times New Roman" w:eastAsiaTheme="minorEastAsia" w:hAnsi="Times New Roman" w:cs="Times New Roman"/>
          <w:color w:val="000000" w:themeColor="text1"/>
        </w:rPr>
        <w:t>)</w:t>
      </w:r>
      <w:r w:rsidR="005A0B5F" w:rsidRPr="004236D1">
        <w:rPr>
          <w:rFonts w:ascii="Times New Roman" w:eastAsiaTheme="minorEastAsia" w:hAnsi="Times New Roman" w:cs="Times New Roman"/>
          <w:color w:val="000000" w:themeColor="text1"/>
        </w:rPr>
        <w:tab/>
      </w:r>
    </w:p>
    <w:p w14:paraId="5B60C079"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The outer product of the innovation vector is</w:t>
      </w:r>
    </w:p>
    <w:p w14:paraId="29C4DA4B"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eastAsiaTheme="minorEastAsia" w:hAnsi="Times New Roman" w:cs="Times New Roman"/>
          <w:b/>
          <w:color w:val="000000" w:themeColor="text1"/>
        </w:rPr>
        <w:tab/>
      </w:r>
      <m:oMath>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m:t>
            </m:r>
          </m:sub>
          <m:sup>
            <m:r>
              <w:rPr>
                <w:rFonts w:ascii="Cambria Math" w:eastAsiaTheme="minorEastAsia" w:hAnsi="Cambria Math" w:cs="Times New Roman"/>
                <w:color w:val="000000" w:themeColor="text1"/>
              </w:rPr>
              <m:t>'</m:t>
            </m:r>
          </m:sup>
        </m:sSubSup>
        <m:r>
          <w:rPr>
            <w:rFonts w:ascii="Cambria Math" w:eastAsiaTheme="minorEastAsia" w:hAnsi="Cambria Math" w:cs="Times New Roman"/>
            <w:color w:val="000000" w:themeColor="text1"/>
          </w:rPr>
          <m:t>=</m:t>
        </m:r>
        <m:d>
          <m:dPr>
            <m:ctrlPr>
              <w:rPr>
                <w:rFonts w:ascii="Cambria Math" w:eastAsiaTheme="minorEastAsia" w:hAnsi="Cambria Math" w:cs="Times New Roman"/>
                <w:bCs/>
                <w:i/>
                <w:iCs/>
                <w:color w:val="000000" w:themeColor="text1"/>
              </w:rPr>
            </m:ctrlPr>
          </m:dPr>
          <m:e>
            <m:m>
              <m:mPr>
                <m:mcs>
                  <m:mc>
                    <m:mcPr>
                      <m:count m:val="3"/>
                      <m:mcJc m:val="center"/>
                    </m:mcPr>
                  </m:mc>
                </m:mcs>
                <m:ctrlPr>
                  <w:rPr>
                    <w:rFonts w:ascii="Cambria Math" w:eastAsiaTheme="minorEastAsia" w:hAnsi="Cambria Math" w:cs="Times New Roman"/>
                    <w:bCs/>
                    <w:i/>
                    <w:iCs/>
                    <w:color w:val="000000" w:themeColor="text1"/>
                  </w:rPr>
                </m:ctrlPr>
              </m:mPr>
              <m:mr>
                <m:e>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up>
                      <m:r>
                        <w:rPr>
                          <w:rFonts w:ascii="Cambria Math" w:eastAsiaTheme="minorEastAsia" w:hAnsi="Cambria Math" w:cs="Times New Roman"/>
                          <w:color w:val="000000" w:themeColor="text1"/>
                        </w:rPr>
                        <m:t>2</m:t>
                      </m:r>
                    </m:sup>
                  </m:sSubSup>
                </m:e>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e>
                <m:e>
                  <m:m>
                    <m:mPr>
                      <m:mcs>
                        <m:mc>
                          <m:mcPr>
                            <m:count m:val="2"/>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e>
                    </m:mr>
                  </m:m>
                </m:e>
              </m:mr>
              <m:m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e>
                <m:e>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up>
                      <m:r>
                        <w:rPr>
                          <w:rFonts w:ascii="Cambria Math" w:eastAsiaTheme="minorEastAsia" w:hAnsi="Cambria Math" w:cs="Times New Roman"/>
                          <w:color w:val="000000" w:themeColor="text1"/>
                        </w:rPr>
                        <m:t>2</m:t>
                      </m:r>
                    </m:sup>
                  </m:sSubSup>
                </m:e>
                <m:e>
                  <m:m>
                    <m:mPr>
                      <m:mcs>
                        <m:mc>
                          <m:mcPr>
                            <m:count m:val="2"/>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e>
                    </m:mr>
                  </m:m>
                </m:e>
              </m:mr>
              <m:mr>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1t</m:t>
                            </m:r>
                          </m:sub>
                        </m:sSub>
                      </m:e>
                    </m:mr>
                  </m:m>
                </m:e>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Sub>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2t</m:t>
                            </m:r>
                          </m:sub>
                        </m:sSub>
                      </m:e>
                    </m:mr>
                  </m:m>
                </m:e>
                <m:e>
                  <m:m>
                    <m:mPr>
                      <m:mcs>
                        <m:mc>
                          <m:mcPr>
                            <m:count m:val="2"/>
                            <m:mcJc m:val="center"/>
                          </m:mcPr>
                        </m:mc>
                      </m:mcs>
                      <m:ctrlPr>
                        <w:rPr>
                          <w:rFonts w:ascii="Cambria Math" w:eastAsiaTheme="minorEastAsia" w:hAnsi="Cambria Math" w:cs="Times New Roman"/>
                          <w:bCs/>
                          <w:i/>
                          <w:iCs/>
                          <w:color w:val="000000" w:themeColor="text1"/>
                        </w:rPr>
                      </m:ctrlPr>
                    </m:mPr>
                    <m:mr>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r>
                                <w:rPr>
                                  <w:rFonts w:ascii="Cambria Math" w:hAnsi="Cambria Math" w:cs="Times New Roman"/>
                                  <w:color w:val="000000" w:themeColor="text1"/>
                                </w:rPr>
                                <m:t>…</m:t>
                              </m:r>
                            </m:e>
                          </m:mr>
                        </m:m>
                      </m:e>
                      <m:e>
                        <m:m>
                          <m:mPr>
                            <m:mcs>
                              <m:mc>
                                <m:mcPr>
                                  <m:count m:val="1"/>
                                  <m:mcJc m:val="center"/>
                                </m:mcPr>
                              </m:mc>
                            </m:mcs>
                            <m:ctrlPr>
                              <w:rPr>
                                <w:rFonts w:ascii="Cambria Math" w:eastAsiaTheme="minorEastAsia" w:hAnsi="Cambria Math" w:cs="Times New Roman"/>
                                <w:bCs/>
                                <w:i/>
                                <w:iCs/>
                                <w:color w:val="000000" w:themeColor="text1"/>
                              </w:rPr>
                            </m:ctrlPr>
                          </m:mPr>
                          <m:mr>
                            <m:e>
                              <m:r>
                                <w:rPr>
                                  <w:rFonts w:ascii="Cambria Math" w:hAnsi="Cambria Math" w:cs="Times New Roman"/>
                                  <w:color w:val="000000" w:themeColor="text1"/>
                                </w:rPr>
                                <m:t>⋮</m:t>
                              </m:r>
                            </m:e>
                          </m:mr>
                          <m:mr>
                            <m:e>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Nt</m:t>
                                  </m:r>
                                </m:sub>
                                <m:sup>
                                  <m:r>
                                    <w:rPr>
                                      <w:rFonts w:ascii="Cambria Math" w:eastAsiaTheme="minorEastAsia" w:hAnsi="Cambria Math" w:cs="Times New Roman"/>
                                      <w:color w:val="000000" w:themeColor="text1"/>
                                    </w:rPr>
                                    <m:t>2</m:t>
                                  </m:r>
                                </m:sup>
                              </m:sSubSup>
                            </m:e>
                          </m:mr>
                        </m:m>
                      </m:e>
                    </m:mr>
                  </m:m>
                </m:e>
              </m:mr>
            </m:m>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94428C"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(9</w:t>
      </w:r>
      <w:r w:rsidRPr="004236D1">
        <w:rPr>
          <w:rFonts w:ascii="Times New Roman" w:eastAsiaTheme="minorEastAsia" w:hAnsi="Times New Roman" w:cs="Times New Roman"/>
          <w:bCs/>
          <w:iCs/>
          <w:color w:val="000000" w:themeColor="text1"/>
        </w:rPr>
        <w:t>)</w:t>
      </w:r>
    </w:p>
    <w:p w14:paraId="7FF73E24" w14:textId="77777777" w:rsidR="0035601A"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This matrix contains the squared innovations and cross-products of innovations that enter the VECH model.</w:t>
      </w:r>
    </w:p>
    <w:p w14:paraId="4B17F58C"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eastAsiaTheme="minorEastAsia" w:hAnsi="Times New Roman" w:cs="Times New Roman"/>
          <w:b/>
          <w:bCs/>
          <w:iCs/>
          <w:color w:val="000000" w:themeColor="text1"/>
        </w:rPr>
        <w:t>VECH Transformation</w:t>
      </w:r>
    </w:p>
    <w:p w14:paraId="7133C91C"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Because the conditional variance-covariance matrix is symmetric, only its unique elements need to be estimated. The </w:t>
      </w:r>
      <w:proofErr w:type="spellStart"/>
      <w:r w:rsidRPr="004236D1">
        <w:rPr>
          <w:rStyle w:val="Strong"/>
          <w:rFonts w:ascii="Times New Roman" w:eastAsiaTheme="majorEastAsia" w:hAnsi="Times New Roman" w:cs="Times New Roman"/>
        </w:rPr>
        <w:t>vech</w:t>
      </w:r>
      <w:proofErr w:type="spellEnd"/>
      <w:r w:rsidRPr="004236D1">
        <w:rPr>
          <w:rStyle w:val="Strong"/>
          <w:rFonts w:ascii="Times New Roman" w:eastAsiaTheme="majorEastAsia" w:hAnsi="Times New Roman" w:cs="Times New Roman"/>
        </w:rPr>
        <w:t xml:space="preserve"> operator</w:t>
      </w:r>
      <w:r w:rsidRPr="004236D1">
        <w:rPr>
          <w:rFonts w:ascii="Times New Roman" w:hAnsi="Times New Roman" w:cs="Times New Roman"/>
        </w:rPr>
        <w:t xml:space="preserve">, denoted by </w:t>
      </w:r>
      <w:proofErr w:type="spellStart"/>
      <w:proofErr w:type="gramStart"/>
      <w:r w:rsidRPr="004236D1">
        <w:rPr>
          <w:rStyle w:val="mord"/>
          <w:rFonts w:ascii="Times New Roman" w:eastAsiaTheme="majorEastAsia" w:hAnsi="Times New Roman" w:cs="Times New Roman"/>
        </w:rPr>
        <w:t>vech</w:t>
      </w:r>
      <w:proofErr w:type="spellEnd"/>
      <w:r w:rsidRPr="004236D1">
        <w:rPr>
          <w:rStyle w:val="mopen"/>
          <w:rFonts w:ascii="Times New Roman" w:eastAsiaTheme="majorEastAsia" w:hAnsi="Times New Roman" w:cs="Times New Roman"/>
        </w:rPr>
        <w:t>(</w:t>
      </w:r>
      <w:proofErr w:type="gramEnd"/>
      <w:r w:rsidRPr="004236D1">
        <w:rPr>
          <w:rStyle w:val="mord"/>
          <w:rFonts w:ascii="Cambria Math" w:eastAsiaTheme="majorEastAsia" w:hAnsi="Cambria Math" w:cs="Cambria Math"/>
        </w:rPr>
        <w:t>⋅</w:t>
      </w:r>
      <w:r w:rsidRPr="004236D1">
        <w:rPr>
          <w:rStyle w:val="mclose"/>
          <w:rFonts w:ascii="Times New Roman" w:hAnsi="Times New Roman" w:cs="Times New Roman"/>
        </w:rPr>
        <w:t>)</w:t>
      </w:r>
      <w:r w:rsidRPr="004236D1">
        <w:rPr>
          <w:rFonts w:ascii="Times New Roman" w:hAnsi="Times New Roman" w:cs="Times New Roman"/>
        </w:rPr>
        <w:t xml:space="preserve">, stacks the lower triangular elements of a symmetric matrix into a column vector. For instance, for a three-variable system, the vectorization is </w:t>
      </w:r>
    </w:p>
    <w:p w14:paraId="6AB71B6C" w14:textId="77777777" w:rsidR="005A0B5F" w:rsidRPr="004236D1" w:rsidRDefault="005A0B5F" w:rsidP="004236D1">
      <w:pPr>
        <w:spacing w:after="0" w:line="360" w:lineRule="auto"/>
        <w:ind w:left="360"/>
        <w:jc w:val="both"/>
        <w:rPr>
          <w:rFonts w:ascii="Times New Roman" w:hAnsi="Times New Roman" w:cs="Times New Roman"/>
        </w:rPr>
      </w:pPr>
    </w:p>
    <w:p w14:paraId="0DA3FFF0" w14:textId="77777777" w:rsidR="005A0B5F" w:rsidRPr="004236D1" w:rsidRDefault="005A0B5F" w:rsidP="004236D1">
      <w:pPr>
        <w:spacing w:after="0" w:line="360" w:lineRule="auto"/>
        <w:ind w:left="360"/>
        <w:jc w:val="both"/>
        <w:rPr>
          <w:rFonts w:ascii="Times New Roman" w:eastAsiaTheme="minorEastAsia" w:hAnsi="Times New Roman" w:cs="Times New Roman"/>
          <w:bCs/>
          <w:iCs/>
          <w:color w:val="000000" w:themeColor="text1"/>
        </w:rPr>
      </w:pPr>
      <w:proofErr w:type="spellStart"/>
      <w:r w:rsidRPr="004236D1">
        <w:rPr>
          <w:rFonts w:ascii="Times New Roman" w:hAnsi="Times New Roman" w:cs="Times New Roman"/>
        </w:rPr>
        <w:lastRenderedPageBreak/>
        <w:t>Vech</w:t>
      </w:r>
      <w:proofErr w:type="spellEnd"/>
      <w:r w:rsidRPr="004236D1">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oMath>
      <w:r w:rsidRPr="004236D1">
        <w:rPr>
          <w:rFonts w:ascii="Times New Roman" w:hAnsi="Times New Roman" w:cs="Times New Roman"/>
        </w:rPr>
        <w:t xml:space="preserve">)  </w:t>
      </w:r>
      <m:oMath>
        <m:r>
          <w:rPr>
            <w:rFonts w:ascii="Cambria Math" w:hAnsi="Cambria Math" w:cs="Times New Roman"/>
          </w:rPr>
          <m:t xml:space="preserve">= </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(10</w:t>
      </w:r>
      <w:r w:rsidRPr="004236D1">
        <w:rPr>
          <w:rFonts w:ascii="Times New Roman" w:eastAsiaTheme="minorEastAsia" w:hAnsi="Times New Roman" w:cs="Times New Roman"/>
        </w:rPr>
        <w:t>)</w:t>
      </w:r>
    </w:p>
    <w:p w14:paraId="679E5DC5" w14:textId="77777777" w:rsidR="005A0B5F" w:rsidRPr="004236D1" w:rsidRDefault="005A0B5F" w:rsidP="004236D1">
      <w:pPr>
        <w:spacing w:after="0" w:line="360" w:lineRule="auto"/>
        <w:ind w:left="360"/>
        <w:jc w:val="both"/>
        <w:rPr>
          <w:rFonts w:ascii="Times New Roman" w:hAnsi="Times New Roman" w:cs="Times New Roman"/>
        </w:rPr>
      </w:pPr>
      <w:r w:rsidRPr="004236D1">
        <w:rPr>
          <w:rFonts w:ascii="Times New Roman" w:hAnsi="Times New Roman" w:cs="Times New Roman"/>
        </w:rPr>
        <w:t xml:space="preserve">Generally, for </w:t>
      </w:r>
      <w:r w:rsidRPr="004236D1">
        <w:rPr>
          <w:rStyle w:val="mord"/>
          <w:rFonts w:ascii="Times New Roman" w:hAnsi="Times New Roman" w:cs="Times New Roman"/>
        </w:rPr>
        <w:t>N</w:t>
      </w:r>
      <w:r w:rsidRPr="004236D1">
        <w:rPr>
          <w:rFonts w:ascii="Times New Roman" w:hAnsi="Times New Roman" w:cs="Times New Roman"/>
        </w:rPr>
        <w:t xml:space="preserve"> variables, the number of unique elements in the conditional variance-covariance matrix is</w:t>
      </w:r>
    </w:p>
    <w:p w14:paraId="418048A0" w14:textId="77777777" w:rsidR="0035601A" w:rsidRPr="004236D1" w:rsidRDefault="005A0B5F" w:rsidP="004236D1">
      <w:pPr>
        <w:spacing w:after="0" w:line="360" w:lineRule="auto"/>
        <w:ind w:left="360"/>
        <w:jc w:val="both"/>
        <w:rPr>
          <w:rFonts w:ascii="Times New Roman" w:eastAsiaTheme="minorEastAsia" w:hAnsi="Times New Roman" w:cs="Times New Roman"/>
          <w:bCs/>
          <w:iCs/>
          <w:color w:val="000000" w:themeColor="text1"/>
        </w:rPr>
      </w:pPr>
      <w:r w:rsidRPr="004236D1">
        <w:rPr>
          <w:rFonts w:ascii="Times New Roman" w:eastAsiaTheme="minorEastAsia" w:hAnsi="Times New Roman" w:cs="Times New Roman"/>
          <w:bCs/>
          <w:iCs/>
          <w:color w:val="000000" w:themeColor="text1"/>
        </w:rPr>
        <w:t xml:space="preserve">M= </w:t>
      </w:r>
      <m:oMath>
        <m:f>
          <m:fPr>
            <m:ctrlPr>
              <w:rPr>
                <w:rFonts w:ascii="Cambria Math" w:eastAsiaTheme="minorEastAsia" w:hAnsi="Cambria Math" w:cs="Times New Roman"/>
                <w:bCs/>
                <w:i/>
                <w:iCs/>
                <w:color w:val="000000" w:themeColor="text1"/>
              </w:rPr>
            </m:ctrlPr>
          </m:fPr>
          <m:num>
            <m:r>
              <w:rPr>
                <w:rFonts w:ascii="Cambria Math" w:eastAsiaTheme="minorEastAsia" w:hAnsi="Cambria Math" w:cs="Times New Roman"/>
                <w:color w:val="000000" w:themeColor="text1"/>
              </w:rPr>
              <m:t>N</m:t>
            </m:r>
            <m:d>
              <m:dPr>
                <m:ctrlPr>
                  <w:rPr>
                    <w:rFonts w:ascii="Cambria Math" w:eastAsiaTheme="minorEastAsia" w:hAnsi="Cambria Math" w:cs="Times New Roman"/>
                    <w:i/>
                    <w:color w:val="000000" w:themeColor="text1"/>
                  </w:rPr>
                </m:ctrlPr>
              </m:dPr>
              <m:e>
                <m:r>
                  <w:rPr>
                    <w:rFonts w:ascii="Cambria Math" w:eastAsiaTheme="minorEastAsia" w:hAnsi="Cambria Math" w:cs="Times New Roman"/>
                    <w:color w:val="000000" w:themeColor="text1"/>
                  </w:rPr>
                  <m:t>N+1</m:t>
                </m:r>
              </m:e>
            </m:d>
          </m:num>
          <m:den>
            <m:r>
              <w:rPr>
                <w:rFonts w:ascii="Cambria Math" w:eastAsiaTheme="minorEastAsia" w:hAnsi="Cambria Math" w:cs="Times New Roman"/>
                <w:color w:val="000000" w:themeColor="text1"/>
              </w:rPr>
              <m:t>2</m:t>
            </m:r>
          </m:den>
        </m:f>
      </m:oMath>
    </w:p>
    <w:p w14:paraId="716EF7D7"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b/>
        </w:rPr>
        <w:t>General VECH-GARCH</w:t>
      </w:r>
      <w:r w:rsidRPr="004236D1">
        <w:rPr>
          <w:rStyle w:val="mopen"/>
          <w:rFonts w:ascii="Times New Roman" w:hAnsi="Times New Roman" w:cs="Times New Roman"/>
          <w:b/>
        </w:rPr>
        <w:t>(</w:t>
      </w:r>
      <w:proofErr w:type="spellStart"/>
      <w:proofErr w:type="gramStart"/>
      <w:r w:rsidRPr="004236D1">
        <w:rPr>
          <w:rStyle w:val="mord"/>
          <w:rFonts w:ascii="Times New Roman" w:hAnsi="Times New Roman" w:cs="Times New Roman"/>
          <w:b/>
        </w:rPr>
        <w:t>p</w:t>
      </w:r>
      <w:r w:rsidRPr="004236D1">
        <w:rPr>
          <w:rStyle w:val="mpunct"/>
          <w:rFonts w:ascii="Times New Roman" w:hAnsi="Times New Roman" w:cs="Times New Roman"/>
          <w:b/>
        </w:rPr>
        <w:t>,</w:t>
      </w:r>
      <w:r w:rsidRPr="004236D1">
        <w:rPr>
          <w:rStyle w:val="mord"/>
          <w:rFonts w:ascii="Times New Roman" w:hAnsi="Times New Roman" w:cs="Times New Roman"/>
          <w:b/>
        </w:rPr>
        <w:t>q</w:t>
      </w:r>
      <w:proofErr w:type="spellEnd"/>
      <w:proofErr w:type="gramEnd"/>
      <w:r w:rsidRPr="004236D1">
        <w:rPr>
          <w:rStyle w:val="mclose"/>
          <w:rFonts w:ascii="Times New Roman" w:hAnsi="Times New Roman" w:cs="Times New Roman"/>
          <w:b/>
        </w:rPr>
        <w:t>)</w:t>
      </w:r>
      <w:r w:rsidRPr="004236D1">
        <w:rPr>
          <w:rFonts w:ascii="Times New Roman" w:hAnsi="Times New Roman" w:cs="Times New Roman"/>
          <w:b/>
        </w:rPr>
        <w:t xml:space="preserve"> Model</w:t>
      </w:r>
    </w:p>
    <w:p w14:paraId="4926EB84" w14:textId="77777777" w:rsidR="005A0B5F" w:rsidRPr="004236D1" w:rsidRDefault="005A0B5F" w:rsidP="004236D1">
      <w:pPr>
        <w:pStyle w:val="NormalWeb"/>
        <w:spacing w:line="360" w:lineRule="auto"/>
        <w:jc w:val="both"/>
      </w:pPr>
      <w:r w:rsidRPr="004236D1">
        <w:t>The general VECH-GARCH model can be expressed as</w:t>
      </w:r>
    </w:p>
    <w:p w14:paraId="7525FCE5" w14:textId="77777777" w:rsidR="005A0B5F" w:rsidRPr="004236D1" w:rsidRDefault="005A0B5F" w:rsidP="004236D1">
      <w:pPr>
        <w:spacing w:after="0" w:line="360" w:lineRule="auto"/>
        <w:jc w:val="both"/>
        <w:rPr>
          <w:rFonts w:ascii="Times New Roman" w:hAnsi="Times New Roman" w:cs="Times New Roman"/>
          <w:bCs/>
          <w:iCs/>
          <w:color w:val="000000" w:themeColor="text1"/>
        </w:rPr>
      </w:pPr>
      <m:oMath>
        <m:r>
          <w:rPr>
            <w:rFonts w:ascii="Cambria Math" w:hAnsi="Cambria Math" w:cs="Times New Roman"/>
            <w:color w:val="000000" w:themeColor="text1"/>
          </w:rPr>
          <m:t>vech</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m:t>
                </m:r>
              </m:sub>
            </m:sSub>
          </m:e>
        </m:d>
        <m:r>
          <w:rPr>
            <w:rFonts w:ascii="Cambria Math" w:hAnsi="Cambria Math" w:cs="Times New Roman"/>
            <w:color w:val="000000" w:themeColor="text1"/>
          </w:rPr>
          <m:t>=C+</m:t>
        </m:r>
        <m:nary>
          <m:naryPr>
            <m:chr m:val="∑"/>
            <m:limLoc m:val="undOvr"/>
            <m:ctrlPr>
              <w:rPr>
                <w:rFonts w:ascii="Cambria Math" w:hAnsi="Cambria Math" w:cs="Times New Roman"/>
                <w:bCs/>
                <w:i/>
                <w:iCs/>
                <w:color w:val="000000" w:themeColor="text1"/>
              </w:rPr>
            </m:ctrlPr>
          </m:naryPr>
          <m:sub>
            <m:r>
              <w:rPr>
                <w:rFonts w:ascii="Cambria Math" w:hAnsi="Cambria Math" w:cs="Times New Roman"/>
                <w:color w:val="000000" w:themeColor="text1"/>
              </w:rPr>
              <m:t>i=1</m:t>
            </m:r>
          </m:sub>
          <m:sup>
            <m:r>
              <w:rPr>
                <w:rFonts w:ascii="Cambria Math" w:hAnsi="Cambria Math" w:cs="Times New Roman"/>
                <w:color w:val="000000" w:themeColor="text1"/>
              </w:rPr>
              <m:t>q</m:t>
            </m:r>
          </m:sup>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m:t>
                </m:r>
              </m:sub>
            </m:sSub>
          </m:e>
        </m:nary>
        <m:r>
          <w:rPr>
            <w:rFonts w:ascii="Cambria Math" w:hAnsi="Cambria Math" w:cs="Times New Roman"/>
            <w:color w:val="000000" w:themeColor="text1"/>
          </w:rPr>
          <m:t>vech</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t-i</m:t>
                </m:r>
              </m:sub>
            </m:sSub>
            <m:sSubSup>
              <m:sSubSupPr>
                <m:ctrlPr>
                  <w:rPr>
                    <w:rFonts w:ascii="Cambria Math" w:hAnsi="Cambria Math" w:cs="Times New Roman"/>
                    <w:bCs/>
                    <w:i/>
                    <w:iCs/>
                    <w:color w:val="000000" w:themeColor="text1"/>
                  </w:rPr>
                </m:ctrlPr>
              </m:sSubSupPr>
              <m:e>
                <m:r>
                  <w:rPr>
                    <w:rFonts w:ascii="Cambria Math" w:hAnsi="Cambria Math" w:cs="Times New Roman"/>
                    <w:color w:val="000000" w:themeColor="text1"/>
                  </w:rPr>
                  <m:t>ε</m:t>
                </m:r>
              </m:e>
              <m:sub>
                <m:r>
                  <w:rPr>
                    <w:rFonts w:ascii="Cambria Math" w:hAnsi="Cambria Math" w:cs="Times New Roman"/>
                    <w:color w:val="000000" w:themeColor="text1"/>
                  </w:rPr>
                  <m:t>t-i</m:t>
                </m:r>
              </m:sub>
              <m:sup>
                <m:r>
                  <w:rPr>
                    <w:rFonts w:ascii="Cambria Math" w:hAnsi="Cambria Math" w:cs="Times New Roman"/>
                    <w:color w:val="000000" w:themeColor="text1"/>
                  </w:rPr>
                  <m:t>'</m:t>
                </m:r>
              </m:sup>
            </m:sSubSup>
          </m:e>
        </m:d>
        <m:r>
          <w:rPr>
            <w:rFonts w:ascii="Cambria Math" w:hAnsi="Cambria Math" w:cs="Times New Roman"/>
            <w:color w:val="000000" w:themeColor="text1"/>
          </w:rPr>
          <m:t>+</m:t>
        </m:r>
        <m:nary>
          <m:naryPr>
            <m:chr m:val="∑"/>
            <m:limLoc m:val="undOvr"/>
            <m:ctrlPr>
              <w:rPr>
                <w:rFonts w:ascii="Cambria Math" w:hAnsi="Cambria Math" w:cs="Times New Roman"/>
                <w:bCs/>
                <w:i/>
                <w:iCs/>
                <w:color w:val="000000" w:themeColor="text1"/>
              </w:rPr>
            </m:ctrlPr>
          </m:naryPr>
          <m:sub>
            <m:r>
              <w:rPr>
                <w:rFonts w:ascii="Cambria Math" w:hAnsi="Cambria Math" w:cs="Times New Roman"/>
                <w:color w:val="000000" w:themeColor="text1"/>
              </w:rPr>
              <m:t>j=1</m:t>
            </m:r>
          </m:sub>
          <m:sup>
            <m:r>
              <w:rPr>
                <w:rFonts w:ascii="Cambria Math" w:hAnsi="Cambria Math" w:cs="Times New Roman"/>
                <w:color w:val="000000" w:themeColor="text1"/>
              </w:rPr>
              <m:t>q</m:t>
            </m:r>
          </m:sup>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j</m:t>
                </m:r>
              </m:sub>
            </m:sSub>
            <m:r>
              <w:rPr>
                <w:rFonts w:ascii="Cambria Math" w:hAnsi="Cambria Math" w:cs="Times New Roman"/>
                <w:color w:val="000000" w:themeColor="text1"/>
              </w:rPr>
              <m:t xml:space="preserve"> vech(</m:t>
            </m:r>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t-j</m:t>
                </m:r>
              </m:sub>
            </m:sSub>
            <m:r>
              <w:rPr>
                <w:rFonts w:ascii="Cambria Math" w:hAnsi="Cambria Math" w:cs="Times New Roman"/>
                <w:color w:val="000000" w:themeColor="text1"/>
              </w:rPr>
              <m:t>)</m:t>
            </m:r>
          </m:e>
        </m:nary>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E562FD">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(11</w:t>
      </w:r>
      <w:r w:rsidRPr="004236D1">
        <w:rPr>
          <w:rFonts w:ascii="Times New Roman" w:eastAsiaTheme="minorEastAsia" w:hAnsi="Times New Roman" w:cs="Times New Roman"/>
          <w:bCs/>
          <w:iCs/>
          <w:color w:val="000000" w:themeColor="text1"/>
        </w:rPr>
        <w:t>)</w:t>
      </w:r>
    </w:p>
    <w:p w14:paraId="4D63C424" w14:textId="77777777" w:rsidR="005A0B5F" w:rsidRPr="004236D1" w:rsidRDefault="005A0B5F" w:rsidP="004236D1">
      <w:pPr>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 xml:space="preserve">Where </w:t>
      </w:r>
    </w:p>
    <w:p w14:paraId="0768891A" w14:textId="77777777" w:rsidR="005A0B5F" w:rsidRPr="004236D1" w:rsidRDefault="005A0B5F" w:rsidP="004236D1">
      <w:pPr>
        <w:spacing w:after="0" w:line="360" w:lineRule="auto"/>
        <w:ind w:left="2880" w:firstLine="720"/>
        <w:jc w:val="both"/>
        <w:rPr>
          <w:rFonts w:ascii="Times New Roman" w:eastAsiaTheme="minorEastAsia" w:hAnsi="Times New Roman" w:cs="Times New Roman"/>
          <w:bCs/>
          <w:iCs/>
          <w:color w:val="000000" w:themeColor="text1"/>
        </w:rPr>
      </w:pPr>
      <w:r w:rsidRPr="004236D1">
        <w:rPr>
          <w:rFonts w:ascii="Times New Roman" w:hAnsi="Times New Roman" w:cs="Times New Roman"/>
          <w:bCs/>
          <w:iCs/>
          <w:color w:val="000000" w:themeColor="text1"/>
        </w:rPr>
        <w:t>C=</w:t>
      </w:r>
      <m:oMath>
        <m:d>
          <m:dPr>
            <m:ctrlPr>
              <w:rPr>
                <w:rFonts w:ascii="Cambria Math" w:hAnsi="Cambria Math" w:cs="Times New Roman"/>
                <w:bCs/>
                <w:i/>
                <w:iCs/>
                <w:color w:val="000000" w:themeColor="text1"/>
              </w:rPr>
            </m:ctrlPr>
          </m:dPr>
          <m:e>
            <m:m>
              <m:mPr>
                <m:mcs>
                  <m:mc>
                    <m:mcPr>
                      <m:count m:val="1"/>
                      <m:mcJc m:val="center"/>
                    </m:mcPr>
                  </m:mc>
                </m:mcs>
                <m:ctrlPr>
                  <w:rPr>
                    <w:rFonts w:ascii="Cambria Math" w:hAnsi="Cambria Math" w:cs="Times New Roman"/>
                    <w:bCs/>
                    <w:i/>
                    <w:iCs/>
                    <w:color w:val="000000" w:themeColor="text1"/>
                  </w:rPr>
                </m:ctrlPr>
              </m:mP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1</m:t>
                      </m:r>
                    </m:sub>
                  </m:sSub>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2</m:t>
                      </m:r>
                    </m:sub>
                  </m:sSub>
                </m:e>
              </m:mr>
              <m:mr>
                <m:e>
                  <m:m>
                    <m:mPr>
                      <m:mcs>
                        <m:mc>
                          <m:mcPr>
                            <m:count m:val="1"/>
                            <m:mcJc m:val="center"/>
                          </m:mcPr>
                        </m:mc>
                      </m:mcs>
                      <m:ctrlPr>
                        <w:rPr>
                          <w:rFonts w:ascii="Cambria Math" w:hAnsi="Cambria Math" w:cs="Times New Roman"/>
                          <w:bCs/>
                          <w:i/>
                          <w:iCs/>
                          <w:color w:val="000000" w:themeColor="text1"/>
                        </w:rPr>
                      </m:ctrlPr>
                    </m:mPr>
                    <m:mr>
                      <m:e>
                        <m:r>
                          <w:rPr>
                            <w:rFonts w:ascii="Cambria Math" w:hAnsi="Cambria Math" w:cs="Times New Roman"/>
                            <w:color w:val="000000" w:themeColor="text1"/>
                          </w:rPr>
                          <m:t>⋮</m:t>
                        </m:r>
                      </m:e>
                    </m:mr>
                    <m:m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m</m:t>
                            </m:r>
                          </m:sub>
                        </m:sSub>
                      </m:e>
                    </m:mr>
                  </m:m>
                </m:e>
              </m:mr>
            </m:m>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E562FD">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(12</w:t>
      </w:r>
      <w:r w:rsidRPr="004236D1">
        <w:rPr>
          <w:rFonts w:ascii="Times New Roman" w:eastAsiaTheme="minorEastAsia" w:hAnsi="Times New Roman" w:cs="Times New Roman"/>
          <w:bCs/>
          <w:iCs/>
          <w:color w:val="000000" w:themeColor="text1"/>
        </w:rPr>
        <w:t>)</w:t>
      </w:r>
    </w:p>
    <w:p w14:paraId="50604CC3" w14:textId="77777777" w:rsidR="005A0B5F" w:rsidRPr="004236D1" w:rsidRDefault="00000000" w:rsidP="004236D1">
      <w:pPr>
        <w:spacing w:after="0" w:line="360" w:lineRule="auto"/>
        <w:jc w:val="both"/>
        <w:rPr>
          <w:rFonts w:ascii="Times New Roman" w:hAnsi="Times New Roman" w:cs="Times New Roman"/>
          <w:bCs/>
          <w:iCs/>
          <w:color w:val="000000" w:themeColor="text1"/>
        </w:rPr>
      </w:pPr>
      <m:oMathPara>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kl,i</m:t>
                  </m:r>
                </m:sub>
              </m:sSub>
            </m:e>
          </m:d>
          <m:r>
            <w:rPr>
              <w:rFonts w:ascii="Cambria Math" w:hAnsi="Cambria Math" w:cs="Times New Roman"/>
              <w:color w:val="000000" w:themeColor="text1"/>
            </w:rPr>
            <m:t>m×m,</m:t>
          </m:r>
        </m:oMath>
      </m:oMathPara>
    </w:p>
    <w:p w14:paraId="196DB606" w14:textId="77777777" w:rsidR="005A0B5F" w:rsidRPr="004236D1" w:rsidRDefault="005A0B5F" w:rsidP="004236D1">
      <w:pPr>
        <w:tabs>
          <w:tab w:val="left" w:pos="1248"/>
        </w:tabs>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and</w:t>
      </w:r>
    </w:p>
    <w:p w14:paraId="20ECCE36" w14:textId="77777777" w:rsidR="005A0B5F" w:rsidRPr="004236D1" w:rsidRDefault="00000000" w:rsidP="004236D1">
      <w:pPr>
        <w:spacing w:after="0" w:line="360" w:lineRule="auto"/>
        <w:jc w:val="both"/>
        <w:rPr>
          <w:rFonts w:ascii="Times New Roman" w:eastAsiaTheme="minorEastAsia" w:hAnsi="Times New Roman" w:cs="Times New Roman"/>
          <w:bCs/>
          <w:iCs/>
          <w:color w:val="000000" w:themeColor="text1"/>
        </w:rPr>
      </w:pPr>
      <m:oMathPara>
        <m:oMath>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i</m:t>
              </m:r>
            </m:sub>
          </m:sSub>
          <m:r>
            <w:rPr>
              <w:rFonts w:ascii="Cambria Math" w:hAnsi="Cambria Math" w:cs="Times New Roman"/>
              <w:color w:val="000000" w:themeColor="text1"/>
            </w:rPr>
            <m:t>=</m:t>
          </m:r>
          <m:d>
            <m:dPr>
              <m:ctrlPr>
                <w:rPr>
                  <w:rFonts w:ascii="Cambria Math" w:hAnsi="Cambria Math" w:cs="Times New Roman"/>
                  <w:bCs/>
                  <w:i/>
                  <w:iCs/>
                  <w:color w:val="000000" w:themeColor="text1"/>
                </w:rPr>
              </m:ctrlPr>
            </m:dPr>
            <m:e>
              <m:sSub>
                <m:sSubPr>
                  <m:ctrlPr>
                    <w:rPr>
                      <w:rFonts w:ascii="Cambria Math" w:hAnsi="Cambria Math" w:cs="Times New Roman"/>
                      <w:bCs/>
                      <w:i/>
                      <w:iCs/>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kl,i</m:t>
                  </m:r>
                </m:sub>
              </m:sSub>
            </m:e>
          </m:d>
          <m:r>
            <w:rPr>
              <w:rFonts w:ascii="Cambria Math" w:hAnsi="Cambria Math" w:cs="Times New Roman"/>
              <w:color w:val="000000" w:themeColor="text1"/>
            </w:rPr>
            <m:t>m×m.</m:t>
          </m:r>
        </m:oMath>
      </m:oMathPara>
    </w:p>
    <w:p w14:paraId="37AFB2C7"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w:r w:rsidRPr="004236D1">
        <w:rPr>
          <w:rFonts w:ascii="Times New Roman" w:hAnsi="Times New Roman" w:cs="Times New Roman"/>
        </w:rPr>
        <w:t>The standard VECH-GARCH (1,1) model can be written as</w:t>
      </w:r>
    </w:p>
    <w:p w14:paraId="6A6A48DE" w14:textId="77777777" w:rsidR="005A0B5F" w:rsidRPr="004236D1" w:rsidRDefault="005A0B5F" w:rsidP="004236D1">
      <w:pPr>
        <w:spacing w:after="0" w:line="360" w:lineRule="auto"/>
        <w:jc w:val="both"/>
        <w:rPr>
          <w:rFonts w:ascii="Times New Roman" w:eastAsiaTheme="minorEastAsia" w:hAnsi="Times New Roman" w:cs="Times New Roman"/>
          <w:bCs/>
          <w:iCs/>
          <w:color w:val="000000" w:themeColor="text1"/>
        </w:rPr>
      </w:pPr>
      <m:oMath>
        <m:r>
          <w:rPr>
            <w:rFonts w:ascii="Cambria Math" w:eastAsiaTheme="minorEastAsia" w:hAnsi="Cambria Math" w:cs="Times New Roman"/>
            <w:color w:val="000000" w:themeColor="text1"/>
          </w:rPr>
          <m:t>vech</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m:t>
                </m:r>
              </m:sub>
            </m:sSub>
          </m:e>
        </m:d>
        <m:r>
          <w:rPr>
            <w:rFonts w:ascii="Cambria Math" w:eastAsiaTheme="minorEastAsia" w:hAnsi="Cambria Math" w:cs="Times New Roman"/>
            <w:color w:val="000000" w:themeColor="text1"/>
          </w:rPr>
          <m:t xml:space="preserve">=c+A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r>
          <w:rPr>
            <w:rFonts w:ascii="Cambria Math" w:eastAsiaTheme="minorEastAsia" w:hAnsi="Cambria Math" w:cs="Times New Roman"/>
            <w:color w:val="000000" w:themeColor="text1"/>
          </w:rPr>
          <m:t xml:space="preserve">+B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e>
        </m:d>
      </m:oMath>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ab/>
      </w:r>
      <w:r w:rsidR="00E562FD">
        <w:rPr>
          <w:rFonts w:ascii="Times New Roman" w:eastAsiaTheme="minorEastAsia" w:hAnsi="Times New Roman" w:cs="Times New Roman"/>
          <w:bCs/>
          <w:iCs/>
          <w:color w:val="000000" w:themeColor="text1"/>
        </w:rPr>
        <w:tab/>
      </w:r>
      <w:r w:rsidR="001506C6" w:rsidRPr="004236D1">
        <w:rPr>
          <w:rFonts w:ascii="Times New Roman" w:eastAsiaTheme="minorEastAsia" w:hAnsi="Times New Roman" w:cs="Times New Roman"/>
          <w:bCs/>
          <w:iCs/>
          <w:color w:val="000000" w:themeColor="text1"/>
        </w:rPr>
        <w:t>(13</w:t>
      </w:r>
      <w:r w:rsidRPr="004236D1">
        <w:rPr>
          <w:rFonts w:ascii="Times New Roman" w:eastAsiaTheme="minorEastAsia" w:hAnsi="Times New Roman" w:cs="Times New Roman"/>
          <w:bCs/>
          <w:iCs/>
          <w:color w:val="000000" w:themeColor="text1"/>
        </w:rPr>
        <w:t>)</w:t>
      </w:r>
    </w:p>
    <w:p w14:paraId="0A7A5EEB"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where:</w:t>
      </w:r>
    </w:p>
    <w:p w14:paraId="139810ED" w14:textId="77777777" w:rsidR="005A0B5F" w:rsidRPr="004236D1" w:rsidRDefault="005A0B5F"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c is a vector of constant parameters; </w:t>
      </w:r>
    </w:p>
    <w:p w14:paraId="4BCE0660" w14:textId="77777777" w:rsidR="005A0B5F" w:rsidRPr="004236D1" w:rsidRDefault="005A0B5F"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A is the matrix of ARCH coefficients; </w:t>
      </w:r>
    </w:p>
    <w:p w14:paraId="39D76625" w14:textId="77777777" w:rsidR="005A0B5F" w:rsidRPr="004236D1" w:rsidRDefault="005A0B5F"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B is the matrix of GARCH coefficients; </w:t>
      </w:r>
    </w:p>
    <w:p w14:paraId="1776680B" w14:textId="77777777" w:rsidR="005A0B5F" w:rsidRPr="004236D1" w:rsidRDefault="00000000"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m:oMath>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oMath>
      <w:r w:rsidR="005A0B5F" w:rsidRPr="004236D1">
        <w:rPr>
          <w:rFonts w:ascii="Times New Roman" w:eastAsia="Times New Roman" w:hAnsi="Times New Roman" w:cs="Times New Roman"/>
          <w:kern w:val="0"/>
          <w14:ligatures w14:val="none"/>
        </w:rPr>
        <w:t xml:space="preserve"> represents the outer product of lagged innovations; </w:t>
      </w:r>
    </w:p>
    <w:p w14:paraId="3482363A" w14:textId="77777777" w:rsidR="005A0B5F" w:rsidRPr="004236D1" w:rsidRDefault="00000000" w:rsidP="004236D1">
      <w:pPr>
        <w:spacing w:before="100" w:beforeAutospacing="1" w:after="100" w:afterAutospacing="1" w:line="360" w:lineRule="auto"/>
        <w:ind w:left="360"/>
        <w:jc w:val="both"/>
        <w:rPr>
          <w:rFonts w:ascii="Times New Roman" w:eastAsia="Times New Roman" w:hAnsi="Times New Roman" w:cs="Times New Roman"/>
          <w:kern w:val="0"/>
          <w14:ligatures w14:val="none"/>
        </w:rPr>
      </w:pPr>
      <m:oMath>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oMath>
      <w:r w:rsidR="005A0B5F" w:rsidRPr="004236D1">
        <w:rPr>
          <w:rFonts w:ascii="Times New Roman" w:eastAsia="Times New Roman" w:hAnsi="Times New Roman" w:cs="Times New Roman"/>
          <w:kern w:val="0"/>
          <w14:ligatures w14:val="none"/>
        </w:rPr>
        <w:t>​ is the lagged conditional variance-covariance matrix.</w:t>
      </w:r>
    </w:p>
    <w:p w14:paraId="02672CCF"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The term</w:t>
      </w:r>
    </w:p>
    <w:p w14:paraId="4B2EBD97"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m:oMathPara>
        <m:oMath>
          <m:r>
            <w:rPr>
              <w:rFonts w:ascii="Cambria Math" w:eastAsiaTheme="minorEastAsia" w:hAnsi="Cambria Math" w:cs="Times New Roman"/>
              <w:color w:val="000000" w:themeColor="text1"/>
            </w:rPr>
            <m:t xml:space="preserve">A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oMath>
      </m:oMathPara>
    </w:p>
    <w:p w14:paraId="5B2C3321"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captures the effect of </w:t>
      </w:r>
      <w:r w:rsidRPr="004236D1">
        <w:rPr>
          <w:rFonts w:ascii="Times New Roman" w:eastAsia="Times New Roman" w:hAnsi="Times New Roman" w:cs="Times New Roman"/>
          <w:bCs/>
          <w:kern w:val="0"/>
          <w14:ligatures w14:val="none"/>
        </w:rPr>
        <w:t>past shocks or innovations</w:t>
      </w:r>
      <w:r w:rsidRPr="004236D1">
        <w:rPr>
          <w:rFonts w:ascii="Times New Roman" w:eastAsia="Times New Roman" w:hAnsi="Times New Roman" w:cs="Times New Roman"/>
          <w:kern w:val="0"/>
          <w14:ligatures w14:val="none"/>
        </w:rPr>
        <w:t xml:space="preserve"> on current conditional variances and covariances. Similarly,</w:t>
      </w:r>
    </w:p>
    <w:p w14:paraId="49B271B3"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m:oMathPara>
        <m:oMath>
          <m:r>
            <w:rPr>
              <w:rFonts w:ascii="Cambria Math" w:eastAsiaTheme="minorEastAsia" w:hAnsi="Cambria Math" w:cs="Times New Roman"/>
              <w:color w:val="000000" w:themeColor="text1"/>
            </w:rPr>
            <m:t xml:space="preserve">B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e>
          </m:d>
          <m:r>
            <w:rPr>
              <w:rFonts w:ascii="Cambria Math" w:eastAsiaTheme="minorEastAsia" w:hAnsi="Cambria Math" w:cs="Times New Roman"/>
              <w:color w:val="000000" w:themeColor="text1"/>
            </w:rPr>
            <m:t>,</m:t>
          </m:r>
        </m:oMath>
      </m:oMathPara>
    </w:p>
    <w:p w14:paraId="5DC0AB67" w14:textId="77777777" w:rsidR="005A0B5F" w:rsidRPr="004236D1" w:rsidRDefault="005A0B5F" w:rsidP="004236D1">
      <w:pPr>
        <w:spacing w:before="100" w:beforeAutospacing="1" w:after="100" w:afterAutospacing="1" w:line="36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captures the effect of </w:t>
      </w:r>
      <w:r w:rsidRPr="004236D1">
        <w:rPr>
          <w:rFonts w:ascii="Times New Roman" w:eastAsia="Times New Roman" w:hAnsi="Times New Roman" w:cs="Times New Roman"/>
          <w:bCs/>
          <w:kern w:val="0"/>
          <w14:ligatures w14:val="none"/>
        </w:rPr>
        <w:t>past conditional variances and covariances</w:t>
      </w:r>
      <w:r w:rsidRPr="004236D1">
        <w:rPr>
          <w:rFonts w:ascii="Times New Roman" w:eastAsia="Times New Roman" w:hAnsi="Times New Roman" w:cs="Times New Roman"/>
          <w:kern w:val="0"/>
          <w14:ligatures w14:val="none"/>
        </w:rPr>
        <w:t xml:space="preserve"> on current volatility.</w:t>
      </w:r>
    </w:p>
    <w:p w14:paraId="437C8448" w14:textId="77777777" w:rsidR="005A0B5F" w:rsidRPr="004236D1" w:rsidRDefault="005A0B5F" w:rsidP="004236D1">
      <w:pPr>
        <w:spacing w:after="0" w:line="360" w:lineRule="auto"/>
        <w:jc w:val="both"/>
        <w:rPr>
          <w:rFonts w:ascii="Times New Roman" w:hAnsi="Times New Roman" w:cs="Times New Roman"/>
          <w:bCs/>
          <w:iCs/>
          <w:color w:val="000000" w:themeColor="text1"/>
        </w:rPr>
      </w:pPr>
    </w:p>
    <w:p w14:paraId="1AEB8D48" w14:textId="77777777" w:rsidR="005A0B5F" w:rsidRPr="004236D1" w:rsidRDefault="005A0B5F" w:rsidP="004236D1">
      <w:pPr>
        <w:spacing w:after="0" w:line="360" w:lineRule="auto"/>
        <w:jc w:val="both"/>
        <w:rPr>
          <w:rFonts w:ascii="Times New Roman" w:hAnsi="Times New Roman" w:cs="Times New Roman"/>
          <w:b/>
        </w:rPr>
      </w:pPr>
      <w:r w:rsidRPr="004236D1">
        <w:rPr>
          <w:rFonts w:ascii="Times New Roman" w:hAnsi="Times New Roman" w:cs="Times New Roman"/>
          <w:b/>
        </w:rPr>
        <w:t>Six-Variable VECH Model</w:t>
      </w:r>
    </w:p>
    <w:p w14:paraId="5997D5CD"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For your study, the six return series can be represented as</w:t>
      </w:r>
    </w:p>
    <w:p w14:paraId="30F200BA" w14:textId="77777777" w:rsidR="005A0B5F"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STOCK,t</m:t>
                                  </m:r>
                                </m:sub>
                              </m:sSub>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(14</w:t>
      </w:r>
      <w:r w:rsidR="005A0B5F" w:rsidRPr="004236D1">
        <w:rPr>
          <w:rFonts w:ascii="Times New Roman" w:eastAsiaTheme="minorEastAsia" w:hAnsi="Times New Roman" w:cs="Times New Roman"/>
        </w:rPr>
        <w:t>)</w:t>
      </w:r>
    </w:p>
    <w:p w14:paraId="4F129E96" w14:textId="77777777" w:rsidR="005A0B5F" w:rsidRPr="004236D1" w:rsidRDefault="005A0B5F" w:rsidP="004236D1">
      <w:pPr>
        <w:tabs>
          <w:tab w:val="left" w:pos="2616"/>
        </w:tabs>
        <w:spacing w:after="0" w:line="360" w:lineRule="auto"/>
        <w:jc w:val="both"/>
        <w:rPr>
          <w:rFonts w:ascii="Times New Roman" w:hAnsi="Times New Roman" w:cs="Times New Roman"/>
        </w:rPr>
      </w:pPr>
      <w:r w:rsidRPr="004236D1">
        <w:rPr>
          <w:rFonts w:ascii="Times New Roman" w:hAnsi="Times New Roman" w:cs="Times New Roman"/>
        </w:rPr>
        <w:t>The innovation vector is</w:t>
      </w:r>
    </w:p>
    <w:p w14:paraId="185AB11E" w14:textId="77777777" w:rsidR="005A0B5F" w:rsidRPr="004236D1" w:rsidRDefault="00000000" w:rsidP="004236D1">
      <w:pPr>
        <w:tabs>
          <w:tab w:val="left" w:pos="2616"/>
        </w:tabs>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STOCK,t</m:t>
                                  </m:r>
                                </m:sub>
                              </m:sSub>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(15</w:t>
      </w:r>
      <w:r w:rsidR="005A0B5F" w:rsidRPr="004236D1">
        <w:rPr>
          <w:rFonts w:ascii="Times New Roman" w:eastAsiaTheme="minorEastAsia" w:hAnsi="Times New Roman" w:cs="Times New Roman"/>
        </w:rPr>
        <w:t>)</w:t>
      </w:r>
    </w:p>
    <w:p w14:paraId="6A499075" w14:textId="77777777" w:rsidR="005A0B5F" w:rsidRPr="004236D1" w:rsidRDefault="005A0B5F"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6</w:t>
      </w:r>
      <m:oMath>
        <m:r>
          <w:rPr>
            <w:rFonts w:ascii="Cambria Math" w:eastAsiaTheme="minorEastAsia" w:hAnsi="Cambria Math" w:cs="Times New Roman"/>
          </w:rPr>
          <m:t>×6</m:t>
        </m:r>
      </m:oMath>
      <w:r w:rsidRPr="004236D1">
        <w:rPr>
          <w:rFonts w:ascii="Times New Roman" w:eastAsiaTheme="minorEastAsia" w:hAnsi="Times New Roman" w:cs="Times New Roman"/>
        </w:rPr>
        <w:t xml:space="preserve"> conditional covariance matrix is</w:t>
      </w:r>
    </w:p>
    <w:p w14:paraId="2337BA10" w14:textId="77777777" w:rsidR="005A0B5F"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 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
                      </m:e>
                      <m:e>
                        <m:m>
                          <m:mPr>
                            <m:mcs>
                              <m:mc>
                                <m:mcPr>
                                  <m:count m:val="1"/>
                                  <m:mcJc m:val="center"/>
                                </m:mcPr>
                              </m:mc>
                            </m:mcs>
                            <m:ctrlPr>
                              <w:rPr>
                                <w:rFonts w:ascii="Cambria Math" w:hAnsi="Cambria Math" w:cs="Times New Roman"/>
                                <w:i/>
                              </w:rPr>
                            </m:ctrlPr>
                          </m:mP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r>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66,t</m:t>
                                              </m:r>
                                            </m:sub>
                                          </m:sSub>
                                        </m:e>
                                      </m:mr>
                                    </m:m>
                                  </m:e>
                                </m:mr>
                              </m:m>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(16</w:t>
      </w:r>
      <w:r w:rsidR="005A0B5F" w:rsidRPr="004236D1">
        <w:rPr>
          <w:rFonts w:ascii="Times New Roman" w:eastAsiaTheme="minorEastAsia" w:hAnsi="Times New Roman" w:cs="Times New Roman"/>
        </w:rPr>
        <w:t>)</w:t>
      </w:r>
    </w:p>
    <w:p w14:paraId="2BE9BE52" w14:textId="77777777" w:rsidR="005A0B5F" w:rsidRPr="004236D1" w:rsidRDefault="005A0B5F" w:rsidP="004236D1">
      <w:pPr>
        <w:spacing w:after="0" w:line="360" w:lineRule="auto"/>
        <w:jc w:val="both"/>
        <w:rPr>
          <w:rFonts w:ascii="Times New Roman" w:hAnsi="Times New Roman" w:cs="Times New Roman"/>
        </w:rPr>
      </w:pPr>
    </w:p>
    <w:p w14:paraId="413726B5" w14:textId="77777777" w:rsidR="005A0B5F"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vech(H</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m>
                                <m:mPr>
                                  <m:mcs>
                                    <m:mc>
                                      <m:mcPr>
                                        <m:count m:val="1"/>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66,t</m:t>
                                                                            </m:r>
                                                                          </m:sub>
                                                                        </m:sSub>
                                                                      </m:e>
                                                                    </m:mr>
                                                                  </m:m>
                                                                </m:e>
                                                              </m:mr>
                                                            </m:m>
                                                          </m:e>
                                                        </m:mr>
                                                      </m:m>
                                                    </m:e>
                                                  </m:mr>
                                                </m:m>
                                              </m:e>
                                            </m:mr>
                                          </m:m>
                                        </m:e>
                                      </m:mr>
                                    </m:m>
                                  </m:e>
                                </m:mr>
                              </m:m>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(17</w:t>
      </w:r>
      <w:r w:rsidR="005A0B5F" w:rsidRPr="004236D1">
        <w:rPr>
          <w:rFonts w:ascii="Times New Roman" w:eastAsiaTheme="minorEastAsia" w:hAnsi="Times New Roman" w:cs="Times New Roman"/>
        </w:rPr>
        <w:t>)</w:t>
      </w:r>
    </w:p>
    <w:p w14:paraId="7BD4BC33" w14:textId="77777777" w:rsidR="005A0B5F" w:rsidRPr="004236D1" w:rsidRDefault="005A0B5F" w:rsidP="004236D1">
      <w:pPr>
        <w:spacing w:line="360" w:lineRule="auto"/>
        <w:jc w:val="both"/>
        <w:rPr>
          <w:rFonts w:ascii="Times New Roman" w:hAnsi="Times New Roman" w:cs="Times New Roman"/>
        </w:rPr>
      </w:pPr>
    </w:p>
    <w:p w14:paraId="2B44F78D" w14:textId="77777777" w:rsidR="005A0B5F" w:rsidRPr="004236D1" w:rsidRDefault="005A0B5F" w:rsidP="004236D1">
      <w:pPr>
        <w:tabs>
          <w:tab w:val="left" w:pos="2100"/>
        </w:tabs>
        <w:spacing w:line="360" w:lineRule="auto"/>
        <w:jc w:val="both"/>
        <w:rPr>
          <w:rFonts w:ascii="Times New Roman" w:hAnsi="Times New Roman" w:cs="Times New Roman"/>
        </w:rPr>
      </w:pPr>
      <w:r w:rsidRPr="004236D1">
        <w:rPr>
          <w:rFonts w:ascii="Times New Roman" w:hAnsi="Times New Roman" w:cs="Times New Roman"/>
        </w:rPr>
        <w:t xml:space="preserve">Likewise, </w:t>
      </w:r>
      <w:r w:rsidRPr="004236D1">
        <w:rPr>
          <w:rFonts w:ascii="Times New Roman" w:hAnsi="Times New Roman" w:cs="Times New Roman"/>
        </w:rPr>
        <w:tab/>
      </w:r>
    </w:p>
    <w:p w14:paraId="0FD99BFD" w14:textId="77777777" w:rsidR="005A0B5F" w:rsidRPr="004236D1" w:rsidRDefault="005A0B5F" w:rsidP="004236D1">
      <w:pPr>
        <w:tabs>
          <w:tab w:val="left" w:pos="2100"/>
        </w:tabs>
        <w:spacing w:line="360" w:lineRule="auto"/>
        <w:jc w:val="both"/>
        <w:rPr>
          <w:rFonts w:ascii="Times New Roman" w:hAnsi="Times New Roman" w:cs="Times New Roman"/>
        </w:rPr>
      </w:pPr>
      <m:oMath>
        <m:r>
          <w:rPr>
            <w:rFonts w:ascii="Cambria Math" w:eastAsiaTheme="minorEastAsia" w:hAnsi="Cambria Math" w:cs="Times New Roman"/>
            <w:color w:val="000000" w:themeColor="text1"/>
          </w:rPr>
          <w:lastRenderedPageBreak/>
          <m:t xml:space="preserve">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1,t-1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e>
              </m:mr>
              <m:m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2,t-1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e>
                          </m:mr>
                          <m:mr>
                            <m:e>
                              <m:m>
                                <m:mPr>
                                  <m:mcs>
                                    <m:mc>
                                      <m:mcPr>
                                        <m:count m:val="1"/>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3,t-1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e>
                                      </m:mr>
                                    </m:m>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e>
                                </m:mr>
                                <m:mr>
                                  <m:e>
                                    <m:m>
                                      <m:mPr>
                                        <m:mcs>
                                          <m:mc>
                                            <m:mcPr>
                                              <m:count m:val="1"/>
                                              <m:mcJc m:val="center"/>
                                            </m:mcPr>
                                          </m:mc>
                                        </m:mcs>
                                        <m:ctrlPr>
                                          <w:rPr>
                                            <w:rFonts w:ascii="Cambria Math" w:hAnsi="Cambria Math" w:cs="Times New Roman"/>
                                            <w:i/>
                                          </w:rPr>
                                        </m:ctrlPr>
                                      </m:mP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4,t-1</m:t>
                                              </m:r>
                                            </m:sub>
                                            <m:sup>
                                              <m:r>
                                                <w:rPr>
                                                  <w:rFonts w:ascii="Cambria Math" w:hAnsi="Cambria Math" w:cs="Times New Roman"/>
                                                </w:rPr>
                                                <m:t>2</m:t>
                                              </m:r>
                                            </m:sup>
                                          </m:sSubSup>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e>
                                                  </m:m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5,t-1</m:t>
                                                          </m:r>
                                                        </m:sub>
                                                        <m:sup>
                                                          <m:r>
                                                            <w:rPr>
                                                              <w:rFonts w:ascii="Cambria Math" w:hAnsi="Cambria Math" w:cs="Times New Roman"/>
                                                            </w:rPr>
                                                            <m:t>2</m:t>
                                                          </m:r>
                                                        </m:sup>
                                                      </m:sSubSup>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1,t-1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2,t-1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3,t-1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4,t-1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5,t-1</m:t>
                                                                            </m:r>
                                                                          </m:sub>
                                                                        </m:sSub>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6,t-1</m:t>
                                                                            </m:r>
                                                                          </m:sub>
                                                                        </m:sSub>
                                                                      </m:e>
                                                                    </m:mr>
                                                                    <m:mr>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6,t-1</m:t>
                                                                            </m:r>
                                                                          </m:sub>
                                                                          <m:sup>
                                                                            <m:r>
                                                                              <w:rPr>
                                                                                <w:rFonts w:ascii="Cambria Math" w:hAnsi="Cambria Math" w:cs="Times New Roman"/>
                                                                              </w:rPr>
                                                                              <m:t>2</m:t>
                                                                            </m:r>
                                                                          </m:sup>
                                                                        </m:sSubSup>
                                                                      </m:e>
                                                                    </m:mr>
                                                                  </m:m>
                                                                </m:e>
                                                              </m:mr>
                                                            </m:m>
                                                          </m:e>
                                                        </m:mr>
                                                      </m:m>
                                                    </m:e>
                                                  </m:mr>
                                                </m:m>
                                              </m:e>
                                            </m:mr>
                                          </m:m>
                                        </m:e>
                                      </m:mr>
                                    </m:m>
                                  </m:e>
                                </m:mr>
                              </m:m>
                            </m:e>
                          </m:mr>
                        </m:m>
                      </m:e>
                    </m:mr>
                  </m:m>
                </m:e>
              </m:mr>
            </m:m>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E562FD">
        <w:rPr>
          <w:rFonts w:ascii="Times New Roman" w:eastAsiaTheme="minorEastAsia" w:hAnsi="Times New Roman" w:cs="Times New Roman"/>
        </w:rPr>
        <w:tab/>
      </w:r>
      <w:r w:rsidR="001506C6" w:rsidRPr="004236D1">
        <w:rPr>
          <w:rFonts w:ascii="Times New Roman" w:eastAsiaTheme="minorEastAsia" w:hAnsi="Times New Roman" w:cs="Times New Roman"/>
        </w:rPr>
        <w:t>(18</w:t>
      </w:r>
      <w:r w:rsidRPr="004236D1">
        <w:rPr>
          <w:rFonts w:ascii="Times New Roman" w:eastAsiaTheme="minorEastAsia" w:hAnsi="Times New Roman" w:cs="Times New Roman"/>
        </w:rPr>
        <w:t>)</w:t>
      </w:r>
    </w:p>
    <w:p w14:paraId="2A42027E" w14:textId="77777777" w:rsidR="005A0B5F" w:rsidRPr="004236D1" w:rsidRDefault="005A0B5F" w:rsidP="004236D1">
      <w:pPr>
        <w:spacing w:after="0" w:line="360" w:lineRule="auto"/>
        <w:jc w:val="both"/>
        <w:rPr>
          <w:rFonts w:ascii="Times New Roman" w:hAnsi="Times New Roman" w:cs="Times New Roman"/>
        </w:rPr>
      </w:pPr>
      <w:r w:rsidRPr="004236D1">
        <w:rPr>
          <w:rFonts w:ascii="Times New Roman" w:hAnsi="Times New Roman" w:cs="Times New Roman"/>
        </w:rPr>
        <w:t>Therefore, the complete six-variable VECH-</w:t>
      </w:r>
      <w:proofErr w:type="gramStart"/>
      <w:r w:rsidRPr="004236D1">
        <w:rPr>
          <w:rFonts w:ascii="Times New Roman" w:hAnsi="Times New Roman" w:cs="Times New Roman"/>
        </w:rPr>
        <w:t>GARCH(</w:t>
      </w:r>
      <w:proofErr w:type="gramEnd"/>
      <w:r w:rsidRPr="004236D1">
        <w:rPr>
          <w:rFonts w:ascii="Times New Roman" w:hAnsi="Times New Roman" w:cs="Times New Roman"/>
        </w:rPr>
        <w:t>1,1) model is</w:t>
      </w:r>
    </w:p>
    <w:p w14:paraId="41665D7C" w14:textId="77777777" w:rsidR="005A0B5F" w:rsidRPr="004236D1" w:rsidRDefault="005A0B5F" w:rsidP="004236D1">
      <w:pPr>
        <w:spacing w:after="0" w:line="360" w:lineRule="auto"/>
        <w:jc w:val="both"/>
        <w:rPr>
          <w:rFonts w:ascii="Times New Roman" w:hAnsi="Times New Roman" w:cs="Times New Roman"/>
        </w:rPr>
      </w:pPr>
      <m:oMath>
        <m:r>
          <w:rPr>
            <w:rFonts w:ascii="Cambria Math" w:eastAsiaTheme="minorEastAsia" w:hAnsi="Cambria Math" w:cs="Times New Roman"/>
            <w:color w:val="000000" w:themeColor="text1"/>
          </w:rPr>
          <m:t>vech</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m:t>
                </m:r>
              </m:sub>
            </m:sSub>
          </m:e>
        </m:d>
        <m:r>
          <w:rPr>
            <w:rFonts w:ascii="Cambria Math" w:eastAsiaTheme="minorEastAsia" w:hAnsi="Cambria Math" w:cs="Times New Roman"/>
            <w:color w:val="000000" w:themeColor="text1"/>
          </w:rPr>
          <m:t>=</m:t>
        </m:r>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21×1</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21×21</m:t>
            </m:r>
          </m:sub>
        </m:sSub>
        <m:r>
          <w:rPr>
            <w:rFonts w:ascii="Cambria Math" w:eastAsiaTheme="minorEastAsia" w:hAnsi="Cambria Math" w:cs="Times New Roman"/>
            <w:color w:val="000000" w:themeColor="text1"/>
          </w:rPr>
          <m:t xml:space="preserve">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Sub>
            <m:sSubSup>
              <m:sSubSupPr>
                <m:ctrlPr>
                  <w:rPr>
                    <w:rFonts w:ascii="Cambria Math" w:eastAsiaTheme="minorEastAsia" w:hAnsi="Cambria Math" w:cs="Times New Roman"/>
                    <w:bCs/>
                    <w:i/>
                    <w:iCs/>
                    <w:color w:val="000000" w:themeColor="text1"/>
                  </w:rPr>
                </m:ctrlPr>
              </m:sSubSupPr>
              <m:e>
                <m:r>
                  <w:rPr>
                    <w:rFonts w:ascii="Cambria Math" w:eastAsiaTheme="minorEastAsia" w:hAnsi="Cambria Math" w:cs="Times New Roman"/>
                    <w:color w:val="000000" w:themeColor="text1"/>
                  </w:rPr>
                  <m:t>ε</m:t>
                </m:r>
              </m:e>
              <m:sub>
                <m:r>
                  <w:rPr>
                    <w:rFonts w:ascii="Cambria Math" w:eastAsiaTheme="minorEastAsia" w:hAnsi="Cambria Math" w:cs="Times New Roman"/>
                    <w:color w:val="000000" w:themeColor="text1"/>
                  </w:rPr>
                  <m:t>t-1</m:t>
                </m:r>
              </m:sub>
              <m:sup>
                <m:r>
                  <w:rPr>
                    <w:rFonts w:ascii="Cambria Math" w:eastAsiaTheme="minorEastAsia" w:hAnsi="Cambria Math" w:cs="Times New Roman"/>
                    <w:color w:val="000000" w:themeColor="text1"/>
                  </w:rPr>
                  <m:t>'</m:t>
                </m:r>
              </m:sup>
            </m:sSubSup>
          </m:e>
        </m:d>
        <m:r>
          <w:rPr>
            <w:rFonts w:ascii="Cambria Math" w:eastAsiaTheme="minorEastAsia" w:hAnsi="Cambria Math" w:cs="Times New Roman"/>
            <w:color w:val="000000" w:themeColor="text1"/>
          </w:rPr>
          <m:t>+</m:t>
        </m:r>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21×21</m:t>
            </m:r>
          </m:sub>
        </m:sSub>
        <m:r>
          <w:rPr>
            <w:rFonts w:ascii="Cambria Math" w:eastAsiaTheme="minorEastAsia" w:hAnsi="Cambria Math" w:cs="Times New Roman"/>
            <w:color w:val="000000" w:themeColor="text1"/>
          </w:rPr>
          <m:t xml:space="preserve"> vech </m:t>
        </m:r>
        <m:d>
          <m:dPr>
            <m:ctrlPr>
              <w:rPr>
                <w:rFonts w:ascii="Cambria Math" w:eastAsiaTheme="minorEastAsia" w:hAnsi="Cambria Math" w:cs="Times New Roman"/>
                <w:bCs/>
                <w:i/>
                <w:iCs/>
                <w:color w:val="000000" w:themeColor="text1"/>
              </w:rPr>
            </m:ctrlPr>
          </m:dPr>
          <m:e>
            <m:sSub>
              <m:sSubPr>
                <m:ctrlPr>
                  <w:rPr>
                    <w:rFonts w:ascii="Cambria Math" w:eastAsiaTheme="minorEastAsia" w:hAnsi="Cambria Math" w:cs="Times New Roman"/>
                    <w:bCs/>
                    <w:i/>
                    <w:iCs/>
                    <w:color w:val="000000" w:themeColor="text1"/>
                  </w:rPr>
                </m:ctrlPr>
              </m:sSubPr>
              <m:e>
                <m:r>
                  <w:rPr>
                    <w:rFonts w:ascii="Cambria Math" w:eastAsiaTheme="minorEastAsia" w:hAnsi="Cambria Math" w:cs="Times New Roman"/>
                    <w:color w:val="000000" w:themeColor="text1"/>
                  </w:rPr>
                  <m:t>H</m:t>
                </m:r>
              </m:e>
              <m:sub>
                <m:r>
                  <w:rPr>
                    <w:rFonts w:ascii="Cambria Math" w:eastAsiaTheme="minorEastAsia" w:hAnsi="Cambria Math" w:cs="Times New Roman"/>
                    <w:color w:val="000000" w:themeColor="text1"/>
                  </w:rPr>
                  <m:t>t-1</m:t>
                </m:r>
              </m:sub>
            </m:sSub>
          </m:e>
        </m:d>
        <m:r>
          <w:rPr>
            <w:rFonts w:ascii="Cambria Math" w:eastAsiaTheme="minorEastAsia" w:hAnsi="Cambria Math" w:cs="Times New Roman"/>
            <w:color w:val="000000" w:themeColor="text1"/>
          </w:rPr>
          <m:t>,</m:t>
        </m:r>
      </m:oMath>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433390"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(19</w:t>
      </w:r>
      <w:r w:rsidRPr="004236D1">
        <w:rPr>
          <w:rFonts w:ascii="Times New Roman" w:eastAsiaTheme="minorEastAsia" w:hAnsi="Times New Roman" w:cs="Times New Roman"/>
          <w:color w:val="000000" w:themeColor="text1"/>
        </w:rPr>
        <w:t>)</w:t>
      </w:r>
    </w:p>
    <w:p w14:paraId="0F1D435A"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b/>
        </w:rPr>
      </w:pPr>
    </w:p>
    <w:p w14:paraId="70AD9D59"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b/>
        </w:rPr>
      </w:pPr>
      <w:r w:rsidRPr="004236D1">
        <w:rPr>
          <w:rFonts w:ascii="Times New Roman" w:hAnsi="Times New Roman" w:cs="Times New Roman"/>
          <w:b/>
        </w:rPr>
        <w:t>BEKK model</w:t>
      </w:r>
      <w:r w:rsidRPr="004236D1">
        <w:rPr>
          <w:rFonts w:ascii="Times New Roman" w:hAnsi="Times New Roman" w:cs="Times New Roman"/>
          <w:b/>
        </w:rPr>
        <w:tab/>
      </w:r>
    </w:p>
    <w:p w14:paraId="4F7A4E60" w14:textId="77777777" w:rsidR="00930BE1" w:rsidRPr="004236D1" w:rsidRDefault="00930BE1" w:rsidP="004236D1">
      <w:pPr>
        <w:tabs>
          <w:tab w:val="left" w:pos="720"/>
          <w:tab w:val="left" w:pos="1440"/>
          <w:tab w:val="left" w:pos="3948"/>
          <w:tab w:val="left" w:pos="6930"/>
        </w:tabs>
        <w:spacing w:after="0" w:line="360" w:lineRule="auto"/>
        <w:jc w:val="both"/>
        <w:rPr>
          <w:rFonts w:ascii="Times New Roman" w:hAnsi="Times New Roman" w:cs="Times New Roman"/>
        </w:rPr>
      </w:pPr>
      <w:r w:rsidRPr="004236D1">
        <w:rPr>
          <w:rFonts w:ascii="Times New Roman" w:hAnsi="Times New Roman" w:cs="Times New Roman"/>
        </w:rPr>
        <w:t>Engle and Kroner (1995) proposed the BEKK-GARCH (</w:t>
      </w:r>
      <w:r w:rsidRPr="004236D1">
        <w:rPr>
          <w:rFonts w:ascii="Times New Roman" w:hAnsi="Times New Roman" w:cs="Times New Roman"/>
          <w:i/>
        </w:rPr>
        <w:t>p, q</w:t>
      </w:r>
      <w:r w:rsidRPr="004236D1">
        <w:rPr>
          <w:rFonts w:ascii="Times New Roman" w:hAnsi="Times New Roman" w:cs="Times New Roman"/>
        </w:rPr>
        <w:t>) model to address the possibility of non-positive-definite covariance matrices in VEC parameterizations, making it suitable for financial and economic applications involving volatility transmission, portfolio optimization and risk management. Engle and Kroner (1995) used a quadratic form to propose the model without exogenous variables, as shown below:</w:t>
      </w:r>
    </w:p>
    <w:p w14:paraId="221D9A36" w14:textId="77777777" w:rsidR="00930BE1" w:rsidRPr="004236D1" w:rsidRDefault="00000000" w:rsidP="004236D1">
      <w:pPr>
        <w:tabs>
          <w:tab w:val="left" w:pos="720"/>
          <w:tab w:val="left" w:pos="1440"/>
          <w:tab w:val="left" w:pos="3948"/>
        </w:tabs>
        <w:spacing w:after="0" w:line="360" w:lineRule="auto"/>
        <w:jc w:val="both"/>
        <w:rPr>
          <w:rFonts w:ascii="Times New Roman" w:eastAsiaTheme="minorEastAsia" w:hAnsi="Times New Roman" w:cs="Times New Roman"/>
        </w:rPr>
      </w:pPr>
      <m:oMath>
        <m:nary>
          <m:naryPr>
            <m:chr m:val="∑"/>
            <m:limLoc m:val="subSup"/>
            <m:supHide m:val="1"/>
            <m:ctrlPr>
              <w:rPr>
                <w:rFonts w:ascii="Cambria Math" w:hAnsi="Cambria Math" w:cs="Times New Roman"/>
                <w:i/>
              </w:rPr>
            </m:ctrlPr>
          </m:naryPr>
          <m:sub>
            <m:r>
              <w:rPr>
                <w:rFonts w:ascii="Cambria Math" w:hAnsi="Cambria Math" w:cs="Times New Roman"/>
              </w:rPr>
              <m:t>t</m:t>
            </m:r>
          </m:sub>
          <m:sup/>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r>
              <w:rPr>
                <w:rFonts w:ascii="Cambria Math" w:hAnsi="Cambria Math" w:cs="Times New Roman"/>
              </w:rPr>
              <m:t>C+</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i</m:t>
                    </m:r>
                  </m:sub>
                  <m:sup>
                    <m:r>
                      <w:rPr>
                        <w:rFonts w:ascii="Cambria Math" w:hAnsi="Cambria Math" w:cs="Times New Roman"/>
                      </w:rPr>
                      <m:t>'</m:t>
                    </m:r>
                  </m:sup>
                </m:sSubSup>
              </m:e>
            </m:nary>
          </m:e>
        </m:nary>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t-1</m:t>
            </m:r>
          </m:sub>
          <m:sup>
            <m:r>
              <w:rPr>
                <w:rFonts w:ascii="Cambria Math" w:hAnsi="Cambria Math" w:cs="Times New Roman"/>
              </w:rPr>
              <m:t>'</m:t>
            </m:r>
          </m:sup>
        </m:sSubSup>
        <m:r>
          <w:rPr>
            <w:rFonts w:ascii="Cambria Math" w:hAnsi="Cambria Math" w:cs="Times New Roman"/>
          </w:rPr>
          <m:t>A+</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q</m:t>
            </m:r>
          </m:sup>
          <m:e>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j</m:t>
                </m:r>
              </m:sub>
              <m:sup>
                <m:r>
                  <w:rPr>
                    <w:rFonts w:ascii="Cambria Math" w:hAnsi="Cambria Math" w:cs="Times New Roman"/>
                  </w:rPr>
                  <m:t>'</m:t>
                </m:r>
              </m:sup>
            </m:sSubSup>
          </m:e>
        </m:nary>
        <m:nary>
          <m:naryPr>
            <m:chr m:val="∑"/>
            <m:limLoc m:val="subSup"/>
            <m:supHide m:val="1"/>
            <m:ctrlPr>
              <w:rPr>
                <w:rFonts w:ascii="Cambria Math" w:hAnsi="Cambria Math" w:cs="Times New Roman"/>
                <w:i/>
              </w:rPr>
            </m:ctrlPr>
          </m:naryPr>
          <m:sub>
            <m:r>
              <w:rPr>
                <w:rFonts w:ascii="Cambria Math" w:hAnsi="Cambria Math" w:cs="Times New Roman"/>
              </w:rPr>
              <m:t>t-1</m:t>
            </m:r>
          </m:sub>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433390"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(20</w:t>
      </w:r>
      <w:r w:rsidR="00930BE1" w:rsidRPr="004236D1">
        <w:rPr>
          <w:rFonts w:ascii="Times New Roman" w:eastAsiaTheme="minorEastAsia" w:hAnsi="Times New Roman" w:cs="Times New Roman"/>
        </w:rPr>
        <w:t>)</w:t>
      </w:r>
    </w:p>
    <w:p w14:paraId="64B1BB38"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 xml:space="preserve">Where C is m x m triangular matrix, which is to ensure </w:t>
      </w:r>
      <m:oMath>
        <m:nary>
          <m:naryPr>
            <m:chr m:val="∑"/>
            <m:limLoc m:val="undOvr"/>
            <m:supHide m:val="1"/>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rPr>
              <m:t>t</m:t>
            </m:r>
          </m:sub>
          <m:sup/>
          <m:e/>
        </m:nary>
      </m:oMath>
      <w:r w:rsidRPr="004236D1">
        <w:rPr>
          <w:rFonts w:ascii="Times New Roman" w:eastAsiaTheme="minorEastAsia" w:hAnsi="Times New Roman" w:cs="Times New Roman"/>
          <w:color w:val="000000" w:themeColor="text1"/>
        </w:rPr>
        <w:t xml:space="preserve"> </w:t>
      </w:r>
      <w:r w:rsidRPr="004236D1">
        <w:rPr>
          <w:rFonts w:ascii="Times New Roman" w:eastAsiaTheme="minorEastAsia" w:hAnsi="Times New Roman" w:cs="Times New Roman"/>
        </w:rPr>
        <w:t>to be definitely positive.</w:t>
      </w:r>
    </w:p>
    <w:p w14:paraId="116836A0"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The BEKK (1,1) model is</w:t>
      </w:r>
    </w:p>
    <w:p w14:paraId="66046573" w14:textId="77777777" w:rsidR="00930BE1" w:rsidRPr="004236D1" w:rsidRDefault="00000000" w:rsidP="004236D1">
      <w:pPr>
        <w:tabs>
          <w:tab w:val="left" w:pos="720"/>
          <w:tab w:val="left" w:pos="1440"/>
          <w:tab w:val="left" w:pos="3948"/>
        </w:tabs>
        <w:spacing w:after="0" w:line="360" w:lineRule="auto"/>
        <w:jc w:val="both"/>
        <w:rPr>
          <w:rFonts w:ascii="Times New Roman" w:eastAsiaTheme="minorEastAsia" w:hAnsi="Times New Roman" w:cs="Times New Roman"/>
        </w:rPr>
      </w:pPr>
      <m:oMath>
        <m:nary>
          <m:naryPr>
            <m:chr m:val="∑"/>
            <m:limLoc m:val="subSup"/>
            <m:supHide m:val="1"/>
            <m:ctrlPr>
              <w:rPr>
                <w:rFonts w:ascii="Cambria Math" w:hAnsi="Cambria Math" w:cs="Times New Roman"/>
                <w:i/>
              </w:rPr>
            </m:ctrlPr>
          </m:naryPr>
          <m:sub>
            <m:r>
              <w:rPr>
                <w:rFonts w:ascii="Cambria Math" w:hAnsi="Cambria Math" w:cs="Times New Roman"/>
              </w:rPr>
              <m:t>t</m:t>
            </m:r>
          </m:sub>
          <m:sup/>
          <m:e>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m:t>
                </m:r>
              </m:sup>
            </m:sSup>
            <m:r>
              <w:rPr>
                <w:rFonts w:ascii="Cambria Math" w:hAnsi="Cambria Math" w:cs="Times New Roman"/>
              </w:rPr>
              <m:t>C+</m:t>
            </m:r>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1</m:t>
                </m:r>
              </m:sub>
              <m:sup>
                <m:r>
                  <w:rPr>
                    <w:rFonts w:ascii="Cambria Math" w:hAnsi="Cambria Math" w:cs="Times New Roman"/>
                  </w:rPr>
                  <m:t>'</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t-1</m:t>
                </m:r>
              </m:sub>
            </m:sSub>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t-1</m:t>
                </m:r>
              </m:sub>
              <m:sup>
                <m:r>
                  <w:rPr>
                    <w:rFonts w:ascii="Cambria Math" w:hAnsi="Cambria Math" w:cs="Times New Roman"/>
                  </w:rPr>
                  <m:t>'</m:t>
                </m:r>
              </m:sup>
            </m:sSubSup>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m:t>
                </m:r>
              </m:sub>
            </m:sSub>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q</m:t>
            </m:r>
          </m:sup>
          <m:e>
            <m:sSubSup>
              <m:sSubSupPr>
                <m:ctrlPr>
                  <w:rPr>
                    <w:rFonts w:ascii="Cambria Math" w:hAnsi="Cambria Math" w:cs="Times New Roman"/>
                    <w:i/>
                  </w:rPr>
                </m:ctrlPr>
              </m:sSubSupPr>
              <m:e>
                <m:r>
                  <w:rPr>
                    <w:rFonts w:ascii="Cambria Math" w:hAnsi="Cambria Math" w:cs="Times New Roman"/>
                  </w:rPr>
                  <m:t>B</m:t>
                </m:r>
              </m:e>
              <m:sub>
                <m:r>
                  <w:rPr>
                    <w:rFonts w:ascii="Cambria Math" w:hAnsi="Cambria Math" w:cs="Times New Roman"/>
                  </w:rPr>
                  <m:t>j</m:t>
                </m:r>
              </m:sub>
              <m:sup>
                <m:r>
                  <w:rPr>
                    <w:rFonts w:ascii="Cambria Math" w:hAnsi="Cambria Math" w:cs="Times New Roman"/>
                  </w:rPr>
                  <m:t>'</m:t>
                </m:r>
              </m:sup>
            </m:sSubSup>
          </m:e>
        </m:nary>
        <m:nary>
          <m:naryPr>
            <m:chr m:val="∑"/>
            <m:limLoc m:val="subSup"/>
            <m:supHide m:val="1"/>
            <m:ctrlPr>
              <w:rPr>
                <w:rFonts w:ascii="Cambria Math" w:hAnsi="Cambria Math" w:cs="Times New Roman"/>
                <w:i/>
              </w:rPr>
            </m:ctrlPr>
          </m:naryPr>
          <m:sub>
            <m:r>
              <w:rPr>
                <w:rFonts w:ascii="Cambria Math" w:hAnsi="Cambria Math" w:cs="Times New Roman"/>
              </w:rPr>
              <m:t>t-1</m:t>
            </m:r>
          </m:sub>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j</m:t>
                </m:r>
              </m:sub>
            </m:sSub>
          </m:e>
        </m:nary>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433390" w:rsidRPr="004236D1">
        <w:rPr>
          <w:rFonts w:ascii="Times New Roman" w:eastAsiaTheme="minorEastAsia" w:hAnsi="Times New Roman" w:cs="Times New Roman"/>
        </w:rPr>
        <w:tab/>
        <w:t xml:space="preserve">  </w:t>
      </w:r>
      <w:r w:rsidR="001506C6" w:rsidRPr="004236D1">
        <w:rPr>
          <w:rFonts w:ascii="Times New Roman" w:eastAsiaTheme="minorEastAsia" w:hAnsi="Times New Roman" w:cs="Times New Roman"/>
        </w:rPr>
        <w:t>(21</w:t>
      </w:r>
      <w:r w:rsidR="00930BE1" w:rsidRPr="004236D1">
        <w:rPr>
          <w:rFonts w:ascii="Times New Roman" w:eastAsiaTheme="minorEastAsia" w:hAnsi="Times New Roman" w:cs="Times New Roman"/>
        </w:rPr>
        <w:t>)</w:t>
      </w:r>
    </w:p>
    <w:p w14:paraId="51B4D800"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qn. (3.28) can also be written as </w:t>
      </w:r>
    </w:p>
    <w:p w14:paraId="21CF4F12" w14:textId="77777777" w:rsidR="00930BE1" w:rsidRPr="004236D1" w:rsidRDefault="00000000" w:rsidP="004236D1">
      <w:pPr>
        <w:spacing w:line="360" w:lineRule="auto"/>
        <w:jc w:val="both"/>
        <w:rPr>
          <w:rFonts w:ascii="Times New Roman"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m:t>
            </m:r>
          </m:sup>
        </m:sSup>
        <m:r>
          <w:rPr>
            <w:rFonts w:ascii="Cambria Math" w:eastAsiaTheme="minorEastAsia" w:hAnsi="Cambria Math" w:cs="Times New Roman"/>
          </w:rPr>
          <m:t>C+</m:t>
        </m:r>
        <m:sSubSup>
          <m:sSubSupPr>
            <m:ctrlPr>
              <w:rPr>
                <w:rFonts w:ascii="Cambria Math" w:eastAsiaTheme="minorEastAsia" w:hAnsi="Cambria Math" w:cs="Times New Roman"/>
                <w:i/>
              </w:rPr>
            </m:ctrlPr>
          </m:sSubSupPr>
          <m:e>
            <m:r>
              <w:rPr>
                <w:rFonts w:ascii="Cambria Math" w:eastAsiaTheme="minorEastAsia" w:hAnsi="Cambria Math" w:cs="Times New Roman"/>
              </w:rPr>
              <m:t>A</m:t>
            </m:r>
          </m:e>
          <m:sub>
            <m:r>
              <w:rPr>
                <w:rFonts w:ascii="Cambria Math" w:eastAsiaTheme="minorEastAsia" w:hAnsi="Cambria Math" w:cs="Times New Roman"/>
              </w:rPr>
              <m:t>1</m:t>
            </m:r>
          </m:sub>
          <m:sup>
            <m:r>
              <w:rPr>
                <w:rFonts w:ascii="Cambria Math" w:eastAsiaTheme="minorEastAsia" w:hAnsi="Cambria Math" w:cs="Times New Roman"/>
              </w:rPr>
              <m:t>'</m:t>
            </m:r>
          </m:sup>
        </m:sSubSup>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t-1</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t-1</m:t>
                </m:r>
              </m:sub>
              <m:sup>
                <m:r>
                  <w:rPr>
                    <w:rFonts w:ascii="Cambria Math" w:eastAsiaTheme="minorEastAsia" w:hAnsi="Cambria Math" w:cs="Times New Roman"/>
                  </w:rPr>
                  <m:t>'</m:t>
                </m:r>
              </m:sup>
            </m:sSubSup>
            <m:r>
              <w:rPr>
                <w:rFonts w:ascii="Cambria Math" w:eastAsiaTheme="minorEastAsia" w:hAnsi="Cambria Math" w:cs="Times New Roman"/>
              </w:rPr>
              <m:t>A</m:t>
            </m:r>
          </m:e>
          <m:sub>
            <m:r>
              <w:rPr>
                <w:rFonts w:ascii="Cambria Math" w:eastAsiaTheme="minorEastAsia" w:hAnsi="Cambria Math" w:cs="Times New Roman"/>
              </w:rPr>
              <m:t>1</m:t>
            </m:r>
          </m:sub>
        </m:sSub>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B</m:t>
            </m:r>
          </m:e>
          <m:sub>
            <m:r>
              <w:rPr>
                <w:rFonts w:ascii="Cambria Math" w:eastAsiaTheme="minorEastAsia" w:hAnsi="Cambria Math" w:cs="Times New Roman"/>
              </w:rPr>
              <m:t>1</m:t>
            </m:r>
          </m:sub>
          <m:sup>
            <m:r>
              <w:rPr>
                <w:rFonts w:ascii="Cambria Math" w:eastAsiaTheme="minorEastAsia" w:hAnsi="Cambria Math" w:cs="Times New Roman"/>
              </w:rPr>
              <m:t>'</m:t>
            </m:r>
          </m:sup>
        </m:sSubSup>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t-1</m:t>
            </m:r>
          </m:sub>
        </m:sSub>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1</m:t>
            </m:r>
          </m:sub>
        </m:sSub>
      </m:oMath>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930BE1" w:rsidRPr="004236D1">
        <w:rPr>
          <w:rFonts w:ascii="Times New Roman" w:hAnsi="Times New Roman" w:cs="Times New Roman"/>
        </w:rPr>
        <w:tab/>
      </w:r>
      <w:r w:rsidR="005F5DBC" w:rsidRPr="004236D1">
        <w:rPr>
          <w:rFonts w:ascii="Times New Roman" w:hAnsi="Times New Roman" w:cs="Times New Roman"/>
        </w:rPr>
        <w:tab/>
      </w:r>
      <w:r w:rsidR="001506C6" w:rsidRPr="004236D1">
        <w:rPr>
          <w:rFonts w:ascii="Times New Roman" w:eastAsiaTheme="minorEastAsia" w:hAnsi="Times New Roman" w:cs="Times New Roman"/>
        </w:rPr>
        <w:t>(21</w:t>
      </w:r>
      <w:r w:rsidR="00930BE1" w:rsidRPr="004236D1">
        <w:rPr>
          <w:rFonts w:ascii="Times New Roman" w:eastAsiaTheme="minorEastAsia" w:hAnsi="Times New Roman" w:cs="Times New Roman"/>
        </w:rPr>
        <w:t>)</w:t>
      </w:r>
    </w:p>
    <w:p w14:paraId="29191B90"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Where </w:t>
      </w:r>
    </w:p>
    <w:p w14:paraId="43433BBA" w14:textId="77777777" w:rsidR="00930BE1" w:rsidRPr="004236D1" w:rsidRDefault="00000000" w:rsidP="004236D1">
      <w:pPr>
        <w:tabs>
          <w:tab w:val="left" w:pos="720"/>
          <w:tab w:val="left" w:pos="1440"/>
          <w:tab w:val="left" w:pos="3948"/>
        </w:tabs>
        <w:spacing w:after="0" w:line="36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m:t>
        </m:r>
        <m:d>
          <m:dPr>
            <m:begChr m:val="["/>
            <m:endChr m:val="]"/>
            <m:ctrlPr>
              <w:rPr>
                <w:rFonts w:ascii="Cambria Math" w:eastAsiaTheme="minorEastAsia" w:hAnsi="Cambria Math" w:cs="Times New Roman"/>
                <w:i/>
              </w:rPr>
            </m:ctrlPr>
          </m:dPr>
          <m:e>
            <m:m>
              <m:mPr>
                <m:mcs>
                  <m:mc>
                    <m:mcPr>
                      <m:count m:val="3"/>
                      <m:mcJc m:val="center"/>
                    </m:mcPr>
                  </m:mc>
                </m:mcs>
                <m:ctrlPr>
                  <w:rPr>
                    <w:rFonts w:ascii="Cambria Math" w:eastAsiaTheme="minorEastAsia" w:hAnsi="Cambria Math" w:cs="Times New Roman"/>
                    <w:i/>
                  </w:rPr>
                </m:ctrlPr>
              </m:mPr>
              <m:m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11,t</m:t>
                      </m:r>
                    </m:sub>
                  </m:sSub>
                </m:e>
                <m:e>
                  <m:r>
                    <w:rPr>
                      <w:rFonts w:ascii="Cambria Math"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1M,t</m:t>
                      </m:r>
                    </m:sub>
                  </m:sSub>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M1</m:t>
                      </m:r>
                    </m:sub>
                  </m:sSub>
                </m:e>
                <m:e>
                  <m:r>
                    <w:rPr>
                      <w:rFonts w:ascii="Cambria Math" w:hAnsi="Cambria Math" w:cs="Times New Roman"/>
                    </w:rPr>
                    <m:t>⋯</m:t>
                  </m:r>
                </m:e>
                <m:e>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MM,t</m:t>
                      </m:r>
                    </m:sub>
                  </m:sSub>
                </m:e>
              </m:mr>
            </m:m>
          </m:e>
        </m:d>
      </m:oMath>
      <w:r w:rsidR="00930BE1" w:rsidRPr="004236D1">
        <w:rPr>
          <w:rFonts w:ascii="Times New Roman" w:eastAsiaTheme="minorEastAsia" w:hAnsi="Times New Roman" w:cs="Times New Roman"/>
        </w:rPr>
        <w:t xml:space="preserve">  </w:t>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(22</w:t>
      </w:r>
      <w:r w:rsidR="00930BE1" w:rsidRPr="004236D1">
        <w:rPr>
          <w:rFonts w:ascii="Times New Roman" w:eastAsiaTheme="minorEastAsia" w:hAnsi="Times New Roman" w:cs="Times New Roman"/>
        </w:rPr>
        <w:t>)</w:t>
      </w:r>
    </w:p>
    <w:p w14:paraId="0557354D"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is the conditional covariance matrix</w:t>
      </w:r>
    </w:p>
    <w:p w14:paraId="7DA47F92"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 xml:space="preserve">C = </w:t>
      </w:r>
      <m:oMath>
        <m:d>
          <m:dPr>
            <m:ctrlPr>
              <w:rPr>
                <w:rFonts w:ascii="Cambria Math" w:eastAsiaTheme="minorEastAsia" w:hAnsi="Cambria Math" w:cs="Times New Roman"/>
                <w:i/>
                <w:color w:val="000000" w:themeColor="text1"/>
              </w:rPr>
            </m:ctrlPr>
          </m:dPr>
          <m:e>
            <m:f>
              <m:fPr>
                <m:type m:val="noBar"/>
                <m:ctrlPr>
                  <w:rPr>
                    <w:rFonts w:ascii="Cambria Math" w:eastAsiaTheme="minorEastAsia" w:hAnsi="Cambria Math" w:cs="Times New Roman"/>
                    <w:i/>
                    <w:color w:val="000000" w:themeColor="text1"/>
                  </w:rPr>
                </m:ctrlPr>
              </m:fPr>
              <m:num>
                <m:m>
                  <m:mPr>
                    <m:mcs>
                      <m:mc>
                        <m:mcPr>
                          <m:count m:val="3"/>
                          <m:mcJc m:val="center"/>
                        </m:mcPr>
                      </m:mc>
                    </m:mcs>
                    <m:ctrlPr>
                      <w:rPr>
                        <w:rFonts w:ascii="Cambria Math" w:eastAsiaTheme="minorEastAsia" w:hAnsi="Cambria Math" w:cs="Times New Roman"/>
                        <w:i/>
                        <w:color w:val="000000" w:themeColor="text1"/>
                      </w:rPr>
                    </m:ctrlPr>
                  </m:mPr>
                  <m:m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11</m:t>
                          </m:r>
                        </m:sub>
                      </m:sSub>
                    </m:e>
                    <m:e>
                      <m:r>
                        <w:rPr>
                          <w:rFonts w:ascii="Cambria Math" w:eastAsiaTheme="minorEastAsia" w:hAnsi="Cambria Math" w:cs="Times New Roman"/>
                          <w:color w:val="000000" w:themeColor="text1"/>
                        </w:rPr>
                        <m:t>0</m:t>
                      </m:r>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r>
                              <w:rPr>
                                <w:rFonts w:ascii="Cambria Math" w:eastAsiaTheme="minorEastAsia" w:hAnsi="Cambria Math" w:cs="Times New Roman"/>
                                <w:color w:val="000000" w:themeColor="text1"/>
                              </w:rPr>
                              <m:t>0</m:t>
                            </m:r>
                          </m:e>
                        </m:mr>
                      </m:m>
                    </m:e>
                  </m:mr>
                  <m:m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21</m:t>
                          </m:r>
                        </m:sub>
                      </m:sSub>
                    </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22</m:t>
                          </m:r>
                        </m:sub>
                      </m:sSub>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r>
                              <w:rPr>
                                <w:rFonts w:ascii="Cambria Math" w:eastAsiaTheme="minorEastAsia" w:hAnsi="Cambria Math" w:cs="Times New Roman"/>
                                <w:color w:val="000000" w:themeColor="text1"/>
                              </w:rPr>
                              <m:t>0</m:t>
                            </m:r>
                          </m:e>
                        </m:mr>
                      </m:m>
                    </m:e>
                  </m:mr>
                  <m:mr>
                    <m:e>
                      <m:r>
                        <w:rPr>
                          <w:rFonts w:ascii="Cambria Math" w:hAnsi="Cambria Math" w:cs="Times New Roman"/>
                          <w:color w:val="000000" w:themeColor="text1"/>
                        </w:rPr>
                        <m:t>⋮</m:t>
                      </m:r>
                    </m:e>
                    <m:e>
                      <m:r>
                        <w:rPr>
                          <w:rFonts w:ascii="Cambria Math" w:hAnsi="Cambria Math" w:cs="Times New Roman"/>
                          <w:color w:val="000000" w:themeColor="text1"/>
                        </w:rPr>
                        <m:t>⋮</m:t>
                      </m:r>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r>
                              <w:rPr>
                                <w:rFonts w:ascii="Cambria Math" w:hAnsi="Cambria Math" w:cs="Times New Roman"/>
                                <w:color w:val="000000" w:themeColor="text1"/>
                              </w:rPr>
                              <m:t>⋮</m:t>
                            </m:r>
                          </m:e>
                        </m:mr>
                      </m:m>
                    </m:e>
                  </m:mr>
                </m:m>
              </m:num>
              <m:den>
                <m:m>
                  <m:mPr>
                    <m:mcs>
                      <m:mc>
                        <m:mcPr>
                          <m:count m:val="3"/>
                          <m:mcJc m:val="center"/>
                        </m:mcPr>
                      </m:mc>
                    </m:mcs>
                    <m:ctrlPr>
                      <w:rPr>
                        <w:rFonts w:ascii="Cambria Math" w:eastAsiaTheme="minorEastAsia" w:hAnsi="Cambria Math" w:cs="Times New Roman"/>
                        <w:i/>
                        <w:color w:val="000000" w:themeColor="text1"/>
                      </w:rPr>
                    </m:ctrlPr>
                  </m:mPr>
                  <m:mr>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M1</m:t>
                          </m:r>
                        </m:sub>
                      </m:sSub>
                    </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M2</m:t>
                          </m:r>
                        </m:sub>
                      </m:sSub>
                    </m:e>
                    <m:e>
                      <m:m>
                        <m:mPr>
                          <m:mcs>
                            <m:mc>
                              <m:mcPr>
                                <m:count m:val="2"/>
                                <m:mcJc m:val="center"/>
                              </m:mcPr>
                            </m:mc>
                          </m:mcs>
                          <m:ctrlPr>
                            <w:rPr>
                              <w:rFonts w:ascii="Cambria Math" w:eastAsiaTheme="minorEastAsia" w:hAnsi="Cambria Math" w:cs="Times New Roman"/>
                              <w:i/>
                              <w:color w:val="000000" w:themeColor="text1"/>
                            </w:rPr>
                          </m:ctrlPr>
                        </m:mPr>
                        <m:mr>
                          <m:e>
                            <m:r>
                              <w:rPr>
                                <w:rFonts w:ascii="Cambria Math" w:hAnsi="Cambria Math" w:cs="Times New Roman"/>
                                <w:color w:val="000000" w:themeColor="text1"/>
                              </w:rPr>
                              <m:t>…</m:t>
                            </m:r>
                          </m:e>
                          <m:e>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MM</m:t>
                                </m:r>
                              </m:sub>
                            </m:sSub>
                          </m:e>
                        </m:mr>
                      </m:m>
                    </m:e>
                  </m:mr>
                </m:m>
              </m:den>
            </m:f>
          </m:e>
        </m:d>
      </m:oMath>
      <w:r w:rsidRPr="004236D1">
        <w:rPr>
          <w:rFonts w:ascii="Times New Roman" w:eastAsiaTheme="minorEastAsia" w:hAnsi="Times New Roman" w:cs="Times New Roman"/>
          <w:color w:val="000000" w:themeColor="text1"/>
        </w:rPr>
        <w:t xml:space="preserve"> </w:t>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ab/>
      </w:r>
      <w:r w:rsidR="005F5DBC" w:rsidRPr="004236D1">
        <w:rPr>
          <w:rFonts w:ascii="Times New Roman" w:eastAsiaTheme="minorEastAsia" w:hAnsi="Times New Roman" w:cs="Times New Roman"/>
          <w:color w:val="000000" w:themeColor="text1"/>
        </w:rPr>
        <w:tab/>
      </w:r>
      <w:r w:rsidR="001506C6" w:rsidRPr="004236D1">
        <w:rPr>
          <w:rFonts w:ascii="Times New Roman" w:eastAsiaTheme="minorEastAsia" w:hAnsi="Times New Roman" w:cs="Times New Roman"/>
          <w:color w:val="000000" w:themeColor="text1"/>
        </w:rPr>
        <w:t>(23</w:t>
      </w:r>
      <w:r w:rsidRPr="004236D1">
        <w:rPr>
          <w:rFonts w:ascii="Times New Roman" w:eastAsiaTheme="minorEastAsia" w:hAnsi="Times New Roman" w:cs="Times New Roman"/>
          <w:color w:val="000000" w:themeColor="text1"/>
        </w:rPr>
        <w:t>)</w:t>
      </w:r>
    </w:p>
    <w:p w14:paraId="2ABEF183"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is a lower triangular matrix,</w:t>
      </w:r>
    </w:p>
    <w:p w14:paraId="7A43F099"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b/>
        </w:rPr>
        <w:t xml:space="preserve">A </w:t>
      </w:r>
      <w:r w:rsidRPr="004236D1">
        <w:rPr>
          <w:rFonts w:ascii="Times New Roman" w:hAnsi="Times New Roman" w:cs="Times New Roman"/>
        </w:rPr>
        <w:t>= (</w:t>
      </w:r>
      <w:proofErr w:type="spellStart"/>
      <w:r w:rsidRPr="004236D1">
        <w:rPr>
          <w:rFonts w:ascii="Times New Roman" w:hAnsi="Times New Roman" w:cs="Times New Roman"/>
        </w:rPr>
        <w:t>a</w:t>
      </w:r>
      <w:r w:rsidRPr="004236D1">
        <w:rPr>
          <w:rFonts w:ascii="Times New Roman" w:hAnsi="Times New Roman" w:cs="Times New Roman"/>
          <w:vertAlign w:val="subscript"/>
        </w:rPr>
        <w:t>ij</w:t>
      </w:r>
      <w:proofErr w:type="spellEnd"/>
      <w:r w:rsidRPr="004236D1">
        <w:rPr>
          <w:rFonts w:ascii="Times New Roman" w:hAnsi="Times New Roman" w:cs="Times New Roman"/>
        </w:rPr>
        <w:t>) M x M</w:t>
      </w:r>
    </w:p>
    <w:p w14:paraId="1B721EC3"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is the ARCH parameter matrix,</w:t>
      </w:r>
    </w:p>
    <w:p w14:paraId="0412D804"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 xml:space="preserve">and </w:t>
      </w:r>
    </w:p>
    <w:p w14:paraId="61F5B544"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B = (</w:t>
      </w:r>
      <w:proofErr w:type="spellStart"/>
      <w:r w:rsidRPr="004236D1">
        <w:rPr>
          <w:rFonts w:ascii="Times New Roman" w:hAnsi="Times New Roman" w:cs="Times New Roman"/>
        </w:rPr>
        <w:t>b</w:t>
      </w:r>
      <w:r w:rsidRPr="004236D1">
        <w:rPr>
          <w:rFonts w:ascii="Times New Roman" w:hAnsi="Times New Roman" w:cs="Times New Roman"/>
          <w:vertAlign w:val="subscript"/>
        </w:rPr>
        <w:t>ij</w:t>
      </w:r>
      <w:proofErr w:type="spellEnd"/>
      <w:r w:rsidRPr="004236D1">
        <w:rPr>
          <w:rFonts w:ascii="Times New Roman" w:hAnsi="Times New Roman" w:cs="Times New Roman"/>
        </w:rPr>
        <w:t>) M x M</w:t>
      </w:r>
    </w:p>
    <w:p w14:paraId="2A37EB2A" w14:textId="77777777" w:rsidR="00930BE1" w:rsidRPr="004236D1" w:rsidRDefault="00930BE1" w:rsidP="004236D1">
      <w:pPr>
        <w:tabs>
          <w:tab w:val="left" w:pos="720"/>
          <w:tab w:val="left" w:pos="1440"/>
          <w:tab w:val="left" w:pos="3948"/>
        </w:tabs>
        <w:spacing w:after="0" w:line="360" w:lineRule="auto"/>
        <w:jc w:val="both"/>
        <w:rPr>
          <w:rFonts w:ascii="Times New Roman" w:hAnsi="Times New Roman" w:cs="Times New Roman"/>
        </w:rPr>
      </w:pPr>
      <w:r w:rsidRPr="004236D1">
        <w:rPr>
          <w:rFonts w:ascii="Times New Roman" w:hAnsi="Times New Roman" w:cs="Times New Roman"/>
        </w:rPr>
        <w:t>is the GARCH parameter matrix</w:t>
      </w:r>
    </w:p>
    <w:p w14:paraId="3E456E98" w14:textId="77777777" w:rsidR="00930BE1" w:rsidRPr="004236D1" w:rsidRDefault="00930BE1" w:rsidP="004236D1">
      <w:pPr>
        <w:tabs>
          <w:tab w:val="left" w:pos="720"/>
          <w:tab w:val="left" w:pos="1440"/>
          <w:tab w:val="left" w:pos="3948"/>
        </w:tabs>
        <w:spacing w:after="0" w:line="360" w:lineRule="auto"/>
        <w:jc w:val="both"/>
        <w:rPr>
          <w:rFonts w:ascii="Times New Roman" w:eastAsiaTheme="minorEastAsia" w:hAnsi="Times New Roman" w:cs="Times New Roman"/>
          <w:color w:val="000000" w:themeColor="text1"/>
        </w:rPr>
      </w:pPr>
      <w:r w:rsidRPr="004236D1">
        <w:rPr>
          <w:rFonts w:ascii="Times New Roman" w:eastAsiaTheme="minorEastAsia" w:hAnsi="Times New Roman" w:cs="Times New Roman"/>
          <w:color w:val="000000" w:themeColor="text1"/>
        </w:rPr>
        <w:t xml:space="preserve">The model will be stationary if and only if the eigenvalue of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1</m:t>
            </m:r>
          </m:sub>
          <m:sup>
            <m:r>
              <w:rPr>
                <w:rFonts w:ascii="Cambria Math" w:eastAsiaTheme="minorEastAsia" w:hAnsi="Cambria Math" w:cs="Times New Roman"/>
                <w:color w:val="000000" w:themeColor="text1"/>
              </w:rPr>
              <m:t>'</m:t>
            </m:r>
          </m:sup>
        </m:sSubSup>
        <m:r>
          <w:rPr>
            <w:rFonts w:ascii="Cambria Math" w:eastAsiaTheme="minorEastAsia" w:hAnsi="Cambria Math" w:cs="Times New Roman"/>
            <w:color w:val="000000" w:themeColor="text1"/>
          </w:rPr>
          <m:t xml:space="preserve">⊗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A</m:t>
            </m:r>
          </m:e>
          <m:sub>
            <m:r>
              <w:rPr>
                <w:rFonts w:ascii="Cambria Math" w:eastAsiaTheme="minorEastAsia" w:hAnsi="Cambria Math" w:cs="Times New Roman"/>
                <w:color w:val="000000" w:themeColor="text1"/>
              </w:rPr>
              <m:t>1</m:t>
            </m:r>
          </m:sub>
        </m:sSub>
      </m:oMath>
      <w:r w:rsidRPr="004236D1">
        <w:rPr>
          <w:rFonts w:ascii="Times New Roman" w:eastAsiaTheme="minorEastAsia" w:hAnsi="Times New Roman" w:cs="Times New Roman"/>
          <w:color w:val="000000" w:themeColor="text1"/>
        </w:rPr>
        <w:t xml:space="preserve"> +</w:t>
      </w:r>
      <m:oMath>
        <m:sSubSup>
          <m:sSubSupPr>
            <m:ctrlPr>
              <w:rPr>
                <w:rFonts w:ascii="Cambria Math" w:eastAsiaTheme="minorEastAsia" w:hAnsi="Cambria Math" w:cs="Times New Roman"/>
                <w:i/>
                <w:color w:val="000000" w:themeColor="text1"/>
              </w:rPr>
            </m:ctrlPr>
          </m:sSubSup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1</m:t>
            </m:r>
          </m:sub>
          <m:sup>
            <m:r>
              <w:rPr>
                <w:rFonts w:ascii="Cambria Math" w:eastAsiaTheme="minorEastAsia" w:hAnsi="Cambria Math" w:cs="Times New Roman"/>
                <w:color w:val="000000" w:themeColor="text1"/>
              </w:rPr>
              <m:t>'</m:t>
            </m:r>
          </m:sup>
        </m:sSubSup>
        <m:r>
          <w:rPr>
            <w:rFonts w:ascii="Cambria Math" w:eastAsiaTheme="minorEastAsia" w:hAnsi="Cambria Math" w:cs="Times New Roman"/>
            <w:color w:val="000000" w:themeColor="text1"/>
          </w:rPr>
          <m:t xml:space="preserve">⊗ </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B</m:t>
            </m:r>
          </m:e>
          <m:sub>
            <m:r>
              <w:rPr>
                <w:rFonts w:ascii="Cambria Math" w:eastAsiaTheme="minorEastAsia" w:hAnsi="Cambria Math" w:cs="Times New Roman"/>
                <w:color w:val="000000" w:themeColor="text1"/>
              </w:rPr>
              <m:t>1</m:t>
            </m:r>
          </m:sub>
        </m:sSub>
      </m:oMath>
      <w:r w:rsidRPr="004236D1">
        <w:rPr>
          <w:rFonts w:ascii="Times New Roman" w:eastAsiaTheme="minorEastAsia" w:hAnsi="Times New Roman" w:cs="Times New Roman"/>
          <w:color w:val="000000" w:themeColor="text1"/>
        </w:rPr>
        <w:t xml:space="preserve"> are in the unit circle where </w:t>
      </w:r>
      <m:oMath>
        <m:r>
          <w:rPr>
            <w:rFonts w:ascii="Cambria Math" w:eastAsiaTheme="minorEastAsia" w:hAnsi="Cambria Math" w:cs="Times New Roman"/>
            <w:color w:val="000000" w:themeColor="text1"/>
          </w:rPr>
          <m:t>⊗</m:t>
        </m:r>
      </m:oMath>
      <w:r w:rsidRPr="004236D1">
        <w:rPr>
          <w:rFonts w:ascii="Times New Roman" w:eastAsiaTheme="minorEastAsia" w:hAnsi="Times New Roman" w:cs="Times New Roman"/>
          <w:color w:val="000000" w:themeColor="text1"/>
        </w:rPr>
        <w:t xml:space="preserve"> the Kronecker product of two matrices.</w:t>
      </w:r>
    </w:p>
    <w:p w14:paraId="08B089E0" w14:textId="77777777" w:rsidR="00B113BC" w:rsidRPr="004236D1" w:rsidRDefault="00B113BC" w:rsidP="004236D1">
      <w:pPr>
        <w:spacing w:after="0" w:line="360" w:lineRule="auto"/>
        <w:jc w:val="both"/>
        <w:rPr>
          <w:rFonts w:ascii="Times New Roman" w:hAnsi="Times New Roman" w:cs="Times New Roman"/>
          <w:b/>
        </w:rPr>
      </w:pPr>
    </w:p>
    <w:p w14:paraId="77A602E1" w14:textId="77777777" w:rsidR="00930BE1" w:rsidRPr="004236D1" w:rsidRDefault="00930BE1" w:rsidP="004236D1">
      <w:pPr>
        <w:spacing w:after="0" w:line="360" w:lineRule="auto"/>
        <w:jc w:val="both"/>
        <w:rPr>
          <w:rFonts w:ascii="Times New Roman" w:hAnsi="Times New Roman" w:cs="Times New Roman"/>
          <w:b/>
          <w:bCs/>
          <w:iCs/>
          <w:color w:val="000000" w:themeColor="text1"/>
        </w:rPr>
      </w:pPr>
      <w:r w:rsidRPr="004236D1">
        <w:rPr>
          <w:rFonts w:ascii="Times New Roman" w:hAnsi="Times New Roman" w:cs="Times New Roman"/>
          <w:b/>
          <w:bCs/>
          <w:iCs/>
          <w:color w:val="000000" w:themeColor="text1"/>
        </w:rPr>
        <w:t xml:space="preserve">Parameter Estimation of BEKK GARCH </w:t>
      </w:r>
    </w:p>
    <w:p w14:paraId="36C96DE5" w14:textId="77777777" w:rsidR="00930BE1" w:rsidRPr="004236D1" w:rsidRDefault="00930BE1" w:rsidP="004236D1">
      <w:pPr>
        <w:spacing w:after="0" w:line="360" w:lineRule="auto"/>
        <w:jc w:val="both"/>
        <w:rPr>
          <w:rFonts w:ascii="Times New Roman" w:hAnsi="Times New Roman" w:cs="Times New Roman"/>
          <w:bCs/>
          <w:iCs/>
          <w:color w:val="000000" w:themeColor="text1"/>
        </w:rPr>
      </w:pPr>
      <w:r w:rsidRPr="004236D1">
        <w:rPr>
          <w:rFonts w:ascii="Times New Roman" w:hAnsi="Times New Roman" w:cs="Times New Roman"/>
          <w:bCs/>
          <w:iCs/>
          <w:color w:val="000000" w:themeColor="text1"/>
        </w:rPr>
        <w:t>Assume</w:t>
      </w:r>
    </w:p>
    <w:p w14:paraId="6889C347" w14:textId="77777777" w:rsidR="00930BE1" w:rsidRPr="004236D1" w:rsidRDefault="00000000" w:rsidP="004236D1">
      <w:pPr>
        <w:spacing w:after="0" w:line="360" w:lineRule="auto"/>
        <w:jc w:val="both"/>
        <w:rPr>
          <w:rFonts w:ascii="Times New Roman" w:eastAsiaTheme="minorEastAsia" w:hAnsi="Times New Roman" w:cs="Times New Roman"/>
          <w:b/>
        </w:rPr>
      </w:pPr>
      <m:oMath>
        <m:sSub>
          <m:sSubPr>
            <m:ctrlPr>
              <w:rPr>
                <w:rFonts w:ascii="Cambria Math" w:hAnsi="Cambria Math" w:cs="Times New Roman"/>
                <w:b/>
                <w:i/>
              </w:rPr>
            </m:ctrlPr>
          </m:sSubPr>
          <m:e>
            <m:r>
              <m:rPr>
                <m:sty m:val="bi"/>
              </m:rPr>
              <w:rPr>
                <w:rFonts w:ascii="Cambria Math" w:hAnsi="Cambria Math" w:cs="Times New Roman"/>
              </w:rPr>
              <m:t>ε</m:t>
            </m:r>
          </m:e>
          <m:sub>
            <m:r>
              <m:rPr>
                <m:sty m:val="bi"/>
              </m:rPr>
              <w:rPr>
                <w:rFonts w:ascii="Cambria Math" w:hAnsi="Cambria Math" w:cs="Times New Roman"/>
              </w:rPr>
              <m:t>t</m:t>
            </m:r>
          </m:sub>
        </m:sSub>
        <m:r>
          <m:rPr>
            <m:sty m:val="bi"/>
          </m:rP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Ω</m:t>
            </m:r>
          </m:e>
          <m:sub>
            <m:r>
              <m:rPr>
                <m:sty m:val="bi"/>
              </m:rPr>
              <w:rPr>
                <w:rFonts w:ascii="Cambria Math" w:hAnsi="Cambria Math" w:cs="Times New Roman"/>
              </w:rPr>
              <m:t>t-1</m:t>
            </m:r>
          </m:sub>
        </m:sSub>
        <m:r>
          <m:rPr>
            <m:sty m:val="bi"/>
          </m:rPr>
          <w:rPr>
            <w:rFonts w:ascii="Cambria Math" w:eastAsiaTheme="minorEastAsia" w:hAnsi="Cambria Math" w:cs="Times New Roman"/>
          </w:rPr>
          <m:t>~</m:t>
        </m:r>
      </m:oMath>
      <w:proofErr w:type="gramStart"/>
      <w:r w:rsidR="00930BE1" w:rsidRPr="004236D1">
        <w:rPr>
          <w:rFonts w:ascii="Times New Roman" w:eastAsiaTheme="minorEastAsia" w:hAnsi="Times New Roman" w:cs="Times New Roman"/>
          <w:b/>
        </w:rPr>
        <w:t>N(</w:t>
      </w:r>
      <w:proofErr w:type="gramEnd"/>
      <w:r w:rsidR="00930BE1" w:rsidRPr="004236D1">
        <w:rPr>
          <w:rFonts w:ascii="Times New Roman" w:eastAsiaTheme="minorEastAsia" w:hAnsi="Times New Roman" w:cs="Times New Roman"/>
        </w:rPr>
        <w:t>0,</w:t>
      </w:r>
      <w:r w:rsidR="00930BE1" w:rsidRPr="004236D1">
        <w:rPr>
          <w:rFonts w:ascii="Times New Roman" w:eastAsiaTheme="minorEastAsia" w:hAnsi="Times New Roman" w:cs="Times New Roman"/>
          <w:b/>
        </w:rPr>
        <w:t xml:space="preserve"> </w:t>
      </w:r>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t</m:t>
            </m:r>
          </m:sub>
        </m:sSub>
      </m:oMath>
      <w:r w:rsidR="00930BE1" w:rsidRPr="004236D1">
        <w:rPr>
          <w:rFonts w:ascii="Times New Roman" w:eastAsiaTheme="minorEastAsia" w:hAnsi="Times New Roman" w:cs="Times New Roman"/>
          <w:b/>
        </w:rPr>
        <w:t>)</w:t>
      </w:r>
    </w:p>
    <w:p w14:paraId="081579E0"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Therefore, </w:t>
      </w:r>
    </w:p>
    <w:p w14:paraId="3AF13C40" w14:textId="77777777" w:rsidR="00930BE1" w:rsidRPr="004236D1" w:rsidRDefault="00930BE1" w:rsidP="004236D1">
      <w:pPr>
        <w:spacing w:after="0" w:line="360" w:lineRule="auto"/>
        <w:jc w:val="both"/>
        <w:rPr>
          <w:rFonts w:ascii="Times New Roman" w:hAnsi="Times New Roman" w:cs="Times New Roman"/>
        </w:rPr>
      </w:pPr>
      <m:oMath>
        <m:r>
          <w:rPr>
            <w:rFonts w:ascii="Cambria Math" w:hAnsi="Cambria Math" w:cs="Times New Roman"/>
          </w:rPr>
          <m:t>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(2π)</m:t>
                </m:r>
              </m:e>
              <m:sup>
                <m:r>
                  <w:rPr>
                    <w:rFonts w:ascii="Cambria Math" w:hAnsi="Cambria Math" w:cs="Times New Roman"/>
                  </w:rPr>
                  <m:t>M/2</m:t>
                </m:r>
              </m:sup>
            </m:sSup>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H</m:t>
                    </m:r>
                  </m:e>
                </m:d>
              </m:e>
              <m:sup>
                <m:r>
                  <w:rPr>
                    <w:rFonts w:ascii="Cambria Math" w:hAnsi="Cambria Math" w:cs="Times New Roman"/>
                  </w:rPr>
                  <m:t>1/2</m:t>
                </m:r>
              </m:sup>
            </m:sSup>
          </m:den>
        </m:f>
        <m:r>
          <w:rPr>
            <w:rFonts w:ascii="Cambria Math" w:hAnsi="Cambria Math" w:cs="Times New Roman"/>
          </w:rPr>
          <m:t>exp</m:t>
        </m:r>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(24</w:t>
      </w:r>
      <w:r w:rsidRPr="004236D1">
        <w:rPr>
          <w:rFonts w:ascii="Times New Roman" w:eastAsiaTheme="minorEastAsia" w:hAnsi="Times New Roman" w:cs="Times New Roman"/>
        </w:rPr>
        <w:t>)</w:t>
      </w:r>
    </w:p>
    <w:p w14:paraId="53A12DBA"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Suppose there are T observations; the joint likelihood function is </w:t>
      </w:r>
    </w:p>
    <w:p w14:paraId="69642789"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r>
              <w:rPr>
                <w:rFonts w:ascii="Cambria Math" w:hAnsi="Cambria Math" w:cs="Times New Roman"/>
              </w:rPr>
              <m:t>f(</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e>
        </m:nary>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(25)</w:t>
      </w:r>
    </w:p>
    <w:p w14:paraId="424DB359"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Substituting the multivariate normal density</w:t>
      </w:r>
    </w:p>
    <w:p w14:paraId="39E62B7C"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(2π)</m:t>
                    </m:r>
                  </m:e>
                  <m:sup>
                    <m:r>
                      <w:rPr>
                        <w:rFonts w:ascii="Cambria Math" w:hAnsi="Cambria Math" w:cs="Times New Roman"/>
                      </w:rPr>
                      <m:t>M/2</m:t>
                    </m:r>
                  </m:sup>
                </m:sSup>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H</m:t>
                        </m:r>
                      </m:e>
                    </m:d>
                  </m:e>
                  <m:sup>
                    <m:r>
                      <w:rPr>
                        <w:rFonts w:ascii="Cambria Math" w:hAnsi="Cambria Math" w:cs="Times New Roman"/>
                      </w:rPr>
                      <m:t>1/2</m:t>
                    </m:r>
                  </m:sup>
                </m:sSup>
              </m:den>
            </m:f>
          </m:e>
        </m:nary>
        <m:r>
          <w:rPr>
            <w:rFonts w:ascii="Cambria Math" w:hAnsi="Cambria Math" w:cs="Times New Roman"/>
          </w:rPr>
          <m:t>exp</m:t>
        </m:r>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d>
      </m:oMath>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1506C6" w:rsidRPr="004236D1">
        <w:rPr>
          <w:rFonts w:ascii="Times New Roman" w:eastAsiaTheme="minorEastAsia" w:hAnsi="Times New Roman" w:cs="Times New Roman"/>
        </w:rPr>
        <w:t>(26</w:t>
      </w:r>
      <w:r w:rsidRPr="004236D1">
        <w:rPr>
          <w:rFonts w:ascii="Times New Roman" w:eastAsiaTheme="minorEastAsia" w:hAnsi="Times New Roman" w:cs="Times New Roman"/>
        </w:rPr>
        <w:t>)</w:t>
      </w:r>
    </w:p>
    <w:p w14:paraId="4E1EF8D5"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Taking logarithms,</w:t>
      </w:r>
    </w:p>
    <w:p w14:paraId="153CD37B"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=InL(θ)</m:t>
        </m:r>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(27</w:t>
      </w:r>
      <w:r w:rsidRPr="004236D1">
        <w:rPr>
          <w:rFonts w:ascii="Times New Roman" w:eastAsiaTheme="minorEastAsia" w:hAnsi="Times New Roman" w:cs="Times New Roman"/>
        </w:rPr>
        <w:t>)</w:t>
      </w:r>
    </w:p>
    <w:p w14:paraId="5989CFD4"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Hence,</w:t>
      </w:r>
    </w:p>
    <w:p w14:paraId="16F6D00F"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w:lastRenderedPageBreak/>
          <m:t>l</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TN</m:t>
            </m:r>
          </m:num>
          <m:den>
            <m:r>
              <w:rPr>
                <w:rFonts w:ascii="Cambria Math" w:hAnsi="Cambria Math" w:cs="Times New Roman"/>
              </w:rPr>
              <m:t>2</m:t>
            </m:r>
          </m:den>
        </m:f>
        <m:r>
          <w:rPr>
            <w:rFonts w:ascii="Cambria Math" w:hAnsi="Cambria Math" w:cs="Times New Roman"/>
          </w:rPr>
          <m:t>In</m:t>
        </m:r>
        <m:d>
          <m:dPr>
            <m:ctrlPr>
              <w:rPr>
                <w:rFonts w:ascii="Cambria Math" w:hAnsi="Cambria Math" w:cs="Times New Roman"/>
                <w:i/>
              </w:rPr>
            </m:ctrlPr>
          </m:dPr>
          <m:e>
            <m:r>
              <w:rPr>
                <w:rFonts w:ascii="Cambria Math" w:hAnsi="Cambria Math" w:cs="Times New Roman"/>
              </w:rPr>
              <m:t>2π</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r>
              <w:rPr>
                <w:rFonts w:ascii="Cambria Math" w:hAnsi="Cambria Math" w:cs="Times New Roman"/>
              </w:rPr>
              <m:t>In</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e>
            </m:d>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e>
        </m:nary>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(28</w:t>
      </w:r>
      <w:r w:rsidRPr="004236D1">
        <w:rPr>
          <w:rFonts w:ascii="Times New Roman" w:eastAsiaTheme="minorEastAsia" w:hAnsi="Times New Roman" w:cs="Times New Roman"/>
        </w:rPr>
        <w:t>)</w:t>
      </w:r>
    </w:p>
    <w:p w14:paraId="15989356"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The maximum likelihood estimator is </w:t>
      </w:r>
    </w:p>
    <w:p w14:paraId="19591373"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θ=arg</m:t>
        </m:r>
        <m:sPre>
          <m:sPrePr>
            <m:ctrlPr>
              <w:rPr>
                <w:rFonts w:ascii="Cambria Math" w:hAnsi="Cambria Math" w:cs="Times New Roman"/>
                <w:i/>
              </w:rPr>
            </m:ctrlPr>
          </m:sPrePr>
          <m:sub>
            <m:r>
              <w:rPr>
                <w:rFonts w:ascii="Cambria Math" w:hAnsi="Cambria Math" w:cs="Times New Roman"/>
              </w:rPr>
              <m:t>θ</m:t>
            </m:r>
          </m:sub>
          <m:sup>
            <m:r>
              <w:rPr>
                <w:rFonts w:ascii="Cambria Math" w:hAnsi="Cambria Math" w:cs="Times New Roman"/>
              </w:rPr>
              <m:t>max</m:t>
            </m:r>
          </m:sup>
          <m:e>
            <m:r>
              <w:rPr>
                <w:rFonts w:ascii="Cambria Math" w:hAnsi="Cambria Math" w:cs="Times New Roman"/>
              </w:rPr>
              <m:t>l(θ)</m:t>
            </m:r>
          </m:e>
        </m:sPre>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(29</w:t>
      </w:r>
      <w:r w:rsidRPr="004236D1">
        <w:rPr>
          <w:rFonts w:ascii="Times New Roman" w:eastAsiaTheme="minorEastAsia" w:hAnsi="Times New Roman" w:cs="Times New Roman"/>
        </w:rPr>
        <w:t>)</w:t>
      </w:r>
    </w:p>
    <w:p w14:paraId="094BE80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Or </w:t>
      </w:r>
    </w:p>
    <w:p w14:paraId="40108EA3" w14:textId="77777777" w:rsidR="00930BE1" w:rsidRPr="004236D1" w:rsidRDefault="00000000" w:rsidP="004236D1">
      <w:pPr>
        <w:spacing w:after="0" w:line="360" w:lineRule="auto"/>
        <w:jc w:val="both"/>
        <w:rPr>
          <w:rFonts w:ascii="Times New Roman" w:hAnsi="Times New Roman" w:cs="Times New Roman"/>
        </w:rPr>
      </w:pPr>
      <m:oMath>
        <m:box>
          <m:boxPr>
            <m:opEmu m:val="1"/>
            <m:ctrlPr>
              <w:rPr>
                <w:rFonts w:ascii="Cambria Math" w:hAnsi="Cambria Math" w:cs="Times New Roman"/>
                <w:i/>
              </w:rPr>
            </m:ctrlPr>
          </m:boxPr>
          <m:e>
            <m:acc>
              <m:accPr>
                <m:ctrlPr>
                  <w:rPr>
                    <w:rFonts w:ascii="Cambria Math" w:hAnsi="Cambria Math" w:cs="Times New Roman"/>
                    <w:i/>
                  </w:rPr>
                </m:ctrlPr>
              </m:accPr>
              <m:e>
                <m:r>
                  <w:rPr>
                    <w:rFonts w:ascii="Cambria Math" w:hAnsi="Cambria Math" w:cs="Times New Roman"/>
                  </w:rPr>
                  <m:t>θ</m:t>
                </m:r>
              </m:e>
            </m:acc>
          </m:e>
        </m:box>
        <m:r>
          <w:rPr>
            <w:rFonts w:ascii="Cambria Math" w:hAnsi="Cambria Math" w:cs="Times New Roman"/>
          </w:rPr>
          <m:t>= arg</m:t>
        </m:r>
        <m:sPre>
          <m:sPrePr>
            <m:ctrlPr>
              <w:rPr>
                <w:rFonts w:ascii="Cambria Math" w:hAnsi="Cambria Math" w:cs="Times New Roman"/>
                <w:i/>
              </w:rPr>
            </m:ctrlPr>
          </m:sPrePr>
          <m:sub>
            <m:r>
              <w:rPr>
                <w:rFonts w:ascii="Cambria Math" w:hAnsi="Cambria Math" w:cs="Times New Roman"/>
              </w:rPr>
              <m:t>θ</m:t>
            </m:r>
          </m:sub>
          <m:sup>
            <m:r>
              <w:rPr>
                <w:rFonts w:ascii="Cambria Math" w:hAnsi="Cambria Math" w:cs="Times New Roman"/>
              </w:rPr>
              <m:t>max</m:t>
            </m:r>
          </m:sup>
          <m:e>
            <m:r>
              <w:rPr>
                <w:rFonts w:ascii="Cambria Math" w:hAnsi="Cambria Math" w:cs="Times New Roman"/>
              </w:rPr>
              <m:t>l(θ)</m:t>
            </m:r>
          </m:e>
        </m:sPre>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(30</w:t>
      </w:r>
      <w:r w:rsidR="00930BE1" w:rsidRPr="004236D1">
        <w:rPr>
          <w:rFonts w:ascii="Times New Roman" w:eastAsiaTheme="minorEastAsia" w:hAnsi="Times New Roman" w:cs="Times New Roman"/>
        </w:rPr>
        <w:t>)</w:t>
      </w:r>
    </w:p>
    <w:p w14:paraId="563CCAFF"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 xml:space="preserve">The first order conditions are </w:t>
      </w:r>
    </w:p>
    <w:p w14:paraId="754472EC" w14:textId="77777777" w:rsidR="00930BE1" w:rsidRPr="004236D1" w:rsidRDefault="00000000" w:rsidP="004236D1">
      <w:pPr>
        <w:spacing w:after="0" w:line="360" w:lineRule="auto"/>
        <w:jc w:val="both"/>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∂l(θ)</m:t>
            </m:r>
          </m:num>
          <m:den>
            <m:r>
              <w:rPr>
                <w:rFonts w:ascii="Cambria Math" w:hAnsi="Cambria Math" w:cs="Times New Roman"/>
              </w:rPr>
              <m:t>∂θ</m:t>
            </m:r>
          </m:den>
        </m:f>
        <m:r>
          <w:rPr>
            <w:rFonts w:ascii="Cambria Math" w:hAnsi="Cambria Math" w:cs="Times New Roman"/>
          </w:rPr>
          <m:t>=0</m:t>
        </m:r>
      </m:oMath>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433390" w:rsidRPr="004236D1">
        <w:rPr>
          <w:rFonts w:ascii="Times New Roman" w:eastAsiaTheme="minorEastAsia" w:hAnsi="Times New Roman" w:cs="Times New Roman"/>
        </w:rPr>
        <w:tab/>
      </w:r>
      <w:r w:rsidR="00433390"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(31</w:t>
      </w:r>
      <w:r w:rsidR="00930BE1" w:rsidRPr="004236D1">
        <w:rPr>
          <w:rFonts w:ascii="Times New Roman" w:eastAsiaTheme="minorEastAsia" w:hAnsi="Times New Roman" w:cs="Times New Roman"/>
        </w:rPr>
        <w:t>)</w:t>
      </w:r>
    </w:p>
    <w:p w14:paraId="5DF9C337"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The Hessian matrix is</w:t>
      </w:r>
    </w:p>
    <w:p w14:paraId="51C2FC02" w14:textId="77777777" w:rsidR="00930BE1" w:rsidRPr="004236D1" w:rsidRDefault="00930BE1" w:rsidP="004236D1">
      <w:pPr>
        <w:spacing w:after="0" w:line="360" w:lineRule="auto"/>
        <w:jc w:val="both"/>
        <w:rPr>
          <w:rFonts w:ascii="Times New Roman" w:eastAsiaTheme="minorEastAsia" w:hAnsi="Times New Roman" w:cs="Times New Roman"/>
        </w:rPr>
      </w:pP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r>
              <w:rPr>
                <w:rFonts w:ascii="Cambria Math" w:hAnsi="Cambria Math" w:cs="Times New Roman"/>
              </w:rPr>
              <m:t>l(θ)</m:t>
            </m:r>
          </m:num>
          <m:den>
            <m:r>
              <w:rPr>
                <w:rFonts w:ascii="Cambria Math" w:hAnsi="Cambria Math" w:cs="Times New Roman"/>
              </w:rPr>
              <m:t>∂θ∂θ'</m:t>
            </m:r>
          </m:den>
        </m:f>
      </m:oMath>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t xml:space="preserve">     </w:t>
      </w:r>
      <w:r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(32</w:t>
      </w:r>
      <w:r w:rsidRPr="004236D1">
        <w:rPr>
          <w:rFonts w:ascii="Times New Roman" w:eastAsiaTheme="minorEastAsia" w:hAnsi="Times New Roman" w:cs="Times New Roman"/>
        </w:rPr>
        <w:t>)</w:t>
      </w:r>
    </w:p>
    <w:p w14:paraId="404AA933"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The estimated covariance matrix of the parameters is </w:t>
      </w:r>
    </w:p>
    <w:p w14:paraId="0B49E68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m:oMath>
        <m:r>
          <w:rPr>
            <w:rFonts w:ascii="Cambria Math" w:eastAsiaTheme="minorEastAsia" w:hAnsi="Cambria Math" w:cs="Times New Roman"/>
          </w:rPr>
          <m:t>Var</m:t>
        </m:r>
        <m:d>
          <m:dPr>
            <m:ctrlPr>
              <w:rPr>
                <w:rFonts w:ascii="Cambria Math" w:eastAsiaTheme="minorEastAsia" w:hAnsi="Cambria Math" w:cs="Times New Roman"/>
                <w:i/>
              </w:rPr>
            </m:ctrlPr>
          </m:dPr>
          <m:e>
            <m:acc>
              <m:accPr>
                <m:ctrlPr>
                  <w:rPr>
                    <w:rFonts w:ascii="Cambria Math" w:eastAsiaTheme="minorEastAsia" w:hAnsi="Cambria Math" w:cs="Times New Roman"/>
                    <w:i/>
                  </w:rPr>
                </m:ctrlPr>
              </m:accPr>
              <m:e>
                <m:r>
                  <w:rPr>
                    <w:rFonts w:ascii="Cambria Math" w:eastAsiaTheme="minorEastAsia" w:hAnsi="Cambria Math" w:cs="Times New Roman"/>
                  </w:rPr>
                  <m:t>θ</m:t>
                </m:r>
              </m:e>
            </m:acc>
          </m:e>
        </m:d>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H</m:t>
            </m:r>
          </m:e>
          <m:sup>
            <m:r>
              <w:rPr>
                <w:rFonts w:ascii="Cambria Math" w:eastAsiaTheme="minorEastAsia" w:hAnsi="Cambria Math" w:cs="Times New Roman"/>
              </w:rPr>
              <m:t>-1</m:t>
            </m:r>
          </m:sup>
        </m:sSup>
        <m:r>
          <w:rPr>
            <w:rFonts w:ascii="Cambria Math" w:eastAsiaTheme="minorEastAsia" w:hAnsi="Cambria Math" w:cs="Times New Roman"/>
          </w:rPr>
          <m:t>(</m:t>
        </m:r>
        <m:acc>
          <m:accPr>
            <m:ctrlPr>
              <w:rPr>
                <w:rFonts w:ascii="Cambria Math" w:eastAsiaTheme="minorEastAsia" w:hAnsi="Cambria Math" w:cs="Times New Roman"/>
                <w:i/>
              </w:rPr>
            </m:ctrlPr>
          </m:accPr>
          <m:e>
            <m:r>
              <w:rPr>
                <w:rFonts w:ascii="Cambria Math" w:eastAsiaTheme="minorEastAsia" w:hAnsi="Cambria Math" w:cs="Times New Roman"/>
              </w:rPr>
              <m:t>θ</m:t>
            </m:r>
          </m:e>
        </m:acc>
        <m:r>
          <w:rPr>
            <w:rFonts w:ascii="Cambria Math" w:eastAsiaTheme="minorEastAsia" w:hAnsi="Cambria Math" w:cs="Times New Roman"/>
          </w:rPr>
          <m:t>)</m:t>
        </m:r>
      </m:oMath>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t xml:space="preserve">    </w:t>
      </w:r>
      <w:r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(33</w:t>
      </w:r>
      <w:r w:rsidRPr="004236D1">
        <w:rPr>
          <w:rFonts w:ascii="Times New Roman" w:eastAsiaTheme="minorEastAsia" w:hAnsi="Times New Roman" w:cs="Times New Roman"/>
        </w:rPr>
        <w:t>)</w:t>
      </w:r>
    </w:p>
    <w:p w14:paraId="2D1D196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The standard error is </w:t>
      </w:r>
    </w:p>
    <w:p w14:paraId="5063D716"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w:r w:rsidRPr="004236D1">
        <w:rPr>
          <w:rFonts w:ascii="Times New Roman" w:eastAsiaTheme="minorEastAsia" w:hAnsi="Times New Roman" w:cs="Times New Roman"/>
        </w:rPr>
        <w:tab/>
      </w:r>
      <m:oMath>
        <m:r>
          <w:rPr>
            <w:rFonts w:ascii="Cambria Math" w:eastAsiaTheme="minorEastAsia" w:hAnsi="Cambria Math" w:cs="Times New Roman"/>
          </w:rPr>
          <m:t>SE</m:t>
        </m:r>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θ</m:t>
                    </m:r>
                  </m:e>
                </m:acc>
              </m:e>
              <m:sub>
                <m:r>
                  <w:rPr>
                    <w:rFonts w:ascii="Cambria Math" w:eastAsiaTheme="minorEastAsia" w:hAnsi="Cambria Math" w:cs="Times New Roman"/>
                  </w:rPr>
                  <m:t>i</m:t>
                </m:r>
              </m:sub>
            </m:sSub>
          </m:e>
        </m:d>
        <m:r>
          <w:rPr>
            <w:rFonts w:ascii="Cambria Math" w:eastAsiaTheme="minorEastAsia" w:hAnsi="Cambria Math" w:cs="Times New Roman"/>
          </w:rPr>
          <m:t>=</m:t>
        </m:r>
        <m:rad>
          <m:radPr>
            <m:degHide m:val="1"/>
            <m:ctrlPr>
              <w:rPr>
                <w:rFonts w:ascii="Cambria Math" w:eastAsiaTheme="minorEastAsia" w:hAnsi="Cambria Math" w:cs="Times New Roman"/>
                <w:i/>
              </w:rPr>
            </m:ctrlPr>
          </m:radPr>
          <m:deg/>
          <m:e>
            <m:r>
              <w:rPr>
                <w:rFonts w:ascii="Cambria Math" w:eastAsiaTheme="minorEastAsia" w:hAnsi="Cambria Math" w:cs="Times New Roman"/>
              </w:rPr>
              <m:t>Var(</m:t>
            </m:r>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θ</m:t>
                    </m:r>
                  </m:e>
                </m:acc>
              </m:e>
              <m:sub>
                <m:r>
                  <w:rPr>
                    <w:rFonts w:ascii="Cambria Math" w:eastAsiaTheme="minorEastAsia" w:hAnsi="Cambria Math" w:cs="Times New Roman"/>
                  </w:rPr>
                  <m:t>i</m:t>
                </m:r>
              </m:sub>
            </m:sSub>
            <m:r>
              <w:rPr>
                <w:rFonts w:ascii="Cambria Math" w:eastAsiaTheme="minorEastAsia" w:hAnsi="Cambria Math" w:cs="Times New Roman"/>
              </w:rPr>
              <m:t>)</m:t>
            </m:r>
          </m:e>
        </m:rad>
      </m:oMath>
      <w:r w:rsidRPr="004236D1">
        <w:rPr>
          <w:rFonts w:ascii="Times New Roman" w:eastAsiaTheme="minorEastAsia" w:hAnsi="Times New Roman" w:cs="Times New Roman"/>
        </w:rPr>
        <w:tab/>
      </w:r>
      <w:r w:rsidRPr="004236D1">
        <w:rPr>
          <w:rFonts w:ascii="Times New Roman" w:eastAsiaTheme="minorEastAsia" w:hAnsi="Times New Roman" w:cs="Times New Roman"/>
        </w:rPr>
        <w:tab/>
        <w:t xml:space="preserve">     </w:t>
      </w:r>
      <w:r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 xml:space="preserve">  </w:t>
      </w:r>
      <w:r w:rsidR="00F776F2" w:rsidRPr="004236D1">
        <w:rPr>
          <w:rFonts w:ascii="Times New Roman" w:eastAsiaTheme="minorEastAsia" w:hAnsi="Times New Roman" w:cs="Times New Roman"/>
        </w:rPr>
        <w:tab/>
        <w:t xml:space="preserve"> (34</w:t>
      </w:r>
      <w:r w:rsidRPr="004236D1">
        <w:rPr>
          <w:rFonts w:ascii="Times New Roman" w:eastAsiaTheme="minorEastAsia" w:hAnsi="Times New Roman" w:cs="Times New Roman"/>
        </w:rPr>
        <w:t>)</w:t>
      </w:r>
    </w:p>
    <w:p w14:paraId="213F44F4"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The score vector is </w:t>
      </w:r>
    </w:p>
    <w:p w14:paraId="134515F1"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                       </w:t>
      </w:r>
      <m:oMath>
        <m:r>
          <w:rPr>
            <w:rFonts w:ascii="Cambria Math" w:hAnsi="Cambria Math" w:cs="Times New Roman"/>
          </w:rPr>
          <m:t>S</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∂l(θ)</m:t>
            </m:r>
          </m:num>
          <m:den>
            <m:r>
              <w:rPr>
                <w:rFonts w:ascii="Cambria Math" w:hAnsi="Cambria Math" w:cs="Times New Roman"/>
              </w:rPr>
              <m:t>∂θ</m:t>
            </m:r>
          </m:den>
        </m:f>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t>(35</w:t>
      </w:r>
      <w:r w:rsidRPr="004236D1">
        <w:rPr>
          <w:rFonts w:ascii="Times New Roman" w:eastAsiaTheme="minorEastAsia" w:hAnsi="Times New Roman" w:cs="Times New Roman"/>
        </w:rPr>
        <w:t>)</w:t>
      </w:r>
    </w:p>
    <w:p w14:paraId="5C677519"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Using matrix calculus</w:t>
      </w:r>
    </w:p>
    <w:p w14:paraId="080422EB" w14:textId="77777777" w:rsidR="00930BE1" w:rsidRPr="004236D1" w:rsidRDefault="00000000" w:rsidP="004236D1">
      <w:pPr>
        <w:spacing w:after="0" w:line="360" w:lineRule="auto"/>
        <w:jc w:val="both"/>
        <w:rPr>
          <w:rFonts w:ascii="Times New Roman" w:eastAsiaTheme="minorEastAsia" w:hAnsi="Times New Roman" w:cs="Times New Roman"/>
        </w:rPr>
      </w:pPr>
      <m:oMath>
        <m:f>
          <m:fPr>
            <m:ctrlPr>
              <w:rPr>
                <w:rFonts w:ascii="Cambria Math" w:hAnsi="Cambria Math" w:cs="Times New Roman"/>
                <w:i/>
              </w:rPr>
            </m:ctrlPr>
          </m:fPr>
          <m:num>
            <m:r>
              <w:rPr>
                <w:rFonts w:ascii="Cambria Math" w:hAnsi="Cambria Math" w:cs="Times New Roman"/>
              </w:rPr>
              <m:t>∂l</m:t>
            </m:r>
          </m:num>
          <m:den>
            <m:r>
              <w:rPr>
                <w:rFonts w:ascii="Cambria Math" w:hAnsi="Cambria Math" w:cs="Times New Roman"/>
              </w:rPr>
              <m:t>∂θ</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chr m:val="∑"/>
            <m:limLoc m:val="undOvr"/>
            <m:ctrlPr>
              <w:rPr>
                <w:rFonts w:ascii="Cambria Math" w:hAnsi="Cambria Math" w:cs="Times New Roman"/>
                <w:i/>
              </w:rPr>
            </m:ctrlPr>
          </m:naryPr>
          <m:sub>
            <m:r>
              <w:rPr>
                <w:rFonts w:ascii="Cambria Math" w:hAnsi="Cambria Math" w:cs="Times New Roman"/>
              </w:rPr>
              <m:t>t=1</m:t>
            </m:r>
          </m:sub>
          <m:sup>
            <m:r>
              <w:rPr>
                <w:rFonts w:ascii="Cambria Math" w:hAnsi="Cambria Math" w:cs="Times New Roman"/>
              </w:rPr>
              <m:t>T</m:t>
            </m:r>
          </m:sup>
          <m:e>
            <m:d>
              <m:dPr>
                <m:begChr m:val="["/>
                <m:endChr m:val="]"/>
                <m:ctrlPr>
                  <w:rPr>
                    <w:rFonts w:ascii="Cambria Math" w:hAnsi="Cambria Math" w:cs="Times New Roman"/>
                    <w:i/>
                  </w:rPr>
                </m:ctrlPr>
              </m:dPr>
              <m:e>
                <m:r>
                  <w:rPr>
                    <w:rFonts w:ascii="Cambria Math" w:hAnsi="Cambria Math" w:cs="Times New Roman"/>
                  </w:rPr>
                  <m:t>tr</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num>
                      <m:den>
                        <m:r>
                          <w:rPr>
                            <w:rFonts w:ascii="Cambria Math" w:hAnsi="Cambria Math" w:cs="Times New Roman"/>
                          </w:rPr>
                          <m:t>∂θ</m:t>
                        </m:r>
                      </m:den>
                    </m:f>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m:t>
                    </m:r>
                  </m:sup>
                </m:sSubSup>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num>
                  <m:den>
                    <m:r>
                      <w:rPr>
                        <w:rFonts w:ascii="Cambria Math" w:hAnsi="Cambria Math" w:cs="Times New Roman"/>
                      </w:rPr>
                      <m:t>∂θ</m:t>
                    </m:r>
                  </m:den>
                </m:f>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t</m:t>
                    </m:r>
                  </m:sub>
                  <m:sup>
                    <m:r>
                      <w:rPr>
                        <w:rFonts w:ascii="Cambria Math" w:hAnsi="Cambria Math" w:cs="Times New Roman"/>
                      </w:rPr>
                      <m:t>-1</m:t>
                    </m:r>
                  </m:sup>
                </m:sSubSup>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t</m:t>
                    </m:r>
                  </m:sub>
                </m:sSub>
              </m:e>
            </m:d>
          </m:e>
        </m:nary>
      </m:oMath>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t xml:space="preserve">     </w:t>
      </w:r>
      <w:r w:rsidR="00930BE1"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t>(36</w:t>
      </w:r>
      <w:r w:rsidR="00930BE1" w:rsidRPr="004236D1">
        <w:rPr>
          <w:rFonts w:ascii="Times New Roman" w:eastAsiaTheme="minorEastAsia" w:hAnsi="Times New Roman" w:cs="Times New Roman"/>
        </w:rPr>
        <w:t>)</w:t>
      </w:r>
    </w:p>
    <w:p w14:paraId="21BC34E4" w14:textId="77777777" w:rsidR="00930BE1" w:rsidRPr="004236D1" w:rsidRDefault="00930BE1" w:rsidP="004236D1">
      <w:pPr>
        <w:spacing w:after="0" w:line="360" w:lineRule="auto"/>
        <w:jc w:val="both"/>
        <w:rPr>
          <w:rFonts w:ascii="Times New Roman" w:hAnsi="Times New Roman" w:cs="Times New Roman"/>
        </w:rPr>
      </w:pPr>
    </w:p>
    <w:p w14:paraId="4C45C60D" w14:textId="77777777" w:rsidR="00930BE1" w:rsidRPr="004236D1" w:rsidRDefault="00930BE1" w:rsidP="004236D1">
      <w:pPr>
        <w:spacing w:after="0" w:line="360" w:lineRule="auto"/>
        <w:jc w:val="both"/>
        <w:rPr>
          <w:rFonts w:ascii="Times New Roman" w:hAnsi="Times New Roman" w:cs="Times New Roman"/>
          <w:b/>
        </w:rPr>
      </w:pPr>
      <w:r w:rsidRPr="004236D1">
        <w:rPr>
          <w:rFonts w:ascii="Times New Roman" w:hAnsi="Times New Roman" w:cs="Times New Roman"/>
          <w:b/>
        </w:rPr>
        <w:t>Six-Variable BEKK Model</w:t>
      </w:r>
    </w:p>
    <w:p w14:paraId="2BCBB58B" w14:textId="77777777" w:rsidR="00930BE1" w:rsidRPr="004236D1" w:rsidRDefault="00930BE1" w:rsidP="004236D1">
      <w:pPr>
        <w:spacing w:after="0" w:line="360" w:lineRule="auto"/>
        <w:jc w:val="both"/>
        <w:rPr>
          <w:rFonts w:ascii="Times New Roman" w:hAnsi="Times New Roman" w:cs="Times New Roman"/>
        </w:rPr>
      </w:pPr>
      <w:r w:rsidRPr="004236D1">
        <w:rPr>
          <w:rFonts w:ascii="Times New Roman" w:hAnsi="Times New Roman" w:cs="Times New Roman"/>
        </w:rPr>
        <w:t>For your study, the six return series can be represented as</w:t>
      </w:r>
    </w:p>
    <w:p w14:paraId="410060A6" w14:textId="77777777" w:rsidR="00930BE1" w:rsidRPr="004236D1" w:rsidRDefault="00000000" w:rsidP="004236D1">
      <w:pPr>
        <w:spacing w:after="0" w:line="36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STOCK,t</m:t>
                                  </m:r>
                                </m:sub>
                              </m:sSub>
                            </m:e>
                          </m:mr>
                        </m:m>
                      </m:e>
                    </m:mr>
                  </m:m>
                </m:e>
              </m:mr>
            </m:m>
          </m:e>
        </m:d>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t>(37</w:t>
      </w:r>
      <w:r w:rsidR="00930BE1" w:rsidRPr="004236D1">
        <w:rPr>
          <w:rFonts w:ascii="Times New Roman" w:eastAsiaTheme="minorEastAsia" w:hAnsi="Times New Roman" w:cs="Times New Roman"/>
        </w:rPr>
        <w:t>)</w:t>
      </w:r>
    </w:p>
    <w:p w14:paraId="4688A143" w14:textId="77777777" w:rsidR="00930BE1" w:rsidRPr="004236D1" w:rsidRDefault="00930BE1" w:rsidP="004236D1">
      <w:pPr>
        <w:tabs>
          <w:tab w:val="left" w:pos="2616"/>
        </w:tabs>
        <w:spacing w:after="0" w:line="360" w:lineRule="auto"/>
        <w:jc w:val="both"/>
        <w:rPr>
          <w:rFonts w:ascii="Times New Roman" w:hAnsi="Times New Roman" w:cs="Times New Roman"/>
        </w:rPr>
      </w:pPr>
      <w:r w:rsidRPr="004236D1">
        <w:rPr>
          <w:rFonts w:ascii="Times New Roman" w:hAnsi="Times New Roman" w:cs="Times New Roman"/>
        </w:rPr>
        <w:t>The innovation vector is</w:t>
      </w:r>
    </w:p>
    <w:p w14:paraId="029F62D5" w14:textId="77777777" w:rsidR="00930BE1" w:rsidRPr="004236D1" w:rsidRDefault="00000000" w:rsidP="004236D1">
      <w:pPr>
        <w:spacing w:after="0" w:line="360" w:lineRule="auto"/>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BCOP,t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COPP,t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GOLD,t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NGAS,t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EXR,t</m:t>
                                  </m:r>
                                </m:sub>
                              </m:sSub>
                            </m:e>
                          </m:mr>
                          <m:mr>
                            <m:e>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STOCK,t</m:t>
                                  </m:r>
                                </m:sub>
                              </m:sSub>
                            </m:e>
                          </m:mr>
                        </m:m>
                      </m:e>
                    </m:mr>
                  </m:m>
                </m:e>
              </m:mr>
            </m:m>
          </m:e>
        </m:d>
      </m:oMath>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t xml:space="preserve">        </w:t>
      </w:r>
      <w:r w:rsidR="00F776F2" w:rsidRPr="004236D1">
        <w:rPr>
          <w:rFonts w:ascii="Times New Roman" w:eastAsiaTheme="minorEastAsia" w:hAnsi="Times New Roman" w:cs="Times New Roman"/>
        </w:rPr>
        <w:t>(38</w:t>
      </w:r>
      <w:r w:rsidR="00930BE1" w:rsidRPr="004236D1">
        <w:rPr>
          <w:rFonts w:ascii="Times New Roman" w:eastAsiaTheme="minorEastAsia" w:hAnsi="Times New Roman" w:cs="Times New Roman"/>
        </w:rPr>
        <w:t>)</w:t>
      </w:r>
    </w:p>
    <w:p w14:paraId="379F308A" w14:textId="77777777" w:rsidR="00930BE1" w:rsidRPr="004236D1" w:rsidRDefault="00930BE1" w:rsidP="004236D1">
      <w:pPr>
        <w:spacing w:after="0" w:line="360" w:lineRule="auto"/>
        <w:jc w:val="both"/>
        <w:rPr>
          <w:rFonts w:ascii="Times New Roman" w:eastAsiaTheme="minorEastAsia" w:hAnsi="Times New Roman" w:cs="Times New Roman"/>
        </w:rPr>
      </w:pPr>
      <w:r w:rsidRPr="004236D1">
        <w:rPr>
          <w:rFonts w:ascii="Times New Roman" w:eastAsiaTheme="minorEastAsia" w:hAnsi="Times New Roman" w:cs="Times New Roman"/>
        </w:rPr>
        <w:t xml:space="preserve"> conditional covariance matrix is</w:t>
      </w:r>
    </w:p>
    <w:p w14:paraId="7115E996" w14:textId="77777777" w:rsidR="00930BE1" w:rsidRPr="004236D1" w:rsidRDefault="00000000" w:rsidP="004236D1">
      <w:pPr>
        <w:spacing w:after="0" w:line="360" w:lineRule="auto"/>
        <w:jc w:val="both"/>
        <w:rPr>
          <w:rFonts w:ascii="Times New Roman" w:eastAsiaTheme="minorEastAsia" w:hAnsi="Times New Roman" w:cs="Times New Roman"/>
          <w:color w:val="000000" w:themeColor="text1"/>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d>
          <m:dPr>
            <m:ctrlPr>
              <w:rPr>
                <w:rFonts w:ascii="Cambria Math" w:hAnsi="Cambria Math" w:cs="Times New Roman"/>
                <w:i/>
              </w:rPr>
            </m:ctrlPr>
          </m:dPr>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 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22,t</m:t>
                      </m:r>
                    </m:sub>
                  </m:sSub>
                </m:e>
                <m:e>
                  <m:m>
                    <m:mPr>
                      <m:mcs>
                        <m:mc>
                          <m:mcPr>
                            <m:count m:val="3"/>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26,t</m:t>
                                  </m:r>
                                </m:sub>
                              </m:sSub>
                            </m:e>
                          </m:mr>
                        </m:m>
                      </m:e>
                    </m:mr>
                  </m:m>
                </m:e>
                <m:e>
                  <m:m>
                    <m:mPr>
                      <m:mcs>
                        <m:mc>
                          <m:mcPr>
                            <m:count m:val="3"/>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33,t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34,t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44,t</m:t>
                                  </m:r>
                                </m:sub>
                              </m:sSub>
                            </m:e>
                          </m:m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
                      </m:e>
                      <m:e>
                        <m:m>
                          <m:mPr>
                            <m:mcs>
                              <m:mc>
                                <m:mcPr>
                                  <m:count m:val="1"/>
                                  <m:mcJc m:val="center"/>
                                </m:mcPr>
                              </m:mc>
                            </m:mcs>
                            <m:ctrlPr>
                              <w:rPr>
                                <w:rFonts w:ascii="Cambria Math" w:hAnsi="Cambria Math" w:cs="Times New Roman"/>
                                <w:i/>
                              </w:rPr>
                            </m:ctrlPr>
                          </m:mP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36,t</m:t>
                                        </m:r>
                                      </m:sub>
                                    </m:sSub>
                                  </m:e>
                                </m:mr>
                              </m:m>
                            </m:e>
                          </m:mr>
                          <m:m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45,t</m:t>
                                        </m:r>
                                      </m:sub>
                                    </m:sSub>
                                  </m:e>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46,t</m:t>
                                        </m:r>
                                      </m:sub>
                                    </m:sSub>
                                  </m:e>
                                </m:mr>
                              </m:m>
                            </m:e>
                          </m:mr>
                          <m:mr>
                            <m:e>
                              <m:m>
                                <m:mPr>
                                  <m:mcs>
                                    <m:mc>
                                      <m:mcPr>
                                        <m:count m:val="2"/>
                                        <m:mcJc m:val="center"/>
                                      </m:mcPr>
                                    </m:mc>
                                  </m:mcs>
                                  <m:ctrlPr>
                                    <w:rPr>
                                      <w:rFonts w:ascii="Cambria Math" w:hAnsi="Cambria Math" w:cs="Times New Roman"/>
                                      <w:i/>
                                    </w:rPr>
                                  </m:ctrlPr>
                                </m:mPr>
                                <m:m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55,t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56,t</m:t>
                                              </m:r>
                                            </m:sub>
                                          </m:sSub>
                                        </m:e>
                                      </m:m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66,t</m:t>
                                              </m:r>
                                            </m:sub>
                                          </m:sSub>
                                        </m:e>
                                      </m:mr>
                                    </m:m>
                                  </m:e>
                                </m:mr>
                              </m:m>
                            </m:e>
                          </m:mr>
                        </m:m>
                      </m:e>
                    </m:mr>
                  </m:m>
                </m:e>
              </m:mr>
            </m:m>
          </m:e>
        </m:d>
      </m:oMath>
      <w:r w:rsidR="00930BE1" w:rsidRPr="004236D1">
        <w:rPr>
          <w:rFonts w:ascii="Times New Roman" w:eastAsiaTheme="minorEastAsia" w:hAnsi="Times New Roman" w:cs="Times New Roman"/>
          <w:color w:val="000000" w:themeColor="text1"/>
        </w:rPr>
        <w:t xml:space="preserve"> </w:t>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ab/>
      </w:r>
      <w:r w:rsidR="005F5DBC" w:rsidRPr="004236D1">
        <w:rPr>
          <w:rFonts w:ascii="Times New Roman" w:eastAsiaTheme="minorEastAsia" w:hAnsi="Times New Roman" w:cs="Times New Roman"/>
          <w:color w:val="000000" w:themeColor="text1"/>
        </w:rPr>
        <w:tab/>
      </w:r>
      <w:r w:rsidR="00F776F2" w:rsidRPr="004236D1">
        <w:rPr>
          <w:rFonts w:ascii="Times New Roman" w:eastAsiaTheme="minorEastAsia" w:hAnsi="Times New Roman" w:cs="Times New Roman"/>
          <w:color w:val="000000" w:themeColor="text1"/>
        </w:rPr>
        <w:t>(39</w:t>
      </w:r>
      <w:r w:rsidR="00930BE1" w:rsidRPr="004236D1">
        <w:rPr>
          <w:rFonts w:ascii="Times New Roman" w:eastAsiaTheme="minorEastAsia" w:hAnsi="Times New Roman" w:cs="Times New Roman"/>
          <w:color w:val="000000" w:themeColor="text1"/>
        </w:rPr>
        <w:t>)</w:t>
      </w:r>
    </w:p>
    <w:p w14:paraId="70AF0CF6" w14:textId="77777777" w:rsidR="00930BE1" w:rsidRPr="004236D1" w:rsidRDefault="00930BE1" w:rsidP="004236D1">
      <w:pPr>
        <w:tabs>
          <w:tab w:val="left" w:pos="3120"/>
        </w:tabs>
        <w:spacing w:after="0" w:line="360" w:lineRule="auto"/>
        <w:jc w:val="both"/>
        <w:rPr>
          <w:rFonts w:ascii="Times New Roman" w:hAnsi="Times New Roman" w:cs="Times New Roman"/>
        </w:rPr>
      </w:pPr>
      <w:r w:rsidRPr="004236D1">
        <w:rPr>
          <w:rFonts w:ascii="Times New Roman" w:hAnsi="Times New Roman" w:cs="Times New Roman"/>
        </w:rPr>
        <w:t>The BEKK-</w:t>
      </w:r>
      <w:proofErr w:type="gramStart"/>
      <w:r w:rsidRPr="004236D1">
        <w:rPr>
          <w:rFonts w:ascii="Times New Roman" w:hAnsi="Times New Roman" w:cs="Times New Roman"/>
        </w:rPr>
        <w:t>GARCH(</w:t>
      </w:r>
      <w:proofErr w:type="gramEnd"/>
      <w:r w:rsidRPr="004236D1">
        <w:rPr>
          <w:rFonts w:ascii="Times New Roman" w:hAnsi="Times New Roman" w:cs="Times New Roman"/>
        </w:rPr>
        <w:t>1,1) model is</w:t>
      </w:r>
    </w:p>
    <w:p w14:paraId="069121BF" w14:textId="77777777" w:rsidR="00930BE1" w:rsidRPr="004236D1" w:rsidRDefault="00000000"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C</m:t>
            </m:r>
          </m:e>
          <m:sup>
            <m:r>
              <w:rPr>
                <w:rFonts w:ascii="Cambria Math" w:eastAsiaTheme="minorEastAsia" w:hAnsi="Cambria Math" w:cs="Times New Roman"/>
              </w:rPr>
              <m:t>'</m:t>
            </m:r>
          </m:sup>
        </m:sSup>
        <m:r>
          <w:rPr>
            <w:rFonts w:ascii="Cambria Math" w:eastAsiaTheme="minorEastAsia" w:hAnsi="Cambria Math" w:cs="Times New Roman"/>
          </w:rPr>
          <m:t>C+</m:t>
        </m:r>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m:t>
            </m:r>
          </m:sup>
        </m:sSup>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t-1</m:t>
            </m:r>
          </m:sub>
        </m:sSub>
        <m:r>
          <w:rPr>
            <w:rFonts w:ascii="Cambria Math" w:eastAsiaTheme="minorEastAsia" w:hAnsi="Cambria Math" w:cs="Times New Roman"/>
          </w:rPr>
          <m:t>A+</m:t>
        </m:r>
        <m:sSup>
          <m:sSupPr>
            <m:ctrlPr>
              <w:rPr>
                <w:rFonts w:ascii="Cambria Math" w:eastAsiaTheme="minorEastAsia" w:hAnsi="Cambria Math" w:cs="Times New Roman"/>
                <w:i/>
              </w:rPr>
            </m:ctrlPr>
          </m:sSupPr>
          <m:e>
            <m:r>
              <w:rPr>
                <w:rFonts w:ascii="Cambria Math" w:eastAsiaTheme="minorEastAsia" w:hAnsi="Cambria Math" w:cs="Times New Roman"/>
              </w:rPr>
              <m:t>B</m:t>
            </m:r>
          </m:e>
          <m:sup>
            <m:r>
              <w:rPr>
                <w:rFonts w:ascii="Cambria Math" w:eastAsiaTheme="minorEastAsia" w:hAnsi="Cambria Math" w:cs="Times New Roman"/>
              </w:rPr>
              <m:t>'</m:t>
            </m:r>
          </m:sup>
        </m:sSup>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t-1</m:t>
            </m:r>
          </m:sub>
        </m:sSub>
        <m:sSubSup>
          <m:sSubSupPr>
            <m:ctrlPr>
              <w:rPr>
                <w:rFonts w:ascii="Cambria Math" w:eastAsiaTheme="minorEastAsia" w:hAnsi="Cambria Math" w:cs="Times New Roman"/>
                <w:i/>
              </w:rPr>
            </m:ctrlPr>
          </m:sSubSupPr>
          <m:e>
            <m:r>
              <w:rPr>
                <w:rFonts w:ascii="Cambria Math" w:eastAsiaTheme="minorEastAsia" w:hAnsi="Cambria Math" w:cs="Times New Roman"/>
              </w:rPr>
              <m:t>ε</m:t>
            </m:r>
          </m:e>
          <m:sub>
            <m:r>
              <w:rPr>
                <w:rFonts w:ascii="Cambria Math" w:eastAsiaTheme="minorEastAsia" w:hAnsi="Cambria Math" w:cs="Times New Roman"/>
              </w:rPr>
              <m:t>t-1</m:t>
            </m:r>
          </m:sub>
          <m:sup>
            <m:r>
              <w:rPr>
                <w:rFonts w:ascii="Cambria Math" w:eastAsiaTheme="minorEastAsia" w:hAnsi="Cambria Math" w:cs="Times New Roman"/>
              </w:rPr>
              <m:t>'</m:t>
            </m:r>
          </m:sup>
        </m:sSubSup>
        <m:r>
          <w:rPr>
            <w:rFonts w:ascii="Cambria Math" w:eastAsiaTheme="minorEastAsia" w:hAnsi="Cambria Math" w:cs="Times New Roman"/>
          </w:rPr>
          <m:t>B</m:t>
        </m:r>
      </m:oMath>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ab/>
      </w:r>
      <w:r w:rsidR="005F5DBC" w:rsidRPr="004236D1">
        <w:rPr>
          <w:rFonts w:ascii="Times New Roman" w:eastAsiaTheme="minorEastAsia" w:hAnsi="Times New Roman" w:cs="Times New Roman"/>
        </w:rPr>
        <w:tab/>
      </w:r>
      <w:r w:rsidR="00F776F2" w:rsidRPr="004236D1">
        <w:rPr>
          <w:rFonts w:ascii="Times New Roman" w:eastAsiaTheme="minorEastAsia" w:hAnsi="Times New Roman" w:cs="Times New Roman"/>
        </w:rPr>
        <w:t>(40</w:t>
      </w:r>
      <w:r w:rsidR="00930BE1" w:rsidRPr="004236D1">
        <w:rPr>
          <w:rFonts w:ascii="Times New Roman" w:eastAsiaTheme="minorEastAsia" w:hAnsi="Times New Roman" w:cs="Times New Roman"/>
        </w:rPr>
        <w:t>)</w:t>
      </w:r>
    </w:p>
    <w:p w14:paraId="08C850EA" w14:textId="77777777" w:rsidR="00930BE1" w:rsidRPr="004236D1" w:rsidRDefault="00930BE1"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w:p>
    <w:p w14:paraId="07D4E126" w14:textId="77777777" w:rsidR="00930BE1" w:rsidRPr="004236D1" w:rsidRDefault="00930BE1"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w:r w:rsidRPr="004236D1">
        <w:rPr>
          <w:rFonts w:ascii="Times New Roman" w:eastAsiaTheme="minorEastAsia" w:hAnsi="Times New Roman" w:cs="Times New Roman"/>
        </w:rPr>
        <w:t xml:space="preserve">Where </w:t>
      </w:r>
    </w:p>
    <w:p w14:paraId="0CCE34DE" w14:textId="77777777" w:rsidR="00930BE1" w:rsidRPr="004236D1" w:rsidRDefault="00000000" w:rsidP="004236D1">
      <w:pPr>
        <w:tabs>
          <w:tab w:val="left" w:pos="720"/>
          <w:tab w:val="left" w:pos="1440"/>
          <w:tab w:val="left" w:pos="3948"/>
        </w:tabs>
        <w:spacing w:after="0" w:line="360" w:lineRule="auto"/>
        <w:ind w:firstLine="720"/>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6×6</m:t>
            </m:r>
          </m:sub>
        </m:sSub>
      </m:oMath>
      <w:r w:rsidR="00930BE1" w:rsidRPr="004236D1">
        <w:rPr>
          <w:rFonts w:ascii="Times New Roman" w:eastAsiaTheme="minorEastAsia" w:hAnsi="Times New Roman" w:cs="Times New Roman"/>
        </w:rPr>
        <w:tab/>
      </w:r>
      <w:r w:rsidR="00930BE1" w:rsidRPr="004236D1">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A</m:t>
            </m:r>
          </m:e>
          <m:sub>
            <m:r>
              <w:rPr>
                <w:rFonts w:ascii="Cambria Math" w:eastAsiaTheme="minorEastAsia" w:hAnsi="Cambria Math" w:cs="Times New Roman"/>
              </w:rPr>
              <m:t>6×6</m:t>
            </m:r>
          </m:sub>
        </m:sSub>
      </m:oMath>
      <w:r w:rsidR="00930BE1" w:rsidRPr="004236D1">
        <w:rPr>
          <w:rFonts w:ascii="Times New Roman" w:eastAsiaTheme="minorEastAsia" w:hAnsi="Times New Roman" w:cs="Times New Roman"/>
        </w:rPr>
        <w:tab/>
      </w:r>
      <m:oMath>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6×6</m:t>
            </m:r>
          </m:sub>
        </m:sSub>
      </m:oMath>
    </w:p>
    <w:p w14:paraId="5DCED5C1" w14:textId="77777777" w:rsidR="009B1881" w:rsidRDefault="009B1881" w:rsidP="004236D1">
      <w:pPr>
        <w:spacing w:line="360" w:lineRule="auto"/>
        <w:jc w:val="both"/>
        <w:rPr>
          <w:rFonts w:ascii="Times New Roman" w:hAnsi="Times New Roman" w:cs="Times New Roman"/>
          <w:b/>
        </w:rPr>
      </w:pPr>
    </w:p>
    <w:p w14:paraId="62EB344A" w14:textId="32AB9CC9" w:rsidR="00850589" w:rsidRPr="004236D1" w:rsidRDefault="003D1C21" w:rsidP="004236D1">
      <w:pPr>
        <w:spacing w:line="360" w:lineRule="auto"/>
        <w:jc w:val="both"/>
        <w:rPr>
          <w:rFonts w:ascii="Times New Roman" w:hAnsi="Times New Roman" w:cs="Times New Roman"/>
          <w:b/>
        </w:rPr>
      </w:pPr>
      <w:r w:rsidRPr="004236D1">
        <w:rPr>
          <w:rFonts w:ascii="Times New Roman" w:hAnsi="Times New Roman" w:cs="Times New Roman"/>
          <w:b/>
        </w:rPr>
        <w:t>RESULT</w:t>
      </w:r>
      <w:r>
        <w:rPr>
          <w:rFonts w:ascii="Times New Roman" w:hAnsi="Times New Roman" w:cs="Times New Roman"/>
          <w:b/>
        </w:rPr>
        <w:t>S</w:t>
      </w:r>
      <w:r w:rsidR="007F2C37">
        <w:rPr>
          <w:rFonts w:ascii="Times New Roman" w:hAnsi="Times New Roman" w:cs="Times New Roman"/>
          <w:b/>
        </w:rPr>
        <w:t xml:space="preserve"> AND DISCUSSION</w:t>
      </w:r>
    </w:p>
    <w:p w14:paraId="7441D94A" w14:textId="77777777" w:rsidR="00996955" w:rsidRPr="00D06A05" w:rsidRDefault="00996955" w:rsidP="00996955">
      <w:pPr>
        <w:rPr>
          <w:rFonts w:ascii="Times New Roman" w:hAnsi="Times New Roman" w:cs="Times New Roman"/>
          <w:b/>
          <w:bCs/>
        </w:rPr>
      </w:pPr>
      <w:r>
        <w:rPr>
          <w:rFonts w:ascii="Times New Roman" w:hAnsi="Times New Roman" w:cs="Times New Roman"/>
          <w:b/>
          <w:bCs/>
        </w:rPr>
        <w:t>Table 1</w:t>
      </w:r>
      <w:r w:rsidRPr="00D06A05">
        <w:rPr>
          <w:rFonts w:ascii="Times New Roman" w:hAnsi="Times New Roman" w:cs="Times New Roman"/>
          <w:b/>
          <w:bCs/>
        </w:rPr>
        <w:t xml:space="preserve">: Descriptive Statistics of </w:t>
      </w:r>
      <w:r>
        <w:rPr>
          <w:rFonts w:ascii="Times New Roman" w:hAnsi="Times New Roman" w:cs="Times New Roman"/>
          <w:b/>
          <w:bCs/>
        </w:rPr>
        <w:t>t</w:t>
      </w:r>
      <w:r w:rsidRPr="00D06A05">
        <w:rPr>
          <w:rFonts w:ascii="Times New Roman" w:hAnsi="Times New Roman" w:cs="Times New Roman"/>
          <w:b/>
          <w:bCs/>
        </w:rPr>
        <w:t>he Log Return on the Series</w:t>
      </w:r>
    </w:p>
    <w:tbl>
      <w:tblPr>
        <w:tblW w:w="9367" w:type="dxa"/>
        <w:tblInd w:w="3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2"/>
        <w:gridCol w:w="1313"/>
        <w:gridCol w:w="1312"/>
        <w:gridCol w:w="1313"/>
        <w:gridCol w:w="1312"/>
        <w:gridCol w:w="1313"/>
        <w:gridCol w:w="1312"/>
      </w:tblGrid>
      <w:tr w:rsidR="00996955" w:rsidRPr="00D06A05" w14:paraId="3B762698" w14:textId="77777777" w:rsidTr="00957B09">
        <w:trPr>
          <w:trHeight w:val="225"/>
        </w:trPr>
        <w:tc>
          <w:tcPr>
            <w:tcW w:w="1492" w:type="dxa"/>
            <w:tcBorders>
              <w:top w:val="single" w:sz="4" w:space="0" w:color="auto"/>
              <w:bottom w:val="single" w:sz="4" w:space="0" w:color="auto"/>
            </w:tcBorders>
            <w:vAlign w:val="bottom"/>
          </w:tcPr>
          <w:p w14:paraId="1D39E6FE" w14:textId="77777777" w:rsidR="00996955" w:rsidRPr="00D06A05" w:rsidRDefault="00996955" w:rsidP="00235235">
            <w:pPr>
              <w:rPr>
                <w:rFonts w:ascii="Times New Roman" w:hAnsi="Times New Roman" w:cs="Times New Roman"/>
                <w:b/>
                <w:bCs/>
              </w:rPr>
            </w:pPr>
          </w:p>
        </w:tc>
        <w:tc>
          <w:tcPr>
            <w:tcW w:w="1313" w:type="dxa"/>
            <w:tcBorders>
              <w:top w:val="single" w:sz="4" w:space="0" w:color="auto"/>
              <w:bottom w:val="single" w:sz="4" w:space="0" w:color="auto"/>
            </w:tcBorders>
            <w:vAlign w:val="bottom"/>
          </w:tcPr>
          <w:p w14:paraId="515F6288"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DEXR</w:t>
            </w:r>
          </w:p>
        </w:tc>
        <w:tc>
          <w:tcPr>
            <w:tcW w:w="1312" w:type="dxa"/>
            <w:tcBorders>
              <w:top w:val="single" w:sz="4" w:space="0" w:color="auto"/>
              <w:bottom w:val="single" w:sz="4" w:space="0" w:color="auto"/>
            </w:tcBorders>
            <w:vAlign w:val="bottom"/>
          </w:tcPr>
          <w:p w14:paraId="5353E774"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DCOPP</w:t>
            </w:r>
          </w:p>
        </w:tc>
        <w:tc>
          <w:tcPr>
            <w:tcW w:w="1313" w:type="dxa"/>
            <w:tcBorders>
              <w:top w:val="single" w:sz="4" w:space="0" w:color="auto"/>
              <w:bottom w:val="single" w:sz="4" w:space="0" w:color="auto"/>
            </w:tcBorders>
            <w:vAlign w:val="bottom"/>
          </w:tcPr>
          <w:p w14:paraId="54E32422"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DBCOP</w:t>
            </w:r>
          </w:p>
        </w:tc>
        <w:tc>
          <w:tcPr>
            <w:tcW w:w="1312" w:type="dxa"/>
            <w:tcBorders>
              <w:top w:val="single" w:sz="4" w:space="0" w:color="auto"/>
              <w:bottom w:val="single" w:sz="4" w:space="0" w:color="auto"/>
            </w:tcBorders>
            <w:vAlign w:val="bottom"/>
          </w:tcPr>
          <w:p w14:paraId="28EE01C6"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DGOLDP</w:t>
            </w:r>
          </w:p>
        </w:tc>
        <w:tc>
          <w:tcPr>
            <w:tcW w:w="1313" w:type="dxa"/>
            <w:tcBorders>
              <w:top w:val="single" w:sz="4" w:space="0" w:color="auto"/>
              <w:bottom w:val="single" w:sz="4" w:space="0" w:color="auto"/>
            </w:tcBorders>
            <w:vAlign w:val="bottom"/>
          </w:tcPr>
          <w:p w14:paraId="4DC6BF1A"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DNGAS</w:t>
            </w:r>
          </w:p>
        </w:tc>
        <w:tc>
          <w:tcPr>
            <w:tcW w:w="1312" w:type="dxa"/>
            <w:tcBorders>
              <w:top w:val="single" w:sz="4" w:space="0" w:color="auto"/>
              <w:bottom w:val="single" w:sz="4" w:space="0" w:color="auto"/>
            </w:tcBorders>
            <w:vAlign w:val="bottom"/>
          </w:tcPr>
          <w:p w14:paraId="5C9E2ECC" w14:textId="77777777" w:rsidR="00996955" w:rsidRPr="00D06A05" w:rsidRDefault="00996955" w:rsidP="00235235">
            <w:pPr>
              <w:rPr>
                <w:rFonts w:ascii="Times New Roman" w:hAnsi="Times New Roman" w:cs="Times New Roman"/>
                <w:b/>
                <w:bCs/>
              </w:rPr>
            </w:pPr>
            <w:r w:rsidRPr="00D06A05">
              <w:rPr>
                <w:rFonts w:ascii="Times New Roman" w:hAnsi="Times New Roman" w:cs="Times New Roman"/>
                <w:b/>
                <w:bCs/>
              </w:rPr>
              <w:t>DSTOCKP</w:t>
            </w:r>
          </w:p>
        </w:tc>
      </w:tr>
      <w:tr w:rsidR="00996955" w:rsidRPr="00D06A05" w14:paraId="24421DEB" w14:textId="77777777" w:rsidTr="00957B09">
        <w:trPr>
          <w:trHeight w:val="225"/>
        </w:trPr>
        <w:tc>
          <w:tcPr>
            <w:tcW w:w="1492" w:type="dxa"/>
            <w:tcBorders>
              <w:top w:val="single" w:sz="4" w:space="0" w:color="auto"/>
            </w:tcBorders>
            <w:vAlign w:val="bottom"/>
          </w:tcPr>
          <w:p w14:paraId="3EB370E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Mean</w:t>
            </w:r>
          </w:p>
        </w:tc>
        <w:tc>
          <w:tcPr>
            <w:tcW w:w="1313" w:type="dxa"/>
            <w:tcBorders>
              <w:top w:val="single" w:sz="4" w:space="0" w:color="auto"/>
            </w:tcBorders>
            <w:vAlign w:val="bottom"/>
          </w:tcPr>
          <w:p w14:paraId="050040E4"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0.027576</w:t>
            </w:r>
          </w:p>
        </w:tc>
        <w:tc>
          <w:tcPr>
            <w:tcW w:w="1312" w:type="dxa"/>
            <w:tcBorders>
              <w:top w:val="single" w:sz="4" w:space="0" w:color="auto"/>
            </w:tcBorders>
            <w:vAlign w:val="bottom"/>
          </w:tcPr>
          <w:p w14:paraId="75C629E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0.004669</w:t>
            </w:r>
          </w:p>
        </w:tc>
        <w:tc>
          <w:tcPr>
            <w:tcW w:w="1313" w:type="dxa"/>
            <w:tcBorders>
              <w:top w:val="single" w:sz="4" w:space="0" w:color="auto"/>
            </w:tcBorders>
            <w:vAlign w:val="bottom"/>
          </w:tcPr>
          <w:p w14:paraId="4E42F3F6"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-0.002444</w:t>
            </w:r>
          </w:p>
        </w:tc>
        <w:tc>
          <w:tcPr>
            <w:tcW w:w="1312" w:type="dxa"/>
            <w:tcBorders>
              <w:top w:val="single" w:sz="4" w:space="0" w:color="auto"/>
            </w:tcBorders>
            <w:vAlign w:val="bottom"/>
          </w:tcPr>
          <w:p w14:paraId="79960B3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0.013907</w:t>
            </w:r>
          </w:p>
        </w:tc>
        <w:tc>
          <w:tcPr>
            <w:tcW w:w="1313" w:type="dxa"/>
            <w:tcBorders>
              <w:top w:val="single" w:sz="4" w:space="0" w:color="auto"/>
            </w:tcBorders>
            <w:vAlign w:val="bottom"/>
          </w:tcPr>
          <w:p w14:paraId="0C3A326D"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0.000815</w:t>
            </w:r>
          </w:p>
        </w:tc>
        <w:tc>
          <w:tcPr>
            <w:tcW w:w="1312" w:type="dxa"/>
            <w:tcBorders>
              <w:top w:val="single" w:sz="4" w:space="0" w:color="auto"/>
            </w:tcBorders>
            <w:vAlign w:val="bottom"/>
          </w:tcPr>
          <w:p w14:paraId="2FAD3E7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0.017086</w:t>
            </w:r>
          </w:p>
        </w:tc>
      </w:tr>
      <w:tr w:rsidR="00996955" w:rsidRPr="00D06A05" w14:paraId="5195F537" w14:textId="77777777" w:rsidTr="00957B09">
        <w:trPr>
          <w:trHeight w:val="225"/>
        </w:trPr>
        <w:tc>
          <w:tcPr>
            <w:tcW w:w="1492" w:type="dxa"/>
            <w:vAlign w:val="bottom"/>
          </w:tcPr>
          <w:p w14:paraId="17828D2D"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Median</w:t>
            </w:r>
          </w:p>
        </w:tc>
        <w:tc>
          <w:tcPr>
            <w:tcW w:w="1313" w:type="dxa"/>
            <w:vAlign w:val="bottom"/>
          </w:tcPr>
          <w:p w14:paraId="066EB1CC"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0.000000</w:t>
            </w:r>
          </w:p>
        </w:tc>
        <w:tc>
          <w:tcPr>
            <w:tcW w:w="1312" w:type="dxa"/>
            <w:vAlign w:val="bottom"/>
          </w:tcPr>
          <w:p w14:paraId="5FA7864C"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0.010479</w:t>
            </w:r>
          </w:p>
        </w:tc>
        <w:tc>
          <w:tcPr>
            <w:tcW w:w="1313" w:type="dxa"/>
            <w:vAlign w:val="bottom"/>
          </w:tcPr>
          <w:p w14:paraId="38D7EB6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0.033575</w:t>
            </w:r>
          </w:p>
        </w:tc>
        <w:tc>
          <w:tcPr>
            <w:tcW w:w="1312" w:type="dxa"/>
            <w:vAlign w:val="bottom"/>
          </w:tcPr>
          <w:p w14:paraId="4E6D8C94"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0.015520</w:t>
            </w:r>
          </w:p>
        </w:tc>
        <w:tc>
          <w:tcPr>
            <w:tcW w:w="1313" w:type="dxa"/>
            <w:vAlign w:val="bottom"/>
          </w:tcPr>
          <w:p w14:paraId="5BB6E746"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0.000000</w:t>
            </w:r>
          </w:p>
        </w:tc>
        <w:tc>
          <w:tcPr>
            <w:tcW w:w="1312" w:type="dxa"/>
            <w:vAlign w:val="bottom"/>
          </w:tcPr>
          <w:p w14:paraId="12D35CA6"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0.008571</w:t>
            </w:r>
          </w:p>
        </w:tc>
      </w:tr>
      <w:tr w:rsidR="00996955" w:rsidRPr="00D06A05" w14:paraId="41A61AF4" w14:textId="77777777" w:rsidTr="00957B09">
        <w:trPr>
          <w:trHeight w:val="225"/>
        </w:trPr>
        <w:tc>
          <w:tcPr>
            <w:tcW w:w="1492" w:type="dxa"/>
            <w:vAlign w:val="bottom"/>
          </w:tcPr>
          <w:p w14:paraId="00ED1F91"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Maximum</w:t>
            </w:r>
          </w:p>
        </w:tc>
        <w:tc>
          <w:tcPr>
            <w:tcW w:w="1313" w:type="dxa"/>
            <w:vAlign w:val="bottom"/>
          </w:tcPr>
          <w:p w14:paraId="23E0B653"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15.19555</w:t>
            </w:r>
          </w:p>
        </w:tc>
        <w:tc>
          <w:tcPr>
            <w:tcW w:w="1312" w:type="dxa"/>
            <w:vAlign w:val="bottom"/>
          </w:tcPr>
          <w:p w14:paraId="7EBF4DE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5.354618</w:t>
            </w:r>
          </w:p>
        </w:tc>
        <w:tc>
          <w:tcPr>
            <w:tcW w:w="1313" w:type="dxa"/>
            <w:vAlign w:val="bottom"/>
          </w:tcPr>
          <w:p w14:paraId="0C1D0575"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8.285210</w:t>
            </w:r>
          </w:p>
        </w:tc>
        <w:tc>
          <w:tcPr>
            <w:tcW w:w="1312" w:type="dxa"/>
            <w:vAlign w:val="bottom"/>
          </w:tcPr>
          <w:p w14:paraId="5067038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2.508208</w:t>
            </w:r>
          </w:p>
        </w:tc>
        <w:tc>
          <w:tcPr>
            <w:tcW w:w="1313" w:type="dxa"/>
            <w:vAlign w:val="bottom"/>
          </w:tcPr>
          <w:p w14:paraId="1AFF9B2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12.75657</w:t>
            </w:r>
          </w:p>
        </w:tc>
        <w:tc>
          <w:tcPr>
            <w:tcW w:w="1312" w:type="dxa"/>
            <w:vAlign w:val="bottom"/>
          </w:tcPr>
          <w:p w14:paraId="5AEFEEB9"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4.065005</w:t>
            </w:r>
          </w:p>
        </w:tc>
      </w:tr>
      <w:tr w:rsidR="00996955" w:rsidRPr="00D06A05" w14:paraId="1BDE28F3" w14:textId="77777777" w:rsidTr="00957B09">
        <w:trPr>
          <w:trHeight w:val="225"/>
        </w:trPr>
        <w:tc>
          <w:tcPr>
            <w:tcW w:w="1492" w:type="dxa"/>
            <w:vAlign w:val="bottom"/>
          </w:tcPr>
          <w:p w14:paraId="1C64E42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Minimum</w:t>
            </w:r>
          </w:p>
        </w:tc>
        <w:tc>
          <w:tcPr>
            <w:tcW w:w="1313" w:type="dxa"/>
            <w:vAlign w:val="bottom"/>
          </w:tcPr>
          <w:p w14:paraId="65905F2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-4.563182</w:t>
            </w:r>
          </w:p>
        </w:tc>
        <w:tc>
          <w:tcPr>
            <w:tcW w:w="1312" w:type="dxa"/>
            <w:vAlign w:val="bottom"/>
          </w:tcPr>
          <w:p w14:paraId="6E9FA94B"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-10.81626</w:t>
            </w:r>
          </w:p>
        </w:tc>
        <w:tc>
          <w:tcPr>
            <w:tcW w:w="1313" w:type="dxa"/>
            <w:vAlign w:val="bottom"/>
          </w:tcPr>
          <w:p w14:paraId="7E2E96A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-12.14989</w:t>
            </w:r>
          </w:p>
        </w:tc>
        <w:tc>
          <w:tcPr>
            <w:tcW w:w="1312" w:type="dxa"/>
            <w:vAlign w:val="bottom"/>
          </w:tcPr>
          <w:p w14:paraId="5C579BE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-4.260638</w:t>
            </w:r>
          </w:p>
        </w:tc>
        <w:tc>
          <w:tcPr>
            <w:tcW w:w="1313" w:type="dxa"/>
            <w:vAlign w:val="bottom"/>
          </w:tcPr>
          <w:p w14:paraId="2804CF27"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-9.264614</w:t>
            </w:r>
          </w:p>
        </w:tc>
        <w:tc>
          <w:tcPr>
            <w:tcW w:w="1312" w:type="dxa"/>
            <w:vAlign w:val="bottom"/>
          </w:tcPr>
          <w:p w14:paraId="5B8BC3A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-27.33897</w:t>
            </w:r>
          </w:p>
        </w:tc>
      </w:tr>
      <w:tr w:rsidR="00996955" w:rsidRPr="00D06A05" w14:paraId="2A36374D" w14:textId="77777777" w:rsidTr="00957B09">
        <w:trPr>
          <w:trHeight w:val="225"/>
        </w:trPr>
        <w:tc>
          <w:tcPr>
            <w:tcW w:w="1492" w:type="dxa"/>
            <w:vAlign w:val="bottom"/>
          </w:tcPr>
          <w:p w14:paraId="34D5C41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Std. Dev.</w:t>
            </w:r>
          </w:p>
        </w:tc>
        <w:tc>
          <w:tcPr>
            <w:tcW w:w="1313" w:type="dxa"/>
            <w:vAlign w:val="bottom"/>
          </w:tcPr>
          <w:p w14:paraId="07D0DA69"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0.576641</w:t>
            </w:r>
          </w:p>
        </w:tc>
        <w:tc>
          <w:tcPr>
            <w:tcW w:w="1312" w:type="dxa"/>
            <w:vAlign w:val="bottom"/>
          </w:tcPr>
          <w:p w14:paraId="7257B42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0.640314</w:t>
            </w:r>
          </w:p>
        </w:tc>
        <w:tc>
          <w:tcPr>
            <w:tcW w:w="1313" w:type="dxa"/>
            <w:vAlign w:val="bottom"/>
          </w:tcPr>
          <w:p w14:paraId="29A6227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0.964476</w:t>
            </w:r>
          </w:p>
        </w:tc>
        <w:tc>
          <w:tcPr>
            <w:tcW w:w="1312" w:type="dxa"/>
            <w:vAlign w:val="bottom"/>
          </w:tcPr>
          <w:p w14:paraId="658600C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0.443484</w:t>
            </w:r>
          </w:p>
        </w:tc>
        <w:tc>
          <w:tcPr>
            <w:tcW w:w="1313" w:type="dxa"/>
            <w:vAlign w:val="bottom"/>
          </w:tcPr>
          <w:p w14:paraId="60D8DDA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1.495322</w:t>
            </w:r>
          </w:p>
        </w:tc>
        <w:tc>
          <w:tcPr>
            <w:tcW w:w="1312" w:type="dxa"/>
            <w:vAlign w:val="bottom"/>
          </w:tcPr>
          <w:p w14:paraId="7ABC7089"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0.640815</w:t>
            </w:r>
          </w:p>
        </w:tc>
      </w:tr>
      <w:tr w:rsidR="00996955" w:rsidRPr="00D06A05" w14:paraId="2196DB81" w14:textId="77777777" w:rsidTr="00957B09">
        <w:trPr>
          <w:trHeight w:val="225"/>
        </w:trPr>
        <w:tc>
          <w:tcPr>
            <w:tcW w:w="1492" w:type="dxa"/>
            <w:vAlign w:val="bottom"/>
          </w:tcPr>
          <w:p w14:paraId="7CF43E7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Skewness</w:t>
            </w:r>
          </w:p>
        </w:tc>
        <w:tc>
          <w:tcPr>
            <w:tcW w:w="1313" w:type="dxa"/>
            <w:vAlign w:val="bottom"/>
          </w:tcPr>
          <w:p w14:paraId="410C5B1A"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9.319362</w:t>
            </w:r>
          </w:p>
        </w:tc>
        <w:tc>
          <w:tcPr>
            <w:tcW w:w="1312" w:type="dxa"/>
            <w:vAlign w:val="bottom"/>
          </w:tcPr>
          <w:p w14:paraId="120FDD93"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-1.227618</w:t>
            </w:r>
          </w:p>
        </w:tc>
        <w:tc>
          <w:tcPr>
            <w:tcW w:w="1313" w:type="dxa"/>
            <w:vAlign w:val="bottom"/>
          </w:tcPr>
          <w:p w14:paraId="05B3FDD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-0.911323</w:t>
            </w:r>
          </w:p>
        </w:tc>
        <w:tc>
          <w:tcPr>
            <w:tcW w:w="1312" w:type="dxa"/>
            <w:vAlign w:val="bottom"/>
          </w:tcPr>
          <w:p w14:paraId="651CCAE2"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-0.580071</w:t>
            </w:r>
          </w:p>
        </w:tc>
        <w:tc>
          <w:tcPr>
            <w:tcW w:w="1313" w:type="dxa"/>
            <w:vAlign w:val="bottom"/>
          </w:tcPr>
          <w:p w14:paraId="1CA03465"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0.195784</w:t>
            </w:r>
          </w:p>
        </w:tc>
        <w:tc>
          <w:tcPr>
            <w:tcW w:w="1312" w:type="dxa"/>
            <w:vAlign w:val="bottom"/>
          </w:tcPr>
          <w:p w14:paraId="4906B692"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-21.40163</w:t>
            </w:r>
          </w:p>
        </w:tc>
      </w:tr>
      <w:tr w:rsidR="00996955" w:rsidRPr="00D06A05" w14:paraId="4ED36CDA" w14:textId="77777777" w:rsidTr="00957B09">
        <w:trPr>
          <w:trHeight w:val="225"/>
        </w:trPr>
        <w:tc>
          <w:tcPr>
            <w:tcW w:w="1492" w:type="dxa"/>
            <w:vAlign w:val="bottom"/>
          </w:tcPr>
          <w:p w14:paraId="336F9CE3"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Kurtosis</w:t>
            </w:r>
          </w:p>
        </w:tc>
        <w:tc>
          <w:tcPr>
            <w:tcW w:w="1313" w:type="dxa"/>
            <w:vAlign w:val="bottom"/>
          </w:tcPr>
          <w:p w14:paraId="5BE26CB5"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216.1159</w:t>
            </w:r>
          </w:p>
        </w:tc>
        <w:tc>
          <w:tcPr>
            <w:tcW w:w="1312" w:type="dxa"/>
            <w:vAlign w:val="bottom"/>
          </w:tcPr>
          <w:p w14:paraId="1871371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25.84142</w:t>
            </w:r>
          </w:p>
        </w:tc>
        <w:tc>
          <w:tcPr>
            <w:tcW w:w="1313" w:type="dxa"/>
            <w:vAlign w:val="bottom"/>
          </w:tcPr>
          <w:p w14:paraId="4A5B574E"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20.05872</w:t>
            </w:r>
          </w:p>
        </w:tc>
        <w:tc>
          <w:tcPr>
            <w:tcW w:w="1312" w:type="dxa"/>
            <w:vAlign w:val="bottom"/>
          </w:tcPr>
          <w:p w14:paraId="2D311F08"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8.535212</w:t>
            </w:r>
          </w:p>
        </w:tc>
        <w:tc>
          <w:tcPr>
            <w:tcW w:w="1313" w:type="dxa"/>
            <w:vAlign w:val="bottom"/>
          </w:tcPr>
          <w:p w14:paraId="50804BA0"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8.498737</w:t>
            </w:r>
          </w:p>
        </w:tc>
        <w:tc>
          <w:tcPr>
            <w:tcW w:w="1312" w:type="dxa"/>
            <w:vAlign w:val="bottom"/>
          </w:tcPr>
          <w:p w14:paraId="64E20B2B" w14:textId="77777777" w:rsidR="00996955" w:rsidRPr="00D06A05" w:rsidRDefault="00996955" w:rsidP="00235235">
            <w:pPr>
              <w:rPr>
                <w:rFonts w:ascii="Times New Roman" w:hAnsi="Times New Roman" w:cs="Times New Roman"/>
              </w:rPr>
            </w:pPr>
            <w:r w:rsidRPr="00D06A05">
              <w:rPr>
                <w:rFonts w:ascii="Times New Roman" w:hAnsi="Times New Roman" w:cs="Times New Roman"/>
              </w:rPr>
              <w:t> 871.8872</w:t>
            </w:r>
          </w:p>
        </w:tc>
      </w:tr>
    </w:tbl>
    <w:p w14:paraId="2003C72E" w14:textId="77777777" w:rsidR="00957B09" w:rsidRPr="008146C7" w:rsidRDefault="008146C7" w:rsidP="008146C7">
      <w:pPr>
        <w:spacing w:after="0"/>
        <w:jc w:val="both"/>
        <w:rPr>
          <w:rFonts w:ascii="Times New Roman" w:hAnsi="Times New Roman" w:cs="Times New Roman"/>
          <w:lang w:val="en-GB"/>
        </w:rPr>
      </w:pPr>
      <w:r>
        <w:rPr>
          <w:rFonts w:ascii="Times New Roman" w:hAnsi="Times New Roman" w:cs="Times New Roman"/>
        </w:rPr>
        <w:t>Table 1</w:t>
      </w:r>
      <w:r w:rsidRPr="00C63C82">
        <w:rPr>
          <w:rFonts w:ascii="Times New Roman" w:hAnsi="Times New Roman" w:cs="Times New Roman"/>
        </w:rPr>
        <w:t xml:space="preserve"> shows that the mean returns of exchange rate, Brent crude oil, copper, gold, natural gas and stock market index return series are close to zero, which is typical in financial return series.</w:t>
      </w:r>
      <w:r>
        <w:rPr>
          <w:rFonts w:ascii="Times New Roman" w:hAnsi="Times New Roman" w:cs="Times New Roman"/>
          <w:lang w:val="en-GB"/>
        </w:rPr>
        <w:t xml:space="preserve"> </w:t>
      </w:r>
      <w:r w:rsidR="00957B09" w:rsidRPr="008146C7">
        <w:rPr>
          <w:rFonts w:ascii="Times New Roman" w:hAnsi="Times New Roman" w:cs="Times New Roman"/>
          <w:lang w:val="en-GB"/>
        </w:rPr>
        <w:t xml:space="preserve">The descriptive statistics in the table summarize the distributional characteristics of the daily </w:t>
      </w:r>
      <w:r w:rsidR="00957B09" w:rsidRPr="008146C7">
        <w:rPr>
          <w:rFonts w:ascii="Times New Roman" w:hAnsi="Times New Roman" w:cs="Times New Roman"/>
          <w:lang w:val="en-GB"/>
        </w:rPr>
        <w:lastRenderedPageBreak/>
        <w:t>returns of the exchange rate (DEXR), copper (DCOPP), Brent crude oil (DBCOP), gold (DGOLDP), natural gas (DNGAS), and stock market (DSTOCKP) series. The results provide information on the central tendency, dispersion, asymmetry, and tail behaviour of the returns, which are important preliminary characteristics for subsequent multivariate volatility modelling.</w:t>
      </w:r>
    </w:p>
    <w:p w14:paraId="4BFCFD56" w14:textId="77777777" w:rsidR="00996955" w:rsidRPr="008146C7" w:rsidRDefault="00957B09" w:rsidP="008146C7">
      <w:pPr>
        <w:spacing w:after="0"/>
        <w:jc w:val="both"/>
        <w:rPr>
          <w:rFonts w:ascii="Times New Roman" w:hAnsi="Times New Roman" w:cs="Times New Roman"/>
          <w:lang w:val="en-GB"/>
        </w:rPr>
      </w:pPr>
      <w:r w:rsidRPr="008146C7">
        <w:rPr>
          <w:rFonts w:ascii="Times New Roman" w:hAnsi="Times New Roman" w:cs="Times New Roman"/>
          <w:lang w:val="en-GB"/>
        </w:rPr>
        <w:t>The mean returns are generally small across the six markets. DEXR recorded the highest positive mean return of 0.027576, followed by DSTOCKP (0.017086) and DGOLDP (0.013907). DCOPP and DNGAS recorded relatively small positive mean returns of 0.004669 and 0.000815, respectively, while DBCOP recorded a slightly negative mean return of −0.002444. The generally small magnitude of the means suggests that average returns were relatively modest over the sample period. The differences between the means and medians also suggest that the return distributio</w:t>
      </w:r>
      <w:r w:rsidR="008146C7">
        <w:rPr>
          <w:rFonts w:ascii="Times New Roman" w:hAnsi="Times New Roman" w:cs="Times New Roman"/>
          <w:lang w:val="en-GB"/>
        </w:rPr>
        <w:t xml:space="preserve">ns are not perfectly symmetric. </w:t>
      </w:r>
      <w:r w:rsidRPr="008146C7">
        <w:rPr>
          <w:rFonts w:ascii="Times New Roman" w:hAnsi="Times New Roman" w:cs="Times New Roman"/>
          <w:lang w:val="en-GB"/>
        </w:rPr>
        <w:t>The standard deviations reveal substantial differences in volatility across the markets. DNGAS recorded the highest standard deviation at 1.495322, indicating the greatest unconditional variability among the six series. DBCOP followed with 0.964476, while DSTOCKP, DCOPP and DEXR recorded standard deviations of 0.640815, 0.640314 and 0.576641, respectively. DGOLDP had the lowest standard deviation at 0.443484. These differences indicate that the markets do not exhibit identical levels of risk and variability. In particular, the relatively high dispersion of natural gas and Brent crude returns suggests greater fluctuations in these commodity m</w:t>
      </w:r>
      <w:r w:rsidR="008146C7">
        <w:rPr>
          <w:rFonts w:ascii="Times New Roman" w:hAnsi="Times New Roman" w:cs="Times New Roman"/>
          <w:lang w:val="en-GB"/>
        </w:rPr>
        <w:t xml:space="preserve">arkets during the study period. </w:t>
      </w:r>
      <w:r w:rsidRPr="008146C7">
        <w:rPr>
          <w:rFonts w:ascii="Times New Roman" w:hAnsi="Times New Roman" w:cs="Times New Roman"/>
          <w:lang w:val="en-GB"/>
        </w:rPr>
        <w:t>The minimum and maximum values further demonstrate the occurrence of substantial price or return movements. DEXR ranged from −4.563182 to 15.19555, while DCOPP ranged from −10.81626 to 5.354618. DBCOP recorded values between −12.14989 and 8.285210, and DGOLDP ranged from −4.260638 to 2.508208. DNGAS experienced movements between −9.264614 and 12.75657, whereas DSTOCKP recorded the widest range, from −27.33897 to 4.065005. The large differences between the extreme observations and their respective means indicate the presence of substantial market shocks and unusually large return movements, characteristics that are rel</w:t>
      </w:r>
      <w:r w:rsidR="008146C7">
        <w:rPr>
          <w:rFonts w:ascii="Times New Roman" w:hAnsi="Times New Roman" w:cs="Times New Roman"/>
          <w:lang w:val="en-GB"/>
        </w:rPr>
        <w:t xml:space="preserve">evant for volatility modelling.  </w:t>
      </w:r>
      <w:r w:rsidRPr="008146C7">
        <w:rPr>
          <w:rFonts w:ascii="Times New Roman" w:hAnsi="Times New Roman" w:cs="Times New Roman"/>
          <w:lang w:val="en-GB"/>
        </w:rPr>
        <w:t>The skewness statistics indicate pronounced asymmetry in most of the return distributions. DEXR has a strongly positive skewness of 9.319362, indicating a long right tail and the presence of unusually large positive observations. In contrast, DCOPP (−1.227618), DBCOP (−0.911323), DGOLDP (−0.580071) and DSTOCKP (−21.40163) are negatively skewed, indicating longer or heavier left tails. DNGAS has a relatively small positive skewness of 0.195784, suggesting a distribution that is closer to symmetry compared with the other series. The exceptionally large negative skewness of DSTOCKP indicates that extreme negative returns exert a particularly strong</w:t>
      </w:r>
      <w:r w:rsidR="008146C7">
        <w:rPr>
          <w:rFonts w:ascii="Times New Roman" w:hAnsi="Times New Roman" w:cs="Times New Roman"/>
          <w:lang w:val="en-GB"/>
        </w:rPr>
        <w:t xml:space="preserve"> influence on its distribution. </w:t>
      </w:r>
      <w:r w:rsidRPr="008146C7">
        <w:rPr>
          <w:rFonts w:ascii="Times New Roman" w:hAnsi="Times New Roman" w:cs="Times New Roman"/>
          <w:lang w:val="en-GB"/>
        </w:rPr>
        <w:t>The kurtosis statistics are substantially greater than the normal-distribution benchmark of 3 for all six series. DEXR has a kurtosis of 216.1159, DCOPP 25.84142, DBCOP 20.05872, DGOLDP 8.535212, DNGAS 8.498737, and DSTOCKP an exceptionally high 871.8872. These values indicate leptokurtic distributions, characterized by heavier tails and a greater incidence of extreme observations than would be expected under a normal distribution. The extremely high kurtosis of DEXR and particularly DSTOCKP suggests the presence of substantial outliers or extreme market movements</w:t>
      </w:r>
      <w:r w:rsidRPr="00957B09">
        <w:rPr>
          <w:lang w:val="en-GB"/>
        </w:rPr>
        <w:t>.</w:t>
      </w:r>
    </w:p>
    <w:p w14:paraId="438FACFA" w14:textId="77777777" w:rsidR="00957B09" w:rsidRDefault="00957B09" w:rsidP="00996955">
      <w:pPr>
        <w:spacing w:after="0"/>
        <w:jc w:val="both"/>
        <w:rPr>
          <w:rFonts w:ascii="Times New Roman" w:hAnsi="Times New Roman" w:cs="Times New Roman"/>
        </w:rPr>
      </w:pPr>
    </w:p>
    <w:p w14:paraId="79EBB966" w14:textId="77777777" w:rsidR="00957B09" w:rsidRDefault="00957B09" w:rsidP="00996955">
      <w:pPr>
        <w:spacing w:after="0"/>
        <w:jc w:val="both"/>
        <w:rPr>
          <w:rFonts w:ascii="Times New Roman" w:hAnsi="Times New Roman" w:cs="Times New Roman"/>
        </w:rPr>
      </w:pPr>
    </w:p>
    <w:p w14:paraId="6334824D" w14:textId="77777777" w:rsidR="00957B09" w:rsidRDefault="00957B09" w:rsidP="00996955">
      <w:pPr>
        <w:spacing w:after="0"/>
        <w:jc w:val="both"/>
        <w:rPr>
          <w:rFonts w:ascii="Times New Roman" w:hAnsi="Times New Roman" w:cs="Times New Roman"/>
        </w:rPr>
      </w:pPr>
    </w:p>
    <w:p w14:paraId="7077B4BD" w14:textId="77777777" w:rsidR="00AB6020" w:rsidRDefault="00AB6020" w:rsidP="00AB6020">
      <w:pPr>
        <w:spacing w:after="0"/>
        <w:rPr>
          <w:rFonts w:ascii="Times New Roman" w:hAnsi="Times New Roman" w:cs="Times New Roman"/>
          <w:b/>
          <w:bCs/>
        </w:rPr>
      </w:pPr>
      <w:r>
        <w:rPr>
          <w:rFonts w:ascii="Times New Roman" w:hAnsi="Times New Roman" w:cs="Times New Roman"/>
          <w:b/>
          <w:bCs/>
        </w:rPr>
        <w:t>Table 2: Individual ARCH Components</w:t>
      </w:r>
    </w:p>
    <w:tbl>
      <w:tblPr>
        <w:tblStyle w:val="TableGridLight"/>
        <w:tblW w:w="998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76"/>
        <w:gridCol w:w="1003"/>
        <w:gridCol w:w="876"/>
        <w:gridCol w:w="996"/>
        <w:gridCol w:w="2477"/>
        <w:gridCol w:w="2340"/>
      </w:tblGrid>
      <w:tr w:rsidR="00AB6020" w14:paraId="42CA123E" w14:textId="77777777" w:rsidTr="005376EB">
        <w:trPr>
          <w:trHeight w:val="494"/>
        </w:trPr>
        <w:tc>
          <w:tcPr>
            <w:tcW w:w="1417" w:type="dxa"/>
            <w:tcBorders>
              <w:top w:val="single" w:sz="4" w:space="0" w:color="auto"/>
              <w:bottom w:val="single" w:sz="4" w:space="0" w:color="auto"/>
            </w:tcBorders>
            <w:hideMark/>
          </w:tcPr>
          <w:p w14:paraId="3B5D9EA9"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Residual Component</w:t>
            </w:r>
          </w:p>
        </w:tc>
        <w:tc>
          <w:tcPr>
            <w:tcW w:w="876" w:type="dxa"/>
            <w:tcBorders>
              <w:top w:val="single" w:sz="4" w:space="0" w:color="auto"/>
              <w:bottom w:val="single" w:sz="4" w:space="0" w:color="auto"/>
            </w:tcBorders>
            <w:hideMark/>
          </w:tcPr>
          <w:p w14:paraId="119C97BB"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R²</w:t>
            </w:r>
          </w:p>
        </w:tc>
        <w:tc>
          <w:tcPr>
            <w:tcW w:w="1003" w:type="dxa"/>
            <w:tcBorders>
              <w:top w:val="single" w:sz="4" w:space="0" w:color="auto"/>
              <w:bottom w:val="single" w:sz="4" w:space="0" w:color="auto"/>
            </w:tcBorders>
            <w:hideMark/>
          </w:tcPr>
          <w:p w14:paraId="3F75AEB6"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F-statistic</w:t>
            </w:r>
          </w:p>
        </w:tc>
        <w:tc>
          <w:tcPr>
            <w:tcW w:w="876" w:type="dxa"/>
            <w:tcBorders>
              <w:top w:val="single" w:sz="4" w:space="0" w:color="auto"/>
              <w:bottom w:val="single" w:sz="4" w:space="0" w:color="auto"/>
            </w:tcBorders>
            <w:hideMark/>
          </w:tcPr>
          <w:p w14:paraId="20BC446D"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F p-value</w:t>
            </w:r>
          </w:p>
        </w:tc>
        <w:tc>
          <w:tcPr>
            <w:tcW w:w="996" w:type="dxa"/>
            <w:tcBorders>
              <w:top w:val="single" w:sz="4" w:space="0" w:color="auto"/>
              <w:bottom w:val="single" w:sz="4" w:space="0" w:color="auto"/>
            </w:tcBorders>
            <w:hideMark/>
          </w:tcPr>
          <w:p w14:paraId="7199C7EF"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Chi-square</w:t>
            </w:r>
          </w:p>
        </w:tc>
        <w:tc>
          <w:tcPr>
            <w:tcW w:w="2477" w:type="dxa"/>
            <w:tcBorders>
              <w:top w:val="single" w:sz="4" w:space="0" w:color="auto"/>
              <w:bottom w:val="single" w:sz="4" w:space="0" w:color="auto"/>
            </w:tcBorders>
            <w:hideMark/>
          </w:tcPr>
          <w:p w14:paraId="339820D3"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Chi-square p-value</w:t>
            </w:r>
          </w:p>
        </w:tc>
        <w:tc>
          <w:tcPr>
            <w:tcW w:w="2340" w:type="dxa"/>
            <w:tcBorders>
              <w:top w:val="single" w:sz="4" w:space="0" w:color="auto"/>
              <w:bottom w:val="single" w:sz="4" w:space="0" w:color="auto"/>
            </w:tcBorders>
            <w:hideMark/>
          </w:tcPr>
          <w:p w14:paraId="6E300203" w14:textId="77777777" w:rsidR="00AB6020" w:rsidRDefault="00AB6020" w:rsidP="009B1881">
            <w:pPr>
              <w:spacing w:line="240" w:lineRule="auto"/>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Decision</w:t>
            </w:r>
          </w:p>
        </w:tc>
      </w:tr>
      <w:tr w:rsidR="00AB6020" w14:paraId="14A0952B" w14:textId="77777777" w:rsidTr="005376EB">
        <w:trPr>
          <w:trHeight w:val="377"/>
        </w:trPr>
        <w:tc>
          <w:tcPr>
            <w:tcW w:w="1417" w:type="dxa"/>
            <w:tcBorders>
              <w:top w:val="single" w:sz="4" w:space="0" w:color="auto"/>
            </w:tcBorders>
            <w:hideMark/>
          </w:tcPr>
          <w:p w14:paraId="5D2AB6C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res1 × res1</w:t>
            </w:r>
          </w:p>
        </w:tc>
        <w:tc>
          <w:tcPr>
            <w:tcW w:w="876" w:type="dxa"/>
            <w:tcBorders>
              <w:top w:val="single" w:sz="4" w:space="0" w:color="auto"/>
            </w:tcBorders>
            <w:hideMark/>
          </w:tcPr>
          <w:p w14:paraId="4AB1E8F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0.0707</w:t>
            </w:r>
          </w:p>
        </w:tc>
        <w:tc>
          <w:tcPr>
            <w:tcW w:w="1003" w:type="dxa"/>
            <w:tcBorders>
              <w:top w:val="single" w:sz="4" w:space="0" w:color="auto"/>
            </w:tcBorders>
            <w:hideMark/>
          </w:tcPr>
          <w:p w14:paraId="264370A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4.661</w:t>
            </w:r>
          </w:p>
        </w:tc>
        <w:tc>
          <w:tcPr>
            <w:tcW w:w="876" w:type="dxa"/>
            <w:tcBorders>
              <w:top w:val="single" w:sz="4" w:space="0" w:color="auto"/>
            </w:tcBorders>
            <w:hideMark/>
          </w:tcPr>
          <w:p w14:paraId="0445622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tcBorders>
              <w:top w:val="single" w:sz="4" w:space="0" w:color="auto"/>
            </w:tcBorders>
            <w:hideMark/>
          </w:tcPr>
          <w:p w14:paraId="74D24CF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286.207</w:t>
            </w:r>
          </w:p>
        </w:tc>
        <w:tc>
          <w:tcPr>
            <w:tcW w:w="2477" w:type="dxa"/>
            <w:tcBorders>
              <w:top w:val="single" w:sz="4" w:space="0" w:color="auto"/>
            </w:tcBorders>
            <w:hideMark/>
          </w:tcPr>
          <w:p w14:paraId="42DEF2A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tcBorders>
              <w:top w:val="single" w:sz="4" w:space="0" w:color="auto"/>
            </w:tcBorders>
            <w:hideMark/>
          </w:tcPr>
          <w:p w14:paraId="7E0EB0C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 ARCH</w:t>
            </w:r>
          </w:p>
        </w:tc>
      </w:tr>
      <w:tr w:rsidR="00AB6020" w14:paraId="0C0E742A" w14:textId="77777777" w:rsidTr="005376EB">
        <w:trPr>
          <w:trHeight w:val="260"/>
        </w:trPr>
        <w:tc>
          <w:tcPr>
            <w:tcW w:w="1417" w:type="dxa"/>
            <w:hideMark/>
          </w:tcPr>
          <w:p w14:paraId="6F87423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res2 × res2</w:t>
            </w:r>
          </w:p>
        </w:tc>
        <w:tc>
          <w:tcPr>
            <w:tcW w:w="876" w:type="dxa"/>
            <w:hideMark/>
          </w:tcPr>
          <w:p w14:paraId="3303857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0.0165</w:t>
            </w:r>
          </w:p>
        </w:tc>
        <w:tc>
          <w:tcPr>
            <w:tcW w:w="1003" w:type="dxa"/>
            <w:hideMark/>
          </w:tcPr>
          <w:p w14:paraId="2924895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1.025</w:t>
            </w:r>
          </w:p>
        </w:tc>
        <w:tc>
          <w:tcPr>
            <w:tcW w:w="876" w:type="dxa"/>
            <w:hideMark/>
          </w:tcPr>
          <w:p w14:paraId="79B5974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0.4222</w:t>
            </w:r>
          </w:p>
        </w:tc>
        <w:tc>
          <w:tcPr>
            <w:tcW w:w="996" w:type="dxa"/>
            <w:hideMark/>
          </w:tcPr>
          <w:p w14:paraId="4679ACB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66.604</w:t>
            </w:r>
          </w:p>
        </w:tc>
        <w:tc>
          <w:tcPr>
            <w:tcW w:w="2477" w:type="dxa"/>
            <w:hideMark/>
          </w:tcPr>
          <w:p w14:paraId="44E33F7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0.4216</w:t>
            </w:r>
          </w:p>
        </w:tc>
        <w:tc>
          <w:tcPr>
            <w:tcW w:w="2340" w:type="dxa"/>
            <w:hideMark/>
          </w:tcPr>
          <w:p w14:paraId="5D07B74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r w:rsidR="00AB6020" w14:paraId="306DC42E" w14:textId="77777777" w:rsidTr="005376EB">
        <w:trPr>
          <w:trHeight w:val="242"/>
        </w:trPr>
        <w:tc>
          <w:tcPr>
            <w:tcW w:w="1417" w:type="dxa"/>
            <w:hideMark/>
          </w:tcPr>
          <w:p w14:paraId="218B152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res3 × res3</w:t>
            </w:r>
          </w:p>
        </w:tc>
        <w:tc>
          <w:tcPr>
            <w:tcW w:w="876" w:type="dxa"/>
            <w:hideMark/>
          </w:tcPr>
          <w:p w14:paraId="6FB80F6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0.0193</w:t>
            </w:r>
          </w:p>
        </w:tc>
        <w:tc>
          <w:tcPr>
            <w:tcW w:w="1003" w:type="dxa"/>
            <w:hideMark/>
          </w:tcPr>
          <w:p w14:paraId="0332C04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1.202</w:t>
            </w:r>
          </w:p>
        </w:tc>
        <w:tc>
          <w:tcPr>
            <w:tcW w:w="876" w:type="dxa"/>
            <w:hideMark/>
          </w:tcPr>
          <w:p w14:paraId="4D07149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0.1293</w:t>
            </w:r>
          </w:p>
        </w:tc>
        <w:tc>
          <w:tcPr>
            <w:tcW w:w="996" w:type="dxa"/>
            <w:hideMark/>
          </w:tcPr>
          <w:p w14:paraId="23AD086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77.914</w:t>
            </w:r>
          </w:p>
        </w:tc>
        <w:tc>
          <w:tcPr>
            <w:tcW w:w="2477" w:type="dxa"/>
            <w:hideMark/>
          </w:tcPr>
          <w:p w14:paraId="4027F5F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0.1307</w:t>
            </w:r>
          </w:p>
        </w:tc>
        <w:tc>
          <w:tcPr>
            <w:tcW w:w="2340" w:type="dxa"/>
            <w:hideMark/>
          </w:tcPr>
          <w:p w14:paraId="5814C8F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r w:rsidR="00AB6020" w14:paraId="0FAF8AF1" w14:textId="77777777" w:rsidTr="005376EB">
        <w:trPr>
          <w:trHeight w:val="58"/>
        </w:trPr>
        <w:tc>
          <w:tcPr>
            <w:tcW w:w="1417" w:type="dxa"/>
            <w:hideMark/>
          </w:tcPr>
          <w:p w14:paraId="7E0BF17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res4</w:t>
            </w:r>
          </w:p>
        </w:tc>
        <w:tc>
          <w:tcPr>
            <w:tcW w:w="876" w:type="dxa"/>
            <w:hideMark/>
          </w:tcPr>
          <w:p w14:paraId="2B3C9EB5"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0.0296</w:t>
            </w:r>
          </w:p>
        </w:tc>
        <w:tc>
          <w:tcPr>
            <w:tcW w:w="1003" w:type="dxa"/>
            <w:hideMark/>
          </w:tcPr>
          <w:p w14:paraId="4FA14C1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1.865</w:t>
            </w:r>
          </w:p>
        </w:tc>
        <w:tc>
          <w:tcPr>
            <w:tcW w:w="876" w:type="dxa"/>
            <w:hideMark/>
          </w:tcPr>
          <w:p w14:paraId="79F1BD8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4A0047A5"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119.564</w:t>
            </w:r>
          </w:p>
        </w:tc>
        <w:tc>
          <w:tcPr>
            <w:tcW w:w="2477" w:type="dxa"/>
            <w:hideMark/>
          </w:tcPr>
          <w:p w14:paraId="07C964E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5431A5B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 ARCH</w:t>
            </w:r>
          </w:p>
        </w:tc>
      </w:tr>
      <w:tr w:rsidR="00AB6020" w14:paraId="00658560" w14:textId="77777777" w:rsidTr="005376EB">
        <w:trPr>
          <w:trHeight w:val="296"/>
        </w:trPr>
        <w:tc>
          <w:tcPr>
            <w:tcW w:w="1417" w:type="dxa"/>
            <w:hideMark/>
          </w:tcPr>
          <w:p w14:paraId="5C72062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res5 × res5</w:t>
            </w:r>
          </w:p>
        </w:tc>
        <w:tc>
          <w:tcPr>
            <w:tcW w:w="876" w:type="dxa"/>
            <w:hideMark/>
          </w:tcPr>
          <w:p w14:paraId="1D62243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0.0121</w:t>
            </w:r>
          </w:p>
        </w:tc>
        <w:tc>
          <w:tcPr>
            <w:tcW w:w="1003" w:type="dxa"/>
            <w:hideMark/>
          </w:tcPr>
          <w:p w14:paraId="5915027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0.752</w:t>
            </w:r>
          </w:p>
        </w:tc>
        <w:tc>
          <w:tcPr>
            <w:tcW w:w="876" w:type="dxa"/>
            <w:hideMark/>
          </w:tcPr>
          <w:p w14:paraId="160D567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0.9305</w:t>
            </w:r>
          </w:p>
        </w:tc>
        <w:tc>
          <w:tcPr>
            <w:tcW w:w="996" w:type="dxa"/>
            <w:hideMark/>
          </w:tcPr>
          <w:p w14:paraId="18BA0F8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49.111</w:t>
            </w:r>
          </w:p>
        </w:tc>
        <w:tc>
          <w:tcPr>
            <w:tcW w:w="2477" w:type="dxa"/>
            <w:hideMark/>
          </w:tcPr>
          <w:p w14:paraId="34F1BBA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0.9288</w:t>
            </w:r>
          </w:p>
        </w:tc>
        <w:tc>
          <w:tcPr>
            <w:tcW w:w="2340" w:type="dxa"/>
            <w:hideMark/>
          </w:tcPr>
          <w:p w14:paraId="38B7DB5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r w:rsidR="00AB6020" w14:paraId="43C1C79C" w14:textId="77777777" w:rsidTr="005376EB">
        <w:trPr>
          <w:trHeight w:val="269"/>
        </w:trPr>
        <w:tc>
          <w:tcPr>
            <w:tcW w:w="1417" w:type="dxa"/>
            <w:hideMark/>
          </w:tcPr>
          <w:p w14:paraId="51BA6A4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res2 × res1</w:t>
            </w:r>
          </w:p>
        </w:tc>
        <w:tc>
          <w:tcPr>
            <w:tcW w:w="876" w:type="dxa"/>
            <w:hideMark/>
          </w:tcPr>
          <w:p w14:paraId="778BD45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0.0223</w:t>
            </w:r>
          </w:p>
        </w:tc>
        <w:tc>
          <w:tcPr>
            <w:tcW w:w="1003" w:type="dxa"/>
            <w:hideMark/>
          </w:tcPr>
          <w:p w14:paraId="4A5D54A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1.394</w:t>
            </w:r>
          </w:p>
        </w:tc>
        <w:tc>
          <w:tcPr>
            <w:tcW w:w="876" w:type="dxa"/>
            <w:hideMark/>
          </w:tcPr>
          <w:p w14:paraId="7985AF6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0.0207</w:t>
            </w:r>
          </w:p>
        </w:tc>
        <w:tc>
          <w:tcPr>
            <w:tcW w:w="996" w:type="dxa"/>
            <w:hideMark/>
          </w:tcPr>
          <w:p w14:paraId="18A81F9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90.066</w:t>
            </w:r>
          </w:p>
        </w:tc>
        <w:tc>
          <w:tcPr>
            <w:tcW w:w="2477" w:type="dxa"/>
            <w:hideMark/>
          </w:tcPr>
          <w:p w14:paraId="04D013C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0.0215</w:t>
            </w:r>
          </w:p>
        </w:tc>
        <w:tc>
          <w:tcPr>
            <w:tcW w:w="2340" w:type="dxa"/>
            <w:hideMark/>
          </w:tcPr>
          <w:p w14:paraId="3D92CCA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577EC7D2" w14:textId="77777777" w:rsidTr="005376EB">
        <w:trPr>
          <w:trHeight w:val="341"/>
        </w:trPr>
        <w:tc>
          <w:tcPr>
            <w:tcW w:w="1417" w:type="dxa"/>
            <w:hideMark/>
          </w:tcPr>
          <w:p w14:paraId="7C13743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res3 × res1</w:t>
            </w:r>
          </w:p>
        </w:tc>
        <w:tc>
          <w:tcPr>
            <w:tcW w:w="876" w:type="dxa"/>
            <w:hideMark/>
          </w:tcPr>
          <w:p w14:paraId="115DC22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0.0379</w:t>
            </w:r>
          </w:p>
        </w:tc>
        <w:tc>
          <w:tcPr>
            <w:tcW w:w="1003" w:type="dxa"/>
            <w:hideMark/>
          </w:tcPr>
          <w:p w14:paraId="54ED8B0F"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2.412</w:t>
            </w:r>
          </w:p>
        </w:tc>
        <w:tc>
          <w:tcPr>
            <w:tcW w:w="876" w:type="dxa"/>
            <w:hideMark/>
          </w:tcPr>
          <w:p w14:paraId="37FCB03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7400174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153.326</w:t>
            </w:r>
          </w:p>
        </w:tc>
        <w:tc>
          <w:tcPr>
            <w:tcW w:w="2477" w:type="dxa"/>
            <w:hideMark/>
          </w:tcPr>
          <w:p w14:paraId="428AB41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5E2BF5B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7714E6AC" w14:textId="77777777" w:rsidTr="005376EB">
        <w:trPr>
          <w:trHeight w:val="170"/>
        </w:trPr>
        <w:tc>
          <w:tcPr>
            <w:tcW w:w="1417" w:type="dxa"/>
            <w:hideMark/>
          </w:tcPr>
          <w:p w14:paraId="35C4A8A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res3 × res2</w:t>
            </w:r>
          </w:p>
        </w:tc>
        <w:tc>
          <w:tcPr>
            <w:tcW w:w="876" w:type="dxa"/>
            <w:hideMark/>
          </w:tcPr>
          <w:p w14:paraId="548778B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0.1032</w:t>
            </w:r>
          </w:p>
        </w:tc>
        <w:tc>
          <w:tcPr>
            <w:tcW w:w="1003" w:type="dxa"/>
            <w:hideMark/>
          </w:tcPr>
          <w:p w14:paraId="6C2FFBF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7.046</w:t>
            </w:r>
          </w:p>
        </w:tc>
        <w:tc>
          <w:tcPr>
            <w:tcW w:w="876" w:type="dxa"/>
            <w:hideMark/>
          </w:tcPr>
          <w:p w14:paraId="07E1547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6A726C9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417.527</w:t>
            </w:r>
          </w:p>
        </w:tc>
        <w:tc>
          <w:tcPr>
            <w:tcW w:w="2477" w:type="dxa"/>
            <w:hideMark/>
          </w:tcPr>
          <w:p w14:paraId="42BDA7E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00DE9C0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4DC3F976" w14:textId="77777777" w:rsidTr="005376EB">
        <w:trPr>
          <w:trHeight w:val="242"/>
        </w:trPr>
        <w:tc>
          <w:tcPr>
            <w:tcW w:w="1417" w:type="dxa"/>
            <w:hideMark/>
          </w:tcPr>
          <w:p w14:paraId="77E259C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res1</w:t>
            </w:r>
          </w:p>
        </w:tc>
        <w:tc>
          <w:tcPr>
            <w:tcW w:w="876" w:type="dxa"/>
            <w:hideMark/>
          </w:tcPr>
          <w:p w14:paraId="419B386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0.0284</w:t>
            </w:r>
          </w:p>
        </w:tc>
        <w:tc>
          <w:tcPr>
            <w:tcW w:w="1003" w:type="dxa"/>
            <w:hideMark/>
          </w:tcPr>
          <w:p w14:paraId="7AD0A7A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1.792</w:t>
            </w:r>
          </w:p>
        </w:tc>
        <w:tc>
          <w:tcPr>
            <w:tcW w:w="876" w:type="dxa"/>
            <w:hideMark/>
          </w:tcPr>
          <w:p w14:paraId="31BCADC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0.0001</w:t>
            </w:r>
          </w:p>
        </w:tc>
        <w:tc>
          <w:tcPr>
            <w:tcW w:w="996" w:type="dxa"/>
            <w:hideMark/>
          </w:tcPr>
          <w:p w14:paraId="2E6270C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115.023</w:t>
            </w:r>
          </w:p>
        </w:tc>
        <w:tc>
          <w:tcPr>
            <w:tcW w:w="2477" w:type="dxa"/>
            <w:hideMark/>
          </w:tcPr>
          <w:p w14:paraId="118E17F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0.0001</w:t>
            </w:r>
          </w:p>
        </w:tc>
        <w:tc>
          <w:tcPr>
            <w:tcW w:w="2340" w:type="dxa"/>
            <w:hideMark/>
          </w:tcPr>
          <w:p w14:paraId="133AB1C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296BB13F" w14:textId="77777777" w:rsidTr="005376EB">
        <w:trPr>
          <w:trHeight w:val="134"/>
        </w:trPr>
        <w:tc>
          <w:tcPr>
            <w:tcW w:w="1417" w:type="dxa"/>
            <w:hideMark/>
          </w:tcPr>
          <w:p w14:paraId="72460499"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res2</w:t>
            </w:r>
          </w:p>
        </w:tc>
        <w:tc>
          <w:tcPr>
            <w:tcW w:w="876" w:type="dxa"/>
            <w:hideMark/>
          </w:tcPr>
          <w:p w14:paraId="032B4E8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0.0205</w:t>
            </w:r>
          </w:p>
        </w:tc>
        <w:tc>
          <w:tcPr>
            <w:tcW w:w="1003" w:type="dxa"/>
            <w:hideMark/>
          </w:tcPr>
          <w:p w14:paraId="2F706F1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1.28</w:t>
            </w:r>
          </w:p>
        </w:tc>
        <w:tc>
          <w:tcPr>
            <w:tcW w:w="876" w:type="dxa"/>
            <w:hideMark/>
          </w:tcPr>
          <w:p w14:paraId="07622A8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0.0654</w:t>
            </w:r>
          </w:p>
        </w:tc>
        <w:tc>
          <w:tcPr>
            <w:tcW w:w="996" w:type="dxa"/>
            <w:hideMark/>
          </w:tcPr>
          <w:p w14:paraId="5C06933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82.873</w:t>
            </w:r>
          </w:p>
        </w:tc>
        <w:tc>
          <w:tcPr>
            <w:tcW w:w="2477" w:type="dxa"/>
            <w:hideMark/>
          </w:tcPr>
          <w:p w14:paraId="0349E5A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0.0667</w:t>
            </w:r>
          </w:p>
        </w:tc>
        <w:tc>
          <w:tcPr>
            <w:tcW w:w="2340" w:type="dxa"/>
            <w:hideMark/>
          </w:tcPr>
          <w:p w14:paraId="44FC984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 (5%)</w:t>
            </w:r>
          </w:p>
        </w:tc>
      </w:tr>
      <w:tr w:rsidR="00AB6020" w14:paraId="4B5AC5B3" w14:textId="77777777" w:rsidTr="005376EB">
        <w:trPr>
          <w:trHeight w:val="296"/>
        </w:trPr>
        <w:tc>
          <w:tcPr>
            <w:tcW w:w="1417" w:type="dxa"/>
            <w:hideMark/>
          </w:tcPr>
          <w:p w14:paraId="237B7E41"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res4 × res3</w:t>
            </w:r>
          </w:p>
        </w:tc>
        <w:tc>
          <w:tcPr>
            <w:tcW w:w="876" w:type="dxa"/>
            <w:hideMark/>
          </w:tcPr>
          <w:p w14:paraId="53A7383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0.0487</w:t>
            </w:r>
          </w:p>
        </w:tc>
        <w:tc>
          <w:tcPr>
            <w:tcW w:w="1003" w:type="dxa"/>
            <w:hideMark/>
          </w:tcPr>
          <w:p w14:paraId="51245D1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3.133</w:t>
            </w:r>
          </w:p>
        </w:tc>
        <w:tc>
          <w:tcPr>
            <w:tcW w:w="876" w:type="dxa"/>
            <w:hideMark/>
          </w:tcPr>
          <w:p w14:paraId="7B13FD4A"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48E8FA1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196.941</w:t>
            </w:r>
          </w:p>
        </w:tc>
        <w:tc>
          <w:tcPr>
            <w:tcW w:w="2477" w:type="dxa"/>
            <w:hideMark/>
          </w:tcPr>
          <w:p w14:paraId="2CCF281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2241A4C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0868EB8C" w14:textId="77777777" w:rsidTr="005376EB">
        <w:trPr>
          <w:trHeight w:val="359"/>
        </w:trPr>
        <w:tc>
          <w:tcPr>
            <w:tcW w:w="1417" w:type="dxa"/>
            <w:hideMark/>
          </w:tcPr>
          <w:p w14:paraId="745F3D57"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res5 × res1</w:t>
            </w:r>
          </w:p>
        </w:tc>
        <w:tc>
          <w:tcPr>
            <w:tcW w:w="876" w:type="dxa"/>
            <w:hideMark/>
          </w:tcPr>
          <w:p w14:paraId="04C1203B"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0.038</w:t>
            </w:r>
          </w:p>
        </w:tc>
        <w:tc>
          <w:tcPr>
            <w:tcW w:w="1003" w:type="dxa"/>
            <w:hideMark/>
          </w:tcPr>
          <w:p w14:paraId="7FFE2104"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2.418</w:t>
            </w:r>
          </w:p>
        </w:tc>
        <w:tc>
          <w:tcPr>
            <w:tcW w:w="876" w:type="dxa"/>
            <w:hideMark/>
          </w:tcPr>
          <w:p w14:paraId="53458F63"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996" w:type="dxa"/>
            <w:hideMark/>
          </w:tcPr>
          <w:p w14:paraId="2E9AA96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153.718</w:t>
            </w:r>
          </w:p>
        </w:tc>
        <w:tc>
          <w:tcPr>
            <w:tcW w:w="2477" w:type="dxa"/>
            <w:hideMark/>
          </w:tcPr>
          <w:p w14:paraId="7E617F20"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0.0000</w:t>
            </w:r>
          </w:p>
        </w:tc>
        <w:tc>
          <w:tcPr>
            <w:tcW w:w="2340" w:type="dxa"/>
            <w:hideMark/>
          </w:tcPr>
          <w:p w14:paraId="7D56DCF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Significant</w:t>
            </w:r>
          </w:p>
        </w:tc>
      </w:tr>
      <w:tr w:rsidR="00AB6020" w14:paraId="228F4BC4" w14:textId="77777777" w:rsidTr="005376EB">
        <w:trPr>
          <w:trHeight w:val="341"/>
        </w:trPr>
        <w:tc>
          <w:tcPr>
            <w:tcW w:w="1417" w:type="dxa"/>
            <w:hideMark/>
          </w:tcPr>
          <w:p w14:paraId="3C21034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res5 × res2</w:t>
            </w:r>
          </w:p>
        </w:tc>
        <w:tc>
          <w:tcPr>
            <w:tcW w:w="876" w:type="dxa"/>
            <w:hideMark/>
          </w:tcPr>
          <w:p w14:paraId="59883F3E"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0.0126</w:t>
            </w:r>
          </w:p>
        </w:tc>
        <w:tc>
          <w:tcPr>
            <w:tcW w:w="1003" w:type="dxa"/>
            <w:hideMark/>
          </w:tcPr>
          <w:p w14:paraId="5AEF160C"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0.781</w:t>
            </w:r>
          </w:p>
        </w:tc>
        <w:tc>
          <w:tcPr>
            <w:tcW w:w="876" w:type="dxa"/>
            <w:hideMark/>
          </w:tcPr>
          <w:p w14:paraId="212DB31D"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0.9012</w:t>
            </w:r>
          </w:p>
        </w:tc>
        <w:tc>
          <w:tcPr>
            <w:tcW w:w="996" w:type="dxa"/>
            <w:hideMark/>
          </w:tcPr>
          <w:p w14:paraId="713D1076"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50.93</w:t>
            </w:r>
          </w:p>
        </w:tc>
        <w:tc>
          <w:tcPr>
            <w:tcW w:w="2477" w:type="dxa"/>
            <w:hideMark/>
          </w:tcPr>
          <w:p w14:paraId="4EAD7028"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0.8991</w:t>
            </w:r>
          </w:p>
        </w:tc>
        <w:tc>
          <w:tcPr>
            <w:tcW w:w="2340" w:type="dxa"/>
            <w:hideMark/>
          </w:tcPr>
          <w:p w14:paraId="6EB4A0F2" w14:textId="77777777" w:rsidR="00AB6020" w:rsidRDefault="00AB6020" w:rsidP="009B1881">
            <w:pPr>
              <w:spacing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Not Significant</w:t>
            </w:r>
          </w:p>
        </w:tc>
      </w:tr>
    </w:tbl>
    <w:p w14:paraId="6E5A6EC0" w14:textId="77777777" w:rsidR="00AB6020" w:rsidRPr="003765B7" w:rsidRDefault="00AB6020" w:rsidP="00AB6020">
      <w:pPr>
        <w:pBdr>
          <w:bottom w:val="single" w:sz="6" w:space="1" w:color="auto"/>
        </w:pBdr>
        <w:spacing w:after="0" w:line="240" w:lineRule="auto"/>
        <w:jc w:val="center"/>
        <w:rPr>
          <w:rFonts w:ascii="Arial" w:eastAsia="Times New Roman" w:hAnsi="Arial" w:cs="Arial"/>
          <w:vanish/>
          <w:kern w:val="0"/>
          <w:sz w:val="16"/>
          <w:szCs w:val="16"/>
          <w14:ligatures w14:val="none"/>
        </w:rPr>
      </w:pPr>
      <w:r w:rsidRPr="003765B7">
        <w:rPr>
          <w:rFonts w:ascii="Arial" w:eastAsia="Times New Roman" w:hAnsi="Arial" w:cs="Arial"/>
          <w:vanish/>
          <w:kern w:val="0"/>
          <w:sz w:val="16"/>
          <w:szCs w:val="16"/>
          <w14:ligatures w14:val="none"/>
        </w:rPr>
        <w:t>Top of Form</w:t>
      </w:r>
    </w:p>
    <w:p w14:paraId="1E579FB5" w14:textId="77777777" w:rsidR="00AB6020" w:rsidRPr="003765B7" w:rsidRDefault="00AB6020" w:rsidP="00AB6020">
      <w:pPr>
        <w:spacing w:after="0" w:line="240" w:lineRule="auto"/>
        <w:rPr>
          <w:rFonts w:ascii="Times New Roman" w:eastAsia="Times New Roman" w:hAnsi="Times New Roman" w:cs="Times New Roman"/>
          <w:kern w:val="0"/>
          <w14:ligatures w14:val="none"/>
        </w:rPr>
      </w:pPr>
    </w:p>
    <w:p w14:paraId="2296A238" w14:textId="77777777" w:rsidR="00AB6020" w:rsidRDefault="009B1881" w:rsidP="00996955">
      <w:pPr>
        <w:spacing w:after="0"/>
        <w:jc w:val="both"/>
        <w:rPr>
          <w:rFonts w:ascii="Times New Roman" w:hAnsi="Times New Roman" w:cs="Times New Roman"/>
        </w:rPr>
      </w:pPr>
      <w:r w:rsidRPr="009B1881">
        <w:rPr>
          <w:rFonts w:ascii="Times New Roman" w:hAnsi="Times New Roman" w:cs="Times New Roman"/>
        </w:rPr>
        <w:t>The results show that the own ARCH effects are statistically significant for res1 × res1 and res4 × res4, with F-statistic probabilities of 0.0000 and Chi-square probabilities of 0.0000. This indicates the presence of significant conditional heteroskedasticity in these two residual components, implying that their current volatility is influenced by information contained in previous periods. In contrast, res2 × res2, res3 × res3, and res5 × res5 have p-values greater than 0.05, indicating that their individual ARCH effects are not statistically significant. The cross-residual results provide stronger evidence of interdependence in volatility across the markets. Significant relationships are observed for res2 × res1 (p = 0.0207), res3 × res1 (p = 0.0000), res3 × res2 (p = 0.0000), res4 × res1 (p = 0.0001), res4 × res3 (p = 0.0000), and res5 × res1 (p = 0.0000). These significant cross-products suggest that shocks associated with one market can be related to subsequent volatility movements in another market. However, res4 × res2 (p = 0.0654) is not significant at the 5% level, although it would be considered marginally significant at the 10% level, while res5 × res2 (p = 0.9012) is clearly insignificant.</w:t>
      </w:r>
    </w:p>
    <w:p w14:paraId="07DA126B" w14:textId="77777777" w:rsidR="00235235" w:rsidRDefault="00235235" w:rsidP="00996955">
      <w:pPr>
        <w:spacing w:after="0"/>
        <w:jc w:val="both"/>
        <w:rPr>
          <w:rFonts w:ascii="Times New Roman" w:hAnsi="Times New Roman" w:cs="Times New Roman"/>
          <w:b/>
        </w:rPr>
      </w:pPr>
    </w:p>
    <w:p w14:paraId="54013EB4" w14:textId="77777777" w:rsidR="005376EB" w:rsidRDefault="005376EB" w:rsidP="00996955">
      <w:pPr>
        <w:spacing w:after="0"/>
        <w:jc w:val="both"/>
        <w:rPr>
          <w:rFonts w:ascii="Times New Roman" w:hAnsi="Times New Roman" w:cs="Times New Roman"/>
          <w:b/>
        </w:rPr>
      </w:pPr>
    </w:p>
    <w:p w14:paraId="4ECF6332" w14:textId="77777777" w:rsidR="005376EB" w:rsidRDefault="005376EB" w:rsidP="00996955">
      <w:pPr>
        <w:spacing w:after="0"/>
        <w:jc w:val="both"/>
        <w:rPr>
          <w:rFonts w:ascii="Times New Roman" w:hAnsi="Times New Roman" w:cs="Times New Roman"/>
          <w:b/>
        </w:rPr>
      </w:pPr>
    </w:p>
    <w:p w14:paraId="051D4CE9" w14:textId="77777777" w:rsidR="005376EB" w:rsidRDefault="005376EB" w:rsidP="00996955">
      <w:pPr>
        <w:spacing w:after="0"/>
        <w:jc w:val="both"/>
        <w:rPr>
          <w:rFonts w:ascii="Times New Roman" w:hAnsi="Times New Roman" w:cs="Times New Roman"/>
          <w:b/>
        </w:rPr>
      </w:pPr>
    </w:p>
    <w:p w14:paraId="501C2EA8" w14:textId="77777777" w:rsidR="005376EB" w:rsidRDefault="005376EB" w:rsidP="00996955">
      <w:pPr>
        <w:spacing w:after="0"/>
        <w:jc w:val="both"/>
        <w:rPr>
          <w:rFonts w:ascii="Times New Roman" w:hAnsi="Times New Roman" w:cs="Times New Roman"/>
          <w:b/>
        </w:rPr>
      </w:pPr>
    </w:p>
    <w:p w14:paraId="6436BCB8" w14:textId="77777777" w:rsidR="005376EB" w:rsidRDefault="005376EB" w:rsidP="00996955">
      <w:pPr>
        <w:spacing w:after="0"/>
        <w:jc w:val="both"/>
        <w:rPr>
          <w:rFonts w:ascii="Times New Roman" w:hAnsi="Times New Roman" w:cs="Times New Roman"/>
          <w:b/>
        </w:rPr>
      </w:pPr>
    </w:p>
    <w:p w14:paraId="22F2C8F2" w14:textId="77777777" w:rsidR="005376EB" w:rsidRDefault="005376EB" w:rsidP="00996955">
      <w:pPr>
        <w:spacing w:after="0"/>
        <w:jc w:val="both"/>
        <w:rPr>
          <w:rFonts w:ascii="Times New Roman" w:hAnsi="Times New Roman" w:cs="Times New Roman"/>
          <w:b/>
        </w:rPr>
      </w:pPr>
    </w:p>
    <w:p w14:paraId="5713A72E" w14:textId="77777777" w:rsidR="005376EB" w:rsidRDefault="005376EB" w:rsidP="00996955">
      <w:pPr>
        <w:spacing w:after="0"/>
        <w:jc w:val="both"/>
        <w:rPr>
          <w:rFonts w:ascii="Times New Roman" w:hAnsi="Times New Roman" w:cs="Times New Roman"/>
          <w:b/>
        </w:rPr>
      </w:pPr>
    </w:p>
    <w:p w14:paraId="2801838D" w14:textId="77777777" w:rsidR="005376EB" w:rsidRDefault="005376EB" w:rsidP="00996955">
      <w:pPr>
        <w:spacing w:after="0"/>
        <w:jc w:val="both"/>
        <w:rPr>
          <w:rFonts w:ascii="Times New Roman" w:hAnsi="Times New Roman" w:cs="Times New Roman"/>
          <w:b/>
        </w:rPr>
      </w:pPr>
    </w:p>
    <w:p w14:paraId="5D208B04" w14:textId="77777777" w:rsidR="001506C6" w:rsidRPr="004236D1" w:rsidRDefault="008146C7" w:rsidP="004236D1">
      <w:pPr>
        <w:spacing w:after="0"/>
        <w:jc w:val="both"/>
        <w:rPr>
          <w:rFonts w:ascii="Times New Roman" w:hAnsi="Times New Roman" w:cs="Times New Roman"/>
          <w:b/>
          <w:bCs/>
        </w:rPr>
      </w:pPr>
      <w:r>
        <w:rPr>
          <w:rFonts w:ascii="Times New Roman" w:hAnsi="Times New Roman" w:cs="Times New Roman"/>
          <w:b/>
        </w:rPr>
        <w:lastRenderedPageBreak/>
        <w:t>Table 3</w:t>
      </w:r>
      <w:r w:rsidR="001506C6" w:rsidRPr="004236D1">
        <w:rPr>
          <w:rFonts w:ascii="Times New Roman" w:hAnsi="Times New Roman" w:cs="Times New Roman"/>
          <w:b/>
        </w:rPr>
        <w:t>:</w:t>
      </w:r>
      <w:r w:rsidR="001506C6" w:rsidRPr="004236D1">
        <w:rPr>
          <w:rFonts w:ascii="Times New Roman" w:hAnsi="Times New Roman" w:cs="Times New Roman"/>
          <w:b/>
          <w:bCs/>
        </w:rPr>
        <w:t xml:space="preserve"> M-matrix from </w:t>
      </w:r>
      <w:proofErr w:type="gramStart"/>
      <w:r w:rsidR="001506C6" w:rsidRPr="004236D1">
        <w:rPr>
          <w:rFonts w:ascii="Times New Roman" w:hAnsi="Times New Roman" w:cs="Times New Roman"/>
          <w:b/>
          <w:bCs/>
        </w:rPr>
        <w:t>VECH(</w:t>
      </w:r>
      <w:proofErr w:type="gramEnd"/>
      <w:r w:rsidR="001506C6" w:rsidRPr="004236D1">
        <w:rPr>
          <w:rFonts w:ascii="Times New Roman" w:hAnsi="Times New Roman" w:cs="Times New Roman"/>
          <w:b/>
          <w:bCs/>
        </w:rPr>
        <w:t>1,1)-MGARCH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1234"/>
        <w:gridCol w:w="1234"/>
        <w:gridCol w:w="1234"/>
        <w:gridCol w:w="1234"/>
        <w:gridCol w:w="1234"/>
        <w:gridCol w:w="1306"/>
      </w:tblGrid>
      <w:tr w:rsidR="001506C6" w:rsidRPr="009B1881" w14:paraId="4037BF7E" w14:textId="77777777" w:rsidTr="005376EB">
        <w:tc>
          <w:tcPr>
            <w:tcW w:w="1306" w:type="dxa"/>
            <w:tcBorders>
              <w:top w:val="single" w:sz="4" w:space="0" w:color="auto"/>
              <w:bottom w:val="single" w:sz="4" w:space="0" w:color="auto"/>
            </w:tcBorders>
          </w:tcPr>
          <w:p w14:paraId="44820DA4" w14:textId="77777777" w:rsidR="001506C6" w:rsidRPr="009B1881" w:rsidRDefault="001506C6" w:rsidP="004236D1">
            <w:pPr>
              <w:jc w:val="both"/>
              <w:rPr>
                <w:rFonts w:ascii="Times New Roman" w:hAnsi="Times New Roman" w:cs="Times New Roman"/>
                <w:sz w:val="22"/>
                <w:szCs w:val="22"/>
              </w:rPr>
            </w:pPr>
          </w:p>
        </w:tc>
        <w:tc>
          <w:tcPr>
            <w:tcW w:w="1234" w:type="dxa"/>
            <w:tcBorders>
              <w:top w:val="single" w:sz="4" w:space="0" w:color="auto"/>
              <w:bottom w:val="single" w:sz="4" w:space="0" w:color="auto"/>
            </w:tcBorders>
          </w:tcPr>
          <w:p w14:paraId="4C5229B7"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DEXR</w:t>
            </w:r>
          </w:p>
        </w:tc>
        <w:tc>
          <w:tcPr>
            <w:tcW w:w="1234" w:type="dxa"/>
            <w:tcBorders>
              <w:top w:val="single" w:sz="4" w:space="0" w:color="auto"/>
              <w:bottom w:val="single" w:sz="4" w:space="0" w:color="auto"/>
            </w:tcBorders>
          </w:tcPr>
          <w:p w14:paraId="071722DB"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DBCOP</w:t>
            </w:r>
          </w:p>
        </w:tc>
        <w:tc>
          <w:tcPr>
            <w:tcW w:w="1234" w:type="dxa"/>
            <w:tcBorders>
              <w:top w:val="single" w:sz="4" w:space="0" w:color="auto"/>
              <w:bottom w:val="single" w:sz="4" w:space="0" w:color="auto"/>
            </w:tcBorders>
          </w:tcPr>
          <w:p w14:paraId="1DA0E91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DCOPP</w:t>
            </w:r>
          </w:p>
        </w:tc>
        <w:tc>
          <w:tcPr>
            <w:tcW w:w="1234" w:type="dxa"/>
            <w:tcBorders>
              <w:top w:val="single" w:sz="4" w:space="0" w:color="auto"/>
              <w:bottom w:val="single" w:sz="4" w:space="0" w:color="auto"/>
            </w:tcBorders>
          </w:tcPr>
          <w:p w14:paraId="411A5C9D"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DGOLDP</w:t>
            </w:r>
          </w:p>
        </w:tc>
        <w:tc>
          <w:tcPr>
            <w:tcW w:w="1234" w:type="dxa"/>
            <w:tcBorders>
              <w:top w:val="single" w:sz="4" w:space="0" w:color="auto"/>
              <w:bottom w:val="single" w:sz="4" w:space="0" w:color="auto"/>
            </w:tcBorders>
          </w:tcPr>
          <w:p w14:paraId="2B5FBD4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DNGAS</w:t>
            </w:r>
          </w:p>
        </w:tc>
        <w:tc>
          <w:tcPr>
            <w:tcW w:w="1306" w:type="dxa"/>
            <w:tcBorders>
              <w:top w:val="single" w:sz="4" w:space="0" w:color="auto"/>
              <w:bottom w:val="single" w:sz="4" w:space="0" w:color="auto"/>
            </w:tcBorders>
          </w:tcPr>
          <w:p w14:paraId="12ED99F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DSTOCKP</w:t>
            </w:r>
          </w:p>
        </w:tc>
      </w:tr>
      <w:tr w:rsidR="001506C6" w:rsidRPr="009B1881" w14:paraId="01AEA170" w14:textId="77777777" w:rsidTr="005376EB">
        <w:tc>
          <w:tcPr>
            <w:tcW w:w="1306" w:type="dxa"/>
            <w:tcBorders>
              <w:top w:val="single" w:sz="4" w:space="0" w:color="auto"/>
            </w:tcBorders>
          </w:tcPr>
          <w:p w14:paraId="35BA11CD"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DEXR</w:t>
            </w:r>
          </w:p>
        </w:tc>
        <w:tc>
          <w:tcPr>
            <w:tcW w:w="1234" w:type="dxa"/>
            <w:tcBorders>
              <w:top w:val="single" w:sz="4" w:space="0" w:color="auto"/>
            </w:tcBorders>
          </w:tcPr>
          <w:p w14:paraId="3E49B4D2"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0.015266</w:t>
            </w:r>
          </w:p>
        </w:tc>
        <w:tc>
          <w:tcPr>
            <w:tcW w:w="1234" w:type="dxa"/>
            <w:tcBorders>
              <w:top w:val="single" w:sz="4" w:space="0" w:color="auto"/>
            </w:tcBorders>
          </w:tcPr>
          <w:p w14:paraId="2CAAC3D7"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0.000863</w:t>
            </w:r>
          </w:p>
        </w:tc>
        <w:tc>
          <w:tcPr>
            <w:tcW w:w="1234" w:type="dxa"/>
            <w:tcBorders>
              <w:top w:val="single" w:sz="4" w:space="0" w:color="auto"/>
            </w:tcBorders>
          </w:tcPr>
          <w:p w14:paraId="2E27E9FF"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0.000226</w:t>
            </w:r>
          </w:p>
        </w:tc>
        <w:tc>
          <w:tcPr>
            <w:tcW w:w="1234" w:type="dxa"/>
            <w:tcBorders>
              <w:top w:val="single" w:sz="4" w:space="0" w:color="auto"/>
            </w:tcBorders>
          </w:tcPr>
          <w:p w14:paraId="4C489BC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0.000071</w:t>
            </w:r>
          </w:p>
        </w:tc>
        <w:tc>
          <w:tcPr>
            <w:tcW w:w="1234" w:type="dxa"/>
            <w:tcBorders>
              <w:top w:val="single" w:sz="4" w:space="0" w:color="auto"/>
            </w:tcBorders>
          </w:tcPr>
          <w:p w14:paraId="188CE75B"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0.001137</w:t>
            </w:r>
          </w:p>
        </w:tc>
        <w:tc>
          <w:tcPr>
            <w:tcW w:w="1306" w:type="dxa"/>
            <w:tcBorders>
              <w:top w:val="single" w:sz="4" w:space="0" w:color="auto"/>
            </w:tcBorders>
          </w:tcPr>
          <w:p w14:paraId="70943B2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0.003358</w:t>
            </w:r>
          </w:p>
        </w:tc>
      </w:tr>
      <w:tr w:rsidR="001506C6" w:rsidRPr="009B1881" w14:paraId="5BC5B15C" w14:textId="77777777" w:rsidTr="005376EB">
        <w:tc>
          <w:tcPr>
            <w:tcW w:w="1306" w:type="dxa"/>
          </w:tcPr>
          <w:p w14:paraId="2373FDD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DBCOP</w:t>
            </w:r>
          </w:p>
        </w:tc>
        <w:tc>
          <w:tcPr>
            <w:tcW w:w="1234" w:type="dxa"/>
          </w:tcPr>
          <w:p w14:paraId="33DCC9E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0.000863</w:t>
            </w:r>
          </w:p>
        </w:tc>
        <w:tc>
          <w:tcPr>
            <w:tcW w:w="1234" w:type="dxa"/>
          </w:tcPr>
          <w:p w14:paraId="383AED1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0.003495</w:t>
            </w:r>
          </w:p>
        </w:tc>
        <w:tc>
          <w:tcPr>
            <w:tcW w:w="1234" w:type="dxa"/>
          </w:tcPr>
          <w:p w14:paraId="47A5CE4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-0.000391</w:t>
            </w:r>
          </w:p>
        </w:tc>
        <w:tc>
          <w:tcPr>
            <w:tcW w:w="1234" w:type="dxa"/>
          </w:tcPr>
          <w:p w14:paraId="3EE7C54C"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0.000055</w:t>
            </w:r>
          </w:p>
        </w:tc>
        <w:tc>
          <w:tcPr>
            <w:tcW w:w="1234" w:type="dxa"/>
          </w:tcPr>
          <w:p w14:paraId="5C88DB5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0.012474</w:t>
            </w:r>
          </w:p>
        </w:tc>
        <w:tc>
          <w:tcPr>
            <w:tcW w:w="1306" w:type="dxa"/>
          </w:tcPr>
          <w:p w14:paraId="09534D35"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0.000531</w:t>
            </w:r>
          </w:p>
        </w:tc>
      </w:tr>
      <w:tr w:rsidR="001506C6" w:rsidRPr="009B1881" w14:paraId="364D70BB" w14:textId="77777777" w:rsidTr="005376EB">
        <w:tc>
          <w:tcPr>
            <w:tcW w:w="1306" w:type="dxa"/>
          </w:tcPr>
          <w:p w14:paraId="4A31FEB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DCOPP</w:t>
            </w:r>
          </w:p>
        </w:tc>
        <w:tc>
          <w:tcPr>
            <w:tcW w:w="1234" w:type="dxa"/>
          </w:tcPr>
          <w:p w14:paraId="7B05D30C"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0.000226</w:t>
            </w:r>
          </w:p>
        </w:tc>
        <w:tc>
          <w:tcPr>
            <w:tcW w:w="1234" w:type="dxa"/>
          </w:tcPr>
          <w:p w14:paraId="297E7D6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-0.000391</w:t>
            </w:r>
          </w:p>
        </w:tc>
        <w:tc>
          <w:tcPr>
            <w:tcW w:w="1234" w:type="dxa"/>
          </w:tcPr>
          <w:p w14:paraId="749CBC3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0.046152</w:t>
            </w:r>
          </w:p>
        </w:tc>
        <w:tc>
          <w:tcPr>
            <w:tcW w:w="1234" w:type="dxa"/>
          </w:tcPr>
          <w:p w14:paraId="3BEC885B"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0.000285</w:t>
            </w:r>
          </w:p>
        </w:tc>
        <w:tc>
          <w:tcPr>
            <w:tcW w:w="1234" w:type="dxa"/>
          </w:tcPr>
          <w:p w14:paraId="7C37DBE7"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-0.004981</w:t>
            </w:r>
          </w:p>
        </w:tc>
        <w:tc>
          <w:tcPr>
            <w:tcW w:w="1306" w:type="dxa"/>
          </w:tcPr>
          <w:p w14:paraId="05FC2CC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0.007054</w:t>
            </w:r>
          </w:p>
        </w:tc>
      </w:tr>
      <w:tr w:rsidR="001506C6" w:rsidRPr="009B1881" w14:paraId="0460A1FB" w14:textId="77777777" w:rsidTr="005376EB">
        <w:tc>
          <w:tcPr>
            <w:tcW w:w="1306" w:type="dxa"/>
          </w:tcPr>
          <w:p w14:paraId="53EA8B8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DGOLDP</w:t>
            </w:r>
          </w:p>
        </w:tc>
        <w:tc>
          <w:tcPr>
            <w:tcW w:w="1234" w:type="dxa"/>
          </w:tcPr>
          <w:p w14:paraId="67F697F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0.000071</w:t>
            </w:r>
          </w:p>
        </w:tc>
        <w:tc>
          <w:tcPr>
            <w:tcW w:w="1234" w:type="dxa"/>
          </w:tcPr>
          <w:p w14:paraId="7A31099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0.000055</w:t>
            </w:r>
          </w:p>
        </w:tc>
        <w:tc>
          <w:tcPr>
            <w:tcW w:w="1234" w:type="dxa"/>
          </w:tcPr>
          <w:p w14:paraId="4648DEE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0.000285</w:t>
            </w:r>
          </w:p>
        </w:tc>
        <w:tc>
          <w:tcPr>
            <w:tcW w:w="1234" w:type="dxa"/>
          </w:tcPr>
          <w:p w14:paraId="749C656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0.003573</w:t>
            </w:r>
          </w:p>
        </w:tc>
        <w:tc>
          <w:tcPr>
            <w:tcW w:w="1234" w:type="dxa"/>
          </w:tcPr>
          <w:p w14:paraId="2EEA718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-0.000867</w:t>
            </w:r>
          </w:p>
        </w:tc>
        <w:tc>
          <w:tcPr>
            <w:tcW w:w="1306" w:type="dxa"/>
          </w:tcPr>
          <w:p w14:paraId="731193D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0.003930</w:t>
            </w:r>
          </w:p>
        </w:tc>
      </w:tr>
      <w:tr w:rsidR="001506C6" w:rsidRPr="009B1881" w14:paraId="779FD964" w14:textId="77777777" w:rsidTr="005376EB">
        <w:tc>
          <w:tcPr>
            <w:tcW w:w="1306" w:type="dxa"/>
          </w:tcPr>
          <w:p w14:paraId="0A32C0C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DNGAS</w:t>
            </w:r>
          </w:p>
        </w:tc>
        <w:tc>
          <w:tcPr>
            <w:tcW w:w="1234" w:type="dxa"/>
          </w:tcPr>
          <w:p w14:paraId="581A344F"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0.001137</w:t>
            </w:r>
          </w:p>
        </w:tc>
        <w:tc>
          <w:tcPr>
            <w:tcW w:w="1234" w:type="dxa"/>
          </w:tcPr>
          <w:p w14:paraId="0055A66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0.012474</w:t>
            </w:r>
          </w:p>
        </w:tc>
        <w:tc>
          <w:tcPr>
            <w:tcW w:w="1234" w:type="dxa"/>
          </w:tcPr>
          <w:p w14:paraId="70DC6506"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-0.004981</w:t>
            </w:r>
          </w:p>
        </w:tc>
        <w:tc>
          <w:tcPr>
            <w:tcW w:w="1234" w:type="dxa"/>
          </w:tcPr>
          <w:p w14:paraId="521C813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-0.000867</w:t>
            </w:r>
          </w:p>
        </w:tc>
        <w:tc>
          <w:tcPr>
            <w:tcW w:w="1234" w:type="dxa"/>
          </w:tcPr>
          <w:p w14:paraId="2A95910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0.010669</w:t>
            </w:r>
          </w:p>
        </w:tc>
        <w:tc>
          <w:tcPr>
            <w:tcW w:w="1306" w:type="dxa"/>
          </w:tcPr>
          <w:p w14:paraId="46E91A39"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-0.005982</w:t>
            </w:r>
          </w:p>
        </w:tc>
      </w:tr>
      <w:tr w:rsidR="001506C6" w:rsidRPr="009B1881" w14:paraId="3F9AEDBB" w14:textId="77777777" w:rsidTr="005376EB">
        <w:tc>
          <w:tcPr>
            <w:tcW w:w="1306" w:type="dxa"/>
          </w:tcPr>
          <w:p w14:paraId="4A63C59E"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DSTOCKP</w:t>
            </w:r>
          </w:p>
        </w:tc>
        <w:tc>
          <w:tcPr>
            <w:tcW w:w="1234" w:type="dxa"/>
          </w:tcPr>
          <w:p w14:paraId="70A114A3"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0.003358</w:t>
            </w:r>
          </w:p>
        </w:tc>
        <w:tc>
          <w:tcPr>
            <w:tcW w:w="1234" w:type="dxa"/>
          </w:tcPr>
          <w:p w14:paraId="6EA1B40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0.000531</w:t>
            </w:r>
          </w:p>
        </w:tc>
        <w:tc>
          <w:tcPr>
            <w:tcW w:w="1234" w:type="dxa"/>
          </w:tcPr>
          <w:p w14:paraId="4C84C32A"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0.007054</w:t>
            </w:r>
          </w:p>
        </w:tc>
        <w:tc>
          <w:tcPr>
            <w:tcW w:w="1234" w:type="dxa"/>
          </w:tcPr>
          <w:p w14:paraId="1C4012E1"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0.003930</w:t>
            </w:r>
          </w:p>
        </w:tc>
        <w:tc>
          <w:tcPr>
            <w:tcW w:w="1234" w:type="dxa"/>
          </w:tcPr>
          <w:p w14:paraId="6120F570"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-0.005982</w:t>
            </w:r>
          </w:p>
        </w:tc>
        <w:tc>
          <w:tcPr>
            <w:tcW w:w="1306" w:type="dxa"/>
          </w:tcPr>
          <w:p w14:paraId="4874B044" w14:textId="77777777" w:rsidR="001506C6" w:rsidRPr="009B1881" w:rsidRDefault="001506C6" w:rsidP="004236D1">
            <w:pPr>
              <w:jc w:val="both"/>
              <w:rPr>
                <w:rFonts w:ascii="Times New Roman" w:hAnsi="Times New Roman" w:cs="Times New Roman"/>
                <w:sz w:val="22"/>
                <w:szCs w:val="22"/>
              </w:rPr>
            </w:pPr>
            <w:r w:rsidRPr="009B1881">
              <w:rPr>
                <w:rFonts w:ascii="Times New Roman" w:hAnsi="Times New Roman" w:cs="Times New Roman"/>
                <w:sz w:val="22"/>
                <w:szCs w:val="22"/>
              </w:rPr>
              <w:t>0.073439</w:t>
            </w:r>
          </w:p>
        </w:tc>
      </w:tr>
    </w:tbl>
    <w:p w14:paraId="359EEE49" w14:textId="77777777" w:rsidR="006541C7" w:rsidRPr="004236D1" w:rsidRDefault="006541C7" w:rsidP="004236D1">
      <w:pPr>
        <w:spacing w:after="0"/>
        <w:jc w:val="both"/>
        <w:rPr>
          <w:rFonts w:ascii="Times New Roman" w:hAnsi="Times New Roman" w:cs="Times New Roman"/>
          <w:b/>
        </w:rPr>
      </w:pPr>
    </w:p>
    <w:p w14:paraId="2D2827B5" w14:textId="77777777" w:rsidR="006541C7" w:rsidRPr="004236D1" w:rsidRDefault="008146C7" w:rsidP="004236D1">
      <w:pPr>
        <w:spacing w:after="0"/>
        <w:jc w:val="both"/>
        <w:rPr>
          <w:rFonts w:ascii="Times New Roman" w:hAnsi="Times New Roman" w:cs="Times New Roman"/>
        </w:rPr>
      </w:pPr>
      <w:r>
        <w:rPr>
          <w:rFonts w:ascii="Times New Roman" w:hAnsi="Times New Roman" w:cs="Times New Roman"/>
        </w:rPr>
        <w:t>Table 3</w:t>
      </w:r>
      <w:r w:rsidR="006541C7" w:rsidRPr="004236D1">
        <w:rPr>
          <w:rFonts w:ascii="Times New Roman" w:hAnsi="Times New Roman" w:cs="Times New Roman"/>
        </w:rPr>
        <w:t xml:space="preserve"> presents the M-matrix obtained from the </w:t>
      </w:r>
      <w:proofErr w:type="gramStart"/>
      <w:r w:rsidR="006541C7" w:rsidRPr="004236D1">
        <w:rPr>
          <w:rFonts w:ascii="Times New Roman" w:hAnsi="Times New Roman" w:cs="Times New Roman"/>
        </w:rPr>
        <w:t>VECH(</w:t>
      </w:r>
      <w:proofErr w:type="gramEnd"/>
      <w:r w:rsidR="006541C7" w:rsidRPr="004236D1">
        <w:rPr>
          <w:rFonts w:ascii="Times New Roman" w:hAnsi="Times New Roman" w:cs="Times New Roman"/>
        </w:rPr>
        <w:t>1,1)-MGARCH estimation and describes the constant variance and covariance components of the six markets under investigation. The diagonal values show that the stock market (DSTOCKP) has the largest constant variance component at 0.073439, followed by copper (DCOPP) at 0.046152 and the exchange rate (DEXR) at 0.015266, while the corresponding values for natural gas, Brent crude oil and gold are comparatively smaller. This suggests that the markets differ considerably in their baseline level of volatility, with the Nigerian stock market showing the largest constant variance component in the estimated system. The off-diagonal elements, which represent the constant covariance between pairs of markets, are generally very small and include both positive and negative values. For instance, the covariance between DEXR and DBCOP is 0.000863, while that between DEXR and DGOLDP is only 0.000071, indicating weak constant co-movement between these markets. Negative covariance values, such as -0.000391 between DBCOP and DCOPP and -0.005982 between DNGAS and DSTOCKP, indicate that some market pairs tend to move in opposite directions within the constant covariance component.</w:t>
      </w:r>
    </w:p>
    <w:p w14:paraId="788825A4" w14:textId="77777777" w:rsidR="001506C6" w:rsidRPr="004236D1" w:rsidRDefault="008146C7" w:rsidP="004236D1">
      <w:pPr>
        <w:spacing w:after="0"/>
        <w:jc w:val="both"/>
        <w:rPr>
          <w:rFonts w:ascii="Times New Roman" w:hAnsi="Times New Roman" w:cs="Times New Roman"/>
          <w:b/>
          <w:bCs/>
        </w:rPr>
      </w:pPr>
      <w:r>
        <w:rPr>
          <w:rFonts w:ascii="Times New Roman" w:hAnsi="Times New Roman" w:cs="Times New Roman"/>
          <w:b/>
        </w:rPr>
        <w:t>Table 4</w:t>
      </w:r>
      <w:r w:rsidR="001506C6" w:rsidRPr="004236D1">
        <w:rPr>
          <w:rFonts w:ascii="Times New Roman" w:hAnsi="Times New Roman" w:cs="Times New Roman"/>
          <w:b/>
        </w:rPr>
        <w:t>:</w:t>
      </w:r>
      <w:r w:rsidR="001506C6" w:rsidRPr="004236D1">
        <w:rPr>
          <w:rFonts w:ascii="Times New Roman" w:hAnsi="Times New Roman" w:cs="Times New Roman"/>
        </w:rPr>
        <w:t xml:space="preserve"> </w:t>
      </w:r>
      <w:r w:rsidR="001506C6" w:rsidRPr="004236D1">
        <w:rPr>
          <w:rFonts w:ascii="Times New Roman" w:hAnsi="Times New Roman" w:cs="Times New Roman"/>
          <w:b/>
          <w:bCs/>
        </w:rPr>
        <w:t>A1 Own ARCH Effects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1234"/>
        <w:gridCol w:w="1234"/>
        <w:gridCol w:w="1234"/>
        <w:gridCol w:w="1234"/>
        <w:gridCol w:w="1234"/>
        <w:gridCol w:w="1306"/>
      </w:tblGrid>
      <w:tr w:rsidR="001506C6" w:rsidRPr="004236D1" w14:paraId="10769957" w14:textId="77777777" w:rsidTr="005376EB">
        <w:tc>
          <w:tcPr>
            <w:tcW w:w="1306" w:type="dxa"/>
            <w:tcBorders>
              <w:top w:val="single" w:sz="4" w:space="0" w:color="auto"/>
              <w:bottom w:val="single" w:sz="4" w:space="0" w:color="auto"/>
            </w:tcBorders>
          </w:tcPr>
          <w:p w14:paraId="1A18EB15" w14:textId="77777777" w:rsidR="001506C6" w:rsidRPr="004236D1" w:rsidRDefault="001506C6" w:rsidP="004236D1">
            <w:pPr>
              <w:jc w:val="both"/>
              <w:rPr>
                <w:rFonts w:ascii="Times New Roman" w:hAnsi="Times New Roman" w:cs="Times New Roman"/>
              </w:rPr>
            </w:pPr>
          </w:p>
        </w:tc>
        <w:tc>
          <w:tcPr>
            <w:tcW w:w="1234" w:type="dxa"/>
            <w:tcBorders>
              <w:top w:val="single" w:sz="4" w:space="0" w:color="auto"/>
              <w:bottom w:val="single" w:sz="4" w:space="0" w:color="auto"/>
            </w:tcBorders>
          </w:tcPr>
          <w:p w14:paraId="48FF4AB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bottom w:val="single" w:sz="4" w:space="0" w:color="auto"/>
            </w:tcBorders>
          </w:tcPr>
          <w:p w14:paraId="04E11569"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DBCOP</w:t>
            </w:r>
          </w:p>
        </w:tc>
        <w:tc>
          <w:tcPr>
            <w:tcW w:w="1234" w:type="dxa"/>
            <w:tcBorders>
              <w:top w:val="single" w:sz="4" w:space="0" w:color="auto"/>
              <w:bottom w:val="single" w:sz="4" w:space="0" w:color="auto"/>
            </w:tcBorders>
          </w:tcPr>
          <w:p w14:paraId="49FF1DF5"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DCOPP</w:t>
            </w:r>
          </w:p>
        </w:tc>
        <w:tc>
          <w:tcPr>
            <w:tcW w:w="1234" w:type="dxa"/>
            <w:tcBorders>
              <w:top w:val="single" w:sz="4" w:space="0" w:color="auto"/>
              <w:bottom w:val="single" w:sz="4" w:space="0" w:color="auto"/>
            </w:tcBorders>
          </w:tcPr>
          <w:p w14:paraId="5B2D1E6A"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DGOLDP</w:t>
            </w:r>
          </w:p>
        </w:tc>
        <w:tc>
          <w:tcPr>
            <w:tcW w:w="1234" w:type="dxa"/>
            <w:tcBorders>
              <w:top w:val="single" w:sz="4" w:space="0" w:color="auto"/>
              <w:bottom w:val="single" w:sz="4" w:space="0" w:color="auto"/>
            </w:tcBorders>
          </w:tcPr>
          <w:p w14:paraId="6CF49D4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DNGAS</w:t>
            </w:r>
          </w:p>
        </w:tc>
        <w:tc>
          <w:tcPr>
            <w:tcW w:w="1306" w:type="dxa"/>
            <w:tcBorders>
              <w:top w:val="single" w:sz="4" w:space="0" w:color="auto"/>
              <w:bottom w:val="single" w:sz="4" w:space="0" w:color="auto"/>
            </w:tcBorders>
          </w:tcPr>
          <w:p w14:paraId="7F418AC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DSTOCKP</w:t>
            </w:r>
          </w:p>
        </w:tc>
      </w:tr>
      <w:tr w:rsidR="001506C6" w:rsidRPr="004236D1" w14:paraId="5FB307CF" w14:textId="77777777" w:rsidTr="005376EB">
        <w:tc>
          <w:tcPr>
            <w:tcW w:w="1306" w:type="dxa"/>
            <w:tcBorders>
              <w:top w:val="single" w:sz="4" w:space="0" w:color="auto"/>
            </w:tcBorders>
          </w:tcPr>
          <w:p w14:paraId="30E5615E"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tcBorders>
          </w:tcPr>
          <w:p w14:paraId="6AD526EA"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0.102363</w:t>
            </w:r>
          </w:p>
        </w:tc>
        <w:tc>
          <w:tcPr>
            <w:tcW w:w="1234" w:type="dxa"/>
            <w:tcBorders>
              <w:top w:val="single" w:sz="4" w:space="0" w:color="auto"/>
            </w:tcBorders>
          </w:tcPr>
          <w:p w14:paraId="0E42E21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-0.004498</w:t>
            </w:r>
          </w:p>
        </w:tc>
        <w:tc>
          <w:tcPr>
            <w:tcW w:w="1234" w:type="dxa"/>
            <w:tcBorders>
              <w:top w:val="single" w:sz="4" w:space="0" w:color="auto"/>
            </w:tcBorders>
          </w:tcPr>
          <w:p w14:paraId="36E7277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0.009729</w:t>
            </w:r>
          </w:p>
        </w:tc>
        <w:tc>
          <w:tcPr>
            <w:tcW w:w="1234" w:type="dxa"/>
            <w:tcBorders>
              <w:top w:val="single" w:sz="4" w:space="0" w:color="auto"/>
            </w:tcBorders>
          </w:tcPr>
          <w:p w14:paraId="5CE143F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-0.004799</w:t>
            </w:r>
          </w:p>
        </w:tc>
        <w:tc>
          <w:tcPr>
            <w:tcW w:w="1234" w:type="dxa"/>
            <w:tcBorders>
              <w:top w:val="single" w:sz="4" w:space="0" w:color="auto"/>
            </w:tcBorders>
          </w:tcPr>
          <w:p w14:paraId="48FA194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-0.016789</w:t>
            </w:r>
          </w:p>
        </w:tc>
        <w:tc>
          <w:tcPr>
            <w:tcW w:w="1306" w:type="dxa"/>
            <w:tcBorders>
              <w:top w:val="single" w:sz="4" w:space="0" w:color="auto"/>
            </w:tcBorders>
          </w:tcPr>
          <w:p w14:paraId="3DA78C02"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0.026845</w:t>
            </w:r>
          </w:p>
        </w:tc>
      </w:tr>
      <w:tr w:rsidR="001506C6" w:rsidRPr="004236D1" w14:paraId="0CFFD260" w14:textId="77777777" w:rsidTr="005376EB">
        <w:tc>
          <w:tcPr>
            <w:tcW w:w="1306" w:type="dxa"/>
          </w:tcPr>
          <w:p w14:paraId="723F7D4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DBCOP</w:t>
            </w:r>
          </w:p>
        </w:tc>
        <w:tc>
          <w:tcPr>
            <w:tcW w:w="1234" w:type="dxa"/>
          </w:tcPr>
          <w:p w14:paraId="08B69212"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-0.004498</w:t>
            </w:r>
          </w:p>
        </w:tc>
        <w:tc>
          <w:tcPr>
            <w:tcW w:w="1234" w:type="dxa"/>
          </w:tcPr>
          <w:p w14:paraId="5F0E7EB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0.037407</w:t>
            </w:r>
          </w:p>
        </w:tc>
        <w:tc>
          <w:tcPr>
            <w:tcW w:w="1234" w:type="dxa"/>
          </w:tcPr>
          <w:p w14:paraId="4A1F81C7"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-0.017173</w:t>
            </w:r>
          </w:p>
        </w:tc>
        <w:tc>
          <w:tcPr>
            <w:tcW w:w="1234" w:type="dxa"/>
          </w:tcPr>
          <w:p w14:paraId="35C28696"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0.008703</w:t>
            </w:r>
          </w:p>
        </w:tc>
        <w:tc>
          <w:tcPr>
            <w:tcW w:w="1234" w:type="dxa"/>
          </w:tcPr>
          <w:p w14:paraId="02B1F36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0.054110</w:t>
            </w:r>
          </w:p>
        </w:tc>
        <w:tc>
          <w:tcPr>
            <w:tcW w:w="1306" w:type="dxa"/>
          </w:tcPr>
          <w:p w14:paraId="7FD44248"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-0.054764</w:t>
            </w:r>
          </w:p>
        </w:tc>
      </w:tr>
      <w:tr w:rsidR="001506C6" w:rsidRPr="004236D1" w14:paraId="6B46CACB" w14:textId="77777777" w:rsidTr="005376EB">
        <w:tc>
          <w:tcPr>
            <w:tcW w:w="1306" w:type="dxa"/>
          </w:tcPr>
          <w:p w14:paraId="4D366DF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DCOPP</w:t>
            </w:r>
          </w:p>
        </w:tc>
        <w:tc>
          <w:tcPr>
            <w:tcW w:w="1234" w:type="dxa"/>
          </w:tcPr>
          <w:p w14:paraId="3C2656D5"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0.009729</w:t>
            </w:r>
          </w:p>
        </w:tc>
        <w:tc>
          <w:tcPr>
            <w:tcW w:w="1234" w:type="dxa"/>
          </w:tcPr>
          <w:p w14:paraId="25DDEDA4"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-0.017173</w:t>
            </w:r>
          </w:p>
        </w:tc>
        <w:tc>
          <w:tcPr>
            <w:tcW w:w="1234" w:type="dxa"/>
          </w:tcPr>
          <w:p w14:paraId="4DF2724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0.179963</w:t>
            </w:r>
          </w:p>
        </w:tc>
        <w:tc>
          <w:tcPr>
            <w:tcW w:w="1234" w:type="dxa"/>
          </w:tcPr>
          <w:p w14:paraId="69164B54"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0.040014</w:t>
            </w:r>
          </w:p>
        </w:tc>
        <w:tc>
          <w:tcPr>
            <w:tcW w:w="1234" w:type="dxa"/>
          </w:tcPr>
          <w:p w14:paraId="1754D14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0.046202</w:t>
            </w:r>
          </w:p>
        </w:tc>
        <w:tc>
          <w:tcPr>
            <w:tcW w:w="1306" w:type="dxa"/>
          </w:tcPr>
          <w:p w14:paraId="2BEE2D26"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-0.111578</w:t>
            </w:r>
          </w:p>
        </w:tc>
      </w:tr>
      <w:tr w:rsidR="001506C6" w:rsidRPr="004236D1" w14:paraId="54CEB7F8" w14:textId="77777777" w:rsidTr="005376EB">
        <w:tc>
          <w:tcPr>
            <w:tcW w:w="1306" w:type="dxa"/>
          </w:tcPr>
          <w:p w14:paraId="15DEAC3C"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DGOLDP</w:t>
            </w:r>
          </w:p>
        </w:tc>
        <w:tc>
          <w:tcPr>
            <w:tcW w:w="1234" w:type="dxa"/>
          </w:tcPr>
          <w:p w14:paraId="1A822F39"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-0.004799</w:t>
            </w:r>
          </w:p>
        </w:tc>
        <w:tc>
          <w:tcPr>
            <w:tcW w:w="1234" w:type="dxa"/>
          </w:tcPr>
          <w:p w14:paraId="0F5A64BE"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0.008703</w:t>
            </w:r>
          </w:p>
        </w:tc>
        <w:tc>
          <w:tcPr>
            <w:tcW w:w="1234" w:type="dxa"/>
          </w:tcPr>
          <w:p w14:paraId="19D787FF"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0.040014</w:t>
            </w:r>
          </w:p>
        </w:tc>
        <w:tc>
          <w:tcPr>
            <w:tcW w:w="1234" w:type="dxa"/>
          </w:tcPr>
          <w:p w14:paraId="7C88F33C"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0.047337</w:t>
            </w:r>
          </w:p>
        </w:tc>
        <w:tc>
          <w:tcPr>
            <w:tcW w:w="1234" w:type="dxa"/>
          </w:tcPr>
          <w:p w14:paraId="2CE84E71"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-0.017857</w:t>
            </w:r>
          </w:p>
        </w:tc>
        <w:tc>
          <w:tcPr>
            <w:tcW w:w="1306" w:type="dxa"/>
          </w:tcPr>
          <w:p w14:paraId="67161273"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0.027971</w:t>
            </w:r>
          </w:p>
        </w:tc>
      </w:tr>
      <w:tr w:rsidR="001506C6" w:rsidRPr="004236D1" w14:paraId="16CE9D21" w14:textId="77777777" w:rsidTr="005376EB">
        <w:tc>
          <w:tcPr>
            <w:tcW w:w="1306" w:type="dxa"/>
          </w:tcPr>
          <w:p w14:paraId="1974780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DNGAS</w:t>
            </w:r>
          </w:p>
        </w:tc>
        <w:tc>
          <w:tcPr>
            <w:tcW w:w="1234" w:type="dxa"/>
          </w:tcPr>
          <w:p w14:paraId="242DF465"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-0.016789</w:t>
            </w:r>
          </w:p>
        </w:tc>
        <w:tc>
          <w:tcPr>
            <w:tcW w:w="1234" w:type="dxa"/>
          </w:tcPr>
          <w:p w14:paraId="12059B97"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0.054110</w:t>
            </w:r>
          </w:p>
        </w:tc>
        <w:tc>
          <w:tcPr>
            <w:tcW w:w="1234" w:type="dxa"/>
          </w:tcPr>
          <w:p w14:paraId="7C2E9B9C"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0.046202</w:t>
            </w:r>
          </w:p>
        </w:tc>
        <w:tc>
          <w:tcPr>
            <w:tcW w:w="1234" w:type="dxa"/>
          </w:tcPr>
          <w:p w14:paraId="2314B2E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-0.017857</w:t>
            </w:r>
          </w:p>
        </w:tc>
        <w:tc>
          <w:tcPr>
            <w:tcW w:w="1234" w:type="dxa"/>
          </w:tcPr>
          <w:p w14:paraId="6C1EF0F2"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0.065371</w:t>
            </w:r>
          </w:p>
        </w:tc>
        <w:tc>
          <w:tcPr>
            <w:tcW w:w="1306" w:type="dxa"/>
          </w:tcPr>
          <w:p w14:paraId="7A0E6F3E"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0.027357</w:t>
            </w:r>
          </w:p>
        </w:tc>
      </w:tr>
      <w:tr w:rsidR="001506C6" w:rsidRPr="004236D1" w14:paraId="7EE364F0" w14:textId="77777777" w:rsidTr="005376EB">
        <w:tc>
          <w:tcPr>
            <w:tcW w:w="1306" w:type="dxa"/>
          </w:tcPr>
          <w:p w14:paraId="0F6EBB5B"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DSTOCKP</w:t>
            </w:r>
          </w:p>
        </w:tc>
        <w:tc>
          <w:tcPr>
            <w:tcW w:w="1234" w:type="dxa"/>
          </w:tcPr>
          <w:p w14:paraId="261646A9"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0.026845</w:t>
            </w:r>
          </w:p>
        </w:tc>
        <w:tc>
          <w:tcPr>
            <w:tcW w:w="1234" w:type="dxa"/>
          </w:tcPr>
          <w:p w14:paraId="3FA18880"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-0.054764</w:t>
            </w:r>
          </w:p>
        </w:tc>
        <w:tc>
          <w:tcPr>
            <w:tcW w:w="1234" w:type="dxa"/>
          </w:tcPr>
          <w:p w14:paraId="32FE7ECD"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-0.111578</w:t>
            </w:r>
          </w:p>
        </w:tc>
        <w:tc>
          <w:tcPr>
            <w:tcW w:w="1234" w:type="dxa"/>
          </w:tcPr>
          <w:p w14:paraId="68535251"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0.027971</w:t>
            </w:r>
          </w:p>
        </w:tc>
        <w:tc>
          <w:tcPr>
            <w:tcW w:w="1234" w:type="dxa"/>
          </w:tcPr>
          <w:p w14:paraId="5F89D114"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0.027357</w:t>
            </w:r>
          </w:p>
        </w:tc>
        <w:tc>
          <w:tcPr>
            <w:tcW w:w="1306" w:type="dxa"/>
          </w:tcPr>
          <w:p w14:paraId="4526DC6F" w14:textId="77777777" w:rsidR="001506C6" w:rsidRPr="004236D1" w:rsidRDefault="001506C6" w:rsidP="004236D1">
            <w:pPr>
              <w:jc w:val="both"/>
              <w:rPr>
                <w:rFonts w:ascii="Times New Roman" w:hAnsi="Times New Roman" w:cs="Times New Roman"/>
              </w:rPr>
            </w:pPr>
            <w:r w:rsidRPr="004236D1">
              <w:rPr>
                <w:rFonts w:ascii="Times New Roman" w:hAnsi="Times New Roman" w:cs="Times New Roman"/>
              </w:rPr>
              <w:t>1.991637</w:t>
            </w:r>
          </w:p>
        </w:tc>
      </w:tr>
    </w:tbl>
    <w:p w14:paraId="74A44A7D" w14:textId="77777777" w:rsidR="00B835CD" w:rsidRPr="004236D1" w:rsidRDefault="00B835CD" w:rsidP="004236D1">
      <w:pPr>
        <w:spacing w:after="0"/>
        <w:jc w:val="both"/>
        <w:rPr>
          <w:rFonts w:ascii="Times New Roman" w:hAnsi="Times New Roman" w:cs="Times New Roman"/>
        </w:rPr>
      </w:pPr>
    </w:p>
    <w:p w14:paraId="5DCA8EA0" w14:textId="77777777" w:rsidR="00B835CD" w:rsidRPr="004236D1" w:rsidRDefault="006541C7" w:rsidP="004236D1">
      <w:pPr>
        <w:spacing w:after="0"/>
        <w:jc w:val="both"/>
        <w:rPr>
          <w:rFonts w:ascii="Times New Roman" w:hAnsi="Times New Roman" w:cs="Times New Roman"/>
        </w:rPr>
      </w:pPr>
      <w:r w:rsidRPr="004236D1">
        <w:rPr>
          <w:rFonts w:ascii="Times New Roman" w:hAnsi="Times New Roman" w:cs="Times New Roman"/>
        </w:rPr>
        <w:t xml:space="preserve">Table </w:t>
      </w:r>
      <w:r w:rsidR="008146C7">
        <w:rPr>
          <w:rFonts w:ascii="Times New Roman" w:hAnsi="Times New Roman" w:cs="Times New Roman"/>
        </w:rPr>
        <w:t>4</w:t>
      </w:r>
      <w:r w:rsidRPr="004236D1">
        <w:rPr>
          <w:rFonts w:ascii="Times New Roman" w:hAnsi="Times New Roman" w:cs="Times New Roman"/>
        </w:rPr>
        <w:t xml:space="preserve"> reports the A1 own ARCH effects from the </w:t>
      </w:r>
      <w:proofErr w:type="gramStart"/>
      <w:r w:rsidRPr="004236D1">
        <w:rPr>
          <w:rFonts w:ascii="Times New Roman" w:hAnsi="Times New Roman" w:cs="Times New Roman"/>
        </w:rPr>
        <w:t>VECH(</w:t>
      </w:r>
      <w:proofErr w:type="gramEnd"/>
      <w:r w:rsidRPr="004236D1">
        <w:rPr>
          <w:rFonts w:ascii="Times New Roman" w:hAnsi="Times New Roman" w:cs="Times New Roman"/>
        </w:rPr>
        <w:t>1,1)-MGARCH model and provides information on how recent innovations influence the volatility of each market. The diagonal coefficients indicate that the strongest own-market ARCH response occurs in DSTOCKP, with a coefficient of 1.991637, followed by DCOPP with 0.179963, DEXR with 0.102363, DNGAS with 0.065371, DGOLDP with 0.047337, and DBCOP with 0.037407. The relatively large coefficient for DSTOCKP suggests that volatility in the Nigerian stock market reacts particularly strongly to recent shocks, whereas Brent crude oil records the smallest own ARCH coefficient among the six series. The off-diagonal coefficients reveal that shocks are also transmitted across some markets, although the magnitudes vary and may be either positive or negative. For example, positive cross-</w:t>
      </w:r>
      <w:r w:rsidRPr="004236D1">
        <w:rPr>
          <w:rFonts w:ascii="Times New Roman" w:hAnsi="Times New Roman" w:cs="Times New Roman"/>
        </w:rPr>
        <w:lastRenderedPageBreak/>
        <w:t>market effects are observed between DNGAS and DBCOP (0.054110) and between DCOPP and DGOLDP (0.040014), while negative effects occur between DCOPP and DSTOCKP (-0.111578) and between DEXR and DNGAS (-0.016789).</w:t>
      </w:r>
    </w:p>
    <w:p w14:paraId="3ECE7BA6" w14:textId="77777777" w:rsidR="009B1881" w:rsidRDefault="009B1881" w:rsidP="004236D1">
      <w:pPr>
        <w:spacing w:after="0"/>
        <w:jc w:val="both"/>
        <w:rPr>
          <w:rFonts w:ascii="Times New Roman" w:hAnsi="Times New Roman" w:cs="Times New Roman"/>
        </w:rPr>
      </w:pPr>
    </w:p>
    <w:p w14:paraId="126A5BE2" w14:textId="77777777" w:rsidR="009B1881" w:rsidRPr="004236D1" w:rsidRDefault="009B1881" w:rsidP="004236D1">
      <w:pPr>
        <w:spacing w:after="0"/>
        <w:jc w:val="both"/>
        <w:rPr>
          <w:rFonts w:ascii="Times New Roman" w:hAnsi="Times New Roman" w:cs="Times New Roman"/>
        </w:rPr>
      </w:pPr>
    </w:p>
    <w:p w14:paraId="1553B902"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bCs/>
        </w:rPr>
        <w:t>T</w:t>
      </w:r>
      <w:r w:rsidR="00F776F2" w:rsidRPr="004236D1">
        <w:rPr>
          <w:rFonts w:ascii="Times New Roman" w:hAnsi="Times New Roman" w:cs="Times New Roman"/>
          <w:b/>
          <w:bCs/>
        </w:rPr>
        <w:t xml:space="preserve">able </w:t>
      </w:r>
      <w:r w:rsidR="008146C7">
        <w:rPr>
          <w:rFonts w:ascii="Times New Roman" w:hAnsi="Times New Roman" w:cs="Times New Roman"/>
          <w:b/>
          <w:bCs/>
        </w:rPr>
        <w:t>5</w:t>
      </w:r>
      <w:r w:rsidRPr="004236D1">
        <w:rPr>
          <w:rFonts w:ascii="Times New Roman" w:hAnsi="Times New Roman" w:cs="Times New Roman"/>
          <w:b/>
          <w:bCs/>
        </w:rPr>
        <w:t xml:space="preserve">: Long-run/constant covariance component Estimated coefficients from the </w:t>
      </w:r>
      <w:proofErr w:type="gramStart"/>
      <w:r w:rsidRPr="004236D1">
        <w:rPr>
          <w:rFonts w:ascii="Times New Roman" w:hAnsi="Times New Roman" w:cs="Times New Roman"/>
          <w:b/>
          <w:bCs/>
        </w:rPr>
        <w:t>VECH(</w:t>
      </w:r>
      <w:proofErr w:type="gramEnd"/>
      <w:r w:rsidRPr="004236D1">
        <w:rPr>
          <w:rFonts w:ascii="Times New Roman" w:hAnsi="Times New Roman" w:cs="Times New Roman"/>
          <w:b/>
          <w:bCs/>
        </w:rPr>
        <w:t>1,1)-MGARCH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1726"/>
        <w:gridCol w:w="1652"/>
        <w:gridCol w:w="1746"/>
      </w:tblGrid>
      <w:tr w:rsidR="00B113BC" w:rsidRPr="004236D1" w14:paraId="708B4142" w14:textId="77777777" w:rsidTr="005376EB">
        <w:tc>
          <w:tcPr>
            <w:tcW w:w="2350" w:type="dxa"/>
            <w:tcBorders>
              <w:top w:val="single" w:sz="4" w:space="0" w:color="auto"/>
              <w:bottom w:val="single" w:sz="4" w:space="0" w:color="auto"/>
            </w:tcBorders>
            <w:vAlign w:val="center"/>
          </w:tcPr>
          <w:p w14:paraId="47ED354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Element</w:t>
            </w:r>
          </w:p>
        </w:tc>
        <w:tc>
          <w:tcPr>
            <w:tcW w:w="1726" w:type="dxa"/>
            <w:tcBorders>
              <w:top w:val="single" w:sz="4" w:space="0" w:color="auto"/>
              <w:bottom w:val="single" w:sz="4" w:space="0" w:color="auto"/>
            </w:tcBorders>
            <w:vAlign w:val="center"/>
          </w:tcPr>
          <w:p w14:paraId="7221BD6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Coefficient</w:t>
            </w:r>
          </w:p>
        </w:tc>
        <w:tc>
          <w:tcPr>
            <w:tcW w:w="1652" w:type="dxa"/>
            <w:tcBorders>
              <w:top w:val="single" w:sz="4" w:space="0" w:color="auto"/>
              <w:bottom w:val="single" w:sz="4" w:space="0" w:color="auto"/>
            </w:tcBorders>
            <w:vAlign w:val="center"/>
          </w:tcPr>
          <w:p w14:paraId="136D209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p-value</w:t>
            </w:r>
          </w:p>
        </w:tc>
        <w:tc>
          <w:tcPr>
            <w:tcW w:w="1746" w:type="dxa"/>
            <w:tcBorders>
              <w:top w:val="single" w:sz="4" w:space="0" w:color="auto"/>
              <w:bottom w:val="single" w:sz="4" w:space="0" w:color="auto"/>
            </w:tcBorders>
            <w:vAlign w:val="center"/>
          </w:tcPr>
          <w:p w14:paraId="5C8835F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b/>
                <w:bCs/>
                <w:color w:val="000000"/>
              </w:rPr>
              <w:t>Significance</w:t>
            </w:r>
          </w:p>
        </w:tc>
      </w:tr>
      <w:tr w:rsidR="00B113BC" w:rsidRPr="004236D1" w14:paraId="0615E30F" w14:textId="77777777" w:rsidTr="005376EB">
        <w:tc>
          <w:tcPr>
            <w:tcW w:w="2350" w:type="dxa"/>
            <w:tcBorders>
              <w:top w:val="single" w:sz="4" w:space="0" w:color="auto"/>
            </w:tcBorders>
            <w:vAlign w:val="center"/>
          </w:tcPr>
          <w:p w14:paraId="29537CD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 Variance</w:t>
            </w:r>
          </w:p>
        </w:tc>
        <w:tc>
          <w:tcPr>
            <w:tcW w:w="1726" w:type="dxa"/>
            <w:tcBorders>
              <w:top w:val="single" w:sz="4" w:space="0" w:color="auto"/>
            </w:tcBorders>
            <w:vAlign w:val="center"/>
          </w:tcPr>
          <w:p w14:paraId="02E8DAF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0.01527</w:t>
            </w:r>
          </w:p>
        </w:tc>
        <w:tc>
          <w:tcPr>
            <w:tcW w:w="1652" w:type="dxa"/>
            <w:tcBorders>
              <w:top w:val="single" w:sz="4" w:space="0" w:color="auto"/>
            </w:tcBorders>
            <w:vAlign w:val="center"/>
          </w:tcPr>
          <w:p w14:paraId="3A24D234"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tcBorders>
              <w:top w:val="single" w:sz="4" w:space="0" w:color="auto"/>
            </w:tcBorders>
            <w:vAlign w:val="center"/>
          </w:tcPr>
          <w:p w14:paraId="31A0EFA2"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694A4661" w14:textId="77777777" w:rsidTr="005376EB">
        <w:tc>
          <w:tcPr>
            <w:tcW w:w="2350" w:type="dxa"/>
            <w:vAlign w:val="center"/>
          </w:tcPr>
          <w:p w14:paraId="10B47BB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DBCOP/DCOPP</w:t>
            </w:r>
          </w:p>
        </w:tc>
        <w:tc>
          <w:tcPr>
            <w:tcW w:w="1726" w:type="dxa"/>
            <w:vAlign w:val="center"/>
          </w:tcPr>
          <w:p w14:paraId="76F9BC1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0.00086</w:t>
            </w:r>
          </w:p>
        </w:tc>
        <w:tc>
          <w:tcPr>
            <w:tcW w:w="1652" w:type="dxa"/>
            <w:vAlign w:val="center"/>
          </w:tcPr>
          <w:p w14:paraId="65B2B90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0.752</w:t>
            </w:r>
          </w:p>
        </w:tc>
        <w:tc>
          <w:tcPr>
            <w:tcW w:w="1746" w:type="dxa"/>
            <w:vAlign w:val="center"/>
          </w:tcPr>
          <w:p w14:paraId="1471B57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61AF9261" w14:textId="77777777" w:rsidTr="005376EB">
        <w:tc>
          <w:tcPr>
            <w:tcW w:w="2350" w:type="dxa"/>
            <w:vAlign w:val="center"/>
          </w:tcPr>
          <w:p w14:paraId="617AD605"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DBCOP/DEXR</w:t>
            </w:r>
          </w:p>
        </w:tc>
        <w:tc>
          <w:tcPr>
            <w:tcW w:w="1726" w:type="dxa"/>
            <w:vAlign w:val="center"/>
          </w:tcPr>
          <w:p w14:paraId="4071756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0.00023</w:t>
            </w:r>
          </w:p>
        </w:tc>
        <w:tc>
          <w:tcPr>
            <w:tcW w:w="1652" w:type="dxa"/>
            <w:vAlign w:val="center"/>
          </w:tcPr>
          <w:p w14:paraId="5BB1C65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0.9536</w:t>
            </w:r>
          </w:p>
        </w:tc>
        <w:tc>
          <w:tcPr>
            <w:tcW w:w="1746" w:type="dxa"/>
            <w:vAlign w:val="center"/>
          </w:tcPr>
          <w:p w14:paraId="4E139E5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30C102D2" w14:textId="77777777" w:rsidTr="005376EB">
        <w:tc>
          <w:tcPr>
            <w:tcW w:w="2350" w:type="dxa"/>
            <w:vAlign w:val="center"/>
          </w:tcPr>
          <w:p w14:paraId="278F745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DBCOP/DGOLDP</w:t>
            </w:r>
          </w:p>
        </w:tc>
        <w:tc>
          <w:tcPr>
            <w:tcW w:w="1726" w:type="dxa"/>
            <w:vAlign w:val="center"/>
          </w:tcPr>
          <w:p w14:paraId="456F3D65"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7.1E-05</w:t>
            </w:r>
          </w:p>
        </w:tc>
        <w:tc>
          <w:tcPr>
            <w:tcW w:w="1652" w:type="dxa"/>
            <w:vAlign w:val="center"/>
          </w:tcPr>
          <w:p w14:paraId="579314F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0.137</w:t>
            </w:r>
          </w:p>
        </w:tc>
        <w:tc>
          <w:tcPr>
            <w:tcW w:w="1746" w:type="dxa"/>
            <w:vAlign w:val="center"/>
          </w:tcPr>
          <w:p w14:paraId="409860A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0D9BC557" w14:textId="77777777" w:rsidTr="005376EB">
        <w:tc>
          <w:tcPr>
            <w:tcW w:w="2350" w:type="dxa"/>
            <w:vAlign w:val="center"/>
          </w:tcPr>
          <w:p w14:paraId="7795FA7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DBCOP/DNGAS</w:t>
            </w:r>
          </w:p>
        </w:tc>
        <w:tc>
          <w:tcPr>
            <w:tcW w:w="1726" w:type="dxa"/>
            <w:vAlign w:val="center"/>
          </w:tcPr>
          <w:p w14:paraId="4FB5BE2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0.00114</w:t>
            </w:r>
          </w:p>
        </w:tc>
        <w:tc>
          <w:tcPr>
            <w:tcW w:w="1652" w:type="dxa"/>
            <w:vAlign w:val="center"/>
          </w:tcPr>
          <w:p w14:paraId="0A4DD1B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0.3121</w:t>
            </w:r>
          </w:p>
        </w:tc>
        <w:tc>
          <w:tcPr>
            <w:tcW w:w="1746" w:type="dxa"/>
            <w:vAlign w:val="center"/>
          </w:tcPr>
          <w:p w14:paraId="66741022"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2845722E" w14:textId="77777777" w:rsidTr="005376EB">
        <w:tc>
          <w:tcPr>
            <w:tcW w:w="2350" w:type="dxa"/>
            <w:vAlign w:val="center"/>
          </w:tcPr>
          <w:p w14:paraId="2BEE5E0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DBCOP/DSTOCKP</w:t>
            </w:r>
          </w:p>
        </w:tc>
        <w:tc>
          <w:tcPr>
            <w:tcW w:w="1726" w:type="dxa"/>
            <w:vAlign w:val="center"/>
          </w:tcPr>
          <w:p w14:paraId="729A91C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0.00336</w:t>
            </w:r>
          </w:p>
        </w:tc>
        <w:tc>
          <w:tcPr>
            <w:tcW w:w="1652" w:type="dxa"/>
            <w:vAlign w:val="center"/>
          </w:tcPr>
          <w:p w14:paraId="2ED6771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0.7072</w:t>
            </w:r>
          </w:p>
        </w:tc>
        <w:tc>
          <w:tcPr>
            <w:tcW w:w="1746" w:type="dxa"/>
            <w:vAlign w:val="center"/>
          </w:tcPr>
          <w:p w14:paraId="74A2E55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10CA3D3E" w14:textId="77777777" w:rsidTr="005376EB">
        <w:tc>
          <w:tcPr>
            <w:tcW w:w="2350" w:type="dxa"/>
            <w:vAlign w:val="center"/>
          </w:tcPr>
          <w:p w14:paraId="0B3A2974"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 variance</w:t>
            </w:r>
          </w:p>
        </w:tc>
        <w:tc>
          <w:tcPr>
            <w:tcW w:w="1726" w:type="dxa"/>
            <w:vAlign w:val="center"/>
          </w:tcPr>
          <w:p w14:paraId="5154F95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0.0035</w:t>
            </w:r>
          </w:p>
        </w:tc>
        <w:tc>
          <w:tcPr>
            <w:tcW w:w="1652" w:type="dxa"/>
            <w:vAlign w:val="center"/>
          </w:tcPr>
          <w:p w14:paraId="43EE7345"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2DC8F0CA"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6CB46F3A" w14:textId="77777777" w:rsidTr="005376EB">
        <w:tc>
          <w:tcPr>
            <w:tcW w:w="2350" w:type="dxa"/>
            <w:vAlign w:val="center"/>
          </w:tcPr>
          <w:p w14:paraId="399C2E6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DCOPP/DEXR</w:t>
            </w:r>
          </w:p>
        </w:tc>
        <w:tc>
          <w:tcPr>
            <w:tcW w:w="1726" w:type="dxa"/>
            <w:vAlign w:val="center"/>
          </w:tcPr>
          <w:p w14:paraId="37AD8FD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-0.0004</w:t>
            </w:r>
          </w:p>
        </w:tc>
        <w:tc>
          <w:tcPr>
            <w:tcW w:w="1652" w:type="dxa"/>
            <w:vAlign w:val="center"/>
          </w:tcPr>
          <w:p w14:paraId="18751F0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0.7001</w:t>
            </w:r>
          </w:p>
        </w:tc>
        <w:tc>
          <w:tcPr>
            <w:tcW w:w="1746" w:type="dxa"/>
            <w:vAlign w:val="center"/>
          </w:tcPr>
          <w:p w14:paraId="603502A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54D1C2F1" w14:textId="77777777" w:rsidTr="005376EB">
        <w:tc>
          <w:tcPr>
            <w:tcW w:w="2350" w:type="dxa"/>
            <w:vAlign w:val="center"/>
          </w:tcPr>
          <w:p w14:paraId="611BEFB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DCOPP/DGOLDP</w:t>
            </w:r>
          </w:p>
        </w:tc>
        <w:tc>
          <w:tcPr>
            <w:tcW w:w="1726" w:type="dxa"/>
            <w:vAlign w:val="center"/>
          </w:tcPr>
          <w:p w14:paraId="07C9269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5.5E-05</w:t>
            </w:r>
          </w:p>
        </w:tc>
        <w:tc>
          <w:tcPr>
            <w:tcW w:w="1652" w:type="dxa"/>
            <w:vAlign w:val="center"/>
          </w:tcPr>
          <w:p w14:paraId="4ADB1FA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0.6121</w:t>
            </w:r>
          </w:p>
        </w:tc>
        <w:tc>
          <w:tcPr>
            <w:tcW w:w="1746" w:type="dxa"/>
            <w:vAlign w:val="center"/>
          </w:tcPr>
          <w:p w14:paraId="535A934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6BF6E656" w14:textId="77777777" w:rsidTr="005376EB">
        <w:tc>
          <w:tcPr>
            <w:tcW w:w="2350" w:type="dxa"/>
            <w:vAlign w:val="center"/>
          </w:tcPr>
          <w:p w14:paraId="0E308CD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DCOPP/DNGAS</w:t>
            </w:r>
          </w:p>
        </w:tc>
        <w:tc>
          <w:tcPr>
            <w:tcW w:w="1726" w:type="dxa"/>
            <w:vAlign w:val="center"/>
          </w:tcPr>
          <w:p w14:paraId="7796EBA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0.01247</w:t>
            </w:r>
          </w:p>
        </w:tc>
        <w:tc>
          <w:tcPr>
            <w:tcW w:w="1652" w:type="dxa"/>
            <w:vAlign w:val="center"/>
          </w:tcPr>
          <w:p w14:paraId="73DBCC5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0.3126</w:t>
            </w:r>
          </w:p>
        </w:tc>
        <w:tc>
          <w:tcPr>
            <w:tcW w:w="1746" w:type="dxa"/>
            <w:vAlign w:val="center"/>
          </w:tcPr>
          <w:p w14:paraId="523C3CD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0A0055BC" w14:textId="77777777" w:rsidTr="005376EB">
        <w:tc>
          <w:tcPr>
            <w:tcW w:w="2350" w:type="dxa"/>
            <w:vAlign w:val="center"/>
          </w:tcPr>
          <w:p w14:paraId="79EF501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DCOPP/DSTOCKP</w:t>
            </w:r>
          </w:p>
        </w:tc>
        <w:tc>
          <w:tcPr>
            <w:tcW w:w="1726" w:type="dxa"/>
            <w:vAlign w:val="center"/>
          </w:tcPr>
          <w:p w14:paraId="6CE0CDC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0.00053</w:t>
            </w:r>
          </w:p>
        </w:tc>
        <w:tc>
          <w:tcPr>
            <w:tcW w:w="1652" w:type="dxa"/>
            <w:vAlign w:val="center"/>
          </w:tcPr>
          <w:p w14:paraId="074377DB"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0.9236</w:t>
            </w:r>
          </w:p>
        </w:tc>
        <w:tc>
          <w:tcPr>
            <w:tcW w:w="1746" w:type="dxa"/>
            <w:vAlign w:val="center"/>
          </w:tcPr>
          <w:p w14:paraId="4259CC5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5C963274" w14:textId="77777777" w:rsidTr="005376EB">
        <w:tc>
          <w:tcPr>
            <w:tcW w:w="2350" w:type="dxa"/>
            <w:vAlign w:val="center"/>
          </w:tcPr>
          <w:p w14:paraId="49E5CF02"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DEXR variance</w:t>
            </w:r>
          </w:p>
        </w:tc>
        <w:tc>
          <w:tcPr>
            <w:tcW w:w="1726" w:type="dxa"/>
            <w:vAlign w:val="center"/>
          </w:tcPr>
          <w:p w14:paraId="1043650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0.04615</w:t>
            </w:r>
          </w:p>
        </w:tc>
        <w:tc>
          <w:tcPr>
            <w:tcW w:w="1652" w:type="dxa"/>
            <w:vAlign w:val="center"/>
          </w:tcPr>
          <w:p w14:paraId="0487AD9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641A35FE"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3DE6C7AF" w14:textId="77777777" w:rsidTr="005376EB">
        <w:tc>
          <w:tcPr>
            <w:tcW w:w="2350" w:type="dxa"/>
            <w:vAlign w:val="center"/>
          </w:tcPr>
          <w:p w14:paraId="091A7C8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DEXR/DGOLDP</w:t>
            </w:r>
          </w:p>
        </w:tc>
        <w:tc>
          <w:tcPr>
            <w:tcW w:w="1726" w:type="dxa"/>
            <w:vAlign w:val="center"/>
          </w:tcPr>
          <w:p w14:paraId="582858E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0.00029</w:t>
            </w:r>
          </w:p>
        </w:tc>
        <w:tc>
          <w:tcPr>
            <w:tcW w:w="1652" w:type="dxa"/>
            <w:vAlign w:val="center"/>
          </w:tcPr>
          <w:p w14:paraId="1EE86F0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0.7705</w:t>
            </w:r>
          </w:p>
        </w:tc>
        <w:tc>
          <w:tcPr>
            <w:tcW w:w="1746" w:type="dxa"/>
            <w:vAlign w:val="center"/>
          </w:tcPr>
          <w:p w14:paraId="55F89E89"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37079355" w14:textId="77777777" w:rsidTr="005376EB">
        <w:tc>
          <w:tcPr>
            <w:tcW w:w="2350" w:type="dxa"/>
            <w:vAlign w:val="center"/>
          </w:tcPr>
          <w:p w14:paraId="59875D3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DEXR/DNGAS</w:t>
            </w:r>
          </w:p>
        </w:tc>
        <w:tc>
          <w:tcPr>
            <w:tcW w:w="1726" w:type="dxa"/>
            <w:vAlign w:val="center"/>
          </w:tcPr>
          <w:p w14:paraId="390FDC4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-0.005</w:t>
            </w:r>
          </w:p>
        </w:tc>
        <w:tc>
          <w:tcPr>
            <w:tcW w:w="1652" w:type="dxa"/>
            <w:vAlign w:val="center"/>
          </w:tcPr>
          <w:p w14:paraId="308151D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0.6892</w:t>
            </w:r>
          </w:p>
        </w:tc>
        <w:tc>
          <w:tcPr>
            <w:tcW w:w="1746" w:type="dxa"/>
            <w:vAlign w:val="center"/>
          </w:tcPr>
          <w:p w14:paraId="6C2DE06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06386E33" w14:textId="77777777" w:rsidTr="005376EB">
        <w:tc>
          <w:tcPr>
            <w:tcW w:w="2350" w:type="dxa"/>
            <w:vAlign w:val="center"/>
          </w:tcPr>
          <w:p w14:paraId="38AC06B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DEXR/DSTOCKP</w:t>
            </w:r>
          </w:p>
        </w:tc>
        <w:tc>
          <w:tcPr>
            <w:tcW w:w="1726" w:type="dxa"/>
            <w:vAlign w:val="center"/>
          </w:tcPr>
          <w:p w14:paraId="3A8A3DF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0.00705</w:t>
            </w:r>
          </w:p>
        </w:tc>
        <w:tc>
          <w:tcPr>
            <w:tcW w:w="1652" w:type="dxa"/>
            <w:vAlign w:val="center"/>
          </w:tcPr>
          <w:p w14:paraId="64793D38"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0.3744</w:t>
            </w:r>
          </w:p>
        </w:tc>
        <w:tc>
          <w:tcPr>
            <w:tcW w:w="1746" w:type="dxa"/>
            <w:vAlign w:val="center"/>
          </w:tcPr>
          <w:p w14:paraId="1A2E888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70AE5091" w14:textId="77777777" w:rsidTr="005376EB">
        <w:tc>
          <w:tcPr>
            <w:tcW w:w="2350" w:type="dxa"/>
            <w:vAlign w:val="center"/>
          </w:tcPr>
          <w:p w14:paraId="3DE8551F"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DGOLDP </w:t>
            </w:r>
          </w:p>
        </w:tc>
        <w:tc>
          <w:tcPr>
            <w:tcW w:w="1726" w:type="dxa"/>
            <w:vAlign w:val="center"/>
          </w:tcPr>
          <w:p w14:paraId="151661C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0.00357</w:t>
            </w:r>
          </w:p>
        </w:tc>
        <w:tc>
          <w:tcPr>
            <w:tcW w:w="1652" w:type="dxa"/>
            <w:vAlign w:val="center"/>
          </w:tcPr>
          <w:p w14:paraId="16B0D44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18CC4CE3"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3C853488" w14:textId="77777777" w:rsidTr="005376EB">
        <w:tc>
          <w:tcPr>
            <w:tcW w:w="2350" w:type="dxa"/>
            <w:vAlign w:val="center"/>
          </w:tcPr>
          <w:p w14:paraId="6A55BC0A"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DGOLDP/DNGAS</w:t>
            </w:r>
          </w:p>
        </w:tc>
        <w:tc>
          <w:tcPr>
            <w:tcW w:w="1726" w:type="dxa"/>
            <w:vAlign w:val="center"/>
          </w:tcPr>
          <w:p w14:paraId="761BC51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-0.0009</w:t>
            </w:r>
          </w:p>
        </w:tc>
        <w:tc>
          <w:tcPr>
            <w:tcW w:w="1652" w:type="dxa"/>
            <w:vAlign w:val="center"/>
          </w:tcPr>
          <w:p w14:paraId="2264EE0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0.4453</w:t>
            </w:r>
          </w:p>
        </w:tc>
        <w:tc>
          <w:tcPr>
            <w:tcW w:w="1746" w:type="dxa"/>
            <w:vAlign w:val="center"/>
          </w:tcPr>
          <w:p w14:paraId="150D5BBE"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603FBC5B" w14:textId="77777777" w:rsidTr="005376EB">
        <w:tc>
          <w:tcPr>
            <w:tcW w:w="2350" w:type="dxa"/>
            <w:vAlign w:val="center"/>
          </w:tcPr>
          <w:p w14:paraId="5D3D1B3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DGOLDP/DSTOCKP</w:t>
            </w:r>
          </w:p>
        </w:tc>
        <w:tc>
          <w:tcPr>
            <w:tcW w:w="1726" w:type="dxa"/>
            <w:vAlign w:val="center"/>
          </w:tcPr>
          <w:p w14:paraId="0C494C8C"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0.00393</w:t>
            </w:r>
          </w:p>
        </w:tc>
        <w:tc>
          <w:tcPr>
            <w:tcW w:w="1652" w:type="dxa"/>
            <w:vAlign w:val="center"/>
          </w:tcPr>
          <w:p w14:paraId="730A423D"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0.4234</w:t>
            </w:r>
          </w:p>
        </w:tc>
        <w:tc>
          <w:tcPr>
            <w:tcW w:w="1746" w:type="dxa"/>
            <w:vAlign w:val="center"/>
          </w:tcPr>
          <w:p w14:paraId="6B9C24E1"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r w:rsidR="00B113BC" w:rsidRPr="004236D1" w14:paraId="548939F2" w14:textId="77777777" w:rsidTr="005376EB">
        <w:tc>
          <w:tcPr>
            <w:tcW w:w="2350" w:type="dxa"/>
            <w:vAlign w:val="center"/>
          </w:tcPr>
          <w:p w14:paraId="0829C93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 xml:space="preserve"> DNGAS</w:t>
            </w:r>
          </w:p>
        </w:tc>
        <w:tc>
          <w:tcPr>
            <w:tcW w:w="1726" w:type="dxa"/>
            <w:vAlign w:val="center"/>
          </w:tcPr>
          <w:p w14:paraId="461870B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0.01067</w:t>
            </w:r>
          </w:p>
        </w:tc>
        <w:tc>
          <w:tcPr>
            <w:tcW w:w="1652" w:type="dxa"/>
            <w:vAlign w:val="center"/>
          </w:tcPr>
          <w:p w14:paraId="32A8BF06"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&lt;0.001</w:t>
            </w:r>
          </w:p>
        </w:tc>
        <w:tc>
          <w:tcPr>
            <w:tcW w:w="1746" w:type="dxa"/>
            <w:vAlign w:val="center"/>
          </w:tcPr>
          <w:p w14:paraId="0EB518E8" w14:textId="77777777" w:rsidR="00B113BC" w:rsidRPr="004236D1" w:rsidRDefault="00B113BC" w:rsidP="004236D1">
            <w:pPr>
              <w:jc w:val="both"/>
              <w:rPr>
                <w:rFonts w:ascii="Times New Roman" w:hAnsi="Times New Roman" w:cs="Times New Roman"/>
                <w:bCs/>
              </w:rPr>
            </w:pPr>
            <w:r w:rsidRPr="004236D1">
              <w:rPr>
                <w:rFonts w:ascii="Times New Roman" w:eastAsia="Times New Roman" w:hAnsi="Times New Roman" w:cs="Times New Roman"/>
                <w:bCs/>
                <w:color w:val="000000"/>
              </w:rPr>
              <w:t>Significant</w:t>
            </w:r>
          </w:p>
        </w:tc>
      </w:tr>
      <w:tr w:rsidR="00B113BC" w:rsidRPr="004236D1" w14:paraId="0D9F2EE3" w14:textId="77777777" w:rsidTr="005376EB">
        <w:tc>
          <w:tcPr>
            <w:tcW w:w="2350" w:type="dxa"/>
            <w:vAlign w:val="center"/>
          </w:tcPr>
          <w:p w14:paraId="2F80E590"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DNGAS/DSTOCKP</w:t>
            </w:r>
          </w:p>
        </w:tc>
        <w:tc>
          <w:tcPr>
            <w:tcW w:w="1726" w:type="dxa"/>
            <w:vAlign w:val="center"/>
          </w:tcPr>
          <w:p w14:paraId="7EF38752"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-0.006</w:t>
            </w:r>
          </w:p>
        </w:tc>
        <w:tc>
          <w:tcPr>
            <w:tcW w:w="1652" w:type="dxa"/>
            <w:vAlign w:val="center"/>
          </w:tcPr>
          <w:p w14:paraId="5F9B55F7"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0.6479</w:t>
            </w:r>
          </w:p>
        </w:tc>
        <w:tc>
          <w:tcPr>
            <w:tcW w:w="1746" w:type="dxa"/>
            <w:vAlign w:val="center"/>
          </w:tcPr>
          <w:p w14:paraId="653DC443" w14:textId="77777777" w:rsidR="00B113BC" w:rsidRPr="004236D1" w:rsidRDefault="00B113BC" w:rsidP="004236D1">
            <w:pPr>
              <w:jc w:val="both"/>
              <w:rPr>
                <w:rFonts w:ascii="Times New Roman" w:hAnsi="Times New Roman" w:cs="Times New Roman"/>
                <w:b/>
                <w:bCs/>
              </w:rPr>
            </w:pPr>
            <w:r w:rsidRPr="004236D1">
              <w:rPr>
                <w:rFonts w:ascii="Times New Roman" w:eastAsia="Times New Roman" w:hAnsi="Times New Roman" w:cs="Times New Roman"/>
                <w:color w:val="000000"/>
              </w:rPr>
              <w:t>Not significant</w:t>
            </w:r>
          </w:p>
        </w:tc>
      </w:tr>
    </w:tbl>
    <w:p w14:paraId="2ED66733" w14:textId="77777777" w:rsidR="009B1881" w:rsidRPr="005376EB" w:rsidRDefault="008146C7" w:rsidP="004236D1">
      <w:pPr>
        <w:spacing w:after="0"/>
        <w:jc w:val="both"/>
        <w:rPr>
          <w:rFonts w:ascii="Times New Roman" w:hAnsi="Times New Roman" w:cs="Times New Roman"/>
        </w:rPr>
      </w:pPr>
      <w:r>
        <w:rPr>
          <w:rFonts w:ascii="Times New Roman" w:hAnsi="Times New Roman" w:cs="Times New Roman"/>
        </w:rPr>
        <w:t>Table 5</w:t>
      </w:r>
      <w:r w:rsidR="00645543" w:rsidRPr="004236D1">
        <w:rPr>
          <w:rFonts w:ascii="Times New Roman" w:hAnsi="Times New Roman" w:cs="Times New Roman"/>
        </w:rPr>
        <w:t xml:space="preserve"> presents the estimated long-run or constant covariance component of the </w:t>
      </w:r>
      <w:proofErr w:type="gramStart"/>
      <w:r w:rsidR="00645543" w:rsidRPr="004236D1">
        <w:rPr>
          <w:rFonts w:ascii="Times New Roman" w:hAnsi="Times New Roman" w:cs="Times New Roman"/>
        </w:rPr>
        <w:t>VECH(</w:t>
      </w:r>
      <w:proofErr w:type="gramEnd"/>
      <w:r w:rsidR="00645543" w:rsidRPr="004236D1">
        <w:rPr>
          <w:rFonts w:ascii="Times New Roman" w:hAnsi="Times New Roman" w:cs="Times New Roman"/>
        </w:rPr>
        <w:t xml:space="preserve">1,1)-MGARCH model. The diagonal variance coefficients are statistically significant for all six return series, with DBCOP, DCOPP, DEXR, DGOLDP and DNGAS having coefficients of 0.01527, 0.00350, 0.04615, 0.00357 and 0.01067, respectively, all with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&lt; 0.001. This indicates that each market possesses a statistically identifiable baseline component of variance independent of the time-varying cross-market covariance structure. Among the series, DEXR records the largest constant variance component, suggesting relatively greater underlying variability in the exchange-rate return series. In contrast, the cross-market covariance estimates are uniformly statistically insignificant at the 5% level. For example, the DBCOP/DCOPP covariance is 0.00086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 0.752), DBCOP/DEXR is 0.00023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 0.9536), and DEXR/DGOLDP is 0.00029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 = 0.7705). The negative estimates observed for DCOPP/DEXR, DEXR/DNGAS, DGOLDP/DNGAS and DNGAS/DSTOCKP also fail to a</w:t>
      </w:r>
      <w:r w:rsidR="005376EB">
        <w:rPr>
          <w:rFonts w:ascii="Times New Roman" w:hAnsi="Times New Roman" w:cs="Times New Roman"/>
        </w:rPr>
        <w:t>ttain statistical significance.</w:t>
      </w:r>
    </w:p>
    <w:p w14:paraId="7241D3DC"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rPr>
        <w:lastRenderedPageBreak/>
        <w:t>T</w:t>
      </w:r>
      <w:r w:rsidR="008146C7">
        <w:rPr>
          <w:rFonts w:ascii="Times New Roman" w:hAnsi="Times New Roman" w:cs="Times New Roman"/>
          <w:b/>
        </w:rPr>
        <w:t>able 6</w:t>
      </w:r>
      <w:r w:rsidRPr="004236D1">
        <w:rPr>
          <w:rFonts w:ascii="Times New Roman" w:hAnsi="Times New Roman" w:cs="Times New Roman"/>
          <w:b/>
        </w:rPr>
        <w:t>:</w:t>
      </w:r>
      <w:r w:rsidRPr="004236D1">
        <w:rPr>
          <w:rFonts w:ascii="Times New Roman" w:hAnsi="Times New Roman" w:cs="Times New Roman"/>
        </w:rPr>
        <w:t xml:space="preserve"> </w:t>
      </w:r>
      <w:r w:rsidRPr="004236D1">
        <w:rPr>
          <w:rFonts w:ascii="Times New Roman" w:hAnsi="Times New Roman" w:cs="Times New Roman"/>
          <w:b/>
          <w:bCs/>
        </w:rPr>
        <w:t>GARCH or Covariance-Persistence Matrix(B1)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0"/>
        <w:gridCol w:w="1234"/>
        <w:gridCol w:w="1234"/>
        <w:gridCol w:w="1234"/>
        <w:gridCol w:w="1234"/>
        <w:gridCol w:w="1234"/>
        <w:gridCol w:w="1310"/>
      </w:tblGrid>
      <w:tr w:rsidR="007B36E3" w:rsidRPr="004236D1" w14:paraId="1502F8B9" w14:textId="77777777" w:rsidTr="005376EB">
        <w:tc>
          <w:tcPr>
            <w:tcW w:w="1310" w:type="dxa"/>
            <w:tcBorders>
              <w:top w:val="single" w:sz="4" w:space="0" w:color="auto"/>
              <w:bottom w:val="single" w:sz="4" w:space="0" w:color="auto"/>
            </w:tcBorders>
          </w:tcPr>
          <w:p w14:paraId="626991EF" w14:textId="77777777" w:rsidR="007B36E3" w:rsidRPr="004236D1" w:rsidRDefault="007B36E3" w:rsidP="004236D1">
            <w:pPr>
              <w:jc w:val="both"/>
              <w:rPr>
                <w:rFonts w:ascii="Times New Roman" w:hAnsi="Times New Roman" w:cs="Times New Roman"/>
              </w:rPr>
            </w:pPr>
          </w:p>
        </w:tc>
        <w:tc>
          <w:tcPr>
            <w:tcW w:w="1234" w:type="dxa"/>
            <w:tcBorders>
              <w:top w:val="single" w:sz="4" w:space="0" w:color="auto"/>
              <w:bottom w:val="single" w:sz="4" w:space="0" w:color="auto"/>
            </w:tcBorders>
          </w:tcPr>
          <w:p w14:paraId="0710772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bottom w:val="single" w:sz="4" w:space="0" w:color="auto"/>
            </w:tcBorders>
          </w:tcPr>
          <w:p w14:paraId="1DB7301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234" w:type="dxa"/>
            <w:tcBorders>
              <w:top w:val="single" w:sz="4" w:space="0" w:color="auto"/>
              <w:bottom w:val="single" w:sz="4" w:space="0" w:color="auto"/>
            </w:tcBorders>
          </w:tcPr>
          <w:p w14:paraId="17BD9D6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234" w:type="dxa"/>
            <w:tcBorders>
              <w:top w:val="single" w:sz="4" w:space="0" w:color="auto"/>
              <w:bottom w:val="single" w:sz="4" w:space="0" w:color="auto"/>
            </w:tcBorders>
          </w:tcPr>
          <w:p w14:paraId="604D571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234" w:type="dxa"/>
            <w:tcBorders>
              <w:top w:val="single" w:sz="4" w:space="0" w:color="auto"/>
              <w:bottom w:val="single" w:sz="4" w:space="0" w:color="auto"/>
            </w:tcBorders>
          </w:tcPr>
          <w:p w14:paraId="12129D7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310" w:type="dxa"/>
            <w:tcBorders>
              <w:top w:val="single" w:sz="4" w:space="0" w:color="auto"/>
              <w:bottom w:val="single" w:sz="4" w:space="0" w:color="auto"/>
            </w:tcBorders>
          </w:tcPr>
          <w:p w14:paraId="6F2FBA1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r>
      <w:tr w:rsidR="007B36E3" w:rsidRPr="004236D1" w14:paraId="5FD2C3A1" w14:textId="77777777" w:rsidTr="005376EB">
        <w:tc>
          <w:tcPr>
            <w:tcW w:w="1310" w:type="dxa"/>
            <w:tcBorders>
              <w:top w:val="single" w:sz="4" w:space="0" w:color="auto"/>
            </w:tcBorders>
          </w:tcPr>
          <w:p w14:paraId="2E0C882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234" w:type="dxa"/>
            <w:tcBorders>
              <w:top w:val="single" w:sz="4" w:space="0" w:color="auto"/>
            </w:tcBorders>
          </w:tcPr>
          <w:p w14:paraId="31CF394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0.884665</w:t>
            </w:r>
          </w:p>
        </w:tc>
        <w:tc>
          <w:tcPr>
            <w:tcW w:w="1234" w:type="dxa"/>
            <w:tcBorders>
              <w:top w:val="single" w:sz="4" w:space="0" w:color="auto"/>
            </w:tcBorders>
          </w:tcPr>
          <w:p w14:paraId="75D5F43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0.888500</w:t>
            </w:r>
          </w:p>
        </w:tc>
        <w:tc>
          <w:tcPr>
            <w:tcW w:w="1234" w:type="dxa"/>
            <w:tcBorders>
              <w:top w:val="single" w:sz="4" w:space="0" w:color="auto"/>
            </w:tcBorders>
          </w:tcPr>
          <w:p w14:paraId="2C07F45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0.741018</w:t>
            </w:r>
          </w:p>
        </w:tc>
        <w:tc>
          <w:tcPr>
            <w:tcW w:w="1234" w:type="dxa"/>
            <w:tcBorders>
              <w:top w:val="single" w:sz="4" w:space="0" w:color="auto"/>
            </w:tcBorders>
          </w:tcPr>
          <w:p w14:paraId="4835BDB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0.991116</w:t>
            </w:r>
          </w:p>
        </w:tc>
        <w:tc>
          <w:tcPr>
            <w:tcW w:w="1234" w:type="dxa"/>
            <w:tcBorders>
              <w:top w:val="single" w:sz="4" w:space="0" w:color="auto"/>
            </w:tcBorders>
          </w:tcPr>
          <w:p w14:paraId="50BB147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0.942606</w:t>
            </w:r>
          </w:p>
        </w:tc>
        <w:tc>
          <w:tcPr>
            <w:tcW w:w="1310" w:type="dxa"/>
            <w:tcBorders>
              <w:top w:val="single" w:sz="4" w:space="0" w:color="auto"/>
            </w:tcBorders>
          </w:tcPr>
          <w:p w14:paraId="340C883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-0.517344</w:t>
            </w:r>
          </w:p>
        </w:tc>
      </w:tr>
      <w:tr w:rsidR="007B36E3" w:rsidRPr="004236D1" w14:paraId="4BB0B69B" w14:textId="77777777" w:rsidTr="005376EB">
        <w:tc>
          <w:tcPr>
            <w:tcW w:w="1310" w:type="dxa"/>
          </w:tcPr>
          <w:p w14:paraId="33A7D7E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234" w:type="dxa"/>
          </w:tcPr>
          <w:p w14:paraId="491349C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0.888500</w:t>
            </w:r>
          </w:p>
        </w:tc>
        <w:tc>
          <w:tcPr>
            <w:tcW w:w="1234" w:type="dxa"/>
          </w:tcPr>
          <w:p w14:paraId="0403523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0.955315</w:t>
            </w:r>
          </w:p>
        </w:tc>
        <w:tc>
          <w:tcPr>
            <w:tcW w:w="1234" w:type="dxa"/>
          </w:tcPr>
          <w:p w14:paraId="0E75841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0.904214</w:t>
            </w:r>
          </w:p>
        </w:tc>
        <w:tc>
          <w:tcPr>
            <w:tcW w:w="1234" w:type="dxa"/>
          </w:tcPr>
          <w:p w14:paraId="4D5908B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0.972059</w:t>
            </w:r>
          </w:p>
        </w:tc>
        <w:tc>
          <w:tcPr>
            <w:tcW w:w="1234" w:type="dxa"/>
          </w:tcPr>
          <w:p w14:paraId="6BB16F8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-0.030837</w:t>
            </w:r>
          </w:p>
        </w:tc>
        <w:tc>
          <w:tcPr>
            <w:tcW w:w="1310" w:type="dxa"/>
          </w:tcPr>
          <w:p w14:paraId="1110C70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-0.295252</w:t>
            </w:r>
          </w:p>
        </w:tc>
      </w:tr>
      <w:tr w:rsidR="007B36E3" w:rsidRPr="004236D1" w14:paraId="7D0C3655" w14:textId="77777777" w:rsidTr="005376EB">
        <w:tc>
          <w:tcPr>
            <w:tcW w:w="1310" w:type="dxa"/>
          </w:tcPr>
          <w:p w14:paraId="555A285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234" w:type="dxa"/>
          </w:tcPr>
          <w:p w14:paraId="7ECA1E6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0.741018</w:t>
            </w:r>
          </w:p>
        </w:tc>
        <w:tc>
          <w:tcPr>
            <w:tcW w:w="1234" w:type="dxa"/>
          </w:tcPr>
          <w:p w14:paraId="2AFDCB0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0.904214</w:t>
            </w:r>
          </w:p>
        </w:tc>
        <w:tc>
          <w:tcPr>
            <w:tcW w:w="1234" w:type="dxa"/>
          </w:tcPr>
          <w:p w14:paraId="6562DBE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0.745108</w:t>
            </w:r>
          </w:p>
        </w:tc>
        <w:tc>
          <w:tcPr>
            <w:tcW w:w="1234" w:type="dxa"/>
          </w:tcPr>
          <w:p w14:paraId="1C9C142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0.825339</w:t>
            </w:r>
          </w:p>
        </w:tc>
        <w:tc>
          <w:tcPr>
            <w:tcW w:w="1234" w:type="dxa"/>
          </w:tcPr>
          <w:p w14:paraId="2ABCE13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0.433057</w:t>
            </w:r>
          </w:p>
        </w:tc>
        <w:tc>
          <w:tcPr>
            <w:tcW w:w="1310" w:type="dxa"/>
          </w:tcPr>
          <w:p w14:paraId="2B191A2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-0.490408</w:t>
            </w:r>
          </w:p>
        </w:tc>
      </w:tr>
      <w:tr w:rsidR="007B36E3" w:rsidRPr="004236D1" w14:paraId="750EFD5E" w14:textId="77777777" w:rsidTr="005376EB">
        <w:tc>
          <w:tcPr>
            <w:tcW w:w="1310" w:type="dxa"/>
          </w:tcPr>
          <w:p w14:paraId="588D4C9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234" w:type="dxa"/>
          </w:tcPr>
          <w:p w14:paraId="3FC13F6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0.991116</w:t>
            </w:r>
          </w:p>
        </w:tc>
        <w:tc>
          <w:tcPr>
            <w:tcW w:w="1234" w:type="dxa"/>
          </w:tcPr>
          <w:p w14:paraId="73AA7C3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0.972059</w:t>
            </w:r>
          </w:p>
        </w:tc>
        <w:tc>
          <w:tcPr>
            <w:tcW w:w="1234" w:type="dxa"/>
          </w:tcPr>
          <w:p w14:paraId="6E6BC7A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0.825339</w:t>
            </w:r>
          </w:p>
        </w:tc>
        <w:tc>
          <w:tcPr>
            <w:tcW w:w="1234" w:type="dxa"/>
          </w:tcPr>
          <w:p w14:paraId="37D7601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0.935003</w:t>
            </w:r>
          </w:p>
        </w:tc>
        <w:tc>
          <w:tcPr>
            <w:tcW w:w="1234" w:type="dxa"/>
          </w:tcPr>
          <w:p w14:paraId="5C8ED12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0.882761</w:t>
            </w:r>
          </w:p>
        </w:tc>
        <w:tc>
          <w:tcPr>
            <w:tcW w:w="1310" w:type="dxa"/>
          </w:tcPr>
          <w:p w14:paraId="6DFBEF0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-0.700109</w:t>
            </w:r>
          </w:p>
        </w:tc>
      </w:tr>
      <w:tr w:rsidR="007B36E3" w:rsidRPr="004236D1" w14:paraId="3866E5F2" w14:textId="77777777" w:rsidTr="005376EB">
        <w:tc>
          <w:tcPr>
            <w:tcW w:w="1310" w:type="dxa"/>
          </w:tcPr>
          <w:p w14:paraId="5B1B072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234" w:type="dxa"/>
          </w:tcPr>
          <w:p w14:paraId="36EDE3F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0.942606</w:t>
            </w:r>
          </w:p>
        </w:tc>
        <w:tc>
          <w:tcPr>
            <w:tcW w:w="1234" w:type="dxa"/>
          </w:tcPr>
          <w:p w14:paraId="5F50610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-0.030837</w:t>
            </w:r>
          </w:p>
        </w:tc>
        <w:tc>
          <w:tcPr>
            <w:tcW w:w="1234" w:type="dxa"/>
          </w:tcPr>
          <w:p w14:paraId="29A7875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0.433057</w:t>
            </w:r>
          </w:p>
        </w:tc>
        <w:tc>
          <w:tcPr>
            <w:tcW w:w="1234" w:type="dxa"/>
          </w:tcPr>
          <w:p w14:paraId="1AFFCBC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0.882761</w:t>
            </w:r>
          </w:p>
        </w:tc>
        <w:tc>
          <w:tcPr>
            <w:tcW w:w="1234" w:type="dxa"/>
          </w:tcPr>
          <w:p w14:paraId="623878F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0.934466</w:t>
            </w:r>
          </w:p>
        </w:tc>
        <w:tc>
          <w:tcPr>
            <w:tcW w:w="1310" w:type="dxa"/>
          </w:tcPr>
          <w:p w14:paraId="2B856B0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-0.388063</w:t>
            </w:r>
          </w:p>
        </w:tc>
      </w:tr>
      <w:tr w:rsidR="007B36E3" w:rsidRPr="004236D1" w14:paraId="28D0ADE1" w14:textId="77777777" w:rsidTr="005376EB">
        <w:tc>
          <w:tcPr>
            <w:tcW w:w="1310" w:type="dxa"/>
          </w:tcPr>
          <w:p w14:paraId="5E9053E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1234" w:type="dxa"/>
          </w:tcPr>
          <w:p w14:paraId="61F06AD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-0.517344</w:t>
            </w:r>
          </w:p>
        </w:tc>
        <w:tc>
          <w:tcPr>
            <w:tcW w:w="1234" w:type="dxa"/>
          </w:tcPr>
          <w:p w14:paraId="5F4069D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-0.295252</w:t>
            </w:r>
          </w:p>
        </w:tc>
        <w:tc>
          <w:tcPr>
            <w:tcW w:w="1234" w:type="dxa"/>
          </w:tcPr>
          <w:p w14:paraId="452A2B5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-0.490408</w:t>
            </w:r>
          </w:p>
        </w:tc>
        <w:tc>
          <w:tcPr>
            <w:tcW w:w="1234" w:type="dxa"/>
          </w:tcPr>
          <w:p w14:paraId="7DCE4DB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-0.700109</w:t>
            </w:r>
          </w:p>
        </w:tc>
        <w:tc>
          <w:tcPr>
            <w:tcW w:w="1234" w:type="dxa"/>
          </w:tcPr>
          <w:p w14:paraId="6E88A23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-0.388063</w:t>
            </w:r>
          </w:p>
        </w:tc>
        <w:tc>
          <w:tcPr>
            <w:tcW w:w="1310" w:type="dxa"/>
          </w:tcPr>
          <w:p w14:paraId="0AC453D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0.086239</w:t>
            </w:r>
          </w:p>
        </w:tc>
      </w:tr>
    </w:tbl>
    <w:p w14:paraId="68AB5D9D" w14:textId="77777777" w:rsidR="00F776F2" w:rsidRDefault="008146C7" w:rsidP="004236D1">
      <w:pPr>
        <w:spacing w:after="0"/>
        <w:jc w:val="both"/>
        <w:rPr>
          <w:rFonts w:ascii="Times New Roman" w:hAnsi="Times New Roman" w:cs="Times New Roman"/>
        </w:rPr>
      </w:pPr>
      <w:r>
        <w:rPr>
          <w:rFonts w:ascii="Times New Roman" w:hAnsi="Times New Roman" w:cs="Times New Roman"/>
        </w:rPr>
        <w:t>Table 6</w:t>
      </w:r>
      <w:r w:rsidR="00645543" w:rsidRPr="004236D1">
        <w:rPr>
          <w:rFonts w:ascii="Times New Roman" w:hAnsi="Times New Roman" w:cs="Times New Roman"/>
        </w:rPr>
        <w:t xml:space="preserve"> reports the B1 matrix, which captures the extent to which previous conditional variances and covariances are carried forward into the current period. The diagonal elements are generally high, particularly for DBCOP (0.955315), DGOLDP (0.935003) and DNGAS (0.934466), indicating substantial dependence of current volatility on its own previous conditional volatility. The exchange-rate series also exhibits considerable persistence, with a diagonal coefficient of 0.884665, while DCOPP records 0.745108 and DSTOCKP records a considerably smaller 0.086239. More importantly, several off-diagonal coefficients are large in magnitude, suggesting that persistence is not confined to individual markets. For instance, the DEXR–DGOLDP coefficient is 0.991116 and the DBCOP–DGOLDP coefficient is 0.972059, indicating strong transmission of lagged covariance information between these pairs. Similarly, DEXR–DNGAS has a coefficient of 0.942606. The negative coefficients involving DSTOCKP, particularly DGOLDP–DSTOCKP (-0.700109), indicate an inverse contribution to the conditional covariance dynamics rather than simply an absence of dependence. </w:t>
      </w:r>
    </w:p>
    <w:p w14:paraId="113337D0" w14:textId="77777777" w:rsidR="009B1881" w:rsidRDefault="009B1881" w:rsidP="004236D1">
      <w:pPr>
        <w:spacing w:after="0"/>
        <w:jc w:val="both"/>
        <w:rPr>
          <w:rFonts w:ascii="Times New Roman" w:hAnsi="Times New Roman" w:cs="Times New Roman"/>
          <w:b/>
        </w:rPr>
      </w:pPr>
    </w:p>
    <w:p w14:paraId="74F0EFFD" w14:textId="77777777" w:rsidR="007B36E3" w:rsidRPr="004236D1" w:rsidRDefault="008146C7" w:rsidP="004236D1">
      <w:pPr>
        <w:spacing w:after="0"/>
        <w:jc w:val="both"/>
        <w:rPr>
          <w:rFonts w:ascii="Times New Roman" w:hAnsi="Times New Roman" w:cs="Times New Roman"/>
          <w:b/>
          <w:bCs/>
        </w:rPr>
      </w:pPr>
      <w:r>
        <w:rPr>
          <w:rFonts w:ascii="Times New Roman" w:hAnsi="Times New Roman" w:cs="Times New Roman"/>
          <w:b/>
        </w:rPr>
        <w:t>Table 7</w:t>
      </w:r>
      <w:r w:rsidR="007B36E3" w:rsidRPr="004236D1">
        <w:rPr>
          <w:rFonts w:ascii="Times New Roman" w:hAnsi="Times New Roman" w:cs="Times New Roman"/>
          <w:b/>
        </w:rPr>
        <w:t>:</w:t>
      </w:r>
      <w:r w:rsidR="007B36E3" w:rsidRPr="004236D1">
        <w:rPr>
          <w:rFonts w:ascii="Times New Roman" w:hAnsi="Times New Roman" w:cs="Times New Roman"/>
        </w:rPr>
        <w:t xml:space="preserve"> </w:t>
      </w:r>
      <w:r w:rsidR="007B36E3" w:rsidRPr="004236D1">
        <w:rPr>
          <w:rFonts w:ascii="Times New Roman" w:hAnsi="Times New Roman" w:cs="Times New Roman"/>
          <w:b/>
          <w:bCs/>
        </w:rPr>
        <w:t xml:space="preserve">Matrix (P=A1+B1): Volatility Persistence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1198"/>
        <w:gridCol w:w="1197"/>
        <w:gridCol w:w="1197"/>
        <w:gridCol w:w="1220"/>
        <w:gridCol w:w="1197"/>
        <w:gridCol w:w="1310"/>
      </w:tblGrid>
      <w:tr w:rsidR="007B36E3" w:rsidRPr="004236D1" w14:paraId="125E17C9" w14:textId="77777777" w:rsidTr="005376EB">
        <w:tc>
          <w:tcPr>
            <w:tcW w:w="1311" w:type="dxa"/>
            <w:tcBorders>
              <w:top w:val="single" w:sz="4" w:space="0" w:color="auto"/>
              <w:bottom w:val="single" w:sz="4" w:space="0" w:color="auto"/>
            </w:tcBorders>
          </w:tcPr>
          <w:p w14:paraId="5A33BD69" w14:textId="77777777" w:rsidR="007B36E3" w:rsidRPr="004236D1" w:rsidRDefault="007B36E3" w:rsidP="004236D1">
            <w:pPr>
              <w:jc w:val="both"/>
              <w:rPr>
                <w:rFonts w:ascii="Times New Roman" w:hAnsi="Times New Roman" w:cs="Times New Roman"/>
              </w:rPr>
            </w:pPr>
          </w:p>
        </w:tc>
        <w:tc>
          <w:tcPr>
            <w:tcW w:w="1198" w:type="dxa"/>
            <w:tcBorders>
              <w:top w:val="single" w:sz="4" w:space="0" w:color="auto"/>
              <w:bottom w:val="single" w:sz="4" w:space="0" w:color="auto"/>
            </w:tcBorders>
          </w:tcPr>
          <w:p w14:paraId="0DF652C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197" w:type="dxa"/>
            <w:tcBorders>
              <w:top w:val="single" w:sz="4" w:space="0" w:color="auto"/>
              <w:bottom w:val="single" w:sz="4" w:space="0" w:color="auto"/>
            </w:tcBorders>
          </w:tcPr>
          <w:p w14:paraId="3DD1F91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197" w:type="dxa"/>
            <w:tcBorders>
              <w:top w:val="single" w:sz="4" w:space="0" w:color="auto"/>
              <w:bottom w:val="single" w:sz="4" w:space="0" w:color="auto"/>
            </w:tcBorders>
          </w:tcPr>
          <w:p w14:paraId="3B4D3FD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220" w:type="dxa"/>
            <w:tcBorders>
              <w:top w:val="single" w:sz="4" w:space="0" w:color="auto"/>
              <w:bottom w:val="single" w:sz="4" w:space="0" w:color="auto"/>
            </w:tcBorders>
          </w:tcPr>
          <w:p w14:paraId="1D980C0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197" w:type="dxa"/>
            <w:tcBorders>
              <w:top w:val="single" w:sz="4" w:space="0" w:color="auto"/>
              <w:bottom w:val="single" w:sz="4" w:space="0" w:color="auto"/>
            </w:tcBorders>
          </w:tcPr>
          <w:p w14:paraId="6D1337D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310" w:type="dxa"/>
            <w:tcBorders>
              <w:top w:val="single" w:sz="4" w:space="0" w:color="auto"/>
              <w:bottom w:val="single" w:sz="4" w:space="0" w:color="auto"/>
            </w:tcBorders>
          </w:tcPr>
          <w:p w14:paraId="1552539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r>
      <w:tr w:rsidR="007B36E3" w:rsidRPr="004236D1" w14:paraId="3C27369E" w14:textId="77777777" w:rsidTr="005376EB">
        <w:tc>
          <w:tcPr>
            <w:tcW w:w="1311" w:type="dxa"/>
            <w:tcBorders>
              <w:top w:val="single" w:sz="4" w:space="0" w:color="auto"/>
            </w:tcBorders>
          </w:tcPr>
          <w:p w14:paraId="3EC32F8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1198" w:type="dxa"/>
            <w:tcBorders>
              <w:top w:val="single" w:sz="4" w:space="0" w:color="auto"/>
            </w:tcBorders>
          </w:tcPr>
          <w:p w14:paraId="6102CF5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0.987028</w:t>
            </w:r>
          </w:p>
        </w:tc>
        <w:tc>
          <w:tcPr>
            <w:tcW w:w="1197" w:type="dxa"/>
            <w:tcBorders>
              <w:top w:val="single" w:sz="4" w:space="0" w:color="auto"/>
            </w:tcBorders>
          </w:tcPr>
          <w:p w14:paraId="43D833A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0.884002</w:t>
            </w:r>
          </w:p>
        </w:tc>
        <w:tc>
          <w:tcPr>
            <w:tcW w:w="1197" w:type="dxa"/>
            <w:tcBorders>
              <w:top w:val="single" w:sz="4" w:space="0" w:color="auto"/>
            </w:tcBorders>
          </w:tcPr>
          <w:p w14:paraId="5841CC8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0.750748</w:t>
            </w:r>
          </w:p>
        </w:tc>
        <w:tc>
          <w:tcPr>
            <w:tcW w:w="1220" w:type="dxa"/>
            <w:tcBorders>
              <w:top w:val="single" w:sz="4" w:space="0" w:color="auto"/>
            </w:tcBorders>
          </w:tcPr>
          <w:p w14:paraId="6F51435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0.986317</w:t>
            </w:r>
          </w:p>
        </w:tc>
        <w:tc>
          <w:tcPr>
            <w:tcW w:w="1197" w:type="dxa"/>
            <w:tcBorders>
              <w:top w:val="single" w:sz="4" w:space="0" w:color="auto"/>
            </w:tcBorders>
          </w:tcPr>
          <w:p w14:paraId="1B91660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0.925816</w:t>
            </w:r>
          </w:p>
        </w:tc>
        <w:tc>
          <w:tcPr>
            <w:tcW w:w="1310" w:type="dxa"/>
            <w:tcBorders>
              <w:top w:val="single" w:sz="4" w:space="0" w:color="auto"/>
            </w:tcBorders>
          </w:tcPr>
          <w:p w14:paraId="3404EDE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-0.490500</w:t>
            </w:r>
          </w:p>
        </w:tc>
      </w:tr>
      <w:tr w:rsidR="007B36E3" w:rsidRPr="004236D1" w14:paraId="79F69FA4" w14:textId="77777777" w:rsidTr="005376EB">
        <w:tc>
          <w:tcPr>
            <w:tcW w:w="1311" w:type="dxa"/>
          </w:tcPr>
          <w:p w14:paraId="47672FB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1198" w:type="dxa"/>
          </w:tcPr>
          <w:p w14:paraId="5C9ED4B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0.884002</w:t>
            </w:r>
          </w:p>
        </w:tc>
        <w:tc>
          <w:tcPr>
            <w:tcW w:w="1197" w:type="dxa"/>
          </w:tcPr>
          <w:p w14:paraId="5453BB7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0.992722</w:t>
            </w:r>
          </w:p>
        </w:tc>
        <w:tc>
          <w:tcPr>
            <w:tcW w:w="1197" w:type="dxa"/>
          </w:tcPr>
          <w:p w14:paraId="2B4B7A2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0.887041</w:t>
            </w:r>
          </w:p>
        </w:tc>
        <w:tc>
          <w:tcPr>
            <w:tcW w:w="1220" w:type="dxa"/>
          </w:tcPr>
          <w:p w14:paraId="099B082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0.980762</w:t>
            </w:r>
          </w:p>
        </w:tc>
        <w:tc>
          <w:tcPr>
            <w:tcW w:w="1197" w:type="dxa"/>
          </w:tcPr>
          <w:p w14:paraId="1B94D16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0.023273</w:t>
            </w:r>
          </w:p>
        </w:tc>
        <w:tc>
          <w:tcPr>
            <w:tcW w:w="1310" w:type="dxa"/>
          </w:tcPr>
          <w:p w14:paraId="373150D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-0.350016</w:t>
            </w:r>
          </w:p>
        </w:tc>
      </w:tr>
      <w:tr w:rsidR="007B36E3" w:rsidRPr="004236D1" w14:paraId="2112835D" w14:textId="77777777" w:rsidTr="005376EB">
        <w:tc>
          <w:tcPr>
            <w:tcW w:w="1311" w:type="dxa"/>
          </w:tcPr>
          <w:p w14:paraId="0557537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1198" w:type="dxa"/>
          </w:tcPr>
          <w:p w14:paraId="022A8E1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0.750748</w:t>
            </w:r>
          </w:p>
        </w:tc>
        <w:tc>
          <w:tcPr>
            <w:tcW w:w="1197" w:type="dxa"/>
          </w:tcPr>
          <w:p w14:paraId="359A049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0.887041</w:t>
            </w:r>
          </w:p>
        </w:tc>
        <w:tc>
          <w:tcPr>
            <w:tcW w:w="1197" w:type="dxa"/>
          </w:tcPr>
          <w:p w14:paraId="70AECE7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0.925071</w:t>
            </w:r>
          </w:p>
        </w:tc>
        <w:tc>
          <w:tcPr>
            <w:tcW w:w="1220" w:type="dxa"/>
          </w:tcPr>
          <w:p w14:paraId="7D3402F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0.865353</w:t>
            </w:r>
          </w:p>
        </w:tc>
        <w:tc>
          <w:tcPr>
            <w:tcW w:w="1197" w:type="dxa"/>
          </w:tcPr>
          <w:p w14:paraId="4F61FC0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0.479259</w:t>
            </w:r>
          </w:p>
        </w:tc>
        <w:tc>
          <w:tcPr>
            <w:tcW w:w="1310" w:type="dxa"/>
          </w:tcPr>
          <w:p w14:paraId="7D0E1A4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-0.601986</w:t>
            </w:r>
          </w:p>
        </w:tc>
      </w:tr>
      <w:tr w:rsidR="007B36E3" w:rsidRPr="004236D1" w14:paraId="3438694B" w14:textId="77777777" w:rsidTr="005376EB">
        <w:tc>
          <w:tcPr>
            <w:tcW w:w="1311" w:type="dxa"/>
          </w:tcPr>
          <w:p w14:paraId="5E46468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1198" w:type="dxa"/>
          </w:tcPr>
          <w:p w14:paraId="490D58C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0.986317</w:t>
            </w:r>
          </w:p>
        </w:tc>
        <w:tc>
          <w:tcPr>
            <w:tcW w:w="1197" w:type="dxa"/>
          </w:tcPr>
          <w:p w14:paraId="2014988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0.980762</w:t>
            </w:r>
          </w:p>
        </w:tc>
        <w:tc>
          <w:tcPr>
            <w:tcW w:w="1197" w:type="dxa"/>
          </w:tcPr>
          <w:p w14:paraId="512D182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0.865353</w:t>
            </w:r>
          </w:p>
        </w:tc>
        <w:tc>
          <w:tcPr>
            <w:tcW w:w="1220" w:type="dxa"/>
          </w:tcPr>
          <w:p w14:paraId="4A04CCE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0.982340</w:t>
            </w:r>
          </w:p>
        </w:tc>
        <w:tc>
          <w:tcPr>
            <w:tcW w:w="1197" w:type="dxa"/>
          </w:tcPr>
          <w:p w14:paraId="3535F5B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0.864904</w:t>
            </w:r>
          </w:p>
        </w:tc>
        <w:tc>
          <w:tcPr>
            <w:tcW w:w="1310" w:type="dxa"/>
          </w:tcPr>
          <w:p w14:paraId="721F421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-0.672138</w:t>
            </w:r>
          </w:p>
        </w:tc>
      </w:tr>
      <w:tr w:rsidR="007B36E3" w:rsidRPr="004236D1" w14:paraId="2EA2D39E" w14:textId="77777777" w:rsidTr="005376EB">
        <w:tc>
          <w:tcPr>
            <w:tcW w:w="1311" w:type="dxa"/>
          </w:tcPr>
          <w:p w14:paraId="732C276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1198" w:type="dxa"/>
          </w:tcPr>
          <w:p w14:paraId="7FF08D5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0.925816</w:t>
            </w:r>
          </w:p>
        </w:tc>
        <w:tc>
          <w:tcPr>
            <w:tcW w:w="1197" w:type="dxa"/>
          </w:tcPr>
          <w:p w14:paraId="4A6BCE7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0.023273</w:t>
            </w:r>
          </w:p>
        </w:tc>
        <w:tc>
          <w:tcPr>
            <w:tcW w:w="1197" w:type="dxa"/>
          </w:tcPr>
          <w:p w14:paraId="24DCDFE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0.479259</w:t>
            </w:r>
          </w:p>
        </w:tc>
        <w:tc>
          <w:tcPr>
            <w:tcW w:w="1220" w:type="dxa"/>
          </w:tcPr>
          <w:p w14:paraId="4885B87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0.864904</w:t>
            </w:r>
          </w:p>
        </w:tc>
        <w:tc>
          <w:tcPr>
            <w:tcW w:w="1197" w:type="dxa"/>
          </w:tcPr>
          <w:p w14:paraId="4D02A57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0.999838</w:t>
            </w:r>
          </w:p>
        </w:tc>
        <w:tc>
          <w:tcPr>
            <w:tcW w:w="1310" w:type="dxa"/>
          </w:tcPr>
          <w:p w14:paraId="79939AB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-0.360706</w:t>
            </w:r>
          </w:p>
        </w:tc>
      </w:tr>
      <w:tr w:rsidR="007B36E3" w:rsidRPr="004236D1" w14:paraId="4E5AE666" w14:textId="77777777" w:rsidTr="005376EB">
        <w:tc>
          <w:tcPr>
            <w:tcW w:w="1311" w:type="dxa"/>
          </w:tcPr>
          <w:p w14:paraId="379D215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1198" w:type="dxa"/>
          </w:tcPr>
          <w:p w14:paraId="2215421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-0.490500</w:t>
            </w:r>
          </w:p>
        </w:tc>
        <w:tc>
          <w:tcPr>
            <w:tcW w:w="1197" w:type="dxa"/>
          </w:tcPr>
          <w:p w14:paraId="2494BE9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-0.350016</w:t>
            </w:r>
          </w:p>
        </w:tc>
        <w:tc>
          <w:tcPr>
            <w:tcW w:w="1197" w:type="dxa"/>
          </w:tcPr>
          <w:p w14:paraId="795FE7E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-0.601986</w:t>
            </w:r>
          </w:p>
        </w:tc>
        <w:tc>
          <w:tcPr>
            <w:tcW w:w="1220" w:type="dxa"/>
          </w:tcPr>
          <w:p w14:paraId="6F50E60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-0.672138</w:t>
            </w:r>
          </w:p>
        </w:tc>
        <w:tc>
          <w:tcPr>
            <w:tcW w:w="1197" w:type="dxa"/>
          </w:tcPr>
          <w:p w14:paraId="0D959BA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-0.360706</w:t>
            </w:r>
          </w:p>
        </w:tc>
        <w:tc>
          <w:tcPr>
            <w:tcW w:w="1310" w:type="dxa"/>
          </w:tcPr>
          <w:p w14:paraId="3F80E19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2.077875</w:t>
            </w:r>
          </w:p>
        </w:tc>
      </w:tr>
    </w:tbl>
    <w:p w14:paraId="1045A5A8" w14:textId="77777777" w:rsidR="00C74B31" w:rsidRDefault="008146C7" w:rsidP="004236D1">
      <w:pPr>
        <w:spacing w:after="0"/>
        <w:jc w:val="both"/>
        <w:rPr>
          <w:rFonts w:ascii="Times New Roman" w:hAnsi="Times New Roman" w:cs="Times New Roman"/>
        </w:rPr>
      </w:pPr>
      <w:r>
        <w:rPr>
          <w:rFonts w:ascii="Times New Roman" w:hAnsi="Times New Roman" w:cs="Times New Roman"/>
        </w:rPr>
        <w:t>Table 7</w:t>
      </w:r>
      <w:r w:rsidR="00645543" w:rsidRPr="004236D1">
        <w:rPr>
          <w:rFonts w:ascii="Times New Roman" w:hAnsi="Times New Roman" w:cs="Times New Roman"/>
        </w:rPr>
        <w:t xml:space="preserve"> combines the ARCH and GARCH components to provide the estimated persistence of volatility and covariance in the VECH specification. The diagonal persistence estimates are high for most of the commodity and financial return series: DEXR records 0.987028, DBCOP 0.992722, DCOPP 0.925071, DGOLDP 0.982340 and DNGAS 0.999838. These estimates imply that volatility shocks tend to remain embedded in the conditional variance for a relatively long period rather than disappearing immediately. Natural gas is particularly notable because its persistence estimate is almost unity, suggesting an exceptionally slow decay of volatility shocks. The cross-market persistence coefficients are also substantial for several pairs, including DEXR–DGOLDP (0.986317), DBCOP–DGOLDP (0.980762), DEXR–DNGAS (0.925816) and DGOLDP–DNGAS (0.864904). </w:t>
      </w:r>
    </w:p>
    <w:p w14:paraId="5AF0E643"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rPr>
        <w:lastRenderedPageBreak/>
        <w:t>Tabl</w:t>
      </w:r>
      <w:r w:rsidR="008146C7">
        <w:rPr>
          <w:rFonts w:ascii="Times New Roman" w:hAnsi="Times New Roman" w:cs="Times New Roman"/>
          <w:b/>
        </w:rPr>
        <w:t>e 8</w:t>
      </w:r>
      <w:r w:rsidRPr="004236D1">
        <w:rPr>
          <w:rFonts w:ascii="Times New Roman" w:hAnsi="Times New Roman" w:cs="Times New Roman"/>
          <w:b/>
        </w:rPr>
        <w:t>:</w:t>
      </w:r>
      <w:r w:rsidRPr="004236D1">
        <w:rPr>
          <w:rFonts w:ascii="Times New Roman" w:hAnsi="Times New Roman" w:cs="Times New Roman"/>
          <w:b/>
          <w:bCs/>
        </w:rPr>
        <w:t xml:space="preserve"> Summary of Own Volatility Effects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160"/>
        <w:gridCol w:w="2160"/>
        <w:gridCol w:w="2160"/>
      </w:tblGrid>
      <w:tr w:rsidR="007B36E3" w:rsidRPr="004236D1" w14:paraId="272BC771" w14:textId="77777777" w:rsidTr="005376EB">
        <w:tc>
          <w:tcPr>
            <w:tcW w:w="2160" w:type="dxa"/>
            <w:tcBorders>
              <w:top w:val="single" w:sz="4" w:space="0" w:color="auto"/>
              <w:bottom w:val="single" w:sz="4" w:space="0" w:color="auto"/>
            </w:tcBorders>
          </w:tcPr>
          <w:p w14:paraId="66BE7613"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Variable</w:t>
            </w:r>
            <w:r w:rsidR="001506C6" w:rsidRPr="004236D1">
              <w:rPr>
                <w:rFonts w:ascii="Times New Roman" w:hAnsi="Times New Roman" w:cs="Times New Roman"/>
                <w:b/>
              </w:rPr>
              <w:t>s</w:t>
            </w:r>
          </w:p>
        </w:tc>
        <w:tc>
          <w:tcPr>
            <w:tcW w:w="2160" w:type="dxa"/>
            <w:tcBorders>
              <w:top w:val="single" w:sz="4" w:space="0" w:color="auto"/>
              <w:bottom w:val="single" w:sz="4" w:space="0" w:color="auto"/>
            </w:tcBorders>
          </w:tcPr>
          <w:p w14:paraId="33C499A9"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ARCH</w:t>
            </w:r>
          </w:p>
        </w:tc>
        <w:tc>
          <w:tcPr>
            <w:tcW w:w="2160" w:type="dxa"/>
            <w:tcBorders>
              <w:top w:val="single" w:sz="4" w:space="0" w:color="auto"/>
              <w:bottom w:val="single" w:sz="4" w:space="0" w:color="auto"/>
            </w:tcBorders>
          </w:tcPr>
          <w:p w14:paraId="1847AB4F"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GARCH</w:t>
            </w:r>
          </w:p>
        </w:tc>
        <w:tc>
          <w:tcPr>
            <w:tcW w:w="2160" w:type="dxa"/>
            <w:tcBorders>
              <w:top w:val="single" w:sz="4" w:space="0" w:color="auto"/>
              <w:bottom w:val="single" w:sz="4" w:space="0" w:color="auto"/>
            </w:tcBorders>
          </w:tcPr>
          <w:p w14:paraId="1083B10C" w14:textId="77777777" w:rsidR="007B36E3" w:rsidRPr="004236D1" w:rsidRDefault="007B36E3" w:rsidP="004236D1">
            <w:pPr>
              <w:jc w:val="both"/>
              <w:rPr>
                <w:rFonts w:ascii="Times New Roman" w:hAnsi="Times New Roman" w:cs="Times New Roman"/>
                <w:b/>
              </w:rPr>
            </w:pPr>
            <w:r w:rsidRPr="004236D1">
              <w:rPr>
                <w:rFonts w:ascii="Times New Roman" w:hAnsi="Times New Roman" w:cs="Times New Roman"/>
                <w:b/>
              </w:rPr>
              <w:t>Persistence</w:t>
            </w:r>
          </w:p>
        </w:tc>
      </w:tr>
      <w:tr w:rsidR="007B36E3" w:rsidRPr="004236D1" w14:paraId="7E06EDDB" w14:textId="77777777" w:rsidTr="005376EB">
        <w:tc>
          <w:tcPr>
            <w:tcW w:w="2160" w:type="dxa"/>
            <w:tcBorders>
              <w:top w:val="single" w:sz="4" w:space="0" w:color="auto"/>
            </w:tcBorders>
          </w:tcPr>
          <w:p w14:paraId="558F08B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2160" w:type="dxa"/>
            <w:tcBorders>
              <w:top w:val="single" w:sz="4" w:space="0" w:color="auto"/>
            </w:tcBorders>
          </w:tcPr>
          <w:p w14:paraId="6B4E96C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0.1024</w:t>
            </w:r>
          </w:p>
        </w:tc>
        <w:tc>
          <w:tcPr>
            <w:tcW w:w="2160" w:type="dxa"/>
            <w:tcBorders>
              <w:top w:val="single" w:sz="4" w:space="0" w:color="auto"/>
            </w:tcBorders>
          </w:tcPr>
          <w:p w14:paraId="40FADD2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0.8847</w:t>
            </w:r>
          </w:p>
        </w:tc>
        <w:tc>
          <w:tcPr>
            <w:tcW w:w="2160" w:type="dxa"/>
            <w:tcBorders>
              <w:top w:val="single" w:sz="4" w:space="0" w:color="auto"/>
            </w:tcBorders>
          </w:tcPr>
          <w:p w14:paraId="730410D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0.9870</w:t>
            </w:r>
          </w:p>
        </w:tc>
      </w:tr>
      <w:tr w:rsidR="007B36E3" w:rsidRPr="004236D1" w14:paraId="127CD101" w14:textId="77777777" w:rsidTr="005376EB">
        <w:tc>
          <w:tcPr>
            <w:tcW w:w="2160" w:type="dxa"/>
          </w:tcPr>
          <w:p w14:paraId="6ADFDE2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2160" w:type="dxa"/>
          </w:tcPr>
          <w:p w14:paraId="295B225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0.0374</w:t>
            </w:r>
          </w:p>
        </w:tc>
        <w:tc>
          <w:tcPr>
            <w:tcW w:w="2160" w:type="dxa"/>
          </w:tcPr>
          <w:p w14:paraId="2840394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0.9553</w:t>
            </w:r>
          </w:p>
        </w:tc>
        <w:tc>
          <w:tcPr>
            <w:tcW w:w="2160" w:type="dxa"/>
          </w:tcPr>
          <w:p w14:paraId="42E2D11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0.9927</w:t>
            </w:r>
          </w:p>
        </w:tc>
      </w:tr>
      <w:tr w:rsidR="007B36E3" w:rsidRPr="004236D1" w14:paraId="3FACE07C" w14:textId="77777777" w:rsidTr="005376EB">
        <w:tc>
          <w:tcPr>
            <w:tcW w:w="2160" w:type="dxa"/>
          </w:tcPr>
          <w:p w14:paraId="596ABED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2160" w:type="dxa"/>
          </w:tcPr>
          <w:p w14:paraId="6F27659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0.1800</w:t>
            </w:r>
          </w:p>
        </w:tc>
        <w:tc>
          <w:tcPr>
            <w:tcW w:w="2160" w:type="dxa"/>
          </w:tcPr>
          <w:p w14:paraId="5572246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0.7451</w:t>
            </w:r>
          </w:p>
        </w:tc>
        <w:tc>
          <w:tcPr>
            <w:tcW w:w="2160" w:type="dxa"/>
          </w:tcPr>
          <w:p w14:paraId="16EA904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0.9251</w:t>
            </w:r>
          </w:p>
        </w:tc>
      </w:tr>
      <w:tr w:rsidR="007B36E3" w:rsidRPr="004236D1" w14:paraId="42191D19" w14:textId="77777777" w:rsidTr="005376EB">
        <w:tc>
          <w:tcPr>
            <w:tcW w:w="2160" w:type="dxa"/>
          </w:tcPr>
          <w:p w14:paraId="662CCAD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2160" w:type="dxa"/>
          </w:tcPr>
          <w:p w14:paraId="5F6E731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0.0473</w:t>
            </w:r>
          </w:p>
        </w:tc>
        <w:tc>
          <w:tcPr>
            <w:tcW w:w="2160" w:type="dxa"/>
          </w:tcPr>
          <w:p w14:paraId="2B433E0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0.9350</w:t>
            </w:r>
          </w:p>
        </w:tc>
        <w:tc>
          <w:tcPr>
            <w:tcW w:w="2160" w:type="dxa"/>
          </w:tcPr>
          <w:p w14:paraId="4DAEB31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0.9823</w:t>
            </w:r>
          </w:p>
        </w:tc>
      </w:tr>
      <w:tr w:rsidR="007B36E3" w:rsidRPr="004236D1" w14:paraId="357FBF96" w14:textId="77777777" w:rsidTr="005376EB">
        <w:tc>
          <w:tcPr>
            <w:tcW w:w="2160" w:type="dxa"/>
          </w:tcPr>
          <w:p w14:paraId="587E143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2160" w:type="dxa"/>
          </w:tcPr>
          <w:p w14:paraId="77DA2412"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0.0654</w:t>
            </w:r>
          </w:p>
        </w:tc>
        <w:tc>
          <w:tcPr>
            <w:tcW w:w="2160" w:type="dxa"/>
          </w:tcPr>
          <w:p w14:paraId="06A6B92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0.9345</w:t>
            </w:r>
          </w:p>
        </w:tc>
        <w:tc>
          <w:tcPr>
            <w:tcW w:w="2160" w:type="dxa"/>
          </w:tcPr>
          <w:p w14:paraId="451AF04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0.9998</w:t>
            </w:r>
          </w:p>
        </w:tc>
      </w:tr>
      <w:tr w:rsidR="007B36E3" w:rsidRPr="004236D1" w14:paraId="0FC0685D" w14:textId="77777777" w:rsidTr="005376EB">
        <w:tc>
          <w:tcPr>
            <w:tcW w:w="2160" w:type="dxa"/>
          </w:tcPr>
          <w:p w14:paraId="00E5AC6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2160" w:type="dxa"/>
          </w:tcPr>
          <w:p w14:paraId="06135C7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1.9916</w:t>
            </w:r>
          </w:p>
        </w:tc>
        <w:tc>
          <w:tcPr>
            <w:tcW w:w="2160" w:type="dxa"/>
          </w:tcPr>
          <w:p w14:paraId="2FCDDB9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0.0862</w:t>
            </w:r>
          </w:p>
        </w:tc>
        <w:tc>
          <w:tcPr>
            <w:tcW w:w="2160" w:type="dxa"/>
          </w:tcPr>
          <w:p w14:paraId="076D862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2.0779</w:t>
            </w:r>
          </w:p>
        </w:tc>
      </w:tr>
    </w:tbl>
    <w:p w14:paraId="63707FFA" w14:textId="77777777" w:rsidR="00645543" w:rsidRDefault="008146C7" w:rsidP="004236D1">
      <w:pPr>
        <w:spacing w:after="0"/>
        <w:jc w:val="both"/>
        <w:rPr>
          <w:rFonts w:ascii="Times New Roman" w:hAnsi="Times New Roman" w:cs="Times New Roman"/>
        </w:rPr>
      </w:pPr>
      <w:r>
        <w:rPr>
          <w:rFonts w:ascii="Times New Roman" w:hAnsi="Times New Roman" w:cs="Times New Roman"/>
        </w:rPr>
        <w:t>Table 8</w:t>
      </w:r>
      <w:r w:rsidR="00645543" w:rsidRPr="004236D1">
        <w:rPr>
          <w:rFonts w:ascii="Times New Roman" w:hAnsi="Times New Roman" w:cs="Times New Roman"/>
        </w:rPr>
        <w:t xml:space="preserve"> provides a concise decomposition of the own-market volatility dynamics into ARCH effects, GARCH effects and overall persistence. The results reveal substantial differences in the immediate response of the individual markets to new shocks. The stock market has the largest ARCH coefficient, 1.9916, indicating a particularly strong sensitivity of its conditional variance to recent innovations. Copper also has a relatively large ARCH coefficient of 0.1800, while exchange rate, natural gas, gold and Brent crude oil record lower immediate shock effects of 0.1024, 0.0654, 0.0473 and 0.0374, respectively. The GARCH coefficients, however, show a different pattern: Brent crude oil has a coefficient of 0.9553, followed by gold at 0.9350, natural gas at 0.9345 and exchange rate at 0.8847. Thus, the markets differ between their responsiveness to new information and their dependence on previously accumulated volatility. The persistence estimates are very high for DBCOP (0.9927), DNGAS (0.9998), DEXR (0.9870) and DGOLDP (0.9823), implying slow dissipation of volatility shocks. DSTOCKP again produces a persistence estimate above unity (2.0779), which is statistically important because it raises a model-stability concern rather than merely indicating stronger persistence. </w:t>
      </w:r>
    </w:p>
    <w:p w14:paraId="6DEA8740" w14:textId="77777777" w:rsidR="00C74B31" w:rsidRDefault="00C74B31" w:rsidP="004236D1">
      <w:pPr>
        <w:spacing w:after="0"/>
        <w:jc w:val="both"/>
        <w:rPr>
          <w:rFonts w:ascii="Times New Roman" w:hAnsi="Times New Roman" w:cs="Times New Roman"/>
        </w:rPr>
      </w:pPr>
    </w:p>
    <w:p w14:paraId="59539A49" w14:textId="77777777" w:rsidR="005376EB" w:rsidRDefault="005376EB" w:rsidP="004236D1">
      <w:pPr>
        <w:spacing w:after="0"/>
        <w:jc w:val="both"/>
        <w:rPr>
          <w:rFonts w:ascii="Times New Roman" w:hAnsi="Times New Roman" w:cs="Times New Roman"/>
          <w:b/>
        </w:rPr>
      </w:pPr>
    </w:p>
    <w:p w14:paraId="7752BC0E" w14:textId="77777777" w:rsidR="005376EB" w:rsidRDefault="005376EB" w:rsidP="004236D1">
      <w:pPr>
        <w:spacing w:after="0"/>
        <w:jc w:val="both"/>
        <w:rPr>
          <w:rFonts w:ascii="Times New Roman" w:hAnsi="Times New Roman" w:cs="Times New Roman"/>
          <w:b/>
        </w:rPr>
      </w:pPr>
    </w:p>
    <w:p w14:paraId="3C05679D" w14:textId="77777777" w:rsidR="005376EB" w:rsidRDefault="005376EB" w:rsidP="004236D1">
      <w:pPr>
        <w:spacing w:after="0"/>
        <w:jc w:val="both"/>
        <w:rPr>
          <w:rFonts w:ascii="Times New Roman" w:hAnsi="Times New Roman" w:cs="Times New Roman"/>
          <w:b/>
        </w:rPr>
      </w:pPr>
    </w:p>
    <w:p w14:paraId="3664B5B2" w14:textId="77777777" w:rsidR="005376EB" w:rsidRDefault="005376EB" w:rsidP="004236D1">
      <w:pPr>
        <w:spacing w:after="0"/>
        <w:jc w:val="both"/>
        <w:rPr>
          <w:rFonts w:ascii="Times New Roman" w:hAnsi="Times New Roman" w:cs="Times New Roman"/>
          <w:b/>
        </w:rPr>
      </w:pPr>
    </w:p>
    <w:p w14:paraId="509B4854" w14:textId="77777777" w:rsidR="005376EB" w:rsidRDefault="005376EB" w:rsidP="004236D1">
      <w:pPr>
        <w:spacing w:after="0"/>
        <w:jc w:val="both"/>
        <w:rPr>
          <w:rFonts w:ascii="Times New Roman" w:hAnsi="Times New Roman" w:cs="Times New Roman"/>
          <w:b/>
        </w:rPr>
      </w:pPr>
    </w:p>
    <w:p w14:paraId="7032901C" w14:textId="77777777" w:rsidR="005376EB" w:rsidRDefault="005376EB" w:rsidP="004236D1">
      <w:pPr>
        <w:spacing w:after="0"/>
        <w:jc w:val="both"/>
        <w:rPr>
          <w:rFonts w:ascii="Times New Roman" w:hAnsi="Times New Roman" w:cs="Times New Roman"/>
          <w:b/>
        </w:rPr>
      </w:pPr>
    </w:p>
    <w:p w14:paraId="5ECF7AF4" w14:textId="77777777" w:rsidR="005376EB" w:rsidRDefault="005376EB" w:rsidP="004236D1">
      <w:pPr>
        <w:spacing w:after="0"/>
        <w:jc w:val="both"/>
        <w:rPr>
          <w:rFonts w:ascii="Times New Roman" w:hAnsi="Times New Roman" w:cs="Times New Roman"/>
          <w:b/>
        </w:rPr>
      </w:pPr>
    </w:p>
    <w:p w14:paraId="58ACDB59" w14:textId="77777777" w:rsidR="005376EB" w:rsidRDefault="005376EB" w:rsidP="004236D1">
      <w:pPr>
        <w:spacing w:after="0"/>
        <w:jc w:val="both"/>
        <w:rPr>
          <w:rFonts w:ascii="Times New Roman" w:hAnsi="Times New Roman" w:cs="Times New Roman"/>
          <w:b/>
        </w:rPr>
      </w:pPr>
    </w:p>
    <w:p w14:paraId="7A67D712" w14:textId="77777777" w:rsidR="005376EB" w:rsidRDefault="005376EB" w:rsidP="004236D1">
      <w:pPr>
        <w:spacing w:after="0"/>
        <w:jc w:val="both"/>
        <w:rPr>
          <w:rFonts w:ascii="Times New Roman" w:hAnsi="Times New Roman" w:cs="Times New Roman"/>
          <w:b/>
        </w:rPr>
      </w:pPr>
    </w:p>
    <w:p w14:paraId="7CB2C366" w14:textId="77777777" w:rsidR="005376EB" w:rsidRDefault="005376EB" w:rsidP="004236D1">
      <w:pPr>
        <w:spacing w:after="0"/>
        <w:jc w:val="both"/>
        <w:rPr>
          <w:rFonts w:ascii="Times New Roman" w:hAnsi="Times New Roman" w:cs="Times New Roman"/>
          <w:b/>
        </w:rPr>
      </w:pPr>
    </w:p>
    <w:p w14:paraId="70FF159D" w14:textId="77777777" w:rsidR="005376EB" w:rsidRDefault="005376EB" w:rsidP="004236D1">
      <w:pPr>
        <w:spacing w:after="0"/>
        <w:jc w:val="both"/>
        <w:rPr>
          <w:rFonts w:ascii="Times New Roman" w:hAnsi="Times New Roman" w:cs="Times New Roman"/>
          <w:b/>
        </w:rPr>
      </w:pPr>
    </w:p>
    <w:p w14:paraId="04ED2817" w14:textId="77777777" w:rsidR="005376EB" w:rsidRDefault="005376EB" w:rsidP="004236D1">
      <w:pPr>
        <w:spacing w:after="0"/>
        <w:jc w:val="both"/>
        <w:rPr>
          <w:rFonts w:ascii="Times New Roman" w:hAnsi="Times New Roman" w:cs="Times New Roman"/>
          <w:b/>
        </w:rPr>
      </w:pPr>
    </w:p>
    <w:p w14:paraId="1927BE2B" w14:textId="77777777" w:rsidR="005376EB" w:rsidRDefault="005376EB" w:rsidP="004236D1">
      <w:pPr>
        <w:spacing w:after="0"/>
        <w:jc w:val="both"/>
        <w:rPr>
          <w:rFonts w:ascii="Times New Roman" w:hAnsi="Times New Roman" w:cs="Times New Roman"/>
          <w:b/>
        </w:rPr>
      </w:pPr>
    </w:p>
    <w:p w14:paraId="24B739DC" w14:textId="77777777" w:rsidR="005376EB" w:rsidRDefault="005376EB" w:rsidP="004236D1">
      <w:pPr>
        <w:spacing w:after="0"/>
        <w:jc w:val="both"/>
        <w:rPr>
          <w:rFonts w:ascii="Times New Roman" w:hAnsi="Times New Roman" w:cs="Times New Roman"/>
          <w:b/>
        </w:rPr>
      </w:pPr>
    </w:p>
    <w:p w14:paraId="24337647" w14:textId="77777777" w:rsidR="005376EB" w:rsidRDefault="005376EB" w:rsidP="004236D1">
      <w:pPr>
        <w:spacing w:after="0"/>
        <w:jc w:val="both"/>
        <w:rPr>
          <w:rFonts w:ascii="Times New Roman" w:hAnsi="Times New Roman" w:cs="Times New Roman"/>
          <w:b/>
        </w:rPr>
      </w:pPr>
    </w:p>
    <w:p w14:paraId="654D54F6" w14:textId="77777777" w:rsidR="005376EB" w:rsidRDefault="005376EB" w:rsidP="004236D1">
      <w:pPr>
        <w:spacing w:after="0"/>
        <w:jc w:val="both"/>
        <w:rPr>
          <w:rFonts w:ascii="Times New Roman" w:hAnsi="Times New Roman" w:cs="Times New Roman"/>
          <w:b/>
        </w:rPr>
      </w:pPr>
    </w:p>
    <w:p w14:paraId="62C15308" w14:textId="77777777" w:rsidR="005376EB" w:rsidRDefault="005376EB" w:rsidP="004236D1">
      <w:pPr>
        <w:spacing w:after="0"/>
        <w:jc w:val="both"/>
        <w:rPr>
          <w:rFonts w:ascii="Times New Roman" w:hAnsi="Times New Roman" w:cs="Times New Roman"/>
          <w:b/>
        </w:rPr>
      </w:pPr>
    </w:p>
    <w:p w14:paraId="2D9B48CD" w14:textId="77777777" w:rsidR="007B36E3" w:rsidRPr="004236D1" w:rsidRDefault="007B36E3" w:rsidP="004236D1">
      <w:pPr>
        <w:spacing w:after="0"/>
        <w:jc w:val="both"/>
        <w:rPr>
          <w:rFonts w:ascii="Times New Roman" w:hAnsi="Times New Roman" w:cs="Times New Roman"/>
          <w:b/>
          <w:bCs/>
        </w:rPr>
      </w:pPr>
      <w:r w:rsidRPr="004236D1">
        <w:rPr>
          <w:rFonts w:ascii="Times New Roman" w:hAnsi="Times New Roman" w:cs="Times New Roman"/>
          <w:b/>
        </w:rPr>
        <w:lastRenderedPageBreak/>
        <w:t>Ta</w:t>
      </w:r>
      <w:r w:rsidR="008146C7">
        <w:rPr>
          <w:rFonts w:ascii="Times New Roman" w:hAnsi="Times New Roman" w:cs="Times New Roman"/>
          <w:b/>
        </w:rPr>
        <w:t>ble 9</w:t>
      </w:r>
      <w:r w:rsidRPr="004236D1">
        <w:rPr>
          <w:rFonts w:ascii="Times New Roman" w:hAnsi="Times New Roman" w:cs="Times New Roman"/>
          <w:b/>
        </w:rPr>
        <w:t>:</w:t>
      </w:r>
      <w:r w:rsidRPr="004236D1">
        <w:rPr>
          <w:rFonts w:ascii="Times New Roman" w:hAnsi="Times New Roman" w:cs="Times New Roman"/>
        </w:rPr>
        <w:t xml:space="preserve"> </w:t>
      </w:r>
      <w:r w:rsidRPr="004236D1">
        <w:rPr>
          <w:rFonts w:ascii="Times New Roman" w:hAnsi="Times New Roman" w:cs="Times New Roman"/>
          <w:b/>
          <w:bCs/>
        </w:rPr>
        <w:t>Summary of the main covariance persistence effects</w:t>
      </w:r>
    </w:p>
    <w:tbl>
      <w:tblPr>
        <w:tblW w:w="7508" w:type="dxa"/>
        <w:tblBorders>
          <w:top w:val="single" w:sz="4" w:space="0" w:color="auto"/>
          <w:bottom w:val="single" w:sz="4" w:space="0" w:color="auto"/>
        </w:tblBorders>
        <w:tblLook w:val="04A0" w:firstRow="1" w:lastRow="0" w:firstColumn="1" w:lastColumn="0" w:noHBand="0" w:noVBand="1"/>
      </w:tblPr>
      <w:tblGrid>
        <w:gridCol w:w="2122"/>
        <w:gridCol w:w="2551"/>
        <w:gridCol w:w="2835"/>
      </w:tblGrid>
      <w:tr w:rsidR="007B36E3" w:rsidRPr="004236D1" w14:paraId="53C7CD51" w14:textId="77777777" w:rsidTr="005376EB">
        <w:trPr>
          <w:trHeight w:val="314"/>
        </w:trPr>
        <w:tc>
          <w:tcPr>
            <w:tcW w:w="2122" w:type="dxa"/>
            <w:tcBorders>
              <w:top w:val="single" w:sz="4" w:space="0" w:color="auto"/>
              <w:bottom w:val="single" w:sz="4" w:space="0" w:color="auto"/>
            </w:tcBorders>
            <w:vAlign w:val="center"/>
            <w:hideMark/>
          </w:tcPr>
          <w:p w14:paraId="3944B3B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Asset Pair</w:t>
            </w:r>
          </w:p>
        </w:tc>
        <w:tc>
          <w:tcPr>
            <w:tcW w:w="2551" w:type="dxa"/>
            <w:tcBorders>
              <w:top w:val="single" w:sz="4" w:space="0" w:color="auto"/>
              <w:bottom w:val="single" w:sz="4" w:space="0" w:color="auto"/>
            </w:tcBorders>
            <w:vAlign w:val="center"/>
            <w:hideMark/>
          </w:tcPr>
          <w:p w14:paraId="1BAF6C1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ARCH Covariance Effect</w:t>
            </w:r>
          </w:p>
        </w:tc>
        <w:tc>
          <w:tcPr>
            <w:tcW w:w="2835" w:type="dxa"/>
            <w:tcBorders>
              <w:top w:val="single" w:sz="4" w:space="0" w:color="auto"/>
              <w:bottom w:val="single" w:sz="4" w:space="0" w:color="auto"/>
            </w:tcBorders>
            <w:vAlign w:val="center"/>
            <w:hideMark/>
          </w:tcPr>
          <w:p w14:paraId="33D37F4F"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GARCH Covariance Effect</w:t>
            </w:r>
          </w:p>
        </w:tc>
      </w:tr>
      <w:tr w:rsidR="007B36E3" w:rsidRPr="004236D1" w14:paraId="6CAEB4BC" w14:textId="77777777" w:rsidTr="005376EB">
        <w:trPr>
          <w:trHeight w:val="170"/>
        </w:trPr>
        <w:tc>
          <w:tcPr>
            <w:tcW w:w="2122" w:type="dxa"/>
            <w:tcBorders>
              <w:top w:val="single" w:sz="4" w:space="0" w:color="auto"/>
            </w:tcBorders>
            <w:vAlign w:val="center"/>
            <w:hideMark/>
          </w:tcPr>
          <w:p w14:paraId="331C918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DEXR–DBCOP</w:t>
            </w:r>
          </w:p>
        </w:tc>
        <w:tc>
          <w:tcPr>
            <w:tcW w:w="2551" w:type="dxa"/>
            <w:tcBorders>
              <w:top w:val="single" w:sz="4" w:space="0" w:color="auto"/>
            </w:tcBorders>
            <w:vAlign w:val="center"/>
            <w:hideMark/>
          </w:tcPr>
          <w:p w14:paraId="6A08314C"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-0.0045</w:t>
            </w:r>
          </w:p>
        </w:tc>
        <w:tc>
          <w:tcPr>
            <w:tcW w:w="2835" w:type="dxa"/>
            <w:tcBorders>
              <w:top w:val="single" w:sz="4" w:space="0" w:color="auto"/>
            </w:tcBorders>
            <w:vAlign w:val="center"/>
            <w:hideMark/>
          </w:tcPr>
          <w:p w14:paraId="57582C7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0.8885</w:t>
            </w:r>
          </w:p>
        </w:tc>
      </w:tr>
      <w:tr w:rsidR="007B36E3" w:rsidRPr="004236D1" w14:paraId="025526E3" w14:textId="77777777" w:rsidTr="005376EB">
        <w:trPr>
          <w:trHeight w:val="233"/>
        </w:trPr>
        <w:tc>
          <w:tcPr>
            <w:tcW w:w="2122" w:type="dxa"/>
            <w:vAlign w:val="center"/>
            <w:hideMark/>
          </w:tcPr>
          <w:p w14:paraId="0558728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DEXR–DCOPP</w:t>
            </w:r>
          </w:p>
        </w:tc>
        <w:tc>
          <w:tcPr>
            <w:tcW w:w="2551" w:type="dxa"/>
            <w:vAlign w:val="center"/>
            <w:hideMark/>
          </w:tcPr>
          <w:p w14:paraId="2D2E83F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0.0097</w:t>
            </w:r>
          </w:p>
        </w:tc>
        <w:tc>
          <w:tcPr>
            <w:tcW w:w="2835" w:type="dxa"/>
            <w:vAlign w:val="center"/>
            <w:hideMark/>
          </w:tcPr>
          <w:p w14:paraId="6C89ECF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0.741</w:t>
            </w:r>
          </w:p>
        </w:tc>
      </w:tr>
      <w:tr w:rsidR="007B36E3" w:rsidRPr="004236D1" w14:paraId="1820DF79" w14:textId="77777777" w:rsidTr="005376EB">
        <w:trPr>
          <w:trHeight w:val="58"/>
        </w:trPr>
        <w:tc>
          <w:tcPr>
            <w:tcW w:w="2122" w:type="dxa"/>
            <w:vAlign w:val="center"/>
            <w:hideMark/>
          </w:tcPr>
          <w:p w14:paraId="17C193E1"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DEXR–DGOLDP</w:t>
            </w:r>
          </w:p>
        </w:tc>
        <w:tc>
          <w:tcPr>
            <w:tcW w:w="2551" w:type="dxa"/>
            <w:vAlign w:val="center"/>
            <w:hideMark/>
          </w:tcPr>
          <w:p w14:paraId="7852E82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-0.0048</w:t>
            </w:r>
          </w:p>
        </w:tc>
        <w:tc>
          <w:tcPr>
            <w:tcW w:w="2835" w:type="dxa"/>
            <w:vAlign w:val="center"/>
            <w:hideMark/>
          </w:tcPr>
          <w:p w14:paraId="1FA1AAC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0.9911</w:t>
            </w:r>
          </w:p>
        </w:tc>
      </w:tr>
      <w:tr w:rsidR="007B36E3" w:rsidRPr="004236D1" w14:paraId="7FED17E2" w14:textId="77777777" w:rsidTr="005376EB">
        <w:trPr>
          <w:trHeight w:val="125"/>
        </w:trPr>
        <w:tc>
          <w:tcPr>
            <w:tcW w:w="2122" w:type="dxa"/>
            <w:vAlign w:val="center"/>
            <w:hideMark/>
          </w:tcPr>
          <w:p w14:paraId="4029D643"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DEXR–DNGAS</w:t>
            </w:r>
          </w:p>
        </w:tc>
        <w:tc>
          <w:tcPr>
            <w:tcW w:w="2551" w:type="dxa"/>
            <w:vAlign w:val="center"/>
            <w:hideMark/>
          </w:tcPr>
          <w:p w14:paraId="200D8FC0"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-0.0168</w:t>
            </w:r>
          </w:p>
        </w:tc>
        <w:tc>
          <w:tcPr>
            <w:tcW w:w="2835" w:type="dxa"/>
            <w:vAlign w:val="center"/>
            <w:hideMark/>
          </w:tcPr>
          <w:p w14:paraId="4350703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0.9426</w:t>
            </w:r>
          </w:p>
        </w:tc>
      </w:tr>
      <w:tr w:rsidR="007B36E3" w:rsidRPr="004236D1" w14:paraId="616F6C85" w14:textId="77777777" w:rsidTr="005376EB">
        <w:trPr>
          <w:trHeight w:val="278"/>
        </w:trPr>
        <w:tc>
          <w:tcPr>
            <w:tcW w:w="2122" w:type="dxa"/>
            <w:vAlign w:val="center"/>
            <w:hideMark/>
          </w:tcPr>
          <w:p w14:paraId="45BA449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DEXR–DSTOCKP</w:t>
            </w:r>
          </w:p>
        </w:tc>
        <w:tc>
          <w:tcPr>
            <w:tcW w:w="2551" w:type="dxa"/>
            <w:vAlign w:val="center"/>
            <w:hideMark/>
          </w:tcPr>
          <w:p w14:paraId="15E743A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0.0268</w:t>
            </w:r>
          </w:p>
        </w:tc>
        <w:tc>
          <w:tcPr>
            <w:tcW w:w="2835" w:type="dxa"/>
            <w:vAlign w:val="center"/>
            <w:hideMark/>
          </w:tcPr>
          <w:p w14:paraId="641A565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-0.5173</w:t>
            </w:r>
          </w:p>
        </w:tc>
      </w:tr>
      <w:tr w:rsidR="007B36E3" w:rsidRPr="004236D1" w14:paraId="6B4E7280" w14:textId="77777777" w:rsidTr="005376EB">
        <w:trPr>
          <w:trHeight w:val="431"/>
        </w:trPr>
        <w:tc>
          <w:tcPr>
            <w:tcW w:w="2122" w:type="dxa"/>
            <w:vAlign w:val="center"/>
            <w:hideMark/>
          </w:tcPr>
          <w:p w14:paraId="0AA32281"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DBCOP–DCOPP</w:t>
            </w:r>
          </w:p>
        </w:tc>
        <w:tc>
          <w:tcPr>
            <w:tcW w:w="2551" w:type="dxa"/>
            <w:vAlign w:val="center"/>
            <w:hideMark/>
          </w:tcPr>
          <w:p w14:paraId="2F6F6FD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-0.0172</w:t>
            </w:r>
          </w:p>
        </w:tc>
        <w:tc>
          <w:tcPr>
            <w:tcW w:w="2835" w:type="dxa"/>
            <w:vAlign w:val="center"/>
            <w:hideMark/>
          </w:tcPr>
          <w:p w14:paraId="6121DDFF"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0.9042</w:t>
            </w:r>
          </w:p>
        </w:tc>
      </w:tr>
      <w:tr w:rsidR="007B36E3" w:rsidRPr="004236D1" w14:paraId="43646EB2" w14:textId="77777777" w:rsidTr="005376EB">
        <w:trPr>
          <w:trHeight w:val="161"/>
        </w:trPr>
        <w:tc>
          <w:tcPr>
            <w:tcW w:w="2122" w:type="dxa"/>
            <w:vAlign w:val="center"/>
            <w:hideMark/>
          </w:tcPr>
          <w:p w14:paraId="3B8B83CC"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DBCOP–DGOLDP</w:t>
            </w:r>
          </w:p>
        </w:tc>
        <w:tc>
          <w:tcPr>
            <w:tcW w:w="2551" w:type="dxa"/>
            <w:vAlign w:val="center"/>
            <w:hideMark/>
          </w:tcPr>
          <w:p w14:paraId="724C072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0.0087</w:t>
            </w:r>
          </w:p>
        </w:tc>
        <w:tc>
          <w:tcPr>
            <w:tcW w:w="2835" w:type="dxa"/>
            <w:vAlign w:val="center"/>
            <w:hideMark/>
          </w:tcPr>
          <w:p w14:paraId="69BAEEB4"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0.9721</w:t>
            </w:r>
          </w:p>
        </w:tc>
      </w:tr>
      <w:tr w:rsidR="007B36E3" w:rsidRPr="004236D1" w14:paraId="3DB2594F" w14:textId="77777777" w:rsidTr="005376EB">
        <w:trPr>
          <w:trHeight w:val="58"/>
        </w:trPr>
        <w:tc>
          <w:tcPr>
            <w:tcW w:w="2122" w:type="dxa"/>
            <w:vAlign w:val="center"/>
            <w:hideMark/>
          </w:tcPr>
          <w:p w14:paraId="7EF76D70"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DBCOP–DNGAS</w:t>
            </w:r>
          </w:p>
        </w:tc>
        <w:tc>
          <w:tcPr>
            <w:tcW w:w="2551" w:type="dxa"/>
            <w:vAlign w:val="center"/>
            <w:hideMark/>
          </w:tcPr>
          <w:p w14:paraId="752E6C8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0.0541</w:t>
            </w:r>
          </w:p>
        </w:tc>
        <w:tc>
          <w:tcPr>
            <w:tcW w:w="2835" w:type="dxa"/>
            <w:vAlign w:val="center"/>
            <w:hideMark/>
          </w:tcPr>
          <w:p w14:paraId="1106673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-0.0308</w:t>
            </w:r>
          </w:p>
        </w:tc>
      </w:tr>
      <w:tr w:rsidR="007B36E3" w:rsidRPr="004236D1" w14:paraId="6CE46796" w14:textId="77777777" w:rsidTr="005376EB">
        <w:trPr>
          <w:trHeight w:val="377"/>
        </w:trPr>
        <w:tc>
          <w:tcPr>
            <w:tcW w:w="2122" w:type="dxa"/>
            <w:vAlign w:val="center"/>
            <w:hideMark/>
          </w:tcPr>
          <w:p w14:paraId="7E190B9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DBCOP–DSTOCKP</w:t>
            </w:r>
          </w:p>
        </w:tc>
        <w:tc>
          <w:tcPr>
            <w:tcW w:w="2551" w:type="dxa"/>
            <w:vAlign w:val="center"/>
            <w:hideMark/>
          </w:tcPr>
          <w:p w14:paraId="21DF2655"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-0.0548</w:t>
            </w:r>
          </w:p>
        </w:tc>
        <w:tc>
          <w:tcPr>
            <w:tcW w:w="2835" w:type="dxa"/>
            <w:vAlign w:val="center"/>
            <w:hideMark/>
          </w:tcPr>
          <w:p w14:paraId="08CE4973"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-0.2953</w:t>
            </w:r>
          </w:p>
        </w:tc>
      </w:tr>
      <w:tr w:rsidR="007B36E3" w:rsidRPr="004236D1" w14:paraId="40559B4C" w14:textId="77777777" w:rsidTr="005376EB">
        <w:trPr>
          <w:trHeight w:val="58"/>
        </w:trPr>
        <w:tc>
          <w:tcPr>
            <w:tcW w:w="2122" w:type="dxa"/>
            <w:vAlign w:val="center"/>
            <w:hideMark/>
          </w:tcPr>
          <w:p w14:paraId="1166E925"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DCOPP–DGOLDP</w:t>
            </w:r>
          </w:p>
        </w:tc>
        <w:tc>
          <w:tcPr>
            <w:tcW w:w="2551" w:type="dxa"/>
            <w:vAlign w:val="center"/>
            <w:hideMark/>
          </w:tcPr>
          <w:p w14:paraId="340AE977"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0.04</w:t>
            </w:r>
          </w:p>
        </w:tc>
        <w:tc>
          <w:tcPr>
            <w:tcW w:w="2835" w:type="dxa"/>
            <w:vAlign w:val="center"/>
            <w:hideMark/>
          </w:tcPr>
          <w:p w14:paraId="21AB367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0.8253</w:t>
            </w:r>
          </w:p>
        </w:tc>
      </w:tr>
      <w:tr w:rsidR="007B36E3" w:rsidRPr="004236D1" w14:paraId="5B28C5A0" w14:textId="77777777" w:rsidTr="005376EB">
        <w:trPr>
          <w:trHeight w:val="215"/>
        </w:trPr>
        <w:tc>
          <w:tcPr>
            <w:tcW w:w="2122" w:type="dxa"/>
            <w:vAlign w:val="center"/>
            <w:hideMark/>
          </w:tcPr>
          <w:p w14:paraId="2F33763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DCOPP–DNGAS</w:t>
            </w:r>
          </w:p>
        </w:tc>
        <w:tc>
          <w:tcPr>
            <w:tcW w:w="2551" w:type="dxa"/>
            <w:vAlign w:val="center"/>
            <w:hideMark/>
          </w:tcPr>
          <w:p w14:paraId="644A2FD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0.0462</w:t>
            </w:r>
          </w:p>
        </w:tc>
        <w:tc>
          <w:tcPr>
            <w:tcW w:w="2835" w:type="dxa"/>
            <w:vAlign w:val="center"/>
            <w:hideMark/>
          </w:tcPr>
          <w:p w14:paraId="0D1AE0A5"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0.4331</w:t>
            </w:r>
          </w:p>
        </w:tc>
      </w:tr>
      <w:tr w:rsidR="007B36E3" w:rsidRPr="004236D1" w14:paraId="30D291AE" w14:textId="77777777" w:rsidTr="005376EB">
        <w:trPr>
          <w:trHeight w:val="368"/>
        </w:trPr>
        <w:tc>
          <w:tcPr>
            <w:tcW w:w="2122" w:type="dxa"/>
            <w:vAlign w:val="center"/>
            <w:hideMark/>
          </w:tcPr>
          <w:p w14:paraId="463260F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DCOPP–DSTOCKP</w:t>
            </w:r>
          </w:p>
        </w:tc>
        <w:tc>
          <w:tcPr>
            <w:tcW w:w="2551" w:type="dxa"/>
            <w:vAlign w:val="center"/>
            <w:hideMark/>
          </w:tcPr>
          <w:p w14:paraId="15BFD04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-0.1116</w:t>
            </w:r>
          </w:p>
        </w:tc>
        <w:tc>
          <w:tcPr>
            <w:tcW w:w="2835" w:type="dxa"/>
            <w:vAlign w:val="center"/>
            <w:hideMark/>
          </w:tcPr>
          <w:p w14:paraId="7AA54199"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-0.4904</w:t>
            </w:r>
          </w:p>
        </w:tc>
      </w:tr>
      <w:tr w:rsidR="007B36E3" w:rsidRPr="004236D1" w14:paraId="2CC831F3" w14:textId="77777777" w:rsidTr="005376EB">
        <w:trPr>
          <w:trHeight w:val="251"/>
        </w:trPr>
        <w:tc>
          <w:tcPr>
            <w:tcW w:w="2122" w:type="dxa"/>
            <w:vAlign w:val="center"/>
            <w:hideMark/>
          </w:tcPr>
          <w:p w14:paraId="192B86DF"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DGOLDP–DNGAS</w:t>
            </w:r>
          </w:p>
        </w:tc>
        <w:tc>
          <w:tcPr>
            <w:tcW w:w="2551" w:type="dxa"/>
            <w:vAlign w:val="center"/>
            <w:hideMark/>
          </w:tcPr>
          <w:p w14:paraId="35E1D781"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-0.0179</w:t>
            </w:r>
          </w:p>
        </w:tc>
        <w:tc>
          <w:tcPr>
            <w:tcW w:w="2835" w:type="dxa"/>
            <w:vAlign w:val="center"/>
            <w:hideMark/>
          </w:tcPr>
          <w:p w14:paraId="34153612"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0.8828</w:t>
            </w:r>
          </w:p>
        </w:tc>
      </w:tr>
      <w:tr w:rsidR="007B36E3" w:rsidRPr="004236D1" w14:paraId="6AE0E728" w14:textId="77777777" w:rsidTr="005376EB">
        <w:trPr>
          <w:trHeight w:val="314"/>
        </w:trPr>
        <w:tc>
          <w:tcPr>
            <w:tcW w:w="2122" w:type="dxa"/>
            <w:vAlign w:val="center"/>
            <w:hideMark/>
          </w:tcPr>
          <w:p w14:paraId="1730EFDA"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DGOLDP–DSTOCKP</w:t>
            </w:r>
          </w:p>
        </w:tc>
        <w:tc>
          <w:tcPr>
            <w:tcW w:w="2551" w:type="dxa"/>
            <w:vAlign w:val="center"/>
            <w:hideMark/>
          </w:tcPr>
          <w:p w14:paraId="4B6E36FE"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0.028</w:t>
            </w:r>
          </w:p>
        </w:tc>
        <w:tc>
          <w:tcPr>
            <w:tcW w:w="2835" w:type="dxa"/>
            <w:vAlign w:val="center"/>
            <w:hideMark/>
          </w:tcPr>
          <w:p w14:paraId="5E407BF9"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-0.7001</w:t>
            </w:r>
          </w:p>
        </w:tc>
      </w:tr>
      <w:tr w:rsidR="007B36E3" w:rsidRPr="004236D1" w14:paraId="015556E7" w14:textId="77777777" w:rsidTr="005376EB">
        <w:trPr>
          <w:trHeight w:val="58"/>
        </w:trPr>
        <w:tc>
          <w:tcPr>
            <w:tcW w:w="2122" w:type="dxa"/>
            <w:vAlign w:val="center"/>
            <w:hideMark/>
          </w:tcPr>
          <w:p w14:paraId="5110D25B"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DNGAS–DSTOCKP</w:t>
            </w:r>
          </w:p>
        </w:tc>
        <w:tc>
          <w:tcPr>
            <w:tcW w:w="2551" w:type="dxa"/>
            <w:vAlign w:val="center"/>
            <w:hideMark/>
          </w:tcPr>
          <w:p w14:paraId="0D62CB66"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0.0274</w:t>
            </w:r>
          </w:p>
        </w:tc>
        <w:tc>
          <w:tcPr>
            <w:tcW w:w="2835" w:type="dxa"/>
            <w:vAlign w:val="center"/>
            <w:hideMark/>
          </w:tcPr>
          <w:p w14:paraId="2221AF78" w14:textId="77777777" w:rsidR="007B36E3" w:rsidRPr="004236D1" w:rsidRDefault="007B36E3" w:rsidP="004236D1">
            <w:pPr>
              <w:spacing w:after="0" w:line="240" w:lineRule="auto"/>
              <w:jc w:val="both"/>
              <w:rPr>
                <w:rFonts w:ascii="Times New Roman" w:eastAsia="Times New Roman" w:hAnsi="Times New Roman" w:cs="Times New Roman"/>
                <w:color w:val="000000"/>
              </w:rPr>
            </w:pPr>
            <w:r w:rsidRPr="004236D1">
              <w:rPr>
                <w:rFonts w:ascii="Times New Roman" w:eastAsia="Times New Roman" w:hAnsi="Times New Roman" w:cs="Times New Roman"/>
                <w:color w:val="000000"/>
              </w:rPr>
              <w:t>-0.3881</w:t>
            </w:r>
          </w:p>
        </w:tc>
      </w:tr>
    </w:tbl>
    <w:p w14:paraId="41F39A42" w14:textId="77777777" w:rsidR="00645543" w:rsidRPr="004236D1" w:rsidRDefault="00E3247D" w:rsidP="004236D1">
      <w:pPr>
        <w:spacing w:after="0"/>
        <w:jc w:val="both"/>
        <w:rPr>
          <w:rFonts w:ascii="Times New Roman" w:hAnsi="Times New Roman" w:cs="Times New Roman"/>
          <w:b/>
          <w:bCs/>
        </w:rPr>
      </w:pPr>
      <w:r>
        <w:rPr>
          <w:rFonts w:ascii="Times New Roman" w:hAnsi="Times New Roman" w:cs="Times New Roman"/>
        </w:rPr>
        <w:t>Table 9</w:t>
      </w:r>
      <w:r w:rsidR="00645543" w:rsidRPr="004236D1">
        <w:rPr>
          <w:rFonts w:ascii="Times New Roman" w:hAnsi="Times New Roman" w:cs="Times New Roman"/>
        </w:rPr>
        <w:t xml:space="preserve"> provides further evidence that volatility dynamics extend beyond individual markets to the relationships between market pairs. The ARCH covariance effects are generally small, with estimates ranging from -0.1116 for DCOPP–DSTOCKP to 0.0541 for DBCOP–DNGAS. This suggests that the immediate cross-market response to newly arriving shocks is relatively modest in most cases. The GARCH covariance effects are much larger for several pairs, indicating that historical covariance plays a more prominent role in determining current cross-market dependence. The strongest positive estimates occur for DEXR–DGOLDP (0.9911), DBCOP–DGOLDP (0.9721), DEXR–DNGAS (0.9426) and DGOLDP–DNGAS (0.8828). These values indicate that previous covariance between the respective markets contributes substantially to their current covariance dynamics. In contrast, the relationships involving the stock market are predominantly negative, including DEXR–DSTOCKP (-0.5173), DGOLDP–DSTOCKP (-0.7001) and DCOPP–DSTOCKP (-0.4904). The pattern implies that the stock market does not simply mirror the persistence </w:t>
      </w:r>
      <w:proofErr w:type="spellStart"/>
      <w:r w:rsidR="00645543" w:rsidRPr="004236D1">
        <w:rPr>
          <w:rFonts w:ascii="Times New Roman" w:hAnsi="Times New Roman" w:cs="Times New Roman"/>
        </w:rPr>
        <w:t>behaviour</w:t>
      </w:r>
      <w:proofErr w:type="spellEnd"/>
      <w:r w:rsidR="00645543" w:rsidRPr="004236D1">
        <w:rPr>
          <w:rFonts w:ascii="Times New Roman" w:hAnsi="Times New Roman" w:cs="Times New Roman"/>
        </w:rPr>
        <w:t xml:space="preserve"> of the commodity and foreign-exchange markets; rather, its conditional covariance dynamics tend to move in an opposite direction for several pairs. Taken together, the results provide evidence of asymmetric patterns in the persistence of cross-market volatility and suggest that historical co-movements are more influential than contemporaneous ARCH-type covariance effects in several market relationships.</w:t>
      </w:r>
    </w:p>
    <w:p w14:paraId="3971B49D" w14:textId="77777777" w:rsidR="00645543" w:rsidRPr="004236D1" w:rsidRDefault="00645543" w:rsidP="004236D1">
      <w:pPr>
        <w:spacing w:after="0"/>
        <w:jc w:val="both"/>
        <w:rPr>
          <w:rFonts w:ascii="Times New Roman" w:hAnsi="Times New Roman" w:cs="Times New Roman"/>
          <w:b/>
          <w:bCs/>
        </w:rPr>
      </w:pPr>
    </w:p>
    <w:p w14:paraId="5A2AB9C9" w14:textId="77777777" w:rsidR="00645543" w:rsidRPr="004236D1" w:rsidRDefault="00645543" w:rsidP="004236D1">
      <w:pPr>
        <w:spacing w:after="0"/>
        <w:jc w:val="both"/>
        <w:rPr>
          <w:rFonts w:ascii="Times New Roman" w:hAnsi="Times New Roman" w:cs="Times New Roman"/>
          <w:b/>
          <w:bCs/>
        </w:rPr>
      </w:pPr>
    </w:p>
    <w:p w14:paraId="34262A30" w14:textId="77777777" w:rsidR="007B36E3" w:rsidRPr="004236D1" w:rsidRDefault="00E3247D" w:rsidP="004236D1">
      <w:pPr>
        <w:spacing w:after="0"/>
        <w:jc w:val="both"/>
        <w:rPr>
          <w:rFonts w:ascii="Times New Roman" w:hAnsi="Times New Roman" w:cs="Times New Roman"/>
          <w:b/>
          <w:bCs/>
        </w:rPr>
      </w:pPr>
      <w:r>
        <w:rPr>
          <w:rFonts w:ascii="Times New Roman" w:hAnsi="Times New Roman" w:cs="Times New Roman"/>
          <w:b/>
          <w:bCs/>
        </w:rPr>
        <w:lastRenderedPageBreak/>
        <w:t>Table 10</w:t>
      </w:r>
      <w:r w:rsidR="007B36E3" w:rsidRPr="004236D1">
        <w:rPr>
          <w:rFonts w:ascii="Times New Roman" w:hAnsi="Times New Roman" w:cs="Times New Roman"/>
          <w:b/>
          <w:bCs/>
        </w:rPr>
        <w:t>: Estimated ARCH Effects, GARCH Effects and Volatility Persistence from the BEKK-</w:t>
      </w:r>
      <w:proofErr w:type="gramStart"/>
      <w:r w:rsidR="007B36E3" w:rsidRPr="004236D1">
        <w:rPr>
          <w:rFonts w:ascii="Times New Roman" w:hAnsi="Times New Roman" w:cs="Times New Roman"/>
          <w:b/>
          <w:bCs/>
        </w:rPr>
        <w:t>GARCH(</w:t>
      </w:r>
      <w:proofErr w:type="gramEnd"/>
      <w:r w:rsidR="007B36E3" w:rsidRPr="004236D1">
        <w:rPr>
          <w:rFonts w:ascii="Times New Roman" w:hAnsi="Times New Roman" w:cs="Times New Roman"/>
          <w:b/>
          <w:bCs/>
        </w:rPr>
        <w:t>1,1) Model</w:t>
      </w:r>
    </w:p>
    <w:tbl>
      <w:tblPr>
        <w:tblW w:w="8495" w:type="dxa"/>
        <w:tblBorders>
          <w:top w:val="single" w:sz="8" w:space="0" w:color="auto"/>
          <w:bottom w:val="single" w:sz="8" w:space="0" w:color="auto"/>
        </w:tblBorders>
        <w:tblLayout w:type="fixed"/>
        <w:tblLook w:val="04A0" w:firstRow="1" w:lastRow="0" w:firstColumn="1" w:lastColumn="0" w:noHBand="0" w:noVBand="1"/>
      </w:tblPr>
      <w:tblGrid>
        <w:gridCol w:w="2117"/>
        <w:gridCol w:w="1417"/>
        <w:gridCol w:w="1134"/>
        <w:gridCol w:w="1276"/>
        <w:gridCol w:w="1134"/>
        <w:gridCol w:w="1417"/>
      </w:tblGrid>
      <w:tr w:rsidR="007B36E3" w:rsidRPr="004236D1" w14:paraId="3538BB39" w14:textId="77777777" w:rsidTr="00B113BC">
        <w:trPr>
          <w:trHeight w:val="945"/>
        </w:trPr>
        <w:tc>
          <w:tcPr>
            <w:tcW w:w="2117" w:type="dxa"/>
            <w:tcBorders>
              <w:top w:val="single" w:sz="8" w:space="0" w:color="auto"/>
              <w:bottom w:val="single" w:sz="8" w:space="0" w:color="auto"/>
            </w:tcBorders>
            <w:vAlign w:val="center"/>
            <w:hideMark/>
          </w:tcPr>
          <w:p w14:paraId="372D48EE"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Variable</w:t>
            </w:r>
          </w:p>
        </w:tc>
        <w:tc>
          <w:tcPr>
            <w:tcW w:w="1417" w:type="dxa"/>
            <w:tcBorders>
              <w:top w:val="single" w:sz="8" w:space="0" w:color="auto"/>
              <w:bottom w:val="single" w:sz="8" w:space="0" w:color="auto"/>
            </w:tcBorders>
            <w:vAlign w:val="center"/>
            <w:hideMark/>
          </w:tcPr>
          <w:p w14:paraId="5F53B5F7"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ARCH Effect (</w:t>
            </w:r>
            <w:proofErr w:type="spellStart"/>
            <w:r w:rsidRPr="004236D1">
              <w:rPr>
                <w:rFonts w:ascii="Times New Roman" w:eastAsia="Times New Roman" w:hAnsi="Times New Roman" w:cs="Times New Roman"/>
                <w:b/>
                <w:bCs/>
                <w:color w:val="000000"/>
                <w:kern w:val="0"/>
                <w14:ligatures w14:val="none"/>
              </w:rPr>
              <w:t>Aii</w:t>
            </w:r>
            <w:proofErr w:type="spellEnd"/>
            <w:r w:rsidRPr="004236D1">
              <w:rPr>
                <w:rFonts w:ascii="Times New Roman" w:eastAsia="Times New Roman" w:hAnsi="Times New Roman" w:cs="Times New Roman"/>
                <w:b/>
                <w:bCs/>
                <w:color w:val="000000"/>
                <w:kern w:val="0"/>
                <w14:ligatures w14:val="none"/>
              </w:rPr>
              <w:t>)</w:t>
            </w:r>
          </w:p>
        </w:tc>
        <w:tc>
          <w:tcPr>
            <w:tcW w:w="1134" w:type="dxa"/>
            <w:tcBorders>
              <w:top w:val="single" w:sz="8" w:space="0" w:color="auto"/>
              <w:bottom w:val="single" w:sz="8" w:space="0" w:color="auto"/>
            </w:tcBorders>
            <w:vAlign w:val="center"/>
            <w:hideMark/>
          </w:tcPr>
          <w:p w14:paraId="2978A6F7"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Std. Error</w:t>
            </w:r>
          </w:p>
        </w:tc>
        <w:tc>
          <w:tcPr>
            <w:tcW w:w="1276" w:type="dxa"/>
            <w:tcBorders>
              <w:top w:val="single" w:sz="8" w:space="0" w:color="auto"/>
              <w:bottom w:val="single" w:sz="8" w:space="0" w:color="auto"/>
            </w:tcBorders>
            <w:vAlign w:val="center"/>
            <w:hideMark/>
          </w:tcPr>
          <w:p w14:paraId="14AA0A3B"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GARCH Effect (</w:t>
            </w:r>
            <w:proofErr w:type="spellStart"/>
            <w:r w:rsidRPr="004236D1">
              <w:rPr>
                <w:rFonts w:ascii="Times New Roman" w:eastAsia="Times New Roman" w:hAnsi="Times New Roman" w:cs="Times New Roman"/>
                <w:b/>
                <w:bCs/>
                <w:color w:val="000000"/>
                <w:kern w:val="0"/>
                <w14:ligatures w14:val="none"/>
              </w:rPr>
              <w:t>Gii</w:t>
            </w:r>
            <w:proofErr w:type="spellEnd"/>
            <w:r w:rsidRPr="004236D1">
              <w:rPr>
                <w:rFonts w:ascii="Times New Roman" w:eastAsia="Times New Roman" w:hAnsi="Times New Roman" w:cs="Times New Roman"/>
                <w:b/>
                <w:bCs/>
                <w:color w:val="000000"/>
                <w:kern w:val="0"/>
                <w14:ligatures w14:val="none"/>
              </w:rPr>
              <w:t>)</w:t>
            </w:r>
          </w:p>
        </w:tc>
        <w:tc>
          <w:tcPr>
            <w:tcW w:w="1134" w:type="dxa"/>
            <w:tcBorders>
              <w:top w:val="single" w:sz="8" w:space="0" w:color="auto"/>
              <w:bottom w:val="single" w:sz="8" w:space="0" w:color="auto"/>
            </w:tcBorders>
            <w:vAlign w:val="center"/>
            <w:hideMark/>
          </w:tcPr>
          <w:p w14:paraId="5A572B42"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Std. Error</w:t>
            </w:r>
          </w:p>
        </w:tc>
        <w:tc>
          <w:tcPr>
            <w:tcW w:w="1417" w:type="dxa"/>
            <w:tcBorders>
              <w:top w:val="single" w:sz="8" w:space="0" w:color="auto"/>
              <w:bottom w:val="single" w:sz="8" w:space="0" w:color="auto"/>
            </w:tcBorders>
            <w:vAlign w:val="center"/>
            <w:hideMark/>
          </w:tcPr>
          <w:p w14:paraId="5D237B29"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Persistence (</w:t>
            </w:r>
            <w:proofErr w:type="spellStart"/>
            <w:r w:rsidRPr="004236D1">
              <w:rPr>
                <w:rFonts w:ascii="Times New Roman" w:eastAsia="Times New Roman" w:hAnsi="Times New Roman" w:cs="Times New Roman"/>
                <w:b/>
                <w:bCs/>
                <w:color w:val="000000"/>
                <w:kern w:val="0"/>
                <w14:ligatures w14:val="none"/>
              </w:rPr>
              <w:t>Aii</w:t>
            </w:r>
            <w:proofErr w:type="spellEnd"/>
            <w:r w:rsidRPr="004236D1">
              <w:rPr>
                <w:rFonts w:ascii="Times New Roman" w:eastAsia="Times New Roman" w:hAnsi="Times New Roman" w:cs="Times New Roman"/>
                <w:b/>
                <w:bCs/>
                <w:color w:val="000000"/>
                <w:kern w:val="0"/>
                <w14:ligatures w14:val="none"/>
              </w:rPr>
              <w:t xml:space="preserve"> + </w:t>
            </w:r>
            <w:proofErr w:type="spellStart"/>
            <w:r w:rsidRPr="004236D1">
              <w:rPr>
                <w:rFonts w:ascii="Times New Roman" w:eastAsia="Times New Roman" w:hAnsi="Times New Roman" w:cs="Times New Roman"/>
                <w:b/>
                <w:bCs/>
                <w:color w:val="000000"/>
                <w:kern w:val="0"/>
                <w14:ligatures w14:val="none"/>
              </w:rPr>
              <w:t>Gii</w:t>
            </w:r>
            <w:proofErr w:type="spellEnd"/>
            <w:r w:rsidRPr="004236D1">
              <w:rPr>
                <w:rFonts w:ascii="Times New Roman" w:eastAsia="Times New Roman" w:hAnsi="Times New Roman" w:cs="Times New Roman"/>
                <w:b/>
                <w:bCs/>
                <w:color w:val="000000"/>
                <w:kern w:val="0"/>
                <w14:ligatures w14:val="none"/>
              </w:rPr>
              <w:t>)</w:t>
            </w:r>
          </w:p>
        </w:tc>
      </w:tr>
      <w:tr w:rsidR="007B36E3" w:rsidRPr="004236D1" w14:paraId="647F7206" w14:textId="77777777" w:rsidTr="00B113BC">
        <w:trPr>
          <w:trHeight w:val="291"/>
        </w:trPr>
        <w:tc>
          <w:tcPr>
            <w:tcW w:w="2117" w:type="dxa"/>
            <w:tcBorders>
              <w:top w:val="single" w:sz="8" w:space="0" w:color="auto"/>
            </w:tcBorders>
            <w:vAlign w:val="center"/>
            <w:hideMark/>
          </w:tcPr>
          <w:p w14:paraId="5C733FB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Brent Crude Oil (DBCOP)</w:t>
            </w:r>
          </w:p>
        </w:tc>
        <w:tc>
          <w:tcPr>
            <w:tcW w:w="1417" w:type="dxa"/>
            <w:tcBorders>
              <w:top w:val="single" w:sz="8" w:space="0" w:color="auto"/>
            </w:tcBorders>
            <w:vAlign w:val="center"/>
            <w:hideMark/>
          </w:tcPr>
          <w:p w14:paraId="4C5F35C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0.2412</w:t>
            </w:r>
          </w:p>
        </w:tc>
        <w:tc>
          <w:tcPr>
            <w:tcW w:w="1134" w:type="dxa"/>
            <w:tcBorders>
              <w:top w:val="single" w:sz="8" w:space="0" w:color="auto"/>
            </w:tcBorders>
            <w:vAlign w:val="center"/>
            <w:hideMark/>
          </w:tcPr>
          <w:p w14:paraId="7B9FE4C4"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0.0062</w:t>
            </w:r>
          </w:p>
        </w:tc>
        <w:tc>
          <w:tcPr>
            <w:tcW w:w="1276" w:type="dxa"/>
            <w:tcBorders>
              <w:top w:val="single" w:sz="8" w:space="0" w:color="auto"/>
            </w:tcBorders>
            <w:vAlign w:val="center"/>
            <w:hideMark/>
          </w:tcPr>
          <w:p w14:paraId="4018379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0.9187</w:t>
            </w:r>
          </w:p>
        </w:tc>
        <w:tc>
          <w:tcPr>
            <w:tcW w:w="1134" w:type="dxa"/>
            <w:tcBorders>
              <w:top w:val="single" w:sz="8" w:space="0" w:color="auto"/>
            </w:tcBorders>
            <w:vAlign w:val="center"/>
            <w:hideMark/>
          </w:tcPr>
          <w:p w14:paraId="7C19E74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0.006</w:t>
            </w:r>
          </w:p>
        </w:tc>
        <w:tc>
          <w:tcPr>
            <w:tcW w:w="1417" w:type="dxa"/>
            <w:tcBorders>
              <w:top w:val="single" w:sz="8" w:space="0" w:color="auto"/>
            </w:tcBorders>
            <w:vAlign w:val="center"/>
            <w:hideMark/>
          </w:tcPr>
          <w:p w14:paraId="08CABB48"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1.1599</w:t>
            </w:r>
          </w:p>
        </w:tc>
      </w:tr>
      <w:tr w:rsidR="007B36E3" w:rsidRPr="004236D1" w14:paraId="4A52B728" w14:textId="77777777" w:rsidTr="00B113BC">
        <w:trPr>
          <w:trHeight w:val="630"/>
        </w:trPr>
        <w:tc>
          <w:tcPr>
            <w:tcW w:w="2117" w:type="dxa"/>
            <w:vAlign w:val="center"/>
            <w:hideMark/>
          </w:tcPr>
          <w:p w14:paraId="08464B3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Copper (DCOPP)</w:t>
            </w:r>
          </w:p>
        </w:tc>
        <w:tc>
          <w:tcPr>
            <w:tcW w:w="1417" w:type="dxa"/>
            <w:vAlign w:val="center"/>
            <w:hideMark/>
          </w:tcPr>
          <w:p w14:paraId="0BC03A3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0.2636</w:t>
            </w:r>
          </w:p>
        </w:tc>
        <w:tc>
          <w:tcPr>
            <w:tcW w:w="1134" w:type="dxa"/>
            <w:vAlign w:val="center"/>
            <w:hideMark/>
          </w:tcPr>
          <w:p w14:paraId="6885795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0.0139</w:t>
            </w:r>
          </w:p>
        </w:tc>
        <w:tc>
          <w:tcPr>
            <w:tcW w:w="1276" w:type="dxa"/>
            <w:vAlign w:val="center"/>
            <w:hideMark/>
          </w:tcPr>
          <w:p w14:paraId="638DBF8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0.917</w:t>
            </w:r>
          </w:p>
        </w:tc>
        <w:tc>
          <w:tcPr>
            <w:tcW w:w="1134" w:type="dxa"/>
            <w:vAlign w:val="center"/>
            <w:hideMark/>
          </w:tcPr>
          <w:p w14:paraId="4FF9503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0.0102</w:t>
            </w:r>
          </w:p>
        </w:tc>
        <w:tc>
          <w:tcPr>
            <w:tcW w:w="1417" w:type="dxa"/>
            <w:vAlign w:val="center"/>
            <w:hideMark/>
          </w:tcPr>
          <w:p w14:paraId="2A884F30"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1.1807</w:t>
            </w:r>
          </w:p>
        </w:tc>
      </w:tr>
      <w:tr w:rsidR="007B36E3" w:rsidRPr="004236D1" w14:paraId="232086B0" w14:textId="77777777" w:rsidTr="00B113BC">
        <w:trPr>
          <w:trHeight w:val="195"/>
        </w:trPr>
        <w:tc>
          <w:tcPr>
            <w:tcW w:w="2117" w:type="dxa"/>
            <w:vAlign w:val="center"/>
            <w:hideMark/>
          </w:tcPr>
          <w:p w14:paraId="624967C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Exchange Rate (DEXR)</w:t>
            </w:r>
          </w:p>
        </w:tc>
        <w:tc>
          <w:tcPr>
            <w:tcW w:w="1417" w:type="dxa"/>
            <w:vAlign w:val="center"/>
            <w:hideMark/>
          </w:tcPr>
          <w:p w14:paraId="351E120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0.2942</w:t>
            </w:r>
          </w:p>
        </w:tc>
        <w:tc>
          <w:tcPr>
            <w:tcW w:w="1134" w:type="dxa"/>
            <w:vAlign w:val="center"/>
            <w:hideMark/>
          </w:tcPr>
          <w:p w14:paraId="5DA5A7B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0.0132</w:t>
            </w:r>
          </w:p>
        </w:tc>
        <w:tc>
          <w:tcPr>
            <w:tcW w:w="1276" w:type="dxa"/>
            <w:vAlign w:val="center"/>
            <w:hideMark/>
          </w:tcPr>
          <w:p w14:paraId="37204B9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0.9293</w:t>
            </w:r>
          </w:p>
        </w:tc>
        <w:tc>
          <w:tcPr>
            <w:tcW w:w="1134" w:type="dxa"/>
            <w:vAlign w:val="center"/>
            <w:hideMark/>
          </w:tcPr>
          <w:p w14:paraId="6D016C9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0.0075</w:t>
            </w:r>
          </w:p>
        </w:tc>
        <w:tc>
          <w:tcPr>
            <w:tcW w:w="1417" w:type="dxa"/>
            <w:vAlign w:val="center"/>
            <w:hideMark/>
          </w:tcPr>
          <w:p w14:paraId="6AB0FE81"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1.2235</w:t>
            </w:r>
          </w:p>
        </w:tc>
      </w:tr>
      <w:tr w:rsidR="007B36E3" w:rsidRPr="004236D1" w14:paraId="4C4F69B7" w14:textId="77777777" w:rsidTr="00B113BC">
        <w:trPr>
          <w:trHeight w:val="472"/>
        </w:trPr>
        <w:tc>
          <w:tcPr>
            <w:tcW w:w="2117" w:type="dxa"/>
            <w:vAlign w:val="center"/>
            <w:hideMark/>
          </w:tcPr>
          <w:p w14:paraId="31DBD00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Gold (DGOLDP)</w:t>
            </w:r>
          </w:p>
        </w:tc>
        <w:tc>
          <w:tcPr>
            <w:tcW w:w="1417" w:type="dxa"/>
            <w:vAlign w:val="center"/>
            <w:hideMark/>
          </w:tcPr>
          <w:p w14:paraId="58C857F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0.2159</w:t>
            </w:r>
          </w:p>
        </w:tc>
        <w:tc>
          <w:tcPr>
            <w:tcW w:w="1134" w:type="dxa"/>
            <w:vAlign w:val="center"/>
            <w:hideMark/>
          </w:tcPr>
          <w:p w14:paraId="18E353C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0.0112</w:t>
            </w:r>
          </w:p>
        </w:tc>
        <w:tc>
          <w:tcPr>
            <w:tcW w:w="1276" w:type="dxa"/>
            <w:vAlign w:val="center"/>
            <w:hideMark/>
          </w:tcPr>
          <w:p w14:paraId="6411EA3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0.9323</w:t>
            </w:r>
          </w:p>
        </w:tc>
        <w:tc>
          <w:tcPr>
            <w:tcW w:w="1134" w:type="dxa"/>
            <w:vAlign w:val="center"/>
            <w:hideMark/>
          </w:tcPr>
          <w:p w14:paraId="1E52E93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0.0108</w:t>
            </w:r>
          </w:p>
        </w:tc>
        <w:tc>
          <w:tcPr>
            <w:tcW w:w="1417" w:type="dxa"/>
            <w:vAlign w:val="center"/>
            <w:hideMark/>
          </w:tcPr>
          <w:p w14:paraId="6DC8D2E4"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1.1482</w:t>
            </w:r>
          </w:p>
        </w:tc>
      </w:tr>
      <w:tr w:rsidR="007B36E3" w:rsidRPr="004236D1" w14:paraId="27533FAD" w14:textId="77777777" w:rsidTr="00B113BC">
        <w:trPr>
          <w:trHeight w:val="550"/>
        </w:trPr>
        <w:tc>
          <w:tcPr>
            <w:tcW w:w="2117" w:type="dxa"/>
            <w:vAlign w:val="center"/>
            <w:hideMark/>
          </w:tcPr>
          <w:p w14:paraId="1D97791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Natural Gas (DNGAS)</w:t>
            </w:r>
          </w:p>
        </w:tc>
        <w:tc>
          <w:tcPr>
            <w:tcW w:w="1417" w:type="dxa"/>
            <w:vAlign w:val="center"/>
            <w:hideMark/>
          </w:tcPr>
          <w:p w14:paraId="570DE2A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0.2198</w:t>
            </w:r>
          </w:p>
        </w:tc>
        <w:tc>
          <w:tcPr>
            <w:tcW w:w="1134" w:type="dxa"/>
            <w:vAlign w:val="center"/>
            <w:hideMark/>
          </w:tcPr>
          <w:p w14:paraId="4ABD762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0.0076</w:t>
            </w:r>
          </w:p>
        </w:tc>
        <w:tc>
          <w:tcPr>
            <w:tcW w:w="1276" w:type="dxa"/>
            <w:vAlign w:val="center"/>
            <w:hideMark/>
          </w:tcPr>
          <w:p w14:paraId="616A098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0.8788</w:t>
            </w:r>
          </w:p>
        </w:tc>
        <w:tc>
          <w:tcPr>
            <w:tcW w:w="1134" w:type="dxa"/>
            <w:vAlign w:val="center"/>
            <w:hideMark/>
          </w:tcPr>
          <w:p w14:paraId="3BFBB68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0.0086</w:t>
            </w:r>
          </w:p>
        </w:tc>
        <w:tc>
          <w:tcPr>
            <w:tcW w:w="1417" w:type="dxa"/>
            <w:vAlign w:val="center"/>
            <w:hideMark/>
          </w:tcPr>
          <w:p w14:paraId="42969EB4"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1.0986</w:t>
            </w:r>
          </w:p>
        </w:tc>
      </w:tr>
      <w:tr w:rsidR="007B36E3" w:rsidRPr="004236D1" w14:paraId="0A312BA3" w14:textId="77777777" w:rsidTr="00B113BC">
        <w:trPr>
          <w:trHeight w:val="686"/>
        </w:trPr>
        <w:tc>
          <w:tcPr>
            <w:tcW w:w="2117" w:type="dxa"/>
            <w:vAlign w:val="center"/>
            <w:hideMark/>
          </w:tcPr>
          <w:p w14:paraId="3FBE92F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Stock Market (DSTOCKP)</w:t>
            </w:r>
          </w:p>
        </w:tc>
        <w:tc>
          <w:tcPr>
            <w:tcW w:w="1417" w:type="dxa"/>
            <w:vAlign w:val="center"/>
            <w:hideMark/>
          </w:tcPr>
          <w:p w14:paraId="0D199DC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0.3037</w:t>
            </w:r>
          </w:p>
        </w:tc>
        <w:tc>
          <w:tcPr>
            <w:tcW w:w="1134" w:type="dxa"/>
            <w:vAlign w:val="center"/>
            <w:hideMark/>
          </w:tcPr>
          <w:p w14:paraId="2AC7633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0.028</w:t>
            </w:r>
          </w:p>
        </w:tc>
        <w:tc>
          <w:tcPr>
            <w:tcW w:w="1276" w:type="dxa"/>
            <w:vAlign w:val="center"/>
            <w:hideMark/>
          </w:tcPr>
          <w:p w14:paraId="3E351E9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0.883</w:t>
            </w:r>
          </w:p>
        </w:tc>
        <w:tc>
          <w:tcPr>
            <w:tcW w:w="1134" w:type="dxa"/>
            <w:vAlign w:val="center"/>
            <w:hideMark/>
          </w:tcPr>
          <w:p w14:paraId="16E3BE9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0.0212</w:t>
            </w:r>
          </w:p>
        </w:tc>
        <w:tc>
          <w:tcPr>
            <w:tcW w:w="1417" w:type="dxa"/>
            <w:vAlign w:val="center"/>
            <w:hideMark/>
          </w:tcPr>
          <w:p w14:paraId="3A131C4B"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1.1868</w:t>
            </w:r>
          </w:p>
        </w:tc>
      </w:tr>
    </w:tbl>
    <w:p w14:paraId="1B63BD25" w14:textId="77777777" w:rsidR="00F776F2" w:rsidRDefault="00996955" w:rsidP="004236D1">
      <w:pPr>
        <w:spacing w:after="0"/>
        <w:jc w:val="both"/>
        <w:rPr>
          <w:rFonts w:ascii="Times New Roman" w:hAnsi="Times New Roman" w:cs="Times New Roman"/>
        </w:rPr>
      </w:pPr>
      <w:r>
        <w:rPr>
          <w:rFonts w:ascii="Times New Roman" w:hAnsi="Times New Roman" w:cs="Times New Roman"/>
        </w:rPr>
        <w:t>Table 9</w:t>
      </w:r>
      <w:r w:rsidR="00645543" w:rsidRPr="004236D1">
        <w:rPr>
          <w:rFonts w:ascii="Times New Roman" w:hAnsi="Times New Roman" w:cs="Times New Roman"/>
        </w:rPr>
        <w:t xml:space="preserve"> reports the diagonal ARCH and GARCH parameters from the BEKK-</w:t>
      </w:r>
      <w:proofErr w:type="gramStart"/>
      <w:r w:rsidR="00645543" w:rsidRPr="004236D1">
        <w:rPr>
          <w:rFonts w:ascii="Times New Roman" w:hAnsi="Times New Roman" w:cs="Times New Roman"/>
        </w:rPr>
        <w:t>GARCH(</w:t>
      </w:r>
      <w:proofErr w:type="gramEnd"/>
      <w:r w:rsidR="00645543" w:rsidRPr="004236D1">
        <w:rPr>
          <w:rFonts w:ascii="Times New Roman" w:hAnsi="Times New Roman" w:cs="Times New Roman"/>
        </w:rPr>
        <w:t xml:space="preserve">1,1) model and their combined persistence measures. The ARCH coefficients range from 0.2159 for gold to 0.3037 for the stock market, indicating that recent innovations contribute positively to volatility across all six markets. The stock market has the largest ARCH coefficient, implying the greatest immediate sensitivity to new shocks, whereas gold has the smallest. The GARCH coefficients are also relatively high, ranging from 0.8788 for natural gas to 0.9323 for gold, showing that previous conditional volatility remains an important determinant of current volatility. The exchange-rate series has a GARCH coefficient of 0.9293, while Brent crude oil records 0.9187 and copper 0.9170. When the ARCH and GARCH effects are combined, the reported persistence measures exceed unity for every series, ranging from 1.0986 for natural gas to 1.2235 for exchange rate. The exchange rate therefore has the largest reported combined persistence, while natural gas has the smallest. However, because every </w:t>
      </w:r>
      <w:proofErr w:type="spellStart"/>
      <w:r w:rsidR="00645543" w:rsidRPr="004236D1">
        <w:rPr>
          <w:rFonts w:ascii="Times New Roman" w:hAnsi="Times New Roman" w:cs="Times New Roman"/>
        </w:rPr>
        <w:t>Aii</w:t>
      </w:r>
      <w:proofErr w:type="spellEnd"/>
      <w:r w:rsidR="00645543" w:rsidRPr="004236D1">
        <w:rPr>
          <w:rFonts w:ascii="Times New Roman" w:hAnsi="Times New Roman" w:cs="Times New Roman"/>
        </w:rPr>
        <w:t xml:space="preserve"> + </w:t>
      </w:r>
      <w:proofErr w:type="spellStart"/>
      <w:r w:rsidR="00645543" w:rsidRPr="004236D1">
        <w:rPr>
          <w:rFonts w:ascii="Times New Roman" w:hAnsi="Times New Roman" w:cs="Times New Roman"/>
        </w:rPr>
        <w:t>Gii</w:t>
      </w:r>
      <w:proofErr w:type="spellEnd"/>
      <w:r w:rsidR="00645543" w:rsidRPr="004236D1">
        <w:rPr>
          <w:rFonts w:ascii="Times New Roman" w:hAnsi="Times New Roman" w:cs="Times New Roman"/>
        </w:rPr>
        <w:t xml:space="preserve"> measure exceeds one, these figures should be interpreted with caution. </w:t>
      </w:r>
    </w:p>
    <w:p w14:paraId="5C5BFF5E" w14:textId="77777777" w:rsidR="00E3247D" w:rsidRDefault="00E3247D" w:rsidP="004236D1">
      <w:pPr>
        <w:spacing w:after="0"/>
        <w:jc w:val="both"/>
        <w:rPr>
          <w:rFonts w:ascii="Times New Roman" w:hAnsi="Times New Roman" w:cs="Times New Roman"/>
        </w:rPr>
      </w:pPr>
    </w:p>
    <w:p w14:paraId="5060AB90" w14:textId="77777777" w:rsidR="005376EB" w:rsidRDefault="005376EB" w:rsidP="004236D1">
      <w:pPr>
        <w:spacing w:after="0"/>
        <w:jc w:val="both"/>
        <w:rPr>
          <w:rFonts w:ascii="Times New Roman" w:hAnsi="Times New Roman" w:cs="Times New Roman"/>
          <w:b/>
          <w:bCs/>
        </w:rPr>
      </w:pPr>
    </w:p>
    <w:p w14:paraId="27A29B2A" w14:textId="77777777" w:rsidR="005376EB" w:rsidRDefault="005376EB" w:rsidP="004236D1">
      <w:pPr>
        <w:spacing w:after="0"/>
        <w:jc w:val="both"/>
        <w:rPr>
          <w:rFonts w:ascii="Times New Roman" w:hAnsi="Times New Roman" w:cs="Times New Roman"/>
          <w:b/>
          <w:bCs/>
        </w:rPr>
      </w:pPr>
    </w:p>
    <w:p w14:paraId="24276AA8" w14:textId="77777777" w:rsidR="005376EB" w:rsidRDefault="005376EB" w:rsidP="004236D1">
      <w:pPr>
        <w:spacing w:after="0"/>
        <w:jc w:val="both"/>
        <w:rPr>
          <w:rFonts w:ascii="Times New Roman" w:hAnsi="Times New Roman" w:cs="Times New Roman"/>
          <w:b/>
          <w:bCs/>
        </w:rPr>
      </w:pPr>
    </w:p>
    <w:p w14:paraId="1733850D" w14:textId="77777777" w:rsidR="005376EB" w:rsidRDefault="005376EB" w:rsidP="004236D1">
      <w:pPr>
        <w:spacing w:after="0"/>
        <w:jc w:val="both"/>
        <w:rPr>
          <w:rFonts w:ascii="Times New Roman" w:hAnsi="Times New Roman" w:cs="Times New Roman"/>
          <w:b/>
          <w:bCs/>
        </w:rPr>
      </w:pPr>
    </w:p>
    <w:p w14:paraId="2E840B48" w14:textId="77777777" w:rsidR="005376EB" w:rsidRDefault="005376EB" w:rsidP="004236D1">
      <w:pPr>
        <w:spacing w:after="0"/>
        <w:jc w:val="both"/>
        <w:rPr>
          <w:rFonts w:ascii="Times New Roman" w:hAnsi="Times New Roman" w:cs="Times New Roman"/>
          <w:b/>
          <w:bCs/>
        </w:rPr>
      </w:pPr>
    </w:p>
    <w:p w14:paraId="1AB18E8B" w14:textId="77777777" w:rsidR="005376EB" w:rsidRDefault="005376EB" w:rsidP="004236D1">
      <w:pPr>
        <w:spacing w:after="0"/>
        <w:jc w:val="both"/>
        <w:rPr>
          <w:rFonts w:ascii="Times New Roman" w:hAnsi="Times New Roman" w:cs="Times New Roman"/>
          <w:b/>
          <w:bCs/>
        </w:rPr>
      </w:pPr>
    </w:p>
    <w:p w14:paraId="28B6259E" w14:textId="77777777" w:rsidR="005376EB" w:rsidRDefault="005376EB" w:rsidP="004236D1">
      <w:pPr>
        <w:spacing w:after="0"/>
        <w:jc w:val="both"/>
        <w:rPr>
          <w:rFonts w:ascii="Times New Roman" w:hAnsi="Times New Roman" w:cs="Times New Roman"/>
          <w:b/>
          <w:bCs/>
        </w:rPr>
      </w:pPr>
    </w:p>
    <w:p w14:paraId="6ECDDDEF" w14:textId="77777777" w:rsidR="005376EB" w:rsidRDefault="005376EB" w:rsidP="004236D1">
      <w:pPr>
        <w:spacing w:after="0"/>
        <w:jc w:val="both"/>
        <w:rPr>
          <w:rFonts w:ascii="Times New Roman" w:hAnsi="Times New Roman" w:cs="Times New Roman"/>
          <w:b/>
          <w:bCs/>
        </w:rPr>
      </w:pPr>
    </w:p>
    <w:p w14:paraId="6AC81B39" w14:textId="77777777" w:rsidR="005376EB" w:rsidRDefault="005376EB" w:rsidP="004236D1">
      <w:pPr>
        <w:spacing w:after="0"/>
        <w:jc w:val="both"/>
        <w:rPr>
          <w:rFonts w:ascii="Times New Roman" w:hAnsi="Times New Roman" w:cs="Times New Roman"/>
          <w:b/>
          <w:bCs/>
        </w:rPr>
      </w:pPr>
    </w:p>
    <w:p w14:paraId="19C94E39" w14:textId="77777777" w:rsidR="005376EB" w:rsidRDefault="005376EB" w:rsidP="004236D1">
      <w:pPr>
        <w:spacing w:after="0"/>
        <w:jc w:val="both"/>
        <w:rPr>
          <w:rFonts w:ascii="Times New Roman" w:hAnsi="Times New Roman" w:cs="Times New Roman"/>
          <w:b/>
          <w:bCs/>
        </w:rPr>
      </w:pPr>
    </w:p>
    <w:p w14:paraId="5ACAA591" w14:textId="77777777" w:rsidR="007B36E3" w:rsidRPr="004236D1" w:rsidRDefault="00DE38A4" w:rsidP="004236D1">
      <w:pPr>
        <w:spacing w:after="0"/>
        <w:jc w:val="both"/>
        <w:rPr>
          <w:rFonts w:ascii="Times New Roman" w:hAnsi="Times New Roman" w:cs="Times New Roman"/>
          <w:b/>
          <w:bCs/>
        </w:rPr>
      </w:pPr>
      <w:r>
        <w:rPr>
          <w:rFonts w:ascii="Times New Roman" w:hAnsi="Times New Roman" w:cs="Times New Roman"/>
          <w:b/>
          <w:bCs/>
        </w:rPr>
        <w:lastRenderedPageBreak/>
        <w:t>Table 11</w:t>
      </w:r>
      <w:r w:rsidR="007B36E3" w:rsidRPr="004236D1">
        <w:rPr>
          <w:rFonts w:ascii="Times New Roman" w:hAnsi="Times New Roman" w:cs="Times New Roman"/>
          <w:b/>
          <w:bCs/>
        </w:rPr>
        <w:t>: Estimated BEKK ARCH (A) Matrix</w:t>
      </w:r>
    </w:p>
    <w:tbl>
      <w:tblPr>
        <w:tblW w:w="6720" w:type="dxa"/>
        <w:tblBorders>
          <w:top w:val="single" w:sz="4" w:space="0" w:color="auto"/>
          <w:bottom w:val="single" w:sz="4" w:space="0" w:color="auto"/>
        </w:tblBorders>
        <w:tblLook w:val="04A0" w:firstRow="1" w:lastRow="0" w:firstColumn="1" w:lastColumn="0" w:noHBand="0" w:noVBand="1"/>
      </w:tblPr>
      <w:tblGrid>
        <w:gridCol w:w="1377"/>
        <w:gridCol w:w="996"/>
        <w:gridCol w:w="1017"/>
        <w:gridCol w:w="996"/>
        <w:gridCol w:w="1190"/>
        <w:gridCol w:w="1043"/>
        <w:gridCol w:w="1310"/>
      </w:tblGrid>
      <w:tr w:rsidR="007B36E3" w:rsidRPr="004236D1" w14:paraId="3E03BEF3" w14:textId="77777777" w:rsidTr="00B113BC">
        <w:trPr>
          <w:trHeight w:val="630"/>
        </w:trPr>
        <w:tc>
          <w:tcPr>
            <w:tcW w:w="963" w:type="dxa"/>
            <w:tcBorders>
              <w:top w:val="single" w:sz="4" w:space="0" w:color="auto"/>
              <w:bottom w:val="single" w:sz="4" w:space="0" w:color="auto"/>
            </w:tcBorders>
            <w:vAlign w:val="center"/>
            <w:hideMark/>
          </w:tcPr>
          <w:p w14:paraId="2B3E82BE"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tcBorders>
              <w:top w:val="single" w:sz="4" w:space="0" w:color="auto"/>
              <w:bottom w:val="single" w:sz="4" w:space="0" w:color="auto"/>
            </w:tcBorders>
            <w:vAlign w:val="center"/>
            <w:hideMark/>
          </w:tcPr>
          <w:p w14:paraId="182A8F6A"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959" w:type="dxa"/>
            <w:tcBorders>
              <w:top w:val="single" w:sz="4" w:space="0" w:color="auto"/>
              <w:bottom w:val="single" w:sz="4" w:space="0" w:color="auto"/>
            </w:tcBorders>
            <w:vAlign w:val="center"/>
            <w:hideMark/>
          </w:tcPr>
          <w:p w14:paraId="33CC8790"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959" w:type="dxa"/>
            <w:tcBorders>
              <w:top w:val="single" w:sz="4" w:space="0" w:color="auto"/>
              <w:bottom w:val="single" w:sz="4" w:space="0" w:color="auto"/>
            </w:tcBorders>
            <w:vAlign w:val="center"/>
            <w:hideMark/>
          </w:tcPr>
          <w:p w14:paraId="48795FAD"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959" w:type="dxa"/>
            <w:tcBorders>
              <w:top w:val="single" w:sz="4" w:space="0" w:color="auto"/>
              <w:bottom w:val="single" w:sz="4" w:space="0" w:color="auto"/>
            </w:tcBorders>
            <w:vAlign w:val="center"/>
            <w:hideMark/>
          </w:tcPr>
          <w:p w14:paraId="73584ACF"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959" w:type="dxa"/>
            <w:tcBorders>
              <w:top w:val="single" w:sz="4" w:space="0" w:color="auto"/>
              <w:bottom w:val="single" w:sz="4" w:space="0" w:color="auto"/>
            </w:tcBorders>
            <w:vAlign w:val="center"/>
            <w:hideMark/>
          </w:tcPr>
          <w:p w14:paraId="1D3AD4AC"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962" w:type="dxa"/>
            <w:tcBorders>
              <w:top w:val="single" w:sz="4" w:space="0" w:color="auto"/>
              <w:bottom w:val="single" w:sz="4" w:space="0" w:color="auto"/>
            </w:tcBorders>
            <w:vAlign w:val="center"/>
            <w:hideMark/>
          </w:tcPr>
          <w:p w14:paraId="74FD8C7E"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1D22588D" w14:textId="77777777" w:rsidTr="00B113BC">
        <w:trPr>
          <w:trHeight w:val="315"/>
        </w:trPr>
        <w:tc>
          <w:tcPr>
            <w:tcW w:w="963" w:type="dxa"/>
            <w:tcBorders>
              <w:top w:val="single" w:sz="4" w:space="0" w:color="auto"/>
            </w:tcBorders>
            <w:vAlign w:val="center"/>
            <w:hideMark/>
          </w:tcPr>
          <w:p w14:paraId="30C14FD0"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959" w:type="dxa"/>
            <w:tcBorders>
              <w:top w:val="single" w:sz="4" w:space="0" w:color="auto"/>
            </w:tcBorders>
            <w:vAlign w:val="center"/>
            <w:hideMark/>
          </w:tcPr>
          <w:p w14:paraId="031FA8BF"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0.2412</w:t>
            </w:r>
            <w:r w:rsidRPr="004236D1">
              <w:rPr>
                <w:rFonts w:ascii="Times New Roman" w:eastAsia="Times New Roman" w:hAnsi="Times New Roman" w:cs="Times New Roman"/>
                <w:color w:val="000000"/>
                <w:kern w:val="0"/>
                <w14:ligatures w14:val="none"/>
              </w:rPr>
              <w:t>*</w:t>
            </w:r>
          </w:p>
        </w:tc>
        <w:tc>
          <w:tcPr>
            <w:tcW w:w="959" w:type="dxa"/>
            <w:tcBorders>
              <w:top w:val="single" w:sz="4" w:space="0" w:color="auto"/>
            </w:tcBorders>
            <w:vAlign w:val="center"/>
            <w:hideMark/>
          </w:tcPr>
          <w:p w14:paraId="7099541E"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-0.0031</w:t>
            </w:r>
          </w:p>
        </w:tc>
        <w:tc>
          <w:tcPr>
            <w:tcW w:w="959" w:type="dxa"/>
            <w:tcBorders>
              <w:top w:val="single" w:sz="4" w:space="0" w:color="auto"/>
            </w:tcBorders>
            <w:vAlign w:val="center"/>
            <w:hideMark/>
          </w:tcPr>
          <w:p w14:paraId="453CED99"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w:t>
            </w:r>
          </w:p>
        </w:tc>
        <w:tc>
          <w:tcPr>
            <w:tcW w:w="959" w:type="dxa"/>
            <w:tcBorders>
              <w:top w:val="single" w:sz="4" w:space="0" w:color="auto"/>
            </w:tcBorders>
            <w:vAlign w:val="center"/>
            <w:hideMark/>
          </w:tcPr>
          <w:p w14:paraId="4D73EA50"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0.0183</w:t>
            </w:r>
          </w:p>
        </w:tc>
        <w:tc>
          <w:tcPr>
            <w:tcW w:w="959" w:type="dxa"/>
            <w:tcBorders>
              <w:top w:val="single" w:sz="4" w:space="0" w:color="auto"/>
            </w:tcBorders>
            <w:vAlign w:val="center"/>
            <w:hideMark/>
          </w:tcPr>
          <w:p w14:paraId="72F0CFD5"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-0.0494</w:t>
            </w:r>
          </w:p>
        </w:tc>
        <w:tc>
          <w:tcPr>
            <w:tcW w:w="962" w:type="dxa"/>
            <w:tcBorders>
              <w:top w:val="single" w:sz="4" w:space="0" w:color="auto"/>
            </w:tcBorders>
            <w:vAlign w:val="center"/>
            <w:hideMark/>
          </w:tcPr>
          <w:p w14:paraId="1B62173E"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0.0212</w:t>
            </w:r>
          </w:p>
        </w:tc>
      </w:tr>
      <w:tr w:rsidR="007B36E3" w:rsidRPr="004236D1" w14:paraId="1A8F5AA4" w14:textId="77777777" w:rsidTr="00B113BC">
        <w:trPr>
          <w:trHeight w:val="315"/>
        </w:trPr>
        <w:tc>
          <w:tcPr>
            <w:tcW w:w="963" w:type="dxa"/>
            <w:vAlign w:val="center"/>
            <w:hideMark/>
          </w:tcPr>
          <w:p w14:paraId="49ABE773"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959" w:type="dxa"/>
            <w:vAlign w:val="center"/>
            <w:hideMark/>
          </w:tcPr>
          <w:p w14:paraId="62DAF28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0.0024</w:t>
            </w:r>
          </w:p>
        </w:tc>
        <w:tc>
          <w:tcPr>
            <w:tcW w:w="959" w:type="dxa"/>
            <w:vAlign w:val="center"/>
            <w:hideMark/>
          </w:tcPr>
          <w:p w14:paraId="04971763"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0.2636</w:t>
            </w:r>
            <w:r w:rsidRPr="004236D1">
              <w:rPr>
                <w:rFonts w:ascii="Times New Roman" w:eastAsia="Times New Roman" w:hAnsi="Times New Roman" w:cs="Times New Roman"/>
                <w:color w:val="000000"/>
                <w:kern w:val="0"/>
                <w14:ligatures w14:val="none"/>
              </w:rPr>
              <w:t>*</w:t>
            </w:r>
          </w:p>
        </w:tc>
        <w:tc>
          <w:tcPr>
            <w:tcW w:w="959" w:type="dxa"/>
            <w:vAlign w:val="center"/>
            <w:hideMark/>
          </w:tcPr>
          <w:p w14:paraId="3368EB7C"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-0.0206</w:t>
            </w:r>
          </w:p>
        </w:tc>
        <w:tc>
          <w:tcPr>
            <w:tcW w:w="959" w:type="dxa"/>
            <w:vAlign w:val="center"/>
            <w:hideMark/>
          </w:tcPr>
          <w:p w14:paraId="5B1EC891"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0.0325</w:t>
            </w:r>
          </w:p>
        </w:tc>
        <w:tc>
          <w:tcPr>
            <w:tcW w:w="959" w:type="dxa"/>
            <w:vAlign w:val="center"/>
            <w:hideMark/>
          </w:tcPr>
          <w:p w14:paraId="4701385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0.0152</w:t>
            </w:r>
          </w:p>
        </w:tc>
        <w:tc>
          <w:tcPr>
            <w:tcW w:w="962" w:type="dxa"/>
            <w:vAlign w:val="center"/>
            <w:hideMark/>
          </w:tcPr>
          <w:p w14:paraId="14DA6CDF"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0.0856</w:t>
            </w:r>
          </w:p>
        </w:tc>
      </w:tr>
      <w:tr w:rsidR="007B36E3" w:rsidRPr="004236D1" w14:paraId="5FBAF0A2" w14:textId="77777777" w:rsidTr="00B113BC">
        <w:trPr>
          <w:trHeight w:val="315"/>
        </w:trPr>
        <w:tc>
          <w:tcPr>
            <w:tcW w:w="963" w:type="dxa"/>
            <w:vAlign w:val="center"/>
            <w:hideMark/>
          </w:tcPr>
          <w:p w14:paraId="0894FED4"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959" w:type="dxa"/>
            <w:vAlign w:val="center"/>
            <w:hideMark/>
          </w:tcPr>
          <w:p w14:paraId="5700B5CC"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0.0412</w:t>
            </w:r>
          </w:p>
        </w:tc>
        <w:tc>
          <w:tcPr>
            <w:tcW w:w="959" w:type="dxa"/>
            <w:vAlign w:val="center"/>
            <w:hideMark/>
          </w:tcPr>
          <w:p w14:paraId="514B487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0.0289</w:t>
            </w:r>
          </w:p>
        </w:tc>
        <w:tc>
          <w:tcPr>
            <w:tcW w:w="959" w:type="dxa"/>
            <w:vAlign w:val="center"/>
            <w:hideMark/>
          </w:tcPr>
          <w:p w14:paraId="5027287C"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0.2942</w:t>
            </w:r>
            <w:r w:rsidRPr="004236D1">
              <w:rPr>
                <w:rFonts w:ascii="Times New Roman" w:eastAsia="Times New Roman" w:hAnsi="Times New Roman" w:cs="Times New Roman"/>
                <w:color w:val="000000"/>
                <w:kern w:val="0"/>
                <w14:ligatures w14:val="none"/>
              </w:rPr>
              <w:t>*</w:t>
            </w:r>
          </w:p>
        </w:tc>
        <w:tc>
          <w:tcPr>
            <w:tcW w:w="959" w:type="dxa"/>
            <w:vAlign w:val="center"/>
            <w:hideMark/>
          </w:tcPr>
          <w:p w14:paraId="09490C8B"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0.024</w:t>
            </w:r>
          </w:p>
        </w:tc>
        <w:tc>
          <w:tcPr>
            <w:tcW w:w="959" w:type="dxa"/>
            <w:vAlign w:val="center"/>
            <w:hideMark/>
          </w:tcPr>
          <w:p w14:paraId="5272EEC3"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-0.0294</w:t>
            </w:r>
          </w:p>
        </w:tc>
        <w:tc>
          <w:tcPr>
            <w:tcW w:w="962" w:type="dxa"/>
            <w:vAlign w:val="center"/>
            <w:hideMark/>
          </w:tcPr>
          <w:p w14:paraId="1E3E868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0.0016</w:t>
            </w:r>
          </w:p>
        </w:tc>
      </w:tr>
      <w:tr w:rsidR="007B36E3" w:rsidRPr="004236D1" w14:paraId="272E880E" w14:textId="77777777" w:rsidTr="00B113BC">
        <w:trPr>
          <w:trHeight w:val="315"/>
        </w:trPr>
        <w:tc>
          <w:tcPr>
            <w:tcW w:w="963" w:type="dxa"/>
            <w:vAlign w:val="center"/>
            <w:hideMark/>
          </w:tcPr>
          <w:p w14:paraId="21AE54AA"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959" w:type="dxa"/>
            <w:vAlign w:val="center"/>
            <w:hideMark/>
          </w:tcPr>
          <w:p w14:paraId="37F2C11F"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0.0227</w:t>
            </w:r>
          </w:p>
        </w:tc>
        <w:tc>
          <w:tcPr>
            <w:tcW w:w="959" w:type="dxa"/>
            <w:vAlign w:val="center"/>
            <w:hideMark/>
          </w:tcPr>
          <w:p w14:paraId="76E7810C"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0.0071</w:t>
            </w:r>
          </w:p>
        </w:tc>
        <w:tc>
          <w:tcPr>
            <w:tcW w:w="959" w:type="dxa"/>
            <w:vAlign w:val="center"/>
            <w:hideMark/>
          </w:tcPr>
          <w:p w14:paraId="2A4EB1CE"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-0.0624</w:t>
            </w:r>
          </w:p>
        </w:tc>
        <w:tc>
          <w:tcPr>
            <w:tcW w:w="959" w:type="dxa"/>
            <w:vAlign w:val="center"/>
            <w:hideMark/>
          </w:tcPr>
          <w:p w14:paraId="2807FCD6"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0.2159</w:t>
            </w:r>
            <w:r w:rsidRPr="004236D1">
              <w:rPr>
                <w:rFonts w:ascii="Times New Roman" w:eastAsia="Times New Roman" w:hAnsi="Times New Roman" w:cs="Times New Roman"/>
                <w:color w:val="000000"/>
                <w:kern w:val="0"/>
                <w14:ligatures w14:val="none"/>
              </w:rPr>
              <w:t>*</w:t>
            </w:r>
          </w:p>
        </w:tc>
        <w:tc>
          <w:tcPr>
            <w:tcW w:w="959" w:type="dxa"/>
            <w:vAlign w:val="center"/>
            <w:hideMark/>
          </w:tcPr>
          <w:p w14:paraId="557B5EC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-0.0953</w:t>
            </w:r>
          </w:p>
        </w:tc>
        <w:tc>
          <w:tcPr>
            <w:tcW w:w="962" w:type="dxa"/>
            <w:vAlign w:val="center"/>
            <w:hideMark/>
          </w:tcPr>
          <w:p w14:paraId="78EFEB9B"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-0.0243</w:t>
            </w:r>
          </w:p>
        </w:tc>
      </w:tr>
      <w:tr w:rsidR="007B36E3" w:rsidRPr="004236D1" w14:paraId="08FD0AC4" w14:textId="77777777" w:rsidTr="00B113BC">
        <w:trPr>
          <w:trHeight w:val="315"/>
        </w:trPr>
        <w:tc>
          <w:tcPr>
            <w:tcW w:w="963" w:type="dxa"/>
            <w:vAlign w:val="center"/>
            <w:hideMark/>
          </w:tcPr>
          <w:p w14:paraId="3F26468B" w14:textId="77777777" w:rsidR="007B36E3" w:rsidRPr="005376EB" w:rsidRDefault="007B36E3" w:rsidP="004236D1">
            <w:pPr>
              <w:spacing w:after="0" w:line="36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959" w:type="dxa"/>
            <w:vAlign w:val="center"/>
            <w:hideMark/>
          </w:tcPr>
          <w:p w14:paraId="3A6D2AF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0.0135</w:t>
            </w:r>
          </w:p>
        </w:tc>
        <w:tc>
          <w:tcPr>
            <w:tcW w:w="959" w:type="dxa"/>
            <w:vAlign w:val="center"/>
            <w:hideMark/>
          </w:tcPr>
          <w:p w14:paraId="091567B3"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0.0031</w:t>
            </w:r>
          </w:p>
        </w:tc>
        <w:tc>
          <w:tcPr>
            <w:tcW w:w="959" w:type="dxa"/>
            <w:vAlign w:val="center"/>
            <w:hideMark/>
          </w:tcPr>
          <w:p w14:paraId="1537F314"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-0.0305</w:t>
            </w:r>
          </w:p>
        </w:tc>
        <w:tc>
          <w:tcPr>
            <w:tcW w:w="959" w:type="dxa"/>
            <w:vAlign w:val="center"/>
            <w:hideMark/>
          </w:tcPr>
          <w:p w14:paraId="1E7510D2"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-0.0016</w:t>
            </w:r>
          </w:p>
        </w:tc>
        <w:tc>
          <w:tcPr>
            <w:tcW w:w="959" w:type="dxa"/>
            <w:vAlign w:val="center"/>
            <w:hideMark/>
          </w:tcPr>
          <w:p w14:paraId="0C1317DE"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0.2198</w:t>
            </w:r>
            <w:r w:rsidRPr="004236D1">
              <w:rPr>
                <w:rFonts w:ascii="Times New Roman" w:eastAsia="Times New Roman" w:hAnsi="Times New Roman" w:cs="Times New Roman"/>
                <w:color w:val="000000"/>
                <w:kern w:val="0"/>
                <w14:ligatures w14:val="none"/>
              </w:rPr>
              <w:t>*</w:t>
            </w:r>
          </w:p>
        </w:tc>
        <w:tc>
          <w:tcPr>
            <w:tcW w:w="962" w:type="dxa"/>
            <w:vAlign w:val="center"/>
            <w:hideMark/>
          </w:tcPr>
          <w:p w14:paraId="53874F60"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0.0293</w:t>
            </w:r>
          </w:p>
        </w:tc>
      </w:tr>
      <w:tr w:rsidR="007B36E3" w:rsidRPr="004236D1" w14:paraId="716421BF" w14:textId="77777777" w:rsidTr="00B113BC">
        <w:trPr>
          <w:trHeight w:val="630"/>
        </w:trPr>
        <w:tc>
          <w:tcPr>
            <w:tcW w:w="963" w:type="dxa"/>
            <w:vAlign w:val="center"/>
            <w:hideMark/>
          </w:tcPr>
          <w:p w14:paraId="6E92C277"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DSTOCKP</w:t>
            </w:r>
          </w:p>
        </w:tc>
        <w:tc>
          <w:tcPr>
            <w:tcW w:w="959" w:type="dxa"/>
            <w:vAlign w:val="center"/>
            <w:hideMark/>
          </w:tcPr>
          <w:p w14:paraId="0F3B311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0.1079</w:t>
            </w:r>
          </w:p>
        </w:tc>
        <w:tc>
          <w:tcPr>
            <w:tcW w:w="959" w:type="dxa"/>
            <w:vAlign w:val="center"/>
            <w:hideMark/>
          </w:tcPr>
          <w:p w14:paraId="6CD6FB85"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0.0032</w:t>
            </w:r>
          </w:p>
        </w:tc>
        <w:tc>
          <w:tcPr>
            <w:tcW w:w="959" w:type="dxa"/>
            <w:vAlign w:val="center"/>
            <w:hideMark/>
          </w:tcPr>
          <w:p w14:paraId="0E7C180D"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-0.0985</w:t>
            </w:r>
          </w:p>
        </w:tc>
        <w:tc>
          <w:tcPr>
            <w:tcW w:w="959" w:type="dxa"/>
            <w:vAlign w:val="center"/>
            <w:hideMark/>
          </w:tcPr>
          <w:p w14:paraId="49B37294"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-0.0394</w:t>
            </w:r>
          </w:p>
        </w:tc>
        <w:tc>
          <w:tcPr>
            <w:tcW w:w="959" w:type="dxa"/>
            <w:vAlign w:val="center"/>
            <w:hideMark/>
          </w:tcPr>
          <w:p w14:paraId="043F7907" w14:textId="77777777" w:rsidR="007B36E3" w:rsidRPr="004236D1" w:rsidRDefault="007B36E3" w:rsidP="004236D1">
            <w:pPr>
              <w:spacing w:after="0" w:line="36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-0.0699</w:t>
            </w:r>
          </w:p>
        </w:tc>
        <w:tc>
          <w:tcPr>
            <w:tcW w:w="962" w:type="dxa"/>
            <w:vAlign w:val="center"/>
            <w:hideMark/>
          </w:tcPr>
          <w:p w14:paraId="1212AC2E"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0.3037</w:t>
            </w:r>
            <w:r w:rsidRPr="004236D1">
              <w:rPr>
                <w:rFonts w:ascii="Times New Roman" w:eastAsia="Times New Roman" w:hAnsi="Times New Roman" w:cs="Times New Roman"/>
                <w:color w:val="000000"/>
                <w:kern w:val="0"/>
                <w14:ligatures w14:val="none"/>
              </w:rPr>
              <w:t>*</w:t>
            </w:r>
          </w:p>
        </w:tc>
      </w:tr>
      <w:tr w:rsidR="007B36E3" w:rsidRPr="004236D1" w14:paraId="3BC38060" w14:textId="77777777" w:rsidTr="00B113BC">
        <w:trPr>
          <w:trHeight w:val="315"/>
        </w:trPr>
        <w:tc>
          <w:tcPr>
            <w:tcW w:w="963" w:type="dxa"/>
            <w:vAlign w:val="center"/>
            <w:hideMark/>
          </w:tcPr>
          <w:p w14:paraId="296F8FB4" w14:textId="77777777" w:rsidR="007B36E3" w:rsidRPr="004236D1" w:rsidRDefault="007B36E3" w:rsidP="004236D1">
            <w:pPr>
              <w:spacing w:after="0" w:line="360" w:lineRule="auto"/>
              <w:jc w:val="both"/>
              <w:rPr>
                <w:rFonts w:ascii="Times New Roman" w:eastAsia="Times New Roman" w:hAnsi="Times New Roman" w:cs="Times New Roman"/>
                <w:b/>
                <w:bCs/>
                <w:color w:val="000000"/>
                <w:kern w:val="0"/>
                <w14:ligatures w14:val="none"/>
              </w:rPr>
            </w:pPr>
          </w:p>
        </w:tc>
        <w:tc>
          <w:tcPr>
            <w:tcW w:w="959" w:type="dxa"/>
            <w:vAlign w:val="center"/>
            <w:hideMark/>
          </w:tcPr>
          <w:p w14:paraId="37E8B4D9"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756EB51B"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3326C991"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720F83C8"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59" w:type="dxa"/>
            <w:vAlign w:val="center"/>
            <w:hideMark/>
          </w:tcPr>
          <w:p w14:paraId="583F9421"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c>
          <w:tcPr>
            <w:tcW w:w="962" w:type="dxa"/>
            <w:vAlign w:val="center"/>
            <w:hideMark/>
          </w:tcPr>
          <w:p w14:paraId="1A22953A" w14:textId="77777777" w:rsidR="007B36E3" w:rsidRPr="004236D1" w:rsidRDefault="007B36E3" w:rsidP="004236D1">
            <w:pPr>
              <w:spacing w:after="0" w:line="360" w:lineRule="auto"/>
              <w:jc w:val="both"/>
              <w:rPr>
                <w:rFonts w:ascii="Times New Roman" w:eastAsia="Times New Roman" w:hAnsi="Times New Roman" w:cs="Times New Roman"/>
                <w:kern w:val="0"/>
                <w14:ligatures w14:val="none"/>
              </w:rPr>
            </w:pPr>
          </w:p>
        </w:tc>
      </w:tr>
    </w:tbl>
    <w:p w14:paraId="5620C674" w14:textId="77777777" w:rsidR="007B36E3" w:rsidRPr="004236D1" w:rsidRDefault="007B36E3" w:rsidP="004236D1">
      <w:pPr>
        <w:spacing w:after="0"/>
        <w:jc w:val="both"/>
        <w:rPr>
          <w:rFonts w:ascii="Times New Roman" w:hAnsi="Times New Roman" w:cs="Times New Roman"/>
        </w:rPr>
      </w:pPr>
      <w:r w:rsidRPr="004236D1">
        <w:rPr>
          <w:rFonts w:ascii="Times New Roman" w:hAnsi="Times New Roman" w:cs="Times New Roman"/>
          <w:b/>
          <w:bCs/>
        </w:rPr>
        <w:t>Note:</w:t>
      </w:r>
      <w:r w:rsidRPr="004236D1">
        <w:rPr>
          <w:rFonts w:ascii="Times New Roman" w:hAnsi="Times New Roman" w:cs="Times New Roman"/>
        </w:rPr>
        <w:t xml:space="preserve"> *** denotes statistically significant diagonal (own ARCH) effects based on the estimated t-statistics (|t| &gt; 1.96).</w:t>
      </w:r>
    </w:p>
    <w:p w14:paraId="426A3957" w14:textId="77777777" w:rsidR="007B36E3" w:rsidRPr="004236D1" w:rsidRDefault="007B36E3" w:rsidP="004236D1">
      <w:pPr>
        <w:spacing w:after="0"/>
        <w:jc w:val="both"/>
        <w:rPr>
          <w:rFonts w:ascii="Times New Roman" w:hAnsi="Times New Roman" w:cs="Times New Roman"/>
          <w:b/>
          <w:bCs/>
        </w:rPr>
      </w:pPr>
    </w:p>
    <w:p w14:paraId="00269959" w14:textId="77777777" w:rsidR="007B36E3" w:rsidRPr="004236D1" w:rsidRDefault="00000000" w:rsidP="004236D1">
      <w:pPr>
        <w:spacing w:after="0"/>
        <w:jc w:val="both"/>
        <w:rPr>
          <w:rFonts w:ascii="Times New Roman" w:hAnsi="Times New Roman" w:cs="Times New Roman"/>
          <w:b/>
          <w:bCs/>
        </w:rPr>
      </w:pPr>
      <m:oMathPara>
        <m:oMath>
          <m:sSub>
            <m:sSubPr>
              <m:ctrlPr>
                <w:rPr>
                  <w:rFonts w:ascii="Cambria Math" w:hAnsi="Cambria Math" w:cs="Times New Roman"/>
                  <w:b/>
                  <w:bCs/>
                </w:rPr>
              </m:ctrlPr>
            </m:sSubPr>
            <m:e>
              <m:r>
                <m:rPr>
                  <m:sty m:val="bi"/>
                </m:rPr>
                <w:rPr>
                  <w:rFonts w:ascii="Cambria Math" w:hAnsi="Cambria Math" w:cs="Times New Roman"/>
                </w:rPr>
                <m:t>A</m:t>
              </m:r>
            </m:e>
            <m:sub>
              <m:r>
                <m:rPr>
                  <m:sty m:val="bi"/>
                </m:rPr>
                <w:rPr>
                  <w:rFonts w:ascii="Cambria Math" w:hAnsi="Cambria Math" w:cs="Times New Roman"/>
                </w:rPr>
                <m:t>ii</m:t>
              </m:r>
            </m:sub>
          </m:sSub>
          <m:r>
            <m:rPr>
              <m:sty m:val="bi"/>
            </m:rPr>
            <w:rPr>
              <w:rFonts w:ascii="Cambria Math" w:hAnsi="Cambria Math" w:cs="Times New Roman"/>
            </w:rPr>
            <m:t>=</m:t>
          </m:r>
          <m:d>
            <m:dPr>
              <m:begChr m:val="["/>
              <m:endChr m:val="]"/>
              <m:ctrlPr>
                <w:rPr>
                  <w:rFonts w:ascii="Cambria Math" w:hAnsi="Cambria Math" w:cs="Times New Roman"/>
                  <w:b/>
                  <w:bCs/>
                </w:rPr>
              </m:ctrlPr>
            </m:dPr>
            <m:e>
              <m:m>
                <m:mPr>
                  <m:plcHide m:val="1"/>
                  <m:mcs>
                    <m:mc>
                      <m:mcPr>
                        <m:count m:val="6"/>
                        <m:mcJc m:val="center"/>
                      </m:mcPr>
                    </m:mc>
                  </m:mcs>
                  <m:ctrlPr>
                    <w:rPr>
                      <w:rFonts w:ascii="Cambria Math" w:hAnsi="Cambria Math" w:cs="Times New Roman"/>
                    </w:rPr>
                  </m:ctrlPr>
                </m:mPr>
                <m:mr>
                  <m:e>
                    <m:r>
                      <w:rPr>
                        <w:rFonts w:ascii="Cambria Math" w:hAnsi="Cambria Math" w:cs="Times New Roman"/>
                      </w:rPr>
                      <m:t>0.2412</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0.2636</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0.2942</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0.2159</m:t>
                    </m:r>
                  </m:e>
                  <m:e>
                    <m:r>
                      <w:rPr>
                        <w:rFonts w:ascii="Cambria Math" w:hAnsi="Cambria Math" w:cs="Times New Roman"/>
                      </w:rPr>
                      <m:t>-</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0.2198</m:t>
                    </m:r>
                  </m:e>
                  <m:e>
                    <m:r>
                      <w:rPr>
                        <w:rFonts w:ascii="Cambria Math" w:hAnsi="Cambria Math" w:cs="Times New Roman"/>
                      </w:rPr>
                      <m:t>-</m:t>
                    </m:r>
                  </m:e>
                </m:mr>
                <m:mr>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m:t>
                    </m:r>
                  </m:e>
                  <m:e>
                    <m:r>
                      <w:rPr>
                        <w:rFonts w:ascii="Cambria Math" w:hAnsi="Cambria Math" w:cs="Times New Roman"/>
                      </w:rPr>
                      <m:t>0.3037</m:t>
                    </m:r>
                  </m:e>
                </m:mr>
              </m:m>
            </m:e>
          </m:d>
        </m:oMath>
      </m:oMathPara>
    </w:p>
    <w:p w14:paraId="63D59D88" w14:textId="77777777" w:rsidR="007B36E3" w:rsidRPr="004236D1" w:rsidRDefault="00E125C3" w:rsidP="004236D1">
      <w:pPr>
        <w:tabs>
          <w:tab w:val="left" w:pos="2304"/>
        </w:tabs>
        <w:spacing w:after="0" w:line="480" w:lineRule="auto"/>
        <w:jc w:val="both"/>
        <w:rPr>
          <w:rFonts w:ascii="Times New Roman" w:hAnsi="Times New Roman" w:cs="Times New Roman"/>
          <w:bCs/>
        </w:rPr>
      </w:pPr>
      <w:r>
        <w:rPr>
          <w:rFonts w:ascii="Times New Roman" w:hAnsi="Times New Roman" w:cs="Times New Roman"/>
        </w:rPr>
        <w:t>Table 11</w:t>
      </w:r>
      <w:r w:rsidR="00645543" w:rsidRPr="004236D1">
        <w:rPr>
          <w:rFonts w:ascii="Times New Roman" w:hAnsi="Times New Roman" w:cs="Times New Roman"/>
        </w:rPr>
        <w:t xml:space="preserve"> presents the full BEKK ARCH matrix, thereby extending the analysis beyond the diagonal own-market effects. The significant diagonal elements are 0.2412 for DEXR, 0.2636 for DBCOP, 0.2942 for DCOPP, 0.2159 for DGOLDP, 0.2198 for DNGAS and 0.3037 for DSTOCKP. These diagonal terms represent the direct contribution of recent innovations to each market's conditional variance and confirm that all six markets possess meaningful own-shock effects. The off-diagonal elements provide information on how shocks in one market contribute to volatility in another. For example, the DEXR–DGOLDP element is 0.0183, while the DEXR–DNGAS element is -0.0494, suggesting different directions of cross-market shock transmission. Similarly, the DBCOP–DNGAS element is 0.0152, whereas DCOPP–DGOLDP is -0.0294. Some of the largest cross-effects in absolute magnitude occur in relationships involving the stock market, such as DGOLDP–DSTOCKP (-0.0243) and DEXR–DSTOCKP (0.0212), although the table's significance note specifically identifies the diagonal own-ARCH coefficients as statistically significant. </w:t>
      </w:r>
    </w:p>
    <w:p w14:paraId="15095F13" w14:textId="77777777" w:rsidR="00645543" w:rsidRPr="004236D1" w:rsidRDefault="00645543" w:rsidP="004236D1">
      <w:pPr>
        <w:tabs>
          <w:tab w:val="left" w:pos="2304"/>
        </w:tabs>
        <w:spacing w:after="0" w:line="480" w:lineRule="auto"/>
        <w:jc w:val="both"/>
        <w:rPr>
          <w:rFonts w:ascii="Times New Roman" w:hAnsi="Times New Roman" w:cs="Times New Roman"/>
          <w:b/>
          <w:bCs/>
        </w:rPr>
      </w:pPr>
    </w:p>
    <w:p w14:paraId="239116A6" w14:textId="77777777" w:rsidR="007B36E3" w:rsidRPr="004236D1" w:rsidRDefault="00E125C3" w:rsidP="004236D1">
      <w:pPr>
        <w:tabs>
          <w:tab w:val="left" w:pos="2304"/>
        </w:tabs>
        <w:spacing w:after="0" w:line="480" w:lineRule="auto"/>
        <w:jc w:val="both"/>
        <w:rPr>
          <w:rFonts w:ascii="Times New Roman" w:hAnsi="Times New Roman" w:cs="Times New Roman"/>
          <w:bCs/>
        </w:rPr>
      </w:pPr>
      <w:r>
        <w:rPr>
          <w:rFonts w:ascii="Times New Roman" w:hAnsi="Times New Roman" w:cs="Times New Roman"/>
          <w:b/>
          <w:bCs/>
        </w:rPr>
        <w:t>Table 12</w:t>
      </w:r>
      <w:r w:rsidR="007B36E3" w:rsidRPr="004236D1">
        <w:rPr>
          <w:rFonts w:ascii="Times New Roman" w:hAnsi="Times New Roman" w:cs="Times New Roman"/>
          <w:b/>
          <w:bCs/>
        </w:rPr>
        <w:t>: The Variable ARCH Effect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2123"/>
        <w:gridCol w:w="1832"/>
        <w:gridCol w:w="222"/>
        <w:gridCol w:w="1163"/>
        <w:gridCol w:w="977"/>
        <w:gridCol w:w="1270"/>
      </w:tblGrid>
      <w:tr w:rsidR="007B36E3" w:rsidRPr="004236D1" w14:paraId="78AF8910" w14:textId="77777777" w:rsidTr="005376EB">
        <w:tc>
          <w:tcPr>
            <w:tcW w:w="0" w:type="auto"/>
            <w:tcBorders>
              <w:top w:val="single" w:sz="4" w:space="0" w:color="auto"/>
              <w:bottom w:val="single" w:sz="4" w:space="0" w:color="auto"/>
            </w:tcBorders>
            <w:hideMark/>
          </w:tcPr>
          <w:p w14:paraId="101EA15E"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Variable</w:t>
            </w:r>
          </w:p>
        </w:tc>
        <w:tc>
          <w:tcPr>
            <w:tcW w:w="0" w:type="auto"/>
            <w:tcBorders>
              <w:top w:val="single" w:sz="4" w:space="0" w:color="auto"/>
              <w:bottom w:val="single" w:sz="4" w:space="0" w:color="auto"/>
            </w:tcBorders>
            <w:hideMark/>
          </w:tcPr>
          <w:p w14:paraId="02215C6F"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ARCH Effect (</w:t>
            </w:r>
            <w:proofErr w:type="spellStart"/>
            <w:r w:rsidRPr="004236D1">
              <w:rPr>
                <w:rFonts w:ascii="Times New Roman" w:hAnsi="Times New Roman" w:cs="Times New Roman"/>
                <w:b/>
                <w:bCs/>
              </w:rPr>
              <w:t>Aii</w:t>
            </w:r>
            <w:proofErr w:type="spellEnd"/>
            <w:r w:rsidRPr="004236D1">
              <w:rPr>
                <w:rFonts w:ascii="Times New Roman" w:hAnsi="Times New Roman" w:cs="Times New Roman"/>
                <w:b/>
                <w:bCs/>
              </w:rPr>
              <w:t>)</w:t>
            </w:r>
          </w:p>
        </w:tc>
        <w:tc>
          <w:tcPr>
            <w:tcW w:w="0" w:type="auto"/>
            <w:tcBorders>
              <w:top w:val="single" w:sz="4" w:space="0" w:color="auto"/>
              <w:bottom w:val="single" w:sz="4" w:space="0" w:color="auto"/>
            </w:tcBorders>
            <w:hideMark/>
          </w:tcPr>
          <w:p w14:paraId="54E3B429"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Standard Error</w:t>
            </w:r>
          </w:p>
        </w:tc>
        <w:tc>
          <w:tcPr>
            <w:tcW w:w="0" w:type="auto"/>
            <w:tcBorders>
              <w:top w:val="single" w:sz="4" w:space="0" w:color="auto"/>
              <w:bottom w:val="single" w:sz="4" w:space="0" w:color="auto"/>
            </w:tcBorders>
          </w:tcPr>
          <w:p w14:paraId="3E837EAF" w14:textId="77777777" w:rsidR="007B36E3" w:rsidRPr="004236D1" w:rsidRDefault="007B36E3" w:rsidP="004236D1">
            <w:pPr>
              <w:jc w:val="both"/>
              <w:rPr>
                <w:rFonts w:ascii="Times New Roman" w:hAnsi="Times New Roman" w:cs="Times New Roman"/>
                <w:b/>
                <w:bCs/>
              </w:rPr>
            </w:pPr>
          </w:p>
        </w:tc>
        <w:tc>
          <w:tcPr>
            <w:tcW w:w="0" w:type="auto"/>
            <w:tcBorders>
              <w:top w:val="single" w:sz="4" w:space="0" w:color="auto"/>
              <w:bottom w:val="single" w:sz="4" w:space="0" w:color="auto"/>
            </w:tcBorders>
            <w:hideMark/>
          </w:tcPr>
          <w:p w14:paraId="559FDEBB"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t-statistic</w:t>
            </w:r>
          </w:p>
        </w:tc>
        <w:tc>
          <w:tcPr>
            <w:tcW w:w="0" w:type="auto"/>
            <w:tcBorders>
              <w:top w:val="single" w:sz="4" w:space="0" w:color="auto"/>
              <w:bottom w:val="single" w:sz="4" w:space="0" w:color="auto"/>
            </w:tcBorders>
            <w:hideMark/>
          </w:tcPr>
          <w:p w14:paraId="71309FFF"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p-value</w:t>
            </w:r>
          </w:p>
        </w:tc>
        <w:tc>
          <w:tcPr>
            <w:tcW w:w="0" w:type="auto"/>
            <w:tcBorders>
              <w:top w:val="single" w:sz="4" w:space="0" w:color="auto"/>
              <w:bottom w:val="single" w:sz="4" w:space="0" w:color="auto"/>
            </w:tcBorders>
            <w:hideMark/>
          </w:tcPr>
          <w:p w14:paraId="7176E156" w14:textId="77777777" w:rsidR="007B36E3" w:rsidRPr="004236D1" w:rsidRDefault="007B36E3" w:rsidP="004236D1">
            <w:pPr>
              <w:jc w:val="both"/>
              <w:rPr>
                <w:rFonts w:ascii="Times New Roman" w:hAnsi="Times New Roman" w:cs="Times New Roman"/>
                <w:b/>
                <w:bCs/>
              </w:rPr>
            </w:pPr>
            <w:r w:rsidRPr="004236D1">
              <w:rPr>
                <w:rFonts w:ascii="Times New Roman" w:hAnsi="Times New Roman" w:cs="Times New Roman"/>
                <w:b/>
                <w:bCs/>
              </w:rPr>
              <w:t>Decision</w:t>
            </w:r>
          </w:p>
        </w:tc>
      </w:tr>
      <w:tr w:rsidR="007B36E3" w:rsidRPr="004236D1" w14:paraId="248DEFBC" w14:textId="77777777" w:rsidTr="005376EB">
        <w:tc>
          <w:tcPr>
            <w:tcW w:w="0" w:type="auto"/>
            <w:tcBorders>
              <w:top w:val="single" w:sz="4" w:space="0" w:color="auto"/>
            </w:tcBorders>
            <w:hideMark/>
          </w:tcPr>
          <w:p w14:paraId="012A2F8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DEXR</w:t>
            </w:r>
          </w:p>
        </w:tc>
        <w:tc>
          <w:tcPr>
            <w:tcW w:w="0" w:type="auto"/>
            <w:tcBorders>
              <w:top w:val="single" w:sz="4" w:space="0" w:color="auto"/>
            </w:tcBorders>
            <w:hideMark/>
          </w:tcPr>
          <w:p w14:paraId="4A6D827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0.2412</w:t>
            </w:r>
          </w:p>
        </w:tc>
        <w:tc>
          <w:tcPr>
            <w:tcW w:w="0" w:type="auto"/>
            <w:tcBorders>
              <w:top w:val="single" w:sz="4" w:space="0" w:color="auto"/>
            </w:tcBorders>
            <w:hideMark/>
          </w:tcPr>
          <w:p w14:paraId="6631F85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0.0062</w:t>
            </w:r>
          </w:p>
        </w:tc>
        <w:tc>
          <w:tcPr>
            <w:tcW w:w="0" w:type="auto"/>
            <w:tcBorders>
              <w:top w:val="single" w:sz="4" w:space="0" w:color="auto"/>
            </w:tcBorders>
          </w:tcPr>
          <w:p w14:paraId="26107433" w14:textId="77777777" w:rsidR="007B36E3" w:rsidRPr="004236D1" w:rsidRDefault="007B36E3" w:rsidP="004236D1">
            <w:pPr>
              <w:jc w:val="both"/>
              <w:rPr>
                <w:rFonts w:ascii="Times New Roman" w:hAnsi="Times New Roman" w:cs="Times New Roman"/>
              </w:rPr>
            </w:pPr>
          </w:p>
        </w:tc>
        <w:tc>
          <w:tcPr>
            <w:tcW w:w="0" w:type="auto"/>
            <w:tcBorders>
              <w:top w:val="single" w:sz="4" w:space="0" w:color="auto"/>
            </w:tcBorders>
            <w:hideMark/>
          </w:tcPr>
          <w:p w14:paraId="60469F8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38.62</w:t>
            </w:r>
          </w:p>
        </w:tc>
        <w:tc>
          <w:tcPr>
            <w:tcW w:w="0" w:type="auto"/>
            <w:tcBorders>
              <w:top w:val="single" w:sz="4" w:space="0" w:color="auto"/>
            </w:tcBorders>
            <w:hideMark/>
          </w:tcPr>
          <w:p w14:paraId="106286B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tcBorders>
              <w:top w:val="single" w:sz="4" w:space="0" w:color="auto"/>
            </w:tcBorders>
            <w:hideMark/>
          </w:tcPr>
          <w:p w14:paraId="2ED7B6D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54A8735C" w14:textId="77777777" w:rsidTr="005376EB">
        <w:tc>
          <w:tcPr>
            <w:tcW w:w="0" w:type="auto"/>
            <w:hideMark/>
          </w:tcPr>
          <w:p w14:paraId="7432B76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DBCOP</w:t>
            </w:r>
          </w:p>
        </w:tc>
        <w:tc>
          <w:tcPr>
            <w:tcW w:w="0" w:type="auto"/>
            <w:hideMark/>
          </w:tcPr>
          <w:p w14:paraId="58B35F9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0.2636</w:t>
            </w:r>
          </w:p>
        </w:tc>
        <w:tc>
          <w:tcPr>
            <w:tcW w:w="0" w:type="auto"/>
            <w:hideMark/>
          </w:tcPr>
          <w:p w14:paraId="7466BD8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0.0139</w:t>
            </w:r>
          </w:p>
        </w:tc>
        <w:tc>
          <w:tcPr>
            <w:tcW w:w="0" w:type="auto"/>
          </w:tcPr>
          <w:p w14:paraId="2482D60A" w14:textId="77777777" w:rsidR="007B36E3" w:rsidRPr="004236D1" w:rsidRDefault="007B36E3" w:rsidP="004236D1">
            <w:pPr>
              <w:jc w:val="both"/>
              <w:rPr>
                <w:rFonts w:ascii="Times New Roman" w:hAnsi="Times New Roman" w:cs="Times New Roman"/>
              </w:rPr>
            </w:pPr>
          </w:p>
        </w:tc>
        <w:tc>
          <w:tcPr>
            <w:tcW w:w="0" w:type="auto"/>
            <w:hideMark/>
          </w:tcPr>
          <w:p w14:paraId="4A5A156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18.98</w:t>
            </w:r>
          </w:p>
        </w:tc>
        <w:tc>
          <w:tcPr>
            <w:tcW w:w="0" w:type="auto"/>
            <w:hideMark/>
          </w:tcPr>
          <w:p w14:paraId="7CF2D23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0A78BAF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4509A3C1" w14:textId="77777777" w:rsidTr="005376EB">
        <w:tc>
          <w:tcPr>
            <w:tcW w:w="0" w:type="auto"/>
            <w:hideMark/>
          </w:tcPr>
          <w:p w14:paraId="5D5E790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DCOPP</w:t>
            </w:r>
          </w:p>
        </w:tc>
        <w:tc>
          <w:tcPr>
            <w:tcW w:w="0" w:type="auto"/>
            <w:hideMark/>
          </w:tcPr>
          <w:p w14:paraId="0C55A48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0.2942</w:t>
            </w:r>
          </w:p>
        </w:tc>
        <w:tc>
          <w:tcPr>
            <w:tcW w:w="0" w:type="auto"/>
            <w:hideMark/>
          </w:tcPr>
          <w:p w14:paraId="4C95EEF1"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0.0132</w:t>
            </w:r>
          </w:p>
        </w:tc>
        <w:tc>
          <w:tcPr>
            <w:tcW w:w="0" w:type="auto"/>
          </w:tcPr>
          <w:p w14:paraId="2EFC5EDB" w14:textId="77777777" w:rsidR="007B36E3" w:rsidRPr="004236D1" w:rsidRDefault="007B36E3" w:rsidP="004236D1">
            <w:pPr>
              <w:jc w:val="both"/>
              <w:rPr>
                <w:rFonts w:ascii="Times New Roman" w:hAnsi="Times New Roman" w:cs="Times New Roman"/>
              </w:rPr>
            </w:pPr>
          </w:p>
        </w:tc>
        <w:tc>
          <w:tcPr>
            <w:tcW w:w="0" w:type="auto"/>
            <w:hideMark/>
          </w:tcPr>
          <w:p w14:paraId="22CFC01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22.23</w:t>
            </w:r>
          </w:p>
        </w:tc>
        <w:tc>
          <w:tcPr>
            <w:tcW w:w="0" w:type="auto"/>
            <w:hideMark/>
          </w:tcPr>
          <w:p w14:paraId="1709059B"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5028B73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6B427914" w14:textId="77777777" w:rsidTr="005376EB">
        <w:tc>
          <w:tcPr>
            <w:tcW w:w="0" w:type="auto"/>
            <w:hideMark/>
          </w:tcPr>
          <w:p w14:paraId="1DDBF6B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DGOLDP</w:t>
            </w:r>
          </w:p>
        </w:tc>
        <w:tc>
          <w:tcPr>
            <w:tcW w:w="0" w:type="auto"/>
            <w:hideMark/>
          </w:tcPr>
          <w:p w14:paraId="1A95590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0.2159</w:t>
            </w:r>
          </w:p>
        </w:tc>
        <w:tc>
          <w:tcPr>
            <w:tcW w:w="0" w:type="auto"/>
            <w:hideMark/>
          </w:tcPr>
          <w:p w14:paraId="6E85F786"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0.0112</w:t>
            </w:r>
          </w:p>
        </w:tc>
        <w:tc>
          <w:tcPr>
            <w:tcW w:w="0" w:type="auto"/>
          </w:tcPr>
          <w:p w14:paraId="2475CB8A" w14:textId="77777777" w:rsidR="007B36E3" w:rsidRPr="004236D1" w:rsidRDefault="007B36E3" w:rsidP="004236D1">
            <w:pPr>
              <w:jc w:val="both"/>
              <w:rPr>
                <w:rFonts w:ascii="Times New Roman" w:hAnsi="Times New Roman" w:cs="Times New Roman"/>
              </w:rPr>
            </w:pPr>
          </w:p>
        </w:tc>
        <w:tc>
          <w:tcPr>
            <w:tcW w:w="0" w:type="auto"/>
            <w:hideMark/>
          </w:tcPr>
          <w:p w14:paraId="560E2A59"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19.29</w:t>
            </w:r>
          </w:p>
        </w:tc>
        <w:tc>
          <w:tcPr>
            <w:tcW w:w="0" w:type="auto"/>
            <w:hideMark/>
          </w:tcPr>
          <w:p w14:paraId="787B8187"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3525192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6DCFD23A" w14:textId="77777777" w:rsidTr="005376EB">
        <w:tc>
          <w:tcPr>
            <w:tcW w:w="0" w:type="auto"/>
            <w:hideMark/>
          </w:tcPr>
          <w:p w14:paraId="702BEFE5"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DNGAS</w:t>
            </w:r>
          </w:p>
        </w:tc>
        <w:tc>
          <w:tcPr>
            <w:tcW w:w="0" w:type="auto"/>
            <w:hideMark/>
          </w:tcPr>
          <w:p w14:paraId="609F194D"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0.2198</w:t>
            </w:r>
          </w:p>
        </w:tc>
        <w:tc>
          <w:tcPr>
            <w:tcW w:w="0" w:type="auto"/>
            <w:hideMark/>
          </w:tcPr>
          <w:p w14:paraId="529A9B9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0.0076</w:t>
            </w:r>
          </w:p>
        </w:tc>
        <w:tc>
          <w:tcPr>
            <w:tcW w:w="0" w:type="auto"/>
          </w:tcPr>
          <w:p w14:paraId="104F593B" w14:textId="77777777" w:rsidR="007B36E3" w:rsidRPr="004236D1" w:rsidRDefault="007B36E3" w:rsidP="004236D1">
            <w:pPr>
              <w:jc w:val="both"/>
              <w:rPr>
                <w:rFonts w:ascii="Times New Roman" w:hAnsi="Times New Roman" w:cs="Times New Roman"/>
              </w:rPr>
            </w:pPr>
          </w:p>
        </w:tc>
        <w:tc>
          <w:tcPr>
            <w:tcW w:w="0" w:type="auto"/>
            <w:hideMark/>
          </w:tcPr>
          <w:p w14:paraId="4F1EE574"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28.82</w:t>
            </w:r>
          </w:p>
        </w:tc>
        <w:tc>
          <w:tcPr>
            <w:tcW w:w="0" w:type="auto"/>
            <w:hideMark/>
          </w:tcPr>
          <w:p w14:paraId="6F5575B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3C92FBBA"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r w:rsidR="007B36E3" w:rsidRPr="004236D1" w14:paraId="45670159" w14:textId="77777777" w:rsidTr="005376EB">
        <w:tc>
          <w:tcPr>
            <w:tcW w:w="0" w:type="auto"/>
            <w:hideMark/>
          </w:tcPr>
          <w:p w14:paraId="58C0FC18"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DSTOCKP</w:t>
            </w:r>
          </w:p>
        </w:tc>
        <w:tc>
          <w:tcPr>
            <w:tcW w:w="0" w:type="auto"/>
            <w:hideMark/>
          </w:tcPr>
          <w:p w14:paraId="7E941CD3"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0.3037</w:t>
            </w:r>
          </w:p>
        </w:tc>
        <w:tc>
          <w:tcPr>
            <w:tcW w:w="0" w:type="auto"/>
            <w:hideMark/>
          </w:tcPr>
          <w:p w14:paraId="1322D160"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0.0280</w:t>
            </w:r>
          </w:p>
        </w:tc>
        <w:tc>
          <w:tcPr>
            <w:tcW w:w="0" w:type="auto"/>
          </w:tcPr>
          <w:p w14:paraId="39C71A21" w14:textId="77777777" w:rsidR="007B36E3" w:rsidRPr="004236D1" w:rsidRDefault="007B36E3" w:rsidP="004236D1">
            <w:pPr>
              <w:jc w:val="both"/>
              <w:rPr>
                <w:rFonts w:ascii="Times New Roman" w:hAnsi="Times New Roman" w:cs="Times New Roman"/>
              </w:rPr>
            </w:pPr>
          </w:p>
        </w:tc>
        <w:tc>
          <w:tcPr>
            <w:tcW w:w="0" w:type="auto"/>
            <w:hideMark/>
          </w:tcPr>
          <w:p w14:paraId="26423E0E"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10.83</w:t>
            </w:r>
          </w:p>
        </w:tc>
        <w:tc>
          <w:tcPr>
            <w:tcW w:w="0" w:type="auto"/>
            <w:hideMark/>
          </w:tcPr>
          <w:p w14:paraId="56535F4C"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&lt;0.001</w:t>
            </w:r>
          </w:p>
        </w:tc>
        <w:tc>
          <w:tcPr>
            <w:tcW w:w="0" w:type="auto"/>
            <w:hideMark/>
          </w:tcPr>
          <w:p w14:paraId="577BD9FF" w14:textId="77777777" w:rsidR="007B36E3" w:rsidRPr="004236D1" w:rsidRDefault="007B36E3" w:rsidP="004236D1">
            <w:pPr>
              <w:jc w:val="both"/>
              <w:rPr>
                <w:rFonts w:ascii="Times New Roman" w:hAnsi="Times New Roman" w:cs="Times New Roman"/>
              </w:rPr>
            </w:pPr>
            <w:r w:rsidRPr="004236D1">
              <w:rPr>
                <w:rFonts w:ascii="Times New Roman" w:hAnsi="Times New Roman" w:cs="Times New Roman"/>
              </w:rPr>
              <w:t>Significant</w:t>
            </w:r>
          </w:p>
        </w:tc>
      </w:tr>
    </w:tbl>
    <w:p w14:paraId="1BAB9AE3" w14:textId="77777777" w:rsidR="007B36E3" w:rsidRPr="004236D1" w:rsidRDefault="007B36E3" w:rsidP="004236D1">
      <w:pPr>
        <w:spacing w:after="0"/>
        <w:jc w:val="both"/>
        <w:rPr>
          <w:rFonts w:ascii="Times New Roman" w:hAnsi="Times New Roman" w:cs="Times New Roman"/>
        </w:rPr>
      </w:pPr>
    </w:p>
    <w:p w14:paraId="2161AAFE" w14:textId="77777777" w:rsidR="00996955" w:rsidRDefault="00E125C3" w:rsidP="004236D1">
      <w:pPr>
        <w:spacing w:after="0"/>
        <w:jc w:val="both"/>
        <w:rPr>
          <w:rFonts w:ascii="Times New Roman" w:hAnsi="Times New Roman" w:cs="Times New Roman"/>
        </w:rPr>
      </w:pPr>
      <w:r>
        <w:rPr>
          <w:rFonts w:ascii="Times New Roman" w:hAnsi="Times New Roman" w:cs="Times New Roman"/>
        </w:rPr>
        <w:t>Table 12</w:t>
      </w:r>
      <w:r w:rsidR="00645543" w:rsidRPr="004236D1">
        <w:rPr>
          <w:rFonts w:ascii="Times New Roman" w:hAnsi="Times New Roman" w:cs="Times New Roman"/>
        </w:rPr>
        <w:t xml:space="preserve"> provides the formal statistical test of the own-market ARCH effects in the BEKK model. All six coefficients are statistically significant at the 1% level, as their reported </w:t>
      </w:r>
      <w:r w:rsidR="00645543" w:rsidRPr="004236D1">
        <w:rPr>
          <w:rStyle w:val="Emphasis"/>
          <w:rFonts w:ascii="Times New Roman" w:hAnsi="Times New Roman" w:cs="Times New Roman"/>
        </w:rPr>
        <w:t>p</w:t>
      </w:r>
      <w:r w:rsidR="00645543" w:rsidRPr="004236D1">
        <w:rPr>
          <w:rFonts w:ascii="Times New Roman" w:hAnsi="Times New Roman" w:cs="Times New Roman"/>
        </w:rPr>
        <w:t xml:space="preserve">-values are less than 0.001. The estimated effects are 0.2412 for DEXR, 0.2636 for DBCOP, 0.2942 for DCOPP, 0.2159 for DGOLDP, 0.2198 for DNGAS and 0.3037 for DSTOCKP. The corresponding </w:t>
      </w:r>
      <w:r w:rsidR="00645543" w:rsidRPr="004236D1">
        <w:rPr>
          <w:rStyle w:val="Emphasis"/>
          <w:rFonts w:ascii="Times New Roman" w:hAnsi="Times New Roman" w:cs="Times New Roman"/>
        </w:rPr>
        <w:t>t</w:t>
      </w:r>
      <w:r w:rsidR="00645543" w:rsidRPr="004236D1">
        <w:rPr>
          <w:rFonts w:ascii="Times New Roman" w:hAnsi="Times New Roman" w:cs="Times New Roman"/>
        </w:rPr>
        <w:t xml:space="preserve">-statistics are 38.62, 18.98, 22.23, 19.29, 28.82 and 10.83, respectively, all substantially greater than the conventional absolute critical value of 1.96. This provides strong statistical evidence that recent innovations significantly influence subsequent volatility in each of the six markets. The stock market has the largest estimated ARCH coefficient, suggesting the strongest immediate response to new shocks, while gold has the smallest coefficient. </w:t>
      </w:r>
    </w:p>
    <w:p w14:paraId="2394113C" w14:textId="77777777" w:rsidR="005376EB" w:rsidRDefault="005376EB" w:rsidP="004236D1">
      <w:pPr>
        <w:spacing w:after="0"/>
        <w:jc w:val="both"/>
        <w:rPr>
          <w:rFonts w:ascii="Times New Roman" w:hAnsi="Times New Roman" w:cs="Times New Roman"/>
        </w:rPr>
      </w:pPr>
    </w:p>
    <w:p w14:paraId="0265E086" w14:textId="77777777" w:rsidR="005376EB" w:rsidRDefault="005376EB" w:rsidP="004236D1">
      <w:pPr>
        <w:spacing w:after="0"/>
        <w:jc w:val="both"/>
        <w:rPr>
          <w:rFonts w:ascii="Times New Roman" w:hAnsi="Times New Roman" w:cs="Times New Roman"/>
        </w:rPr>
      </w:pPr>
    </w:p>
    <w:p w14:paraId="19633139" w14:textId="77777777" w:rsidR="007B36E3" w:rsidRPr="004236D1" w:rsidRDefault="00F776F2" w:rsidP="004236D1">
      <w:pPr>
        <w:spacing w:after="0"/>
        <w:jc w:val="both"/>
        <w:rPr>
          <w:rFonts w:ascii="Times New Roman" w:hAnsi="Times New Roman" w:cs="Times New Roman"/>
          <w:b/>
          <w:bCs/>
        </w:rPr>
      </w:pPr>
      <w:r w:rsidRPr="004236D1">
        <w:rPr>
          <w:rFonts w:ascii="Times New Roman" w:hAnsi="Times New Roman" w:cs="Times New Roman"/>
          <w:b/>
          <w:bCs/>
        </w:rPr>
        <w:t>Table 1</w:t>
      </w:r>
      <w:r w:rsidR="00E125C3">
        <w:rPr>
          <w:rFonts w:ascii="Times New Roman" w:hAnsi="Times New Roman" w:cs="Times New Roman"/>
          <w:b/>
          <w:bCs/>
        </w:rPr>
        <w:t>3</w:t>
      </w:r>
      <w:r w:rsidR="007B36E3" w:rsidRPr="004236D1">
        <w:rPr>
          <w:rFonts w:ascii="Times New Roman" w:hAnsi="Times New Roman" w:cs="Times New Roman"/>
          <w:b/>
          <w:bCs/>
        </w:rPr>
        <w:t>: Estimated BEKK Constant (C) Matrix</w:t>
      </w:r>
    </w:p>
    <w:tbl>
      <w:tblPr>
        <w:tblW w:w="8050" w:type="dxa"/>
        <w:tblBorders>
          <w:top w:val="single" w:sz="4" w:space="0" w:color="auto"/>
          <w:bottom w:val="single" w:sz="4" w:space="0" w:color="auto"/>
        </w:tblBorders>
        <w:tblLook w:val="04A0" w:firstRow="1" w:lastRow="0" w:firstColumn="1" w:lastColumn="0" w:noHBand="0" w:noVBand="1"/>
      </w:tblPr>
      <w:tblGrid>
        <w:gridCol w:w="1377"/>
        <w:gridCol w:w="897"/>
        <w:gridCol w:w="1056"/>
        <w:gridCol w:w="1043"/>
        <w:gridCol w:w="1243"/>
        <w:gridCol w:w="1057"/>
        <w:gridCol w:w="1377"/>
      </w:tblGrid>
      <w:tr w:rsidR="007B36E3" w:rsidRPr="004236D1" w14:paraId="5788A651" w14:textId="77777777" w:rsidTr="00B113BC">
        <w:trPr>
          <w:trHeight w:val="630"/>
        </w:trPr>
        <w:tc>
          <w:tcPr>
            <w:tcW w:w="1377" w:type="dxa"/>
            <w:tcBorders>
              <w:top w:val="single" w:sz="4" w:space="0" w:color="auto"/>
              <w:bottom w:val="single" w:sz="4" w:space="0" w:color="auto"/>
            </w:tcBorders>
            <w:vAlign w:val="center"/>
            <w:hideMark/>
          </w:tcPr>
          <w:p w14:paraId="0D64288F" w14:textId="77777777" w:rsidR="007B36E3" w:rsidRPr="005376EB" w:rsidRDefault="007B36E3" w:rsidP="004236D1">
            <w:pPr>
              <w:spacing w:after="0" w:line="480" w:lineRule="auto"/>
              <w:jc w:val="both"/>
              <w:rPr>
                <w:rFonts w:ascii="Times New Roman" w:eastAsia="Times New Roman" w:hAnsi="Times New Roman" w:cs="Times New Roman"/>
                <w:kern w:val="0"/>
                <w14:ligatures w14:val="none"/>
              </w:rPr>
            </w:pPr>
          </w:p>
        </w:tc>
        <w:tc>
          <w:tcPr>
            <w:tcW w:w="897" w:type="dxa"/>
            <w:tcBorders>
              <w:top w:val="single" w:sz="4" w:space="0" w:color="auto"/>
              <w:bottom w:val="single" w:sz="4" w:space="0" w:color="auto"/>
            </w:tcBorders>
            <w:vAlign w:val="center"/>
            <w:hideMark/>
          </w:tcPr>
          <w:p w14:paraId="5674C00D"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56" w:type="dxa"/>
            <w:tcBorders>
              <w:top w:val="single" w:sz="4" w:space="0" w:color="auto"/>
              <w:bottom w:val="single" w:sz="4" w:space="0" w:color="auto"/>
            </w:tcBorders>
            <w:vAlign w:val="center"/>
            <w:hideMark/>
          </w:tcPr>
          <w:p w14:paraId="57F8A536"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43" w:type="dxa"/>
            <w:tcBorders>
              <w:top w:val="single" w:sz="4" w:space="0" w:color="auto"/>
              <w:bottom w:val="single" w:sz="4" w:space="0" w:color="auto"/>
            </w:tcBorders>
            <w:vAlign w:val="center"/>
            <w:hideMark/>
          </w:tcPr>
          <w:p w14:paraId="78E6F76F"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243" w:type="dxa"/>
            <w:tcBorders>
              <w:top w:val="single" w:sz="4" w:space="0" w:color="auto"/>
              <w:bottom w:val="single" w:sz="4" w:space="0" w:color="auto"/>
            </w:tcBorders>
            <w:vAlign w:val="center"/>
            <w:hideMark/>
          </w:tcPr>
          <w:p w14:paraId="4FAF4FF7"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57" w:type="dxa"/>
            <w:tcBorders>
              <w:top w:val="single" w:sz="4" w:space="0" w:color="auto"/>
              <w:bottom w:val="single" w:sz="4" w:space="0" w:color="auto"/>
            </w:tcBorders>
            <w:vAlign w:val="center"/>
            <w:hideMark/>
          </w:tcPr>
          <w:p w14:paraId="139B8D47"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377" w:type="dxa"/>
            <w:tcBorders>
              <w:top w:val="single" w:sz="4" w:space="0" w:color="auto"/>
              <w:bottom w:val="single" w:sz="4" w:space="0" w:color="auto"/>
            </w:tcBorders>
            <w:vAlign w:val="center"/>
            <w:hideMark/>
          </w:tcPr>
          <w:p w14:paraId="51878867"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0988E074" w14:textId="77777777" w:rsidTr="00B113BC">
        <w:trPr>
          <w:trHeight w:val="315"/>
        </w:trPr>
        <w:tc>
          <w:tcPr>
            <w:tcW w:w="1377" w:type="dxa"/>
            <w:tcBorders>
              <w:top w:val="single" w:sz="4" w:space="0" w:color="auto"/>
            </w:tcBorders>
            <w:vAlign w:val="center"/>
            <w:hideMark/>
          </w:tcPr>
          <w:p w14:paraId="30615588"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897" w:type="dxa"/>
            <w:tcBorders>
              <w:top w:val="single" w:sz="4" w:space="0" w:color="auto"/>
            </w:tcBorders>
            <w:vAlign w:val="center"/>
            <w:hideMark/>
          </w:tcPr>
          <w:p w14:paraId="211B0FA9"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0.2231</w:t>
            </w:r>
          </w:p>
        </w:tc>
        <w:tc>
          <w:tcPr>
            <w:tcW w:w="1056" w:type="dxa"/>
            <w:tcBorders>
              <w:top w:val="single" w:sz="4" w:space="0" w:color="auto"/>
            </w:tcBorders>
            <w:vAlign w:val="center"/>
            <w:hideMark/>
          </w:tcPr>
          <w:p w14:paraId="2634844A"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43" w:type="dxa"/>
            <w:tcBorders>
              <w:top w:val="single" w:sz="4" w:space="0" w:color="auto"/>
            </w:tcBorders>
            <w:vAlign w:val="center"/>
            <w:hideMark/>
          </w:tcPr>
          <w:p w14:paraId="47C3BFB5"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243" w:type="dxa"/>
            <w:tcBorders>
              <w:top w:val="single" w:sz="4" w:space="0" w:color="auto"/>
            </w:tcBorders>
            <w:vAlign w:val="center"/>
            <w:hideMark/>
          </w:tcPr>
          <w:p w14:paraId="3B9E5EC4"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57" w:type="dxa"/>
            <w:tcBorders>
              <w:top w:val="single" w:sz="4" w:space="0" w:color="auto"/>
            </w:tcBorders>
            <w:vAlign w:val="center"/>
            <w:hideMark/>
          </w:tcPr>
          <w:p w14:paraId="45A66124"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tcBorders>
              <w:top w:val="single" w:sz="4" w:space="0" w:color="auto"/>
            </w:tcBorders>
            <w:vAlign w:val="center"/>
            <w:hideMark/>
          </w:tcPr>
          <w:p w14:paraId="1AE9770D"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6F3D7385" w14:textId="77777777" w:rsidTr="00B113BC">
        <w:trPr>
          <w:trHeight w:val="315"/>
        </w:trPr>
        <w:tc>
          <w:tcPr>
            <w:tcW w:w="1377" w:type="dxa"/>
            <w:vAlign w:val="center"/>
            <w:hideMark/>
          </w:tcPr>
          <w:p w14:paraId="6317747E"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897" w:type="dxa"/>
            <w:vAlign w:val="center"/>
            <w:hideMark/>
          </w:tcPr>
          <w:p w14:paraId="15DCE203"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0.0711</w:t>
            </w:r>
          </w:p>
        </w:tc>
        <w:tc>
          <w:tcPr>
            <w:tcW w:w="1056" w:type="dxa"/>
            <w:vAlign w:val="center"/>
            <w:hideMark/>
          </w:tcPr>
          <w:p w14:paraId="55D7579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0.1813</w:t>
            </w:r>
          </w:p>
        </w:tc>
        <w:tc>
          <w:tcPr>
            <w:tcW w:w="1043" w:type="dxa"/>
            <w:vAlign w:val="center"/>
            <w:hideMark/>
          </w:tcPr>
          <w:p w14:paraId="414744A5"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243" w:type="dxa"/>
            <w:vAlign w:val="center"/>
            <w:hideMark/>
          </w:tcPr>
          <w:p w14:paraId="6621482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57" w:type="dxa"/>
            <w:vAlign w:val="center"/>
            <w:hideMark/>
          </w:tcPr>
          <w:p w14:paraId="25D9F4AF"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vAlign w:val="center"/>
            <w:hideMark/>
          </w:tcPr>
          <w:p w14:paraId="358CA25C"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0F8561FF" w14:textId="77777777" w:rsidTr="00B113BC">
        <w:trPr>
          <w:trHeight w:val="315"/>
        </w:trPr>
        <w:tc>
          <w:tcPr>
            <w:tcW w:w="1377" w:type="dxa"/>
            <w:vAlign w:val="center"/>
            <w:hideMark/>
          </w:tcPr>
          <w:p w14:paraId="238595D3"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897" w:type="dxa"/>
            <w:vAlign w:val="center"/>
            <w:hideMark/>
          </w:tcPr>
          <w:p w14:paraId="56D197B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0.008</w:t>
            </w:r>
          </w:p>
        </w:tc>
        <w:tc>
          <w:tcPr>
            <w:tcW w:w="1056" w:type="dxa"/>
            <w:vAlign w:val="center"/>
            <w:hideMark/>
          </w:tcPr>
          <w:p w14:paraId="41B54B8D"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0.0147</w:t>
            </w:r>
          </w:p>
        </w:tc>
        <w:tc>
          <w:tcPr>
            <w:tcW w:w="1043" w:type="dxa"/>
            <w:vAlign w:val="center"/>
            <w:hideMark/>
          </w:tcPr>
          <w:p w14:paraId="6320296D"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0.1098</w:t>
            </w:r>
          </w:p>
        </w:tc>
        <w:tc>
          <w:tcPr>
            <w:tcW w:w="1243" w:type="dxa"/>
            <w:vAlign w:val="center"/>
            <w:hideMark/>
          </w:tcPr>
          <w:p w14:paraId="63E2263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057" w:type="dxa"/>
            <w:vAlign w:val="center"/>
            <w:hideMark/>
          </w:tcPr>
          <w:p w14:paraId="75E01FB5"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vAlign w:val="center"/>
            <w:hideMark/>
          </w:tcPr>
          <w:p w14:paraId="322D50E6"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1BDD33D4" w14:textId="77777777" w:rsidTr="00B113BC">
        <w:trPr>
          <w:trHeight w:val="315"/>
        </w:trPr>
        <w:tc>
          <w:tcPr>
            <w:tcW w:w="1377" w:type="dxa"/>
            <w:vAlign w:val="center"/>
            <w:hideMark/>
          </w:tcPr>
          <w:p w14:paraId="0B0D3055"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897" w:type="dxa"/>
            <w:vAlign w:val="center"/>
            <w:hideMark/>
          </w:tcPr>
          <w:p w14:paraId="1403E54E"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w:t>
            </w:r>
          </w:p>
        </w:tc>
        <w:tc>
          <w:tcPr>
            <w:tcW w:w="1056" w:type="dxa"/>
            <w:vAlign w:val="center"/>
            <w:hideMark/>
          </w:tcPr>
          <w:p w14:paraId="74808C3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0.0135</w:t>
            </w:r>
          </w:p>
        </w:tc>
        <w:tc>
          <w:tcPr>
            <w:tcW w:w="1043" w:type="dxa"/>
            <w:vAlign w:val="center"/>
            <w:hideMark/>
          </w:tcPr>
          <w:p w14:paraId="028F301C"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-0.105</w:t>
            </w:r>
          </w:p>
        </w:tc>
        <w:tc>
          <w:tcPr>
            <w:tcW w:w="1243" w:type="dxa"/>
            <w:vAlign w:val="center"/>
            <w:hideMark/>
          </w:tcPr>
          <w:p w14:paraId="4A3562D6"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0.0485</w:t>
            </w:r>
          </w:p>
        </w:tc>
        <w:tc>
          <w:tcPr>
            <w:tcW w:w="1057" w:type="dxa"/>
            <w:vAlign w:val="center"/>
            <w:hideMark/>
          </w:tcPr>
          <w:p w14:paraId="7D1D7C3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c>
          <w:tcPr>
            <w:tcW w:w="1377" w:type="dxa"/>
            <w:vAlign w:val="center"/>
            <w:hideMark/>
          </w:tcPr>
          <w:p w14:paraId="6F333DF8"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2E96F10F" w14:textId="77777777" w:rsidTr="00B113BC">
        <w:trPr>
          <w:trHeight w:val="315"/>
        </w:trPr>
        <w:tc>
          <w:tcPr>
            <w:tcW w:w="1377" w:type="dxa"/>
            <w:vAlign w:val="center"/>
            <w:hideMark/>
          </w:tcPr>
          <w:p w14:paraId="101A12AD"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897" w:type="dxa"/>
            <w:vAlign w:val="center"/>
            <w:hideMark/>
          </w:tcPr>
          <w:p w14:paraId="534B3556"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-0.036</w:t>
            </w:r>
          </w:p>
        </w:tc>
        <w:tc>
          <w:tcPr>
            <w:tcW w:w="1056" w:type="dxa"/>
            <w:vAlign w:val="center"/>
            <w:hideMark/>
          </w:tcPr>
          <w:p w14:paraId="074A10D1"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0.0984</w:t>
            </w:r>
          </w:p>
        </w:tc>
        <w:tc>
          <w:tcPr>
            <w:tcW w:w="1043" w:type="dxa"/>
            <w:vAlign w:val="center"/>
            <w:hideMark/>
          </w:tcPr>
          <w:p w14:paraId="3F73DCF8"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-0.158</w:t>
            </w:r>
          </w:p>
        </w:tc>
        <w:tc>
          <w:tcPr>
            <w:tcW w:w="1243" w:type="dxa"/>
            <w:vAlign w:val="center"/>
            <w:hideMark/>
          </w:tcPr>
          <w:p w14:paraId="5AF0F50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0.0957</w:t>
            </w:r>
          </w:p>
        </w:tc>
        <w:tc>
          <w:tcPr>
            <w:tcW w:w="1057" w:type="dxa"/>
            <w:vAlign w:val="center"/>
            <w:hideMark/>
          </w:tcPr>
          <w:p w14:paraId="68F4ECB3"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0.3748</w:t>
            </w:r>
          </w:p>
        </w:tc>
        <w:tc>
          <w:tcPr>
            <w:tcW w:w="1377" w:type="dxa"/>
            <w:vAlign w:val="center"/>
            <w:hideMark/>
          </w:tcPr>
          <w:p w14:paraId="17298318"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w:t>
            </w:r>
          </w:p>
        </w:tc>
      </w:tr>
      <w:tr w:rsidR="007B36E3" w:rsidRPr="004236D1" w14:paraId="479344A6" w14:textId="77777777" w:rsidTr="00B113BC">
        <w:trPr>
          <w:trHeight w:val="630"/>
        </w:trPr>
        <w:tc>
          <w:tcPr>
            <w:tcW w:w="1377" w:type="dxa"/>
            <w:vAlign w:val="center"/>
            <w:hideMark/>
          </w:tcPr>
          <w:p w14:paraId="6FAA8EE8" w14:textId="77777777" w:rsidR="007B36E3" w:rsidRPr="005376EB" w:rsidRDefault="007B36E3" w:rsidP="004236D1">
            <w:pPr>
              <w:spacing w:after="0" w:line="48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c>
          <w:tcPr>
            <w:tcW w:w="897" w:type="dxa"/>
            <w:vAlign w:val="center"/>
            <w:hideMark/>
          </w:tcPr>
          <w:p w14:paraId="7D395EE7"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0.0257</w:t>
            </w:r>
          </w:p>
        </w:tc>
        <w:tc>
          <w:tcPr>
            <w:tcW w:w="1056" w:type="dxa"/>
            <w:vAlign w:val="center"/>
            <w:hideMark/>
          </w:tcPr>
          <w:p w14:paraId="1CFAB13E"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-0.077</w:t>
            </w:r>
          </w:p>
        </w:tc>
        <w:tc>
          <w:tcPr>
            <w:tcW w:w="1043" w:type="dxa"/>
            <w:vAlign w:val="center"/>
            <w:hideMark/>
          </w:tcPr>
          <w:p w14:paraId="586E4B99"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-0.118</w:t>
            </w:r>
          </w:p>
        </w:tc>
        <w:tc>
          <w:tcPr>
            <w:tcW w:w="1243" w:type="dxa"/>
            <w:vAlign w:val="center"/>
            <w:hideMark/>
          </w:tcPr>
          <w:p w14:paraId="1A570FA4"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-0.266</w:t>
            </w:r>
          </w:p>
        </w:tc>
        <w:tc>
          <w:tcPr>
            <w:tcW w:w="1057" w:type="dxa"/>
            <w:vAlign w:val="center"/>
            <w:hideMark/>
          </w:tcPr>
          <w:p w14:paraId="18FFBF00"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0.0372</w:t>
            </w:r>
          </w:p>
        </w:tc>
        <w:tc>
          <w:tcPr>
            <w:tcW w:w="1377" w:type="dxa"/>
            <w:vAlign w:val="center"/>
            <w:hideMark/>
          </w:tcPr>
          <w:p w14:paraId="264F3439" w14:textId="77777777" w:rsidR="007B36E3" w:rsidRPr="004236D1" w:rsidRDefault="007B36E3" w:rsidP="004236D1">
            <w:pPr>
              <w:spacing w:after="0" w:line="48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0.0037</w:t>
            </w:r>
          </w:p>
        </w:tc>
      </w:tr>
    </w:tbl>
    <w:p w14:paraId="77BD7B41" w14:textId="77777777" w:rsidR="00645543" w:rsidRPr="004236D1" w:rsidRDefault="00645543" w:rsidP="004236D1">
      <w:pPr>
        <w:spacing w:before="100" w:beforeAutospacing="1" w:after="0" w:line="240" w:lineRule="auto"/>
        <w:jc w:val="both"/>
        <w:outlineLvl w:val="2"/>
        <w:rPr>
          <w:rFonts w:ascii="Times New Roman" w:eastAsia="Times New Roman" w:hAnsi="Times New Roman" w:cs="Times New Roman"/>
          <w:b/>
          <w:bCs/>
          <w:kern w:val="0"/>
          <w14:ligatures w14:val="none"/>
        </w:rPr>
      </w:pPr>
      <w:r w:rsidRPr="004236D1">
        <w:rPr>
          <w:rFonts w:ascii="Times New Roman" w:hAnsi="Times New Roman" w:cs="Times New Roman"/>
        </w:rPr>
        <w:t>Table 1</w:t>
      </w:r>
      <w:r w:rsidR="00E125C3">
        <w:rPr>
          <w:rFonts w:ascii="Times New Roman" w:hAnsi="Times New Roman" w:cs="Times New Roman"/>
        </w:rPr>
        <w:t>3</w:t>
      </w:r>
      <w:r w:rsidRPr="004236D1">
        <w:rPr>
          <w:rFonts w:ascii="Times New Roman" w:hAnsi="Times New Roman" w:cs="Times New Roman"/>
        </w:rPr>
        <w:t xml:space="preserve"> reports the estimated lower-triangular constant matrix </w:t>
      </w:r>
      <w:r w:rsidRPr="004236D1">
        <w:rPr>
          <w:rStyle w:val="katex"/>
          <w:rFonts w:ascii="Times New Roman" w:hAnsi="Times New Roman" w:cs="Times New Roman"/>
        </w:rPr>
        <w:t>CC</w:t>
      </w:r>
      <w:r w:rsidRPr="004236D1">
        <w:rPr>
          <w:rFonts w:ascii="Times New Roman" w:hAnsi="Times New Roman" w:cs="Times New Roman"/>
        </w:rPr>
        <w:t xml:space="preserve"> used in the BEKK specification. The matrix is important because it provides the constant component from which the positive-definite conditional covariance matrix is constructed. The diagonal elements are 0.2231 </w:t>
      </w:r>
      <w:r w:rsidRPr="004236D1">
        <w:rPr>
          <w:rFonts w:ascii="Times New Roman" w:hAnsi="Times New Roman" w:cs="Times New Roman"/>
        </w:rPr>
        <w:lastRenderedPageBreak/>
        <w:t xml:space="preserve">for DEXR, 0.1813 for DBCOP, 0.1098 for DCOPP, 0.0485 for DGOLDP, 0.3748 for DNGAS and 0.0037 for DSTOCKP. The relatively larger diagonal element for DNGAS indicates a comparatively stronger constant scale component in the covariance structure, whereas the very small value for DSTOCKP suggests a much smaller constant contribution to its conditional variance after accounting for the dynamic terms. The off-diagonal elements also show both positive and negative associations in the underlying covariance parameterization. For example, the DEXR-related elements are largely zero because of the lower-triangular structure, while the DSTOCKP row contains values such as -0.077, -0.118 and -0.266. </w:t>
      </w:r>
    </w:p>
    <w:p w14:paraId="3B2E5C7B" w14:textId="77777777" w:rsidR="007B36E3" w:rsidRPr="004236D1" w:rsidRDefault="00F776F2" w:rsidP="004236D1">
      <w:pPr>
        <w:spacing w:before="100" w:beforeAutospacing="1" w:after="0" w:line="240" w:lineRule="auto"/>
        <w:jc w:val="both"/>
        <w:outlineLvl w:val="2"/>
        <w:rPr>
          <w:rFonts w:ascii="Times New Roman" w:eastAsia="Times New Roman" w:hAnsi="Times New Roman" w:cs="Times New Roman"/>
          <w:b/>
          <w:bCs/>
          <w:kern w:val="0"/>
          <w14:ligatures w14:val="none"/>
        </w:rPr>
      </w:pPr>
      <w:r w:rsidRPr="004236D1">
        <w:rPr>
          <w:rFonts w:ascii="Times New Roman" w:eastAsia="Times New Roman" w:hAnsi="Times New Roman" w:cs="Times New Roman"/>
          <w:b/>
          <w:bCs/>
          <w:kern w:val="0"/>
          <w14:ligatures w14:val="none"/>
        </w:rPr>
        <w:t>Table 1</w:t>
      </w:r>
      <w:r w:rsidR="00E125C3">
        <w:rPr>
          <w:rFonts w:ascii="Times New Roman" w:eastAsia="Times New Roman" w:hAnsi="Times New Roman" w:cs="Times New Roman"/>
          <w:b/>
          <w:bCs/>
          <w:kern w:val="0"/>
          <w14:ligatures w14:val="none"/>
        </w:rPr>
        <w:t>4</w:t>
      </w:r>
      <w:r w:rsidR="007B36E3" w:rsidRPr="004236D1">
        <w:rPr>
          <w:rFonts w:ascii="Times New Roman" w:eastAsia="Times New Roman" w:hAnsi="Times New Roman" w:cs="Times New Roman"/>
          <w:b/>
          <w:bCs/>
          <w:kern w:val="0"/>
          <w14:ligatures w14:val="none"/>
        </w:rPr>
        <w:t>: Estimated BEKK GARCH (G) Matrix</w:t>
      </w:r>
    </w:p>
    <w:tbl>
      <w:tblPr>
        <w:tblW w:w="8230" w:type="dxa"/>
        <w:tblInd w:w="-180" w:type="dxa"/>
        <w:tblBorders>
          <w:top w:val="single" w:sz="4" w:space="0" w:color="auto"/>
          <w:bottom w:val="single" w:sz="4" w:space="0" w:color="auto"/>
        </w:tblBorders>
        <w:tblLayout w:type="fixed"/>
        <w:tblLook w:val="04A0" w:firstRow="1" w:lastRow="0" w:firstColumn="1" w:lastColumn="0" w:noHBand="0" w:noVBand="1"/>
      </w:tblPr>
      <w:tblGrid>
        <w:gridCol w:w="1440"/>
        <w:gridCol w:w="1014"/>
        <w:gridCol w:w="1056"/>
        <w:gridCol w:w="1043"/>
        <w:gridCol w:w="1243"/>
        <w:gridCol w:w="1057"/>
        <w:gridCol w:w="1377"/>
      </w:tblGrid>
      <w:tr w:rsidR="007B36E3" w:rsidRPr="005376EB" w14:paraId="084B603C" w14:textId="77777777" w:rsidTr="005376EB">
        <w:trPr>
          <w:trHeight w:val="107"/>
        </w:trPr>
        <w:tc>
          <w:tcPr>
            <w:tcW w:w="1440" w:type="dxa"/>
            <w:tcBorders>
              <w:top w:val="single" w:sz="4" w:space="0" w:color="auto"/>
              <w:bottom w:val="single" w:sz="4" w:space="0" w:color="auto"/>
            </w:tcBorders>
            <w:vAlign w:val="center"/>
            <w:hideMark/>
          </w:tcPr>
          <w:p w14:paraId="7C9EBBDD" w14:textId="77777777" w:rsidR="007B36E3" w:rsidRPr="005376EB" w:rsidRDefault="007B36E3" w:rsidP="004236D1">
            <w:pPr>
              <w:spacing w:after="0" w:line="240" w:lineRule="auto"/>
              <w:jc w:val="both"/>
              <w:rPr>
                <w:rFonts w:ascii="Times New Roman" w:eastAsia="Times New Roman" w:hAnsi="Times New Roman" w:cs="Times New Roman"/>
                <w:kern w:val="0"/>
                <w14:ligatures w14:val="none"/>
              </w:rPr>
            </w:pPr>
          </w:p>
        </w:tc>
        <w:tc>
          <w:tcPr>
            <w:tcW w:w="1014" w:type="dxa"/>
            <w:tcBorders>
              <w:top w:val="single" w:sz="4" w:space="0" w:color="auto"/>
              <w:bottom w:val="single" w:sz="4" w:space="0" w:color="auto"/>
            </w:tcBorders>
            <w:vAlign w:val="center"/>
            <w:hideMark/>
          </w:tcPr>
          <w:p w14:paraId="7099FDAD"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56" w:type="dxa"/>
            <w:tcBorders>
              <w:top w:val="single" w:sz="4" w:space="0" w:color="auto"/>
              <w:bottom w:val="single" w:sz="4" w:space="0" w:color="auto"/>
            </w:tcBorders>
            <w:vAlign w:val="center"/>
            <w:hideMark/>
          </w:tcPr>
          <w:p w14:paraId="5EA5C15E"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43" w:type="dxa"/>
            <w:tcBorders>
              <w:top w:val="single" w:sz="4" w:space="0" w:color="auto"/>
              <w:bottom w:val="single" w:sz="4" w:space="0" w:color="auto"/>
            </w:tcBorders>
            <w:vAlign w:val="center"/>
            <w:hideMark/>
          </w:tcPr>
          <w:p w14:paraId="17F8262B"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243" w:type="dxa"/>
            <w:tcBorders>
              <w:top w:val="single" w:sz="4" w:space="0" w:color="auto"/>
              <w:bottom w:val="single" w:sz="4" w:space="0" w:color="auto"/>
            </w:tcBorders>
            <w:vAlign w:val="center"/>
            <w:hideMark/>
          </w:tcPr>
          <w:p w14:paraId="25DCEC21"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57" w:type="dxa"/>
            <w:tcBorders>
              <w:top w:val="single" w:sz="4" w:space="0" w:color="auto"/>
              <w:bottom w:val="single" w:sz="4" w:space="0" w:color="auto"/>
            </w:tcBorders>
            <w:vAlign w:val="center"/>
            <w:hideMark/>
          </w:tcPr>
          <w:p w14:paraId="275B83C8"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377" w:type="dxa"/>
            <w:tcBorders>
              <w:top w:val="single" w:sz="4" w:space="0" w:color="auto"/>
              <w:bottom w:val="single" w:sz="4" w:space="0" w:color="auto"/>
            </w:tcBorders>
            <w:vAlign w:val="center"/>
            <w:hideMark/>
          </w:tcPr>
          <w:p w14:paraId="7CDB68AB"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21D7FAC1" w14:textId="77777777" w:rsidTr="005376EB">
        <w:trPr>
          <w:trHeight w:val="179"/>
        </w:trPr>
        <w:tc>
          <w:tcPr>
            <w:tcW w:w="1440" w:type="dxa"/>
            <w:tcBorders>
              <w:top w:val="single" w:sz="4" w:space="0" w:color="auto"/>
            </w:tcBorders>
            <w:vAlign w:val="center"/>
            <w:hideMark/>
          </w:tcPr>
          <w:p w14:paraId="4EB797DE"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14" w:type="dxa"/>
            <w:tcBorders>
              <w:top w:val="single" w:sz="4" w:space="0" w:color="auto"/>
            </w:tcBorders>
            <w:vAlign w:val="center"/>
            <w:hideMark/>
          </w:tcPr>
          <w:p w14:paraId="7449F0B8"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0.9187</w:t>
            </w:r>
          </w:p>
        </w:tc>
        <w:tc>
          <w:tcPr>
            <w:tcW w:w="1056" w:type="dxa"/>
            <w:tcBorders>
              <w:top w:val="single" w:sz="4" w:space="0" w:color="auto"/>
            </w:tcBorders>
            <w:vAlign w:val="center"/>
            <w:hideMark/>
          </w:tcPr>
          <w:p w14:paraId="53A4B13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-0.023</w:t>
            </w:r>
          </w:p>
        </w:tc>
        <w:tc>
          <w:tcPr>
            <w:tcW w:w="1043" w:type="dxa"/>
            <w:tcBorders>
              <w:top w:val="single" w:sz="4" w:space="0" w:color="auto"/>
            </w:tcBorders>
            <w:vAlign w:val="center"/>
            <w:hideMark/>
          </w:tcPr>
          <w:p w14:paraId="702F53E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-0.004</w:t>
            </w:r>
          </w:p>
        </w:tc>
        <w:tc>
          <w:tcPr>
            <w:tcW w:w="1243" w:type="dxa"/>
            <w:tcBorders>
              <w:top w:val="single" w:sz="4" w:space="0" w:color="auto"/>
            </w:tcBorders>
            <w:vAlign w:val="center"/>
            <w:hideMark/>
          </w:tcPr>
          <w:p w14:paraId="62B1FB3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-0.0152</w:t>
            </w:r>
          </w:p>
        </w:tc>
        <w:tc>
          <w:tcPr>
            <w:tcW w:w="1057" w:type="dxa"/>
            <w:tcBorders>
              <w:top w:val="single" w:sz="4" w:space="0" w:color="auto"/>
            </w:tcBorders>
            <w:vAlign w:val="center"/>
            <w:hideMark/>
          </w:tcPr>
          <w:p w14:paraId="60FE447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-0.0002</w:t>
            </w:r>
          </w:p>
        </w:tc>
        <w:tc>
          <w:tcPr>
            <w:tcW w:w="1377" w:type="dxa"/>
            <w:tcBorders>
              <w:top w:val="single" w:sz="4" w:space="0" w:color="auto"/>
            </w:tcBorders>
            <w:vAlign w:val="center"/>
            <w:hideMark/>
          </w:tcPr>
          <w:p w14:paraId="159575E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-0.0424</w:t>
            </w:r>
          </w:p>
        </w:tc>
      </w:tr>
      <w:tr w:rsidR="007B36E3" w:rsidRPr="004236D1" w14:paraId="61EF2CFE" w14:textId="77777777" w:rsidTr="005376EB">
        <w:trPr>
          <w:trHeight w:val="351"/>
        </w:trPr>
        <w:tc>
          <w:tcPr>
            <w:tcW w:w="1440" w:type="dxa"/>
            <w:vAlign w:val="center"/>
            <w:hideMark/>
          </w:tcPr>
          <w:p w14:paraId="75BB728F"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14" w:type="dxa"/>
            <w:vAlign w:val="center"/>
            <w:hideMark/>
          </w:tcPr>
          <w:p w14:paraId="3326DDD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-0.0042</w:t>
            </w:r>
          </w:p>
        </w:tc>
        <w:tc>
          <w:tcPr>
            <w:tcW w:w="1056" w:type="dxa"/>
            <w:vAlign w:val="center"/>
            <w:hideMark/>
          </w:tcPr>
          <w:p w14:paraId="75199815"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0.917</w:t>
            </w:r>
          </w:p>
        </w:tc>
        <w:tc>
          <w:tcPr>
            <w:tcW w:w="1043" w:type="dxa"/>
            <w:vAlign w:val="center"/>
            <w:hideMark/>
          </w:tcPr>
          <w:p w14:paraId="71EC5E0E"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-0.030</w:t>
            </w:r>
          </w:p>
        </w:tc>
        <w:tc>
          <w:tcPr>
            <w:tcW w:w="1243" w:type="dxa"/>
            <w:vAlign w:val="center"/>
            <w:hideMark/>
          </w:tcPr>
          <w:p w14:paraId="13E125D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-0.0414</w:t>
            </w:r>
          </w:p>
        </w:tc>
        <w:tc>
          <w:tcPr>
            <w:tcW w:w="1057" w:type="dxa"/>
            <w:vAlign w:val="center"/>
            <w:hideMark/>
          </w:tcPr>
          <w:p w14:paraId="3F74779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-0.1012</w:t>
            </w:r>
          </w:p>
        </w:tc>
        <w:tc>
          <w:tcPr>
            <w:tcW w:w="1377" w:type="dxa"/>
            <w:vAlign w:val="center"/>
            <w:hideMark/>
          </w:tcPr>
          <w:p w14:paraId="721D1D0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-0.015</w:t>
            </w:r>
          </w:p>
        </w:tc>
      </w:tr>
      <w:tr w:rsidR="007B36E3" w:rsidRPr="004236D1" w14:paraId="1C38DD1B" w14:textId="77777777" w:rsidTr="005376EB">
        <w:trPr>
          <w:trHeight w:val="315"/>
        </w:trPr>
        <w:tc>
          <w:tcPr>
            <w:tcW w:w="1440" w:type="dxa"/>
            <w:vAlign w:val="center"/>
            <w:hideMark/>
          </w:tcPr>
          <w:p w14:paraId="2F9E06EF"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014" w:type="dxa"/>
            <w:vAlign w:val="center"/>
            <w:hideMark/>
          </w:tcPr>
          <w:p w14:paraId="5C7CBF9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0.0028</w:t>
            </w:r>
          </w:p>
        </w:tc>
        <w:tc>
          <w:tcPr>
            <w:tcW w:w="1056" w:type="dxa"/>
            <w:vAlign w:val="center"/>
            <w:hideMark/>
          </w:tcPr>
          <w:p w14:paraId="38CDCEC1"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0.0275</w:t>
            </w:r>
          </w:p>
        </w:tc>
        <w:tc>
          <w:tcPr>
            <w:tcW w:w="1043" w:type="dxa"/>
            <w:vAlign w:val="center"/>
            <w:hideMark/>
          </w:tcPr>
          <w:p w14:paraId="4A819AFA"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0.9293</w:t>
            </w:r>
          </w:p>
        </w:tc>
        <w:tc>
          <w:tcPr>
            <w:tcW w:w="1243" w:type="dxa"/>
            <w:vAlign w:val="center"/>
            <w:hideMark/>
          </w:tcPr>
          <w:p w14:paraId="692352FE"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-0.0147</w:t>
            </w:r>
          </w:p>
        </w:tc>
        <w:tc>
          <w:tcPr>
            <w:tcW w:w="1057" w:type="dxa"/>
            <w:vAlign w:val="center"/>
            <w:hideMark/>
          </w:tcPr>
          <w:p w14:paraId="0B33C2E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0.0024</w:t>
            </w:r>
          </w:p>
        </w:tc>
        <w:tc>
          <w:tcPr>
            <w:tcW w:w="1377" w:type="dxa"/>
            <w:vAlign w:val="center"/>
            <w:hideMark/>
          </w:tcPr>
          <w:p w14:paraId="5BC7D4B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0.0087</w:t>
            </w:r>
          </w:p>
        </w:tc>
      </w:tr>
      <w:tr w:rsidR="007B36E3" w:rsidRPr="004236D1" w14:paraId="662C074F" w14:textId="77777777" w:rsidTr="005376EB">
        <w:trPr>
          <w:trHeight w:val="315"/>
        </w:trPr>
        <w:tc>
          <w:tcPr>
            <w:tcW w:w="1440" w:type="dxa"/>
            <w:vAlign w:val="center"/>
            <w:hideMark/>
          </w:tcPr>
          <w:p w14:paraId="4C87201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14" w:type="dxa"/>
            <w:vAlign w:val="center"/>
            <w:hideMark/>
          </w:tcPr>
          <w:p w14:paraId="76E7C11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0.0444</w:t>
            </w:r>
          </w:p>
        </w:tc>
        <w:tc>
          <w:tcPr>
            <w:tcW w:w="1056" w:type="dxa"/>
            <w:vAlign w:val="center"/>
            <w:hideMark/>
          </w:tcPr>
          <w:p w14:paraId="33E67C6C"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0.0465</w:t>
            </w:r>
          </w:p>
        </w:tc>
        <w:tc>
          <w:tcPr>
            <w:tcW w:w="1043" w:type="dxa"/>
            <w:vAlign w:val="center"/>
            <w:hideMark/>
          </w:tcPr>
          <w:p w14:paraId="2C400D9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0.0648</w:t>
            </w:r>
          </w:p>
        </w:tc>
        <w:tc>
          <w:tcPr>
            <w:tcW w:w="1243" w:type="dxa"/>
            <w:vAlign w:val="center"/>
            <w:hideMark/>
          </w:tcPr>
          <w:p w14:paraId="3055D882"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0.9323</w:t>
            </w:r>
          </w:p>
        </w:tc>
        <w:tc>
          <w:tcPr>
            <w:tcW w:w="1057" w:type="dxa"/>
            <w:vAlign w:val="center"/>
            <w:hideMark/>
          </w:tcPr>
          <w:p w14:paraId="685FC2B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-0.1089</w:t>
            </w:r>
          </w:p>
        </w:tc>
        <w:tc>
          <w:tcPr>
            <w:tcW w:w="1377" w:type="dxa"/>
            <w:vAlign w:val="center"/>
            <w:hideMark/>
          </w:tcPr>
          <w:p w14:paraId="3CBE28B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0.0123</w:t>
            </w:r>
          </w:p>
        </w:tc>
      </w:tr>
      <w:tr w:rsidR="007B36E3" w:rsidRPr="004236D1" w14:paraId="3F8C62BE" w14:textId="77777777" w:rsidTr="005376EB">
        <w:trPr>
          <w:trHeight w:val="315"/>
        </w:trPr>
        <w:tc>
          <w:tcPr>
            <w:tcW w:w="1440" w:type="dxa"/>
            <w:vAlign w:val="center"/>
            <w:hideMark/>
          </w:tcPr>
          <w:p w14:paraId="422148F3"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014" w:type="dxa"/>
            <w:vAlign w:val="center"/>
            <w:hideMark/>
          </w:tcPr>
          <w:p w14:paraId="11F877A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0.0207</w:t>
            </w:r>
          </w:p>
        </w:tc>
        <w:tc>
          <w:tcPr>
            <w:tcW w:w="1056" w:type="dxa"/>
            <w:vAlign w:val="center"/>
            <w:hideMark/>
          </w:tcPr>
          <w:p w14:paraId="041338A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0.0231</w:t>
            </w:r>
          </w:p>
        </w:tc>
        <w:tc>
          <w:tcPr>
            <w:tcW w:w="1043" w:type="dxa"/>
            <w:vAlign w:val="center"/>
            <w:hideMark/>
          </w:tcPr>
          <w:p w14:paraId="7071499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0.0231</w:t>
            </w:r>
          </w:p>
        </w:tc>
        <w:tc>
          <w:tcPr>
            <w:tcW w:w="1243" w:type="dxa"/>
            <w:vAlign w:val="center"/>
            <w:hideMark/>
          </w:tcPr>
          <w:p w14:paraId="4521076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0.0161</w:t>
            </w:r>
          </w:p>
        </w:tc>
        <w:tc>
          <w:tcPr>
            <w:tcW w:w="1057" w:type="dxa"/>
            <w:vAlign w:val="center"/>
            <w:hideMark/>
          </w:tcPr>
          <w:p w14:paraId="1F26342B"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0.8788</w:t>
            </w:r>
          </w:p>
        </w:tc>
        <w:tc>
          <w:tcPr>
            <w:tcW w:w="1377" w:type="dxa"/>
            <w:vAlign w:val="center"/>
            <w:hideMark/>
          </w:tcPr>
          <w:p w14:paraId="17AC141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-0.0128</w:t>
            </w:r>
          </w:p>
        </w:tc>
      </w:tr>
      <w:tr w:rsidR="007B36E3" w:rsidRPr="004236D1" w14:paraId="29A4510B" w14:textId="77777777" w:rsidTr="005376EB">
        <w:trPr>
          <w:trHeight w:val="630"/>
        </w:trPr>
        <w:tc>
          <w:tcPr>
            <w:tcW w:w="1440" w:type="dxa"/>
            <w:vAlign w:val="center"/>
            <w:hideMark/>
          </w:tcPr>
          <w:p w14:paraId="07B4F46F"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c>
          <w:tcPr>
            <w:tcW w:w="1014" w:type="dxa"/>
            <w:vAlign w:val="center"/>
            <w:hideMark/>
          </w:tcPr>
          <w:p w14:paraId="4411FEE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0.0188</w:t>
            </w:r>
          </w:p>
        </w:tc>
        <w:tc>
          <w:tcPr>
            <w:tcW w:w="1056" w:type="dxa"/>
            <w:vAlign w:val="center"/>
            <w:hideMark/>
          </w:tcPr>
          <w:p w14:paraId="016C765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0.0431</w:t>
            </w:r>
          </w:p>
        </w:tc>
        <w:tc>
          <w:tcPr>
            <w:tcW w:w="1043" w:type="dxa"/>
            <w:vAlign w:val="center"/>
            <w:hideMark/>
          </w:tcPr>
          <w:p w14:paraId="3905286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0.053</w:t>
            </w:r>
          </w:p>
        </w:tc>
        <w:tc>
          <w:tcPr>
            <w:tcW w:w="1243" w:type="dxa"/>
            <w:vAlign w:val="center"/>
            <w:hideMark/>
          </w:tcPr>
          <w:p w14:paraId="15EB9265"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0.0382</w:t>
            </w:r>
          </w:p>
        </w:tc>
        <w:tc>
          <w:tcPr>
            <w:tcW w:w="1057" w:type="dxa"/>
            <w:vAlign w:val="center"/>
            <w:hideMark/>
          </w:tcPr>
          <w:p w14:paraId="095BFA9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0.0218</w:t>
            </w:r>
          </w:p>
        </w:tc>
        <w:tc>
          <w:tcPr>
            <w:tcW w:w="1377" w:type="dxa"/>
            <w:vAlign w:val="center"/>
            <w:hideMark/>
          </w:tcPr>
          <w:p w14:paraId="28AA55A5" w14:textId="77777777" w:rsidR="007B36E3" w:rsidRPr="004236D1" w:rsidRDefault="007B36E3" w:rsidP="004236D1">
            <w:pPr>
              <w:spacing w:after="0" w:line="240" w:lineRule="auto"/>
              <w:jc w:val="both"/>
              <w:rPr>
                <w:rFonts w:ascii="Times New Roman" w:eastAsia="Times New Roman" w:hAnsi="Times New Roman" w:cs="Times New Roman"/>
                <w:b/>
                <w:bCs/>
                <w:color w:val="000000"/>
                <w:kern w:val="0"/>
                <w14:ligatures w14:val="none"/>
              </w:rPr>
            </w:pPr>
            <w:r w:rsidRPr="004236D1">
              <w:rPr>
                <w:rFonts w:ascii="Times New Roman" w:eastAsia="Times New Roman" w:hAnsi="Times New Roman" w:cs="Times New Roman"/>
                <w:b/>
                <w:bCs/>
                <w:color w:val="000000"/>
                <w:kern w:val="0"/>
                <w14:ligatures w14:val="none"/>
              </w:rPr>
              <w:t>0.883</w:t>
            </w:r>
          </w:p>
        </w:tc>
      </w:tr>
    </w:tbl>
    <w:p w14:paraId="1FC5CC05" w14:textId="77777777" w:rsidR="00F776F2" w:rsidRPr="004236D1" w:rsidRDefault="00E125C3" w:rsidP="004236D1">
      <w:pPr>
        <w:spacing w:after="0"/>
        <w:jc w:val="both"/>
        <w:rPr>
          <w:rFonts w:ascii="Times New Roman" w:hAnsi="Times New Roman" w:cs="Times New Roman"/>
          <w:b/>
          <w:bCs/>
        </w:rPr>
      </w:pPr>
      <w:r>
        <w:rPr>
          <w:rFonts w:ascii="Times New Roman" w:hAnsi="Times New Roman" w:cs="Times New Roman"/>
        </w:rPr>
        <w:t>Table 14</w:t>
      </w:r>
      <w:r w:rsidR="00233DBF" w:rsidRPr="004236D1">
        <w:rPr>
          <w:rFonts w:ascii="Times New Roman" w:hAnsi="Times New Roman" w:cs="Times New Roman"/>
        </w:rPr>
        <w:t xml:space="preserve"> reports the BEKK GARCH matrix, which captures the role of past conditional covariance and volatility in explaining current covariance dynamics. The diagonal elements are all relatively large: 0.9187 for DEXR, 0.9170 for DBCOP, 0.9293 for DCOPP, 0.9323 for DGOLDP, 0.8788 for DNGAS and 0.8830 for DSTOCKP. These estimates demonstrate that previous conditional volatility is an important component of current volatility across the markets. Gold has the largest diagonal GARCH coefficient, followed closely by copper and exchange rate, indicating particularly strong dependence on historical volatility. Natural gas has the lowest diagonal coefficient, although its value remains substantial. The off-diagonal elements show that historical covariance can also be transmitted across markets. For instance, the DEXR–DBCOP element is -0.023, while the DBCOP–DGOLDP element is -0.0414 and the DGOLDP–DNGAS element is -0.1089. These signs indicate the direction of the contribution within the covariance parameterization rather than direct correlation coefficients. The overall structure of Table 13 therefore supports the view that volatility in the six-market system has considerable memory, with the GARCH component playing a particularly important role in maintaining conditional volatility from one period to the next.</w:t>
      </w:r>
    </w:p>
    <w:p w14:paraId="02309810" w14:textId="77777777" w:rsidR="00F776F2" w:rsidRDefault="00F776F2" w:rsidP="004236D1">
      <w:pPr>
        <w:spacing w:after="0"/>
        <w:jc w:val="both"/>
        <w:rPr>
          <w:rFonts w:ascii="Times New Roman" w:hAnsi="Times New Roman" w:cs="Times New Roman"/>
          <w:b/>
          <w:bCs/>
        </w:rPr>
      </w:pPr>
    </w:p>
    <w:p w14:paraId="1D4652CA" w14:textId="77777777" w:rsidR="007B36E3" w:rsidRPr="004236D1" w:rsidRDefault="00F776F2" w:rsidP="004236D1">
      <w:pPr>
        <w:spacing w:after="0"/>
        <w:jc w:val="both"/>
        <w:rPr>
          <w:rFonts w:ascii="Times New Roman" w:hAnsi="Times New Roman" w:cs="Times New Roman"/>
          <w:b/>
          <w:bCs/>
        </w:rPr>
      </w:pPr>
      <w:r w:rsidRPr="004236D1">
        <w:rPr>
          <w:rFonts w:ascii="Times New Roman" w:hAnsi="Times New Roman" w:cs="Times New Roman"/>
          <w:b/>
          <w:bCs/>
        </w:rPr>
        <w:t>Table 1</w:t>
      </w:r>
      <w:r w:rsidR="00E125C3">
        <w:rPr>
          <w:rFonts w:ascii="Times New Roman" w:hAnsi="Times New Roman" w:cs="Times New Roman"/>
          <w:b/>
          <w:bCs/>
        </w:rPr>
        <w:t>5</w:t>
      </w:r>
      <w:r w:rsidR="007B36E3" w:rsidRPr="004236D1">
        <w:rPr>
          <w:rFonts w:ascii="Times New Roman" w:hAnsi="Times New Roman" w:cs="Times New Roman"/>
          <w:b/>
          <w:bCs/>
        </w:rPr>
        <w:t>: Estimated Conditional Correlation Matrix from the BEKK-GARCH Model</w:t>
      </w:r>
    </w:p>
    <w:tbl>
      <w:tblPr>
        <w:tblW w:w="8050" w:type="dxa"/>
        <w:tblBorders>
          <w:top w:val="single" w:sz="8" w:space="0" w:color="auto"/>
          <w:bottom w:val="single" w:sz="8" w:space="0" w:color="auto"/>
        </w:tblBorders>
        <w:tblLook w:val="04A0" w:firstRow="1" w:lastRow="0" w:firstColumn="1" w:lastColumn="0" w:noHBand="0" w:noVBand="1"/>
      </w:tblPr>
      <w:tblGrid>
        <w:gridCol w:w="1377"/>
        <w:gridCol w:w="897"/>
        <w:gridCol w:w="1056"/>
        <w:gridCol w:w="1043"/>
        <w:gridCol w:w="1243"/>
        <w:gridCol w:w="1057"/>
        <w:gridCol w:w="1377"/>
      </w:tblGrid>
      <w:tr w:rsidR="007B36E3" w:rsidRPr="004236D1" w14:paraId="6C598EB4" w14:textId="77777777" w:rsidTr="00233DBF">
        <w:trPr>
          <w:trHeight w:val="645"/>
        </w:trPr>
        <w:tc>
          <w:tcPr>
            <w:tcW w:w="1377" w:type="dxa"/>
            <w:tcBorders>
              <w:top w:val="single" w:sz="8" w:space="0" w:color="auto"/>
              <w:bottom w:val="single" w:sz="8" w:space="0" w:color="auto"/>
            </w:tcBorders>
            <w:vAlign w:val="center"/>
            <w:hideMark/>
          </w:tcPr>
          <w:p w14:paraId="2DE2D2F9"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Variables</w:t>
            </w:r>
          </w:p>
        </w:tc>
        <w:tc>
          <w:tcPr>
            <w:tcW w:w="897" w:type="dxa"/>
            <w:tcBorders>
              <w:top w:val="single" w:sz="8" w:space="0" w:color="auto"/>
              <w:bottom w:val="single" w:sz="8" w:space="0" w:color="auto"/>
            </w:tcBorders>
            <w:vAlign w:val="center"/>
            <w:hideMark/>
          </w:tcPr>
          <w:p w14:paraId="71C45ECA"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1056" w:type="dxa"/>
            <w:tcBorders>
              <w:top w:val="single" w:sz="8" w:space="0" w:color="auto"/>
              <w:bottom w:val="single" w:sz="8" w:space="0" w:color="auto"/>
            </w:tcBorders>
            <w:vAlign w:val="center"/>
            <w:hideMark/>
          </w:tcPr>
          <w:p w14:paraId="15755E67"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1043" w:type="dxa"/>
            <w:tcBorders>
              <w:top w:val="single" w:sz="8" w:space="0" w:color="auto"/>
              <w:bottom w:val="single" w:sz="8" w:space="0" w:color="auto"/>
            </w:tcBorders>
            <w:vAlign w:val="center"/>
            <w:hideMark/>
          </w:tcPr>
          <w:p w14:paraId="52B34200"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1243" w:type="dxa"/>
            <w:tcBorders>
              <w:top w:val="single" w:sz="8" w:space="0" w:color="auto"/>
              <w:bottom w:val="single" w:sz="8" w:space="0" w:color="auto"/>
            </w:tcBorders>
            <w:vAlign w:val="center"/>
            <w:hideMark/>
          </w:tcPr>
          <w:p w14:paraId="41F7D6C3"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1057" w:type="dxa"/>
            <w:tcBorders>
              <w:top w:val="single" w:sz="8" w:space="0" w:color="auto"/>
              <w:bottom w:val="single" w:sz="8" w:space="0" w:color="auto"/>
            </w:tcBorders>
            <w:vAlign w:val="center"/>
            <w:hideMark/>
          </w:tcPr>
          <w:p w14:paraId="5BF6CBBB"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DNGAS</w:t>
            </w:r>
          </w:p>
        </w:tc>
        <w:tc>
          <w:tcPr>
            <w:tcW w:w="1377" w:type="dxa"/>
            <w:tcBorders>
              <w:top w:val="single" w:sz="8" w:space="0" w:color="auto"/>
              <w:bottom w:val="single" w:sz="8" w:space="0" w:color="auto"/>
            </w:tcBorders>
            <w:vAlign w:val="center"/>
            <w:hideMark/>
          </w:tcPr>
          <w:p w14:paraId="25F2BD6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r>
      <w:tr w:rsidR="007B36E3" w:rsidRPr="004236D1" w14:paraId="013379FB" w14:textId="77777777" w:rsidTr="00233DBF">
        <w:trPr>
          <w:trHeight w:val="330"/>
        </w:trPr>
        <w:tc>
          <w:tcPr>
            <w:tcW w:w="1377" w:type="dxa"/>
            <w:tcBorders>
              <w:top w:val="single" w:sz="8" w:space="0" w:color="auto"/>
            </w:tcBorders>
            <w:vAlign w:val="center"/>
            <w:hideMark/>
          </w:tcPr>
          <w:p w14:paraId="42C4919E"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DEXR</w:t>
            </w:r>
          </w:p>
        </w:tc>
        <w:tc>
          <w:tcPr>
            <w:tcW w:w="897" w:type="dxa"/>
            <w:tcBorders>
              <w:top w:val="single" w:sz="8" w:space="0" w:color="auto"/>
            </w:tcBorders>
            <w:vAlign w:val="center"/>
            <w:hideMark/>
          </w:tcPr>
          <w:p w14:paraId="0A13288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056" w:type="dxa"/>
            <w:tcBorders>
              <w:top w:val="single" w:sz="8" w:space="0" w:color="auto"/>
            </w:tcBorders>
            <w:vAlign w:val="center"/>
            <w:hideMark/>
          </w:tcPr>
          <w:p w14:paraId="1C076E0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0.0014</w:t>
            </w:r>
          </w:p>
        </w:tc>
        <w:tc>
          <w:tcPr>
            <w:tcW w:w="1043" w:type="dxa"/>
            <w:tcBorders>
              <w:top w:val="single" w:sz="8" w:space="0" w:color="auto"/>
            </w:tcBorders>
            <w:vAlign w:val="center"/>
            <w:hideMark/>
          </w:tcPr>
          <w:p w14:paraId="641412D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w:t>
            </w:r>
          </w:p>
        </w:tc>
        <w:tc>
          <w:tcPr>
            <w:tcW w:w="1243" w:type="dxa"/>
            <w:tcBorders>
              <w:top w:val="single" w:sz="8" w:space="0" w:color="auto"/>
            </w:tcBorders>
            <w:vAlign w:val="center"/>
            <w:hideMark/>
          </w:tcPr>
          <w:p w14:paraId="7123092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0.0122</w:t>
            </w:r>
          </w:p>
        </w:tc>
        <w:tc>
          <w:tcPr>
            <w:tcW w:w="1057" w:type="dxa"/>
            <w:tcBorders>
              <w:top w:val="single" w:sz="8" w:space="0" w:color="auto"/>
            </w:tcBorders>
            <w:vAlign w:val="center"/>
            <w:hideMark/>
          </w:tcPr>
          <w:p w14:paraId="682341E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w:t>
            </w:r>
          </w:p>
        </w:tc>
        <w:tc>
          <w:tcPr>
            <w:tcW w:w="1377" w:type="dxa"/>
            <w:tcBorders>
              <w:top w:val="single" w:sz="8" w:space="0" w:color="auto"/>
            </w:tcBorders>
            <w:vAlign w:val="center"/>
            <w:hideMark/>
          </w:tcPr>
          <w:p w14:paraId="2BA5582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r>
      <w:tr w:rsidR="007B36E3" w:rsidRPr="004236D1" w14:paraId="3F854E5C" w14:textId="77777777" w:rsidTr="00233DBF">
        <w:trPr>
          <w:trHeight w:val="330"/>
        </w:trPr>
        <w:tc>
          <w:tcPr>
            <w:tcW w:w="1377" w:type="dxa"/>
            <w:vAlign w:val="center"/>
            <w:hideMark/>
          </w:tcPr>
          <w:p w14:paraId="2EDB534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DBCOP</w:t>
            </w:r>
          </w:p>
        </w:tc>
        <w:tc>
          <w:tcPr>
            <w:tcW w:w="897" w:type="dxa"/>
            <w:vAlign w:val="center"/>
            <w:hideMark/>
          </w:tcPr>
          <w:p w14:paraId="2F175E8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0.0014</w:t>
            </w:r>
          </w:p>
        </w:tc>
        <w:tc>
          <w:tcPr>
            <w:tcW w:w="1056" w:type="dxa"/>
            <w:vAlign w:val="center"/>
            <w:hideMark/>
          </w:tcPr>
          <w:p w14:paraId="2E92572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043" w:type="dxa"/>
            <w:vAlign w:val="center"/>
            <w:hideMark/>
          </w:tcPr>
          <w:p w14:paraId="3F26E0F4"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0.005</w:t>
            </w:r>
          </w:p>
        </w:tc>
        <w:tc>
          <w:tcPr>
            <w:tcW w:w="1243" w:type="dxa"/>
            <w:vAlign w:val="center"/>
            <w:hideMark/>
          </w:tcPr>
          <w:p w14:paraId="5190C80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0.0092</w:t>
            </w:r>
          </w:p>
        </w:tc>
        <w:tc>
          <w:tcPr>
            <w:tcW w:w="1057" w:type="dxa"/>
            <w:vAlign w:val="center"/>
            <w:hideMark/>
          </w:tcPr>
          <w:p w14:paraId="3A57369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0.0019</w:t>
            </w:r>
          </w:p>
        </w:tc>
        <w:tc>
          <w:tcPr>
            <w:tcW w:w="1377" w:type="dxa"/>
            <w:vAlign w:val="center"/>
            <w:hideMark/>
          </w:tcPr>
          <w:p w14:paraId="3ED654F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-0.0058</w:t>
            </w:r>
          </w:p>
        </w:tc>
      </w:tr>
      <w:tr w:rsidR="007B36E3" w:rsidRPr="004236D1" w14:paraId="70002FF8" w14:textId="77777777" w:rsidTr="00233DBF">
        <w:trPr>
          <w:trHeight w:val="330"/>
        </w:trPr>
        <w:tc>
          <w:tcPr>
            <w:tcW w:w="1377" w:type="dxa"/>
            <w:vAlign w:val="center"/>
            <w:hideMark/>
          </w:tcPr>
          <w:p w14:paraId="781BEAB9"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DCOPP</w:t>
            </w:r>
          </w:p>
        </w:tc>
        <w:tc>
          <w:tcPr>
            <w:tcW w:w="897" w:type="dxa"/>
            <w:vAlign w:val="center"/>
            <w:hideMark/>
          </w:tcPr>
          <w:p w14:paraId="6208AA1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-0.018</w:t>
            </w:r>
          </w:p>
        </w:tc>
        <w:tc>
          <w:tcPr>
            <w:tcW w:w="1056" w:type="dxa"/>
            <w:vAlign w:val="center"/>
            <w:hideMark/>
          </w:tcPr>
          <w:p w14:paraId="01727AB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0.005</w:t>
            </w:r>
          </w:p>
        </w:tc>
        <w:tc>
          <w:tcPr>
            <w:tcW w:w="1043" w:type="dxa"/>
            <w:vAlign w:val="center"/>
            <w:hideMark/>
          </w:tcPr>
          <w:p w14:paraId="1FD9AA9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243" w:type="dxa"/>
            <w:vAlign w:val="center"/>
            <w:hideMark/>
          </w:tcPr>
          <w:p w14:paraId="7C718DC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0.0366</w:t>
            </w:r>
          </w:p>
        </w:tc>
        <w:tc>
          <w:tcPr>
            <w:tcW w:w="1057" w:type="dxa"/>
            <w:vAlign w:val="center"/>
            <w:hideMark/>
          </w:tcPr>
          <w:p w14:paraId="2B5A43B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w:t>
            </w:r>
          </w:p>
        </w:tc>
        <w:tc>
          <w:tcPr>
            <w:tcW w:w="1377" w:type="dxa"/>
            <w:vAlign w:val="center"/>
            <w:hideMark/>
          </w:tcPr>
          <w:p w14:paraId="40E36E0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0.0124</w:t>
            </w:r>
          </w:p>
        </w:tc>
      </w:tr>
      <w:tr w:rsidR="007B36E3" w:rsidRPr="004236D1" w14:paraId="14B15169" w14:textId="77777777" w:rsidTr="00233DBF">
        <w:trPr>
          <w:trHeight w:val="330"/>
        </w:trPr>
        <w:tc>
          <w:tcPr>
            <w:tcW w:w="1377" w:type="dxa"/>
            <w:vAlign w:val="center"/>
            <w:hideMark/>
          </w:tcPr>
          <w:p w14:paraId="523D36DA"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DGOLDP</w:t>
            </w:r>
          </w:p>
        </w:tc>
        <w:tc>
          <w:tcPr>
            <w:tcW w:w="897" w:type="dxa"/>
            <w:vAlign w:val="center"/>
            <w:hideMark/>
          </w:tcPr>
          <w:p w14:paraId="116E297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0.0122</w:t>
            </w:r>
          </w:p>
        </w:tc>
        <w:tc>
          <w:tcPr>
            <w:tcW w:w="1056" w:type="dxa"/>
            <w:vAlign w:val="center"/>
            <w:hideMark/>
          </w:tcPr>
          <w:p w14:paraId="4A3A16D2"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0.0092</w:t>
            </w:r>
          </w:p>
        </w:tc>
        <w:tc>
          <w:tcPr>
            <w:tcW w:w="1043" w:type="dxa"/>
            <w:vAlign w:val="center"/>
            <w:hideMark/>
          </w:tcPr>
          <w:p w14:paraId="318A468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0.0366</w:t>
            </w:r>
          </w:p>
        </w:tc>
        <w:tc>
          <w:tcPr>
            <w:tcW w:w="1243" w:type="dxa"/>
            <w:vAlign w:val="center"/>
            <w:hideMark/>
          </w:tcPr>
          <w:p w14:paraId="20C0E43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057" w:type="dxa"/>
            <w:vAlign w:val="center"/>
            <w:hideMark/>
          </w:tcPr>
          <w:p w14:paraId="22FFE1C8"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-0.019</w:t>
            </w:r>
          </w:p>
        </w:tc>
        <w:tc>
          <w:tcPr>
            <w:tcW w:w="1377" w:type="dxa"/>
            <w:vAlign w:val="center"/>
            <w:hideMark/>
          </w:tcPr>
          <w:p w14:paraId="4D857A4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r>
      <w:tr w:rsidR="007B36E3" w:rsidRPr="004236D1" w14:paraId="78EF6FF1" w14:textId="77777777" w:rsidTr="00233DBF">
        <w:trPr>
          <w:trHeight w:val="330"/>
        </w:trPr>
        <w:tc>
          <w:tcPr>
            <w:tcW w:w="1377" w:type="dxa"/>
            <w:vAlign w:val="center"/>
            <w:hideMark/>
          </w:tcPr>
          <w:p w14:paraId="718CEB87"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lastRenderedPageBreak/>
              <w:t>DNGAS</w:t>
            </w:r>
          </w:p>
        </w:tc>
        <w:tc>
          <w:tcPr>
            <w:tcW w:w="897" w:type="dxa"/>
            <w:vAlign w:val="center"/>
            <w:hideMark/>
          </w:tcPr>
          <w:p w14:paraId="463497B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-0.002</w:t>
            </w:r>
          </w:p>
        </w:tc>
        <w:tc>
          <w:tcPr>
            <w:tcW w:w="1056" w:type="dxa"/>
            <w:vAlign w:val="center"/>
            <w:hideMark/>
          </w:tcPr>
          <w:p w14:paraId="6AAC7907"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0.0019</w:t>
            </w:r>
          </w:p>
        </w:tc>
        <w:tc>
          <w:tcPr>
            <w:tcW w:w="1043" w:type="dxa"/>
            <w:vAlign w:val="center"/>
            <w:hideMark/>
          </w:tcPr>
          <w:p w14:paraId="75ABFAED"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-0.0133</w:t>
            </w:r>
          </w:p>
        </w:tc>
        <w:tc>
          <w:tcPr>
            <w:tcW w:w="1243" w:type="dxa"/>
            <w:vAlign w:val="center"/>
            <w:hideMark/>
          </w:tcPr>
          <w:p w14:paraId="61C639D3"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-0.019</w:t>
            </w:r>
          </w:p>
        </w:tc>
        <w:tc>
          <w:tcPr>
            <w:tcW w:w="1057" w:type="dxa"/>
            <w:vAlign w:val="center"/>
            <w:hideMark/>
          </w:tcPr>
          <w:p w14:paraId="0CA54ADE"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c>
          <w:tcPr>
            <w:tcW w:w="1377" w:type="dxa"/>
            <w:vAlign w:val="center"/>
            <w:hideMark/>
          </w:tcPr>
          <w:p w14:paraId="3C35D9C0"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0.0112</w:t>
            </w:r>
          </w:p>
        </w:tc>
      </w:tr>
      <w:tr w:rsidR="007B36E3" w:rsidRPr="004236D1" w14:paraId="7201D7EC" w14:textId="77777777" w:rsidTr="00233DBF">
        <w:trPr>
          <w:trHeight w:val="645"/>
        </w:trPr>
        <w:tc>
          <w:tcPr>
            <w:tcW w:w="1377" w:type="dxa"/>
            <w:vAlign w:val="center"/>
            <w:hideMark/>
          </w:tcPr>
          <w:p w14:paraId="14A65E8C" w14:textId="77777777" w:rsidR="007B36E3" w:rsidRPr="005376EB" w:rsidRDefault="007B36E3" w:rsidP="004236D1">
            <w:pPr>
              <w:spacing w:after="0" w:line="240" w:lineRule="auto"/>
              <w:jc w:val="both"/>
              <w:rPr>
                <w:rFonts w:ascii="Times New Roman" w:eastAsia="Times New Roman" w:hAnsi="Times New Roman" w:cs="Times New Roman"/>
                <w:bCs/>
                <w:color w:val="000000"/>
                <w:kern w:val="0"/>
                <w14:ligatures w14:val="none"/>
              </w:rPr>
            </w:pPr>
            <w:r w:rsidRPr="005376EB">
              <w:rPr>
                <w:rFonts w:ascii="Times New Roman" w:eastAsia="Times New Roman" w:hAnsi="Times New Roman" w:cs="Times New Roman"/>
                <w:bCs/>
                <w:color w:val="000000"/>
                <w:kern w:val="0"/>
                <w14:ligatures w14:val="none"/>
              </w:rPr>
              <w:t>DSTOCKP</w:t>
            </w:r>
          </w:p>
        </w:tc>
        <w:tc>
          <w:tcPr>
            <w:tcW w:w="897" w:type="dxa"/>
            <w:vAlign w:val="center"/>
            <w:hideMark/>
          </w:tcPr>
          <w:p w14:paraId="4D85ED36"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c>
          <w:tcPr>
            <w:tcW w:w="1056" w:type="dxa"/>
            <w:vAlign w:val="center"/>
            <w:hideMark/>
          </w:tcPr>
          <w:p w14:paraId="25EA0DF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-0.006</w:t>
            </w:r>
          </w:p>
        </w:tc>
        <w:tc>
          <w:tcPr>
            <w:tcW w:w="1043" w:type="dxa"/>
            <w:vAlign w:val="center"/>
            <w:hideMark/>
          </w:tcPr>
          <w:p w14:paraId="1F27161A"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0.0124</w:t>
            </w:r>
          </w:p>
        </w:tc>
        <w:tc>
          <w:tcPr>
            <w:tcW w:w="1243" w:type="dxa"/>
            <w:vAlign w:val="center"/>
            <w:hideMark/>
          </w:tcPr>
          <w:p w14:paraId="39879499"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-0.0074</w:t>
            </w:r>
          </w:p>
        </w:tc>
        <w:tc>
          <w:tcPr>
            <w:tcW w:w="1057" w:type="dxa"/>
            <w:vAlign w:val="center"/>
            <w:hideMark/>
          </w:tcPr>
          <w:p w14:paraId="215C916B"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0.0112</w:t>
            </w:r>
          </w:p>
        </w:tc>
        <w:tc>
          <w:tcPr>
            <w:tcW w:w="1377" w:type="dxa"/>
            <w:vAlign w:val="center"/>
            <w:hideMark/>
          </w:tcPr>
          <w:p w14:paraId="7743758F" w14:textId="77777777" w:rsidR="007B36E3" w:rsidRPr="004236D1" w:rsidRDefault="007B36E3" w:rsidP="004236D1">
            <w:pPr>
              <w:spacing w:after="0" w:line="240" w:lineRule="auto"/>
              <w:jc w:val="both"/>
              <w:rPr>
                <w:rFonts w:ascii="Times New Roman" w:eastAsia="Times New Roman" w:hAnsi="Times New Roman" w:cs="Times New Roman"/>
                <w:color w:val="000000"/>
                <w:kern w:val="0"/>
                <w14:ligatures w14:val="none"/>
              </w:rPr>
            </w:pPr>
            <w:r w:rsidRPr="004236D1">
              <w:rPr>
                <w:rFonts w:ascii="Times New Roman" w:eastAsia="Times New Roman" w:hAnsi="Times New Roman" w:cs="Times New Roman"/>
                <w:color w:val="000000"/>
                <w:kern w:val="0"/>
                <w14:ligatures w14:val="none"/>
              </w:rPr>
              <w:t>1</w:t>
            </w:r>
          </w:p>
        </w:tc>
      </w:tr>
    </w:tbl>
    <w:p w14:paraId="4BC56501" w14:textId="77777777" w:rsidR="00996955" w:rsidRDefault="00E125C3" w:rsidP="004236D1">
      <w:pPr>
        <w:spacing w:after="0"/>
        <w:jc w:val="both"/>
        <w:rPr>
          <w:rFonts w:ascii="Times New Roman" w:hAnsi="Times New Roman" w:cs="Times New Roman"/>
        </w:rPr>
      </w:pPr>
      <w:r>
        <w:rPr>
          <w:rFonts w:ascii="Times New Roman" w:hAnsi="Times New Roman" w:cs="Times New Roman"/>
        </w:rPr>
        <w:t>Table 15</w:t>
      </w:r>
      <w:r w:rsidR="00233DBF" w:rsidRPr="004236D1">
        <w:rPr>
          <w:rFonts w:ascii="Times New Roman" w:hAnsi="Times New Roman" w:cs="Times New Roman"/>
        </w:rPr>
        <w:t xml:space="preserve"> presents the estimated conditional correlation matrix obtained from the BEKK-GARCH model. The diagonal elements are equal to one, as expected for correlations of each variable with itself. More importantly, the off-diagonal conditional correlations are extremely small in magnitude across all market pairs. The largest positive value reported is approximately 0.0366 for DCOPP–DGOLDP, while other pairwise estimates include 0.0122 for DEXR–DGOLDP, 0.0092 for DBCOP–DGOLDP, 0.0124 for DCOPP–DSTOCKP and 0.0112 for DNGAS–DSTOCKP. Negative values are similarly small, such as -0.019 for DGOLDP–DNGAS and -0.013 for DCOPP–DNGAS. This pattern indicates that, at the estimated conditional-correlation level reported in the table, the six markets exhibit very weak contemporaneous linear co-movement. </w:t>
      </w:r>
    </w:p>
    <w:p w14:paraId="6EC0C355" w14:textId="77777777" w:rsidR="00996955" w:rsidRPr="004236D1" w:rsidRDefault="00996955" w:rsidP="004236D1">
      <w:pPr>
        <w:spacing w:after="0"/>
        <w:jc w:val="both"/>
        <w:rPr>
          <w:rFonts w:ascii="Times New Roman" w:hAnsi="Times New Roman" w:cs="Times New Roman"/>
          <w:lang w:val="en-GB"/>
        </w:rPr>
      </w:pPr>
    </w:p>
    <w:p w14:paraId="62676AB7" w14:textId="77777777" w:rsidR="007B36E3" w:rsidRPr="004236D1" w:rsidRDefault="007B36E3" w:rsidP="004236D1">
      <w:pPr>
        <w:spacing w:after="0"/>
        <w:jc w:val="both"/>
        <w:rPr>
          <w:rFonts w:ascii="Times New Roman" w:hAnsi="Times New Roman" w:cs="Times New Roman"/>
          <w:lang w:val="en-GB"/>
        </w:rPr>
      </w:pPr>
    </w:p>
    <w:p w14:paraId="3475EC70" w14:textId="77777777" w:rsidR="007B36E3" w:rsidRPr="004236D1" w:rsidRDefault="00B113BC" w:rsidP="004236D1">
      <w:pPr>
        <w:spacing w:after="0"/>
        <w:jc w:val="both"/>
        <w:rPr>
          <w:rFonts w:ascii="Times New Roman" w:hAnsi="Times New Roman" w:cs="Times New Roman"/>
          <w:b/>
          <w:lang w:val="en-GB"/>
        </w:rPr>
      </w:pPr>
      <w:r w:rsidRPr="004236D1">
        <w:rPr>
          <w:rFonts w:ascii="Times New Roman" w:hAnsi="Times New Roman" w:cs="Times New Roman"/>
          <w:b/>
          <w:lang w:val="en-GB"/>
        </w:rPr>
        <w:t>Conclusion</w:t>
      </w:r>
    </w:p>
    <w:p w14:paraId="2AFC4521" w14:textId="77777777" w:rsidR="00233DBF" w:rsidRDefault="00233DBF" w:rsidP="004236D1">
      <w:pPr>
        <w:spacing w:before="100" w:beforeAutospacing="1" w:after="100" w:afterAutospacing="1" w:line="240" w:lineRule="auto"/>
        <w:jc w:val="both"/>
        <w:rPr>
          <w:rFonts w:ascii="Times New Roman" w:eastAsia="Times New Roman" w:hAnsi="Times New Roman" w:cs="Times New Roman"/>
          <w:kern w:val="0"/>
          <w14:ligatures w14:val="none"/>
        </w:rPr>
      </w:pPr>
      <w:r w:rsidRPr="004236D1">
        <w:rPr>
          <w:rFonts w:ascii="Times New Roman" w:eastAsia="Times New Roman" w:hAnsi="Times New Roman" w:cs="Times New Roman"/>
          <w:kern w:val="0"/>
          <w14:ligatures w14:val="none"/>
        </w:rPr>
        <w:t xml:space="preserve">The above result provide a fairly coherent picture of the volatility </w:t>
      </w:r>
      <w:proofErr w:type="spellStart"/>
      <w:r w:rsidRPr="004236D1">
        <w:rPr>
          <w:rFonts w:ascii="Times New Roman" w:eastAsia="Times New Roman" w:hAnsi="Times New Roman" w:cs="Times New Roman"/>
          <w:kern w:val="0"/>
          <w14:ligatures w14:val="none"/>
        </w:rPr>
        <w:t>behaviour</w:t>
      </w:r>
      <w:proofErr w:type="spellEnd"/>
      <w:r w:rsidRPr="004236D1">
        <w:rPr>
          <w:rFonts w:ascii="Times New Roman" w:eastAsia="Times New Roman" w:hAnsi="Times New Roman" w:cs="Times New Roman"/>
          <w:kern w:val="0"/>
          <w14:ligatures w14:val="none"/>
        </w:rPr>
        <w:t xml:space="preserve"> of Brent crude oil, copper, exchange rate, gold, natural gas and the Nigerian stock market. The VECH results show that individual markets have significant own-volatility components and that historical volatility and covariance play an important role in determining subsequent uncertainty. The BEKK results reinforce this conclusion: all six markets have statistically significant own ARCH effects, while the GARCH coefficients are generally large, indicating substantial volatility memory. At the same time, the conditional correlations reported in Table 14 are very close to zero, suggesting that strong volatility persistence and transmission can coexist with weak contemporaneous linear correlation. From an investment perspective, this combination is potentially important because low correlation may provide diversification benefits, although persistent volatility means that the risk associated with individual markets can remain elevated for prolonged periods. The most important econometric qualification is the reported persistence above unity in the VECH and BEKK summaries, particularly the stock-market value of 2.077875 in Table 5 and the BEKK diagonal sums exceeding one in Table 8. </w:t>
      </w:r>
    </w:p>
    <w:p w14:paraId="3FE05233" w14:textId="3840AB08" w:rsidR="005A587C" w:rsidRDefault="005A587C" w:rsidP="004236D1">
      <w:pPr>
        <w:spacing w:before="100" w:beforeAutospacing="1" w:after="100" w:afterAutospacing="1" w:line="240" w:lineRule="auto"/>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Limitation of the Study</w:t>
      </w:r>
    </w:p>
    <w:p w14:paraId="049E46D8" w14:textId="77777777" w:rsidR="004D563F" w:rsidRPr="004C6F57" w:rsidRDefault="004D563F" w:rsidP="004D563F">
      <w:pPr>
        <w:spacing w:before="100" w:beforeAutospacing="1" w:after="100" w:afterAutospacing="1"/>
        <w:jc w:val="both"/>
        <w:rPr>
          <w:rFonts w:ascii="Times New Roman" w:hAnsi="Times New Roman" w:cs="Times New Roman"/>
        </w:rPr>
      </w:pPr>
      <w:r w:rsidRPr="004D563F">
        <w:rPr>
          <w:rFonts w:ascii="Times New Roman" w:hAnsi="Times New Roman" w:cs="Times New Roman"/>
        </w:rPr>
        <w:t xml:space="preserve">Combining the estimated ARCH </w:t>
      </w:r>
      <w:r w:rsidRPr="004D563F">
        <w:rPr>
          <w:rFonts w:ascii="Times New Roman" w:hAnsi="Times New Roman" w:cs="Times New Roman"/>
          <w:position w:val="-12"/>
        </w:rPr>
        <w:object w:dxaOrig="480" w:dyaOrig="360" w14:anchorId="4B6722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2pt;height:18.45pt" o:ole="">
            <v:imagedata r:id="rId7" o:title=""/>
          </v:shape>
          <o:OLEObject Type="Embed" ProgID="Equation.3" ShapeID="_x0000_i1025" DrawAspect="Content" ObjectID="_1853582453" r:id="rId8"/>
        </w:object>
      </w:r>
      <w:r w:rsidRPr="004D563F">
        <w:rPr>
          <w:rFonts w:ascii="Times New Roman" w:hAnsi="Times New Roman" w:cs="Times New Roman"/>
        </w:rPr>
        <w:t xml:space="preserve"> and GARCH </w:t>
      </w:r>
      <w:r w:rsidRPr="004D563F">
        <w:rPr>
          <w:rFonts w:ascii="Times New Roman" w:hAnsi="Times New Roman" w:cs="Times New Roman"/>
          <w:position w:val="-12"/>
        </w:rPr>
        <w:object w:dxaOrig="499" w:dyaOrig="360" w14:anchorId="4EA58B9C">
          <v:shape id="_x0000_i1026" type="#_x0000_t75" style="width:24.75pt;height:18.45pt" o:ole="">
            <v:imagedata r:id="rId9" o:title=""/>
          </v:shape>
          <o:OLEObject Type="Embed" ProgID="Equation.3" ShapeID="_x0000_i1026" DrawAspect="Content" ObjectID="_1853582454" r:id="rId10"/>
        </w:object>
      </w:r>
      <w:r w:rsidRPr="004C6F57">
        <w:rPr>
          <w:rFonts w:ascii="Times New Roman" w:hAnsi="Times New Roman" w:cs="Times New Roman"/>
        </w:rPr>
        <w:t xml:space="preserve"> parameters </w:t>
      </w:r>
      <w:proofErr w:type="gramStart"/>
      <w:r w:rsidRPr="004C6F57">
        <w:rPr>
          <w:rFonts w:ascii="Times New Roman" w:hAnsi="Times New Roman" w:cs="Times New Roman"/>
        </w:rPr>
        <w:t>yields</w:t>
      </w:r>
      <w:proofErr w:type="gramEnd"/>
      <w:r w:rsidRPr="004C6F57">
        <w:rPr>
          <w:rFonts w:ascii="Times New Roman" w:hAnsi="Times New Roman" w:cs="Times New Roman"/>
        </w:rPr>
        <w:t xml:space="preserve"> persistence measures exceeding unity across all six markets in both the VECH and BEKK specifications (e.g., </w:t>
      </w:r>
      <w:r w:rsidRPr="004D563F">
        <w:rPr>
          <w:rFonts w:ascii="Times New Roman" w:hAnsi="Times New Roman" w:cs="Times New Roman"/>
        </w:rPr>
        <w:t>2.0779</w:t>
      </w:r>
      <w:r w:rsidRPr="004C6F57">
        <w:rPr>
          <w:rFonts w:ascii="Times New Roman" w:hAnsi="Times New Roman" w:cs="Times New Roman"/>
        </w:rPr>
        <w:t xml:space="preserve"> for stock market persistence in VECH). Sums greater than </w:t>
      </w:r>
      <w:r w:rsidRPr="004D563F">
        <w:rPr>
          <w:rFonts w:ascii="Times New Roman" w:eastAsia="Times New Roman" w:hAnsi="Times New Roman" w:cs="Times New Roman"/>
        </w:rPr>
        <w:t>1.0</w:t>
      </w:r>
      <w:r w:rsidRPr="004C6F57">
        <w:rPr>
          <w:rFonts w:ascii="Times New Roman" w:hAnsi="Times New Roman" w:cs="Times New Roman"/>
        </w:rPr>
        <w:t xml:space="preserve"> violate standard covariance stationarity conditions and indicate model instability. While the individual variance components are statistically significant, all estimated cross-market long</w:t>
      </w:r>
      <w:r w:rsidRPr="004D563F">
        <w:rPr>
          <w:rFonts w:ascii="Times New Roman" w:hAnsi="Times New Roman" w:cs="Times New Roman"/>
        </w:rPr>
        <w:t xml:space="preserve">-run/constant covariance terms </w:t>
      </w:r>
      <w:r w:rsidRPr="004D563F">
        <w:rPr>
          <w:rFonts w:ascii="Times New Roman" w:hAnsi="Times New Roman" w:cs="Times New Roman"/>
          <w:position w:val="-10"/>
        </w:rPr>
        <w:object w:dxaOrig="380" w:dyaOrig="340" w14:anchorId="3FE9BA56">
          <v:shape id="_x0000_i1027" type="#_x0000_t75" style="width:19pt;height:17.3pt" o:ole="">
            <v:imagedata r:id="rId11" o:title=""/>
          </v:shape>
          <o:OLEObject Type="Embed" ProgID="Equation.3" ShapeID="_x0000_i1027" DrawAspect="Content" ObjectID="_1853582455" r:id="rId12"/>
        </w:object>
      </w:r>
      <w:r w:rsidRPr="004C6F57">
        <w:rPr>
          <w:rFonts w:ascii="Times New Roman" w:hAnsi="Times New Roman" w:cs="Times New Roman"/>
        </w:rPr>
        <w:t xml:space="preserve"> in the VECH specification fail to reach statistical significance at the 5% level (</w:t>
      </w:r>
      <w:r w:rsidRPr="004D563F">
        <w:rPr>
          <w:rFonts w:ascii="Times New Roman" w:hAnsi="Times New Roman" w:cs="Times New Roman"/>
        </w:rPr>
        <w:t>p &gt; 0.05</w:t>
      </w:r>
      <w:r w:rsidRPr="004C6F57">
        <w:rPr>
          <w:rFonts w:ascii="Times New Roman" w:hAnsi="Times New Roman" w:cs="Times New Roman"/>
        </w:rPr>
        <w:t xml:space="preserve">). The empirical results present high volatility persistence alongside nearly zero conditional correlations across all asset pairs (with the largest pairwise correlation reaching only </w:t>
      </w:r>
      <w:r w:rsidRPr="004D563F">
        <w:rPr>
          <w:rFonts w:ascii="Times New Roman" w:eastAsia="Times New Roman" w:hAnsi="Times New Roman" w:cs="Times New Roman"/>
        </w:rPr>
        <w:t>0.0366</w:t>
      </w:r>
      <w:r w:rsidRPr="004C6F57">
        <w:rPr>
          <w:rFonts w:ascii="Times New Roman" w:hAnsi="Times New Roman" w:cs="Times New Roman"/>
        </w:rPr>
        <w:t>). This indicates that the models capture internal volatility memory rather than strong linear contemporaneous co-</w:t>
      </w:r>
      <w:r w:rsidRPr="004C6F57">
        <w:rPr>
          <w:rFonts w:ascii="Times New Roman" w:hAnsi="Times New Roman" w:cs="Times New Roman"/>
        </w:rPr>
        <w:lastRenderedPageBreak/>
        <w:t>movements. Standard VECH-GARCH and BEKK-GARCH specifications assume symmetric responses to shocks and constant parameter structures over time. They fail to account for leverage effects (asymmetric impacts of positive vs. negative shocks) or potential regime switches during major structural shocks (e.g., policy shifts or commodity collapses).</w:t>
      </w:r>
    </w:p>
    <w:p w14:paraId="671E5E6E" w14:textId="77777777" w:rsidR="00BE1812" w:rsidRPr="00BE1812" w:rsidRDefault="00BE1812" w:rsidP="00BE1812">
      <w:pPr>
        <w:spacing w:after="0" w:line="240" w:lineRule="auto"/>
        <w:rPr>
          <w:rFonts w:ascii="Arial" w:eastAsia="Calibri" w:hAnsi="Arial" w:cs="Arial"/>
          <w:b/>
          <w:kern w:val="0"/>
          <w:sz w:val="20"/>
          <w:szCs w:val="20"/>
          <w14:ligatures w14:val="none"/>
        </w:rPr>
      </w:pPr>
      <w:bookmarkStart w:id="0" w:name="_Hlk238550938"/>
      <w:bookmarkStart w:id="1" w:name="_Hlk237856463"/>
      <w:r w:rsidRPr="00BE1812">
        <w:rPr>
          <w:rFonts w:ascii="Arial" w:eastAsia="Calibri" w:hAnsi="Arial" w:cs="Arial"/>
          <w:b/>
          <w:kern w:val="0"/>
          <w:sz w:val="20"/>
          <w:szCs w:val="20"/>
          <w14:ligatures w14:val="none"/>
        </w:rPr>
        <w:t>Declaration of AI Use</w:t>
      </w:r>
    </w:p>
    <w:p w14:paraId="1319810D" w14:textId="77777777" w:rsidR="00BE1812" w:rsidRPr="00BE1812" w:rsidRDefault="00BE1812" w:rsidP="00BE1812">
      <w:pPr>
        <w:spacing w:after="0" w:line="240" w:lineRule="auto"/>
        <w:rPr>
          <w:rFonts w:ascii="Arial" w:eastAsia="Calibri" w:hAnsi="Arial" w:cs="Arial"/>
          <w:kern w:val="0"/>
          <w:sz w:val="20"/>
          <w:szCs w:val="20"/>
          <w14:ligatures w14:val="none"/>
        </w:rPr>
      </w:pPr>
      <w:bookmarkStart w:id="2" w:name="_Hlk239068730"/>
    </w:p>
    <w:p w14:paraId="54787E7A" w14:textId="77777777" w:rsidR="00BE1812" w:rsidRPr="00BE1812" w:rsidRDefault="00BE1812" w:rsidP="00BE1812">
      <w:pPr>
        <w:spacing w:after="0" w:line="240" w:lineRule="auto"/>
        <w:rPr>
          <w:rFonts w:ascii="Arial" w:eastAsia="Calibri" w:hAnsi="Arial" w:cs="Arial"/>
          <w:kern w:val="0"/>
          <w:sz w:val="20"/>
          <w:szCs w:val="20"/>
          <w14:ligatures w14:val="none"/>
        </w:rPr>
      </w:pPr>
      <w:bookmarkStart w:id="3" w:name="_Hlk237862032"/>
      <w:r w:rsidRPr="00BE1812">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BE1812">
        <w:rPr>
          <w:rFonts w:ascii="Arial" w:eastAsia="Calibri" w:hAnsi="Arial" w:cs="Arial"/>
          <w:kern w:val="0"/>
          <w:sz w:val="20"/>
          <w:szCs w:val="20"/>
          <w14:ligatures w14:val="none"/>
        </w:rPr>
        <w:t>.</w:t>
      </w:r>
    </w:p>
    <w:bookmarkEnd w:id="1"/>
    <w:bookmarkEnd w:id="2"/>
    <w:bookmarkEnd w:id="3"/>
    <w:p w14:paraId="0A3F36F0" w14:textId="77777777" w:rsidR="00E125C3" w:rsidRDefault="00E125C3" w:rsidP="004236D1">
      <w:pPr>
        <w:spacing w:after="0"/>
        <w:jc w:val="both"/>
        <w:rPr>
          <w:rFonts w:ascii="Times New Roman" w:hAnsi="Times New Roman" w:cs="Times New Roman"/>
          <w:b/>
          <w:lang w:val="en-GB"/>
        </w:rPr>
      </w:pPr>
    </w:p>
    <w:p w14:paraId="362B5780" w14:textId="77777777" w:rsidR="00E125C3" w:rsidRDefault="00E125C3" w:rsidP="004236D1">
      <w:pPr>
        <w:spacing w:after="0"/>
        <w:jc w:val="both"/>
        <w:rPr>
          <w:rFonts w:ascii="Times New Roman" w:hAnsi="Times New Roman" w:cs="Times New Roman"/>
          <w:b/>
          <w:lang w:val="en-GB"/>
        </w:rPr>
      </w:pPr>
    </w:p>
    <w:p w14:paraId="3F23BA39" w14:textId="77777777" w:rsidR="00F53D30" w:rsidRDefault="00F53D30" w:rsidP="004236D1">
      <w:pPr>
        <w:spacing w:after="0"/>
        <w:jc w:val="both"/>
        <w:rPr>
          <w:rFonts w:ascii="Times New Roman" w:hAnsi="Times New Roman" w:cs="Times New Roman"/>
          <w:b/>
          <w:lang w:val="en-GB"/>
        </w:rPr>
      </w:pPr>
    </w:p>
    <w:p w14:paraId="5671DDCD" w14:textId="77777777" w:rsidR="00F53D30" w:rsidRDefault="00F53D30" w:rsidP="004236D1">
      <w:pPr>
        <w:spacing w:after="0"/>
        <w:jc w:val="both"/>
        <w:rPr>
          <w:rFonts w:ascii="Times New Roman" w:hAnsi="Times New Roman" w:cs="Times New Roman"/>
          <w:b/>
          <w:lang w:val="en-GB"/>
        </w:rPr>
      </w:pPr>
    </w:p>
    <w:p w14:paraId="441FBE1F" w14:textId="77777777" w:rsidR="00F53D30" w:rsidRDefault="00F53D30" w:rsidP="004236D1">
      <w:pPr>
        <w:spacing w:after="0"/>
        <w:jc w:val="both"/>
        <w:rPr>
          <w:rFonts w:ascii="Times New Roman" w:hAnsi="Times New Roman" w:cs="Times New Roman"/>
          <w:b/>
          <w:lang w:val="en-GB"/>
        </w:rPr>
      </w:pPr>
    </w:p>
    <w:p w14:paraId="3941138E" w14:textId="77777777" w:rsidR="00F53D30" w:rsidRDefault="00F53D30" w:rsidP="004236D1">
      <w:pPr>
        <w:spacing w:after="0"/>
        <w:jc w:val="both"/>
        <w:rPr>
          <w:rFonts w:ascii="Times New Roman" w:hAnsi="Times New Roman" w:cs="Times New Roman"/>
          <w:b/>
          <w:lang w:val="en-GB"/>
        </w:rPr>
      </w:pPr>
    </w:p>
    <w:p w14:paraId="37C899D3" w14:textId="10CD9104" w:rsidR="00B113BC" w:rsidRPr="004236D1" w:rsidRDefault="00565BE6" w:rsidP="004236D1">
      <w:pPr>
        <w:spacing w:after="0"/>
        <w:jc w:val="both"/>
        <w:rPr>
          <w:rFonts w:ascii="Times New Roman" w:hAnsi="Times New Roman" w:cs="Times New Roman"/>
          <w:b/>
          <w:lang w:val="en-GB"/>
        </w:rPr>
      </w:pPr>
      <w:r w:rsidRPr="004236D1">
        <w:rPr>
          <w:rFonts w:ascii="Times New Roman" w:hAnsi="Times New Roman" w:cs="Times New Roman"/>
          <w:b/>
          <w:lang w:val="en-GB"/>
        </w:rPr>
        <w:t>References</w:t>
      </w:r>
    </w:p>
    <w:p>
      <w:pPr>
        <w:spacing w:after="100" w:line="259" w:lineRule="auto"/>
        <w:ind w:left="432" w:hanging="432"/>
      </w:pPr>
      <w:r>
        <w:rPr>
          <w:rFonts w:ascii="Times New Roman" w:hAnsi="Times New Roman"/>
          <w:sz w:val="22"/>
        </w:rPr>
        <w:t xml:space="preserve">Adi, A. A., Adda, S. P., &amp; Wobilor, A. K. (2022). Shocks and volatility transmission between oil price and Nigeria’s exchange rate. </w:t>
      </w:r>
      <w:r>
        <w:rPr>
          <w:rFonts w:ascii="Times New Roman" w:hAnsi="Times New Roman"/>
          <w:i/>
          <w:sz w:val="22"/>
        </w:rPr>
        <w:t>SN Business &amp; Economics, 2</w:t>
      </w:r>
      <w:r>
        <w:rPr>
          <w:rFonts w:ascii="Times New Roman" w:hAnsi="Times New Roman"/>
          <w:sz w:val="22"/>
        </w:rPr>
        <w:t xml:space="preserve">, Article 47. </w:t>
      </w:r>
      <w:hyperlink r:id="rId14">
        <w:r>
          <w:rPr>
            <w:rFonts w:ascii="Times New Roman" w:hAnsi="Times New Roman"/>
            <w:color w:val="0563C1"/>
            <w:u w:val="single"/>
          </w:rPr>
          <w:t>https://doi.org/10.1007/s43546-022-00228-z</w:t>
        </w:r>
      </w:hyperlink>
    </w:p>
    <w:p>
      <w:pPr>
        <w:spacing w:after="100" w:line="259" w:lineRule="auto"/>
        <w:ind w:left="432" w:hanging="432"/>
      </w:pPr>
      <w:r>
        <w:rPr>
          <w:rFonts w:ascii="Times New Roman" w:hAnsi="Times New Roman"/>
          <w:sz w:val="22"/>
        </w:rPr>
        <w:t xml:space="preserve">Ben Flah, I., Samet, K., El Ammari, A., &amp; Terzi, C. (2025). Shock and volatility transmissions across global commodity and stock markets spillovers: Empirical evidence from Africa. </w:t>
      </w:r>
      <w:r>
        <w:rPr>
          <w:rFonts w:ascii="Times New Roman" w:hAnsi="Times New Roman"/>
          <w:i/>
          <w:sz w:val="22"/>
        </w:rPr>
        <w:t>Journal of Risk and Financial Management, 18</w:t>
      </w:r>
      <w:r>
        <w:rPr>
          <w:rFonts w:ascii="Times New Roman" w:hAnsi="Times New Roman"/>
          <w:sz w:val="22"/>
        </w:rPr>
        <w:t>(6)</w:t>
      </w:r>
      <w:r>
        <w:rPr>
          <w:rFonts w:ascii="Times New Roman" w:hAnsi="Times New Roman"/>
          <w:sz w:val="22"/>
        </w:rPr>
        <w:t xml:space="preserve">, Article 332. </w:t>
      </w:r>
      <w:hyperlink r:id="rId15">
        <w:r>
          <w:rPr>
            <w:rFonts w:ascii="Times New Roman" w:hAnsi="Times New Roman"/>
            <w:color w:val="0563C1"/>
            <w:u w:val="single"/>
          </w:rPr>
          <w:t>https://doi.org/10.3390/jrfm18060332</w:t>
        </w:r>
      </w:hyperlink>
    </w:p>
    <w:p>
      <w:pPr>
        <w:spacing w:after="100" w:line="259" w:lineRule="auto"/>
        <w:ind w:left="432" w:hanging="432"/>
      </w:pPr>
      <w:r>
        <w:rPr>
          <w:rFonts w:ascii="Times New Roman" w:hAnsi="Times New Roman"/>
          <w:sz w:val="22"/>
        </w:rPr>
        <w:t xml:space="preserve">Ben Salem, L., Zayati, M., Nouira, R., &amp; Rault, C. (2024). Volatility spillover between oil prices and main exchange rates: Evidence from a DCC-GARCH-connectedness approach. </w:t>
      </w:r>
      <w:r>
        <w:rPr>
          <w:rFonts w:ascii="Times New Roman" w:hAnsi="Times New Roman"/>
          <w:i/>
          <w:sz w:val="22"/>
        </w:rPr>
        <w:t>Resources Policy, 91</w:t>
      </w:r>
      <w:r>
        <w:rPr>
          <w:rFonts w:ascii="Times New Roman" w:hAnsi="Times New Roman"/>
          <w:sz w:val="22"/>
        </w:rPr>
        <w:t xml:space="preserve">, Article 104880. </w:t>
      </w:r>
      <w:hyperlink r:id="rId35">
        <w:r>
          <w:rPr>
            <w:rFonts w:ascii="Times New Roman" w:hAnsi="Times New Roman"/>
            <w:color w:val="0563C1"/>
            <w:u w:val="single"/>
          </w:rPr>
          <w:t>https://doi.org/10.1016/j.resourpol.2024.104880</w:t>
        </w:r>
      </w:hyperlink>
    </w:p>
    <w:p>
      <w:pPr>
        <w:spacing w:after="100" w:line="259" w:lineRule="auto"/>
        <w:ind w:left="432" w:hanging="432"/>
      </w:pPr>
      <w:r>
        <w:rPr>
          <w:rFonts w:ascii="Times New Roman" w:hAnsi="Times New Roman"/>
          <w:sz w:val="22"/>
        </w:rPr>
        <w:t xml:space="preserve">Bollerslev, T. (1986). Generalized autoregressive conditional heteroskedasticity. </w:t>
      </w:r>
      <w:r>
        <w:rPr>
          <w:rFonts w:ascii="Times New Roman" w:hAnsi="Times New Roman"/>
          <w:i/>
          <w:sz w:val="22"/>
        </w:rPr>
        <w:t>Journal of Econometrics, 31</w:t>
      </w:r>
      <w:r>
        <w:rPr>
          <w:rFonts w:ascii="Times New Roman" w:hAnsi="Times New Roman"/>
          <w:sz w:val="22"/>
        </w:rPr>
        <w:t>(3)</w:t>
      </w:r>
      <w:r>
        <w:rPr>
          <w:rFonts w:ascii="Times New Roman" w:hAnsi="Times New Roman"/>
          <w:sz w:val="22"/>
        </w:rPr>
        <w:t xml:space="preserve">, 307–327. </w:t>
      </w:r>
      <w:hyperlink r:id="rId36">
        <w:r>
          <w:rPr>
            <w:rFonts w:ascii="Times New Roman" w:hAnsi="Times New Roman"/>
            <w:color w:val="0563C1"/>
            <w:u w:val="single"/>
          </w:rPr>
          <w:t>https://doi.org/10.1016/0304-4076(86)90063-1</w:t>
        </w:r>
      </w:hyperlink>
    </w:p>
    <w:p>
      <w:pPr>
        <w:spacing w:after="100" w:line="259" w:lineRule="auto"/>
        <w:ind w:left="432" w:hanging="432"/>
      </w:pPr>
      <w:r>
        <w:rPr>
          <w:rFonts w:ascii="Times New Roman" w:hAnsi="Times New Roman"/>
          <w:sz w:val="22"/>
        </w:rPr>
        <w:t xml:space="preserve">Bollerslev, T., Engle, R. F., &amp; Wooldridge, J. M. (1988). A capital asset pricing model with time-varying covariances. </w:t>
      </w:r>
      <w:r>
        <w:rPr>
          <w:rFonts w:ascii="Times New Roman" w:hAnsi="Times New Roman"/>
          <w:i/>
          <w:sz w:val="22"/>
        </w:rPr>
        <w:t>Journal of Political Economy, 96</w:t>
      </w:r>
      <w:r>
        <w:rPr>
          <w:rFonts w:ascii="Times New Roman" w:hAnsi="Times New Roman"/>
          <w:sz w:val="22"/>
        </w:rPr>
        <w:t>(1)</w:t>
      </w:r>
      <w:r>
        <w:rPr>
          <w:rFonts w:ascii="Times New Roman" w:hAnsi="Times New Roman"/>
          <w:sz w:val="22"/>
        </w:rPr>
        <w:t xml:space="preserve">, 116–131. </w:t>
      </w:r>
      <w:hyperlink r:id="rId17">
        <w:r>
          <w:rPr>
            <w:rFonts w:ascii="Times New Roman" w:hAnsi="Times New Roman"/>
            <w:color w:val="0563C1"/>
            <w:u w:val="single"/>
          </w:rPr>
          <w:t>https://doi.org/10.1086/261527</w:t>
        </w:r>
      </w:hyperlink>
    </w:p>
    <w:p>
      <w:pPr>
        <w:spacing w:after="100" w:line="259" w:lineRule="auto"/>
        <w:ind w:left="432" w:hanging="432"/>
      </w:pPr>
      <w:r>
        <w:rPr>
          <w:rFonts w:ascii="Times New Roman" w:hAnsi="Times New Roman"/>
          <w:sz w:val="22"/>
        </w:rPr>
        <w:t xml:space="preserve">Engle, R. F. (1982). Autoregressive conditional heteroscedasticity with estimates of the variance of United Kingdom inflation. </w:t>
      </w:r>
      <w:r>
        <w:rPr>
          <w:rFonts w:ascii="Times New Roman" w:hAnsi="Times New Roman"/>
          <w:i/>
          <w:sz w:val="22"/>
        </w:rPr>
        <w:t>Econometrica, 50</w:t>
      </w:r>
      <w:r>
        <w:rPr>
          <w:rFonts w:ascii="Times New Roman" w:hAnsi="Times New Roman"/>
          <w:sz w:val="22"/>
        </w:rPr>
        <w:t>(4)</w:t>
      </w:r>
      <w:r>
        <w:rPr>
          <w:rFonts w:ascii="Times New Roman" w:hAnsi="Times New Roman"/>
          <w:sz w:val="22"/>
        </w:rPr>
        <w:t xml:space="preserve">, 987–1007. </w:t>
      </w:r>
      <w:hyperlink r:id="rId18">
        <w:r>
          <w:rPr>
            <w:rFonts w:ascii="Times New Roman" w:hAnsi="Times New Roman"/>
            <w:color w:val="0563C1"/>
            <w:u w:val="single"/>
          </w:rPr>
          <w:t>https://doi.org/10.2307/1912773</w:t>
        </w:r>
      </w:hyperlink>
    </w:p>
    <w:p>
      <w:pPr>
        <w:spacing w:after="100" w:line="259" w:lineRule="auto"/>
        <w:ind w:left="432" w:hanging="432"/>
      </w:pPr>
      <w:r>
        <w:rPr>
          <w:rFonts w:ascii="Times New Roman" w:hAnsi="Times New Roman"/>
          <w:sz w:val="22"/>
        </w:rPr>
        <w:t xml:space="preserve">Engle, R. F., &amp; Kroner, K. F. (1995). Multivariate simultaneous generalized ARCH. </w:t>
      </w:r>
      <w:r>
        <w:rPr>
          <w:rFonts w:ascii="Times New Roman" w:hAnsi="Times New Roman"/>
          <w:i/>
          <w:sz w:val="22"/>
        </w:rPr>
        <w:t>Econometric Theory, 11</w:t>
      </w:r>
      <w:r>
        <w:rPr>
          <w:rFonts w:ascii="Times New Roman" w:hAnsi="Times New Roman"/>
          <w:sz w:val="22"/>
        </w:rPr>
        <w:t>(1)</w:t>
      </w:r>
      <w:r>
        <w:rPr>
          <w:rFonts w:ascii="Times New Roman" w:hAnsi="Times New Roman"/>
          <w:sz w:val="22"/>
        </w:rPr>
        <w:t xml:space="preserve">, 122–150. </w:t>
      </w:r>
      <w:hyperlink r:id="rId19">
        <w:r>
          <w:rPr>
            <w:rFonts w:ascii="Times New Roman" w:hAnsi="Times New Roman"/>
            <w:color w:val="0563C1"/>
            <w:u w:val="single"/>
          </w:rPr>
          <w:t>https://doi.org/10.1017/S0266466600009063</w:t>
        </w:r>
      </w:hyperlink>
    </w:p>
    <w:p>
      <w:pPr>
        <w:spacing w:after="100" w:line="259" w:lineRule="auto"/>
        <w:ind w:left="432" w:hanging="432"/>
      </w:pPr>
      <w:r>
        <w:rPr>
          <w:rFonts w:ascii="Times New Roman" w:hAnsi="Times New Roman"/>
          <w:sz w:val="22"/>
        </w:rPr>
        <w:t xml:space="preserve">Hassan, A., Ibrahim, M., &amp; Bala, A. J. (2024). Vulnerability of a developing stock market to openness: One-way return and volatility transmissions. </w:t>
      </w:r>
      <w:r>
        <w:rPr>
          <w:rFonts w:ascii="Times New Roman" w:hAnsi="Times New Roman"/>
          <w:i/>
          <w:sz w:val="22"/>
        </w:rPr>
        <w:t>International Review of Financial Analysis, 93</w:t>
      </w:r>
      <w:r>
        <w:rPr>
          <w:rFonts w:ascii="Times New Roman" w:hAnsi="Times New Roman"/>
          <w:sz w:val="22"/>
        </w:rPr>
        <w:t xml:space="preserve">, Article 103184. </w:t>
      </w:r>
      <w:hyperlink r:id="rId20">
        <w:r>
          <w:rPr>
            <w:rFonts w:ascii="Times New Roman" w:hAnsi="Times New Roman"/>
            <w:color w:val="0563C1"/>
            <w:u w:val="single"/>
          </w:rPr>
          <w:t>https://doi.org/10.1016/j.irfa.2024.103184</w:t>
        </w:r>
      </w:hyperlink>
    </w:p>
    <w:p>
      <w:pPr>
        <w:spacing w:after="100" w:line="259" w:lineRule="auto"/>
        <w:ind w:left="432" w:hanging="432"/>
      </w:pPr>
      <w:r>
        <w:rPr>
          <w:rFonts w:ascii="Times New Roman" w:hAnsi="Times New Roman"/>
          <w:sz w:val="22"/>
        </w:rPr>
        <w:t xml:space="preserve">Ibrahim, M. K., Tasi’u, M., &amp; Dikko, H. G. (2024). A study on the volatility spillover between Nigerian and BRICS economies using multivariate GARCH models. </w:t>
      </w:r>
      <w:r>
        <w:rPr>
          <w:rFonts w:ascii="Times New Roman" w:hAnsi="Times New Roman"/>
          <w:i/>
          <w:sz w:val="22"/>
        </w:rPr>
        <w:t>FUDMA Journal of Sciences, 8</w:t>
      </w:r>
      <w:r>
        <w:rPr>
          <w:rFonts w:ascii="Times New Roman" w:hAnsi="Times New Roman"/>
          <w:sz w:val="22"/>
        </w:rPr>
        <w:t>(2)</w:t>
      </w:r>
      <w:r>
        <w:rPr>
          <w:rFonts w:ascii="Times New Roman" w:hAnsi="Times New Roman"/>
          <w:sz w:val="22"/>
        </w:rPr>
        <w:t xml:space="preserve">, 170–179. </w:t>
      </w:r>
      <w:hyperlink r:id="rId37">
        <w:r>
          <w:rPr>
            <w:rFonts w:ascii="Times New Roman" w:hAnsi="Times New Roman"/>
            <w:color w:val="0563C1"/>
            <w:u w:val="single"/>
          </w:rPr>
          <w:t>https://doi.org/10.33003/fjs-2024-0802-2270</w:t>
        </w:r>
      </w:hyperlink>
    </w:p>
    <w:p>
      <w:pPr>
        <w:spacing w:after="100" w:line="259" w:lineRule="auto"/>
        <w:ind w:left="432" w:hanging="432"/>
      </w:pPr>
      <w:r>
        <w:rPr>
          <w:rFonts w:ascii="Times New Roman" w:hAnsi="Times New Roman"/>
          <w:sz w:val="22"/>
        </w:rPr>
        <w:t xml:space="preserve">Idris, H. M., Kurfi, A. K., &amp; Ibrahim, F. (2026). Crude oil price volatility and stock market performance in Nigeria (2010–2025): Evidence from multiple volatility measures. </w:t>
      </w:r>
      <w:r>
        <w:rPr>
          <w:rFonts w:ascii="Times New Roman" w:hAnsi="Times New Roman"/>
          <w:i/>
          <w:sz w:val="22"/>
        </w:rPr>
        <w:t>FUDMA Journal of Accounting and Finance Research, 4</w:t>
      </w:r>
      <w:r>
        <w:rPr>
          <w:rFonts w:ascii="Times New Roman" w:hAnsi="Times New Roman"/>
          <w:sz w:val="22"/>
        </w:rPr>
        <w:t>(3)</w:t>
      </w:r>
      <w:r>
        <w:rPr>
          <w:rFonts w:ascii="Times New Roman" w:hAnsi="Times New Roman"/>
          <w:sz w:val="22"/>
        </w:rPr>
        <w:t xml:space="preserve">, 216–232. </w:t>
      </w:r>
      <w:hyperlink r:id="rId22">
        <w:r>
          <w:rPr>
            <w:rFonts w:ascii="Times New Roman" w:hAnsi="Times New Roman"/>
            <w:color w:val="0563C1"/>
            <w:u w:val="single"/>
          </w:rPr>
          <w:t>https://doi.org/10.33003/fujafr-2026.v4i3.403.216-232</w:t>
        </w:r>
      </w:hyperlink>
    </w:p>
    <w:p>
      <w:pPr>
        <w:spacing w:after="100" w:line="259" w:lineRule="auto"/>
        <w:ind w:left="432" w:hanging="432"/>
      </w:pPr>
      <w:r>
        <w:rPr>
          <w:rFonts w:ascii="Times New Roman" w:hAnsi="Times New Roman"/>
          <w:sz w:val="22"/>
        </w:rPr>
        <w:t xml:space="preserve">Lateef, S. O. (2026). Remittance flows and exchange rate volatility in Nigeria: The roles of geopolitical risk and policy uncertainty. </w:t>
      </w:r>
      <w:r>
        <w:rPr>
          <w:rFonts w:ascii="Times New Roman" w:hAnsi="Times New Roman"/>
          <w:i/>
          <w:sz w:val="22"/>
        </w:rPr>
        <w:t>Asian Economics Letters, 7</w:t>
      </w:r>
      <w:r>
        <w:rPr>
          <w:rFonts w:ascii="Times New Roman" w:hAnsi="Times New Roman"/>
          <w:sz w:val="22"/>
        </w:rPr>
        <w:t>(3)</w:t>
      </w:r>
      <w:r>
        <w:rPr>
          <w:rFonts w:ascii="Times New Roman" w:hAnsi="Times New Roman"/>
          <w:sz w:val="22"/>
        </w:rPr>
        <w:t xml:space="preserve">. </w:t>
      </w:r>
      <w:hyperlink r:id="rId23">
        <w:r>
          <w:rPr>
            <w:rFonts w:ascii="Times New Roman" w:hAnsi="Times New Roman"/>
            <w:color w:val="0563C1"/>
            <w:u w:val="single"/>
          </w:rPr>
          <w:t>https://doi.org/10.46557/001c.168129</w:t>
        </w:r>
      </w:hyperlink>
    </w:p>
    <w:p>
      <w:pPr>
        <w:spacing w:after="100" w:line="259" w:lineRule="auto"/>
        <w:ind w:left="432" w:hanging="432"/>
      </w:pPr>
      <w:r>
        <w:rPr>
          <w:rFonts w:ascii="Times New Roman" w:hAnsi="Times New Roman"/>
          <w:sz w:val="22"/>
        </w:rPr>
        <w:t xml:space="preserve">Malik, F., &amp; Ewing, B. T. (2009). Volatility transmission between oil prices and equity sector returns. </w:t>
      </w:r>
      <w:r>
        <w:rPr>
          <w:rFonts w:ascii="Times New Roman" w:hAnsi="Times New Roman"/>
          <w:i/>
          <w:sz w:val="22"/>
        </w:rPr>
        <w:t>International Review of Financial Analysis, 18</w:t>
      </w:r>
      <w:r>
        <w:rPr>
          <w:rFonts w:ascii="Times New Roman" w:hAnsi="Times New Roman"/>
          <w:sz w:val="22"/>
        </w:rPr>
        <w:t>(3)</w:t>
      </w:r>
      <w:r>
        <w:rPr>
          <w:rFonts w:ascii="Times New Roman" w:hAnsi="Times New Roman"/>
          <w:sz w:val="22"/>
        </w:rPr>
        <w:t xml:space="preserve">, 95–100. </w:t>
      </w:r>
      <w:hyperlink r:id="rId38">
        <w:r>
          <w:rPr>
            <w:rFonts w:ascii="Times New Roman" w:hAnsi="Times New Roman"/>
            <w:color w:val="0563C1"/>
            <w:u w:val="single"/>
          </w:rPr>
          <w:t>https://doi.org/10.1016/j.irfa.2009.03.003</w:t>
        </w:r>
      </w:hyperlink>
    </w:p>
    <w:p>
      <w:pPr>
        <w:spacing w:after="100" w:line="259" w:lineRule="auto"/>
        <w:ind w:left="432" w:hanging="432"/>
      </w:pPr>
      <w:r>
        <w:rPr>
          <w:rFonts w:ascii="Times New Roman" w:hAnsi="Times New Roman"/>
          <w:sz w:val="22"/>
        </w:rPr>
        <w:t xml:space="preserve">Okorie, D. I., &amp; Lin, B. (2022). Crude oil market and Nigerian stocks: An asymmetric information spillover approach. </w:t>
      </w:r>
      <w:r>
        <w:rPr>
          <w:rFonts w:ascii="Times New Roman" w:hAnsi="Times New Roman"/>
          <w:i/>
          <w:sz w:val="22"/>
        </w:rPr>
        <w:t>International Journal of Finance &amp; Economics, 27</w:t>
      </w:r>
      <w:r>
        <w:rPr>
          <w:rFonts w:ascii="Times New Roman" w:hAnsi="Times New Roman"/>
          <w:sz w:val="22"/>
        </w:rPr>
        <w:t>(4)</w:t>
      </w:r>
      <w:r>
        <w:rPr>
          <w:rFonts w:ascii="Times New Roman" w:hAnsi="Times New Roman"/>
          <w:sz w:val="22"/>
        </w:rPr>
        <w:t xml:space="preserve">, 4002–4017. </w:t>
      </w:r>
      <w:hyperlink r:id="rId25">
        <w:r>
          <w:rPr>
            <w:rFonts w:ascii="Times New Roman" w:hAnsi="Times New Roman"/>
            <w:color w:val="0563C1"/>
            <w:u w:val="single"/>
          </w:rPr>
          <w:t>https://doi.org/10.1002/ijfe.2356</w:t>
        </w:r>
      </w:hyperlink>
    </w:p>
    <w:p>
      <w:pPr>
        <w:spacing w:after="100" w:line="259" w:lineRule="auto"/>
        <w:ind w:left="432" w:hanging="432"/>
      </w:pPr>
      <w:r>
        <w:rPr>
          <w:rFonts w:ascii="Times New Roman" w:hAnsi="Times New Roman"/>
          <w:sz w:val="22"/>
        </w:rPr>
        <w:t xml:space="preserve">Shittu, O. I., Marcus, N. S., &amp; Acha, C. K. (2019). Multivariate GARCH modelling of volatility of Nigerian stock market and some economic indices. </w:t>
      </w:r>
      <w:r>
        <w:rPr>
          <w:rFonts w:ascii="Times New Roman" w:hAnsi="Times New Roman"/>
          <w:i/>
          <w:sz w:val="22"/>
        </w:rPr>
        <w:t>Scientia Africana, 18</w:t>
      </w:r>
      <w:r>
        <w:rPr>
          <w:rFonts w:ascii="Times New Roman" w:hAnsi="Times New Roman"/>
          <w:sz w:val="22"/>
        </w:rPr>
        <w:t>(2)</w:t>
      </w:r>
      <w:r>
        <w:rPr>
          <w:rFonts w:ascii="Times New Roman" w:hAnsi="Times New Roman"/>
          <w:sz w:val="22"/>
        </w:rPr>
        <w:t xml:space="preserve">, 197–207. </w:t>
      </w:r>
      <w:hyperlink r:id="rId26">
        <w:r>
          <w:rPr>
            <w:rFonts w:ascii="Times New Roman" w:hAnsi="Times New Roman"/>
            <w:color w:val="0563C1"/>
            <w:u w:val="single"/>
          </w:rPr>
          <w:t>https://www.ajol.info/index.php/sa/article/view/199503</w:t>
        </w:r>
      </w:hyperlink>
    </w:p>
    <w:p>
      <w:pPr>
        <w:spacing w:after="100" w:line="259" w:lineRule="auto"/>
        <w:ind w:left="432" w:hanging="432"/>
      </w:pPr>
      <w:r>
        <w:rPr>
          <w:rFonts w:ascii="Times New Roman" w:hAnsi="Times New Roman"/>
          <w:sz w:val="22"/>
        </w:rPr>
        <w:t xml:space="preserve">Watard, H., Oumar, S. B., &amp; Felix, N. (2024). Volatility spillover effect analysis of African emerging stock exchange markets: 2018–2023. </w:t>
      </w:r>
      <w:r>
        <w:rPr>
          <w:rFonts w:ascii="Times New Roman" w:hAnsi="Times New Roman"/>
          <w:i/>
          <w:sz w:val="22"/>
        </w:rPr>
        <w:t>SN Business &amp; Economics, 4</w:t>
      </w:r>
      <w:r>
        <w:rPr>
          <w:rFonts w:ascii="Times New Roman" w:hAnsi="Times New Roman"/>
          <w:sz w:val="22"/>
        </w:rPr>
        <w:t xml:space="preserve">, Article 121. </w:t>
      </w:r>
      <w:hyperlink r:id="rId39">
        <w:r>
          <w:rPr>
            <w:rFonts w:ascii="Times New Roman" w:hAnsi="Times New Roman"/>
            <w:color w:val="0563C1"/>
            <w:u w:val="single"/>
          </w:rPr>
          <w:t>https://doi.org/10.1007/s43546-024-00721-7</w:t>
        </w:r>
      </w:hyperlink>
    </w:p>
    <w:sectPr w:rsidR="007459BE" w:rsidRPr="004236D1">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02785" w14:textId="77777777" w:rsidR="00D551CD" w:rsidRDefault="00D551CD" w:rsidP="00F53D30">
      <w:pPr>
        <w:spacing w:after="0" w:line="240" w:lineRule="auto"/>
      </w:pPr>
      <w:r>
        <w:separator/>
      </w:r>
    </w:p>
  </w:endnote>
  <w:endnote w:type="continuationSeparator" w:id="0">
    <w:p w14:paraId="0477EAED" w14:textId="77777777" w:rsidR="00D551CD" w:rsidRDefault="00D551CD" w:rsidP="00F53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gsanaUPC">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4874" w14:textId="77777777" w:rsidR="00F53D30" w:rsidRDefault="00F53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D182" w14:textId="77777777" w:rsidR="00F53D30" w:rsidRDefault="00F53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D3FA" w14:textId="77777777" w:rsidR="00F53D30" w:rsidRDefault="00F53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0850" w14:textId="77777777" w:rsidR="00D551CD" w:rsidRDefault="00D551CD" w:rsidP="00F53D30">
      <w:pPr>
        <w:spacing w:after="0" w:line="240" w:lineRule="auto"/>
      </w:pPr>
      <w:r>
        <w:separator/>
      </w:r>
    </w:p>
  </w:footnote>
  <w:footnote w:type="continuationSeparator" w:id="0">
    <w:p w14:paraId="2B486E89" w14:textId="77777777" w:rsidR="00D551CD" w:rsidRDefault="00D551CD" w:rsidP="00F53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4783" w14:textId="56EED0CA" w:rsidR="00F53D30" w:rsidRDefault="00000000">
    <w:pPr>
      <w:pStyle w:val="Header"/>
    </w:pPr>
    <w:r>
      <w:rPr>
        <w:noProof/>
      </w:rPr>
      <w:pict w14:anchorId="65610A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26296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7C5A" w14:textId="65B3578E" w:rsidR="00F53D30" w:rsidRDefault="00000000">
    <w:pPr>
      <w:pStyle w:val="Header"/>
    </w:pPr>
    <w:r>
      <w:rPr>
        <w:noProof/>
      </w:rPr>
      <w:pict w14:anchorId="6F1077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26297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00E3" w14:textId="22488DAF" w:rsidR="00F53D30" w:rsidRDefault="00000000">
    <w:pPr>
      <w:pStyle w:val="Header"/>
    </w:pPr>
    <w:r>
      <w:rPr>
        <w:noProof/>
      </w:rPr>
      <w:pict w14:anchorId="0B5A4C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26296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D1A"/>
    <w:multiLevelType w:val="multilevel"/>
    <w:tmpl w:val="DF6E2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61748"/>
    <w:multiLevelType w:val="multilevel"/>
    <w:tmpl w:val="B7223A1C"/>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103205"/>
    <w:multiLevelType w:val="multilevel"/>
    <w:tmpl w:val="2DBE4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738E7"/>
    <w:multiLevelType w:val="multilevel"/>
    <w:tmpl w:val="5CCE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568DD"/>
    <w:multiLevelType w:val="hybridMultilevel"/>
    <w:tmpl w:val="8B3E4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C77E8"/>
    <w:multiLevelType w:val="multilevel"/>
    <w:tmpl w:val="C632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57F87"/>
    <w:multiLevelType w:val="multilevel"/>
    <w:tmpl w:val="44A26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6A5E7A"/>
    <w:multiLevelType w:val="multilevel"/>
    <w:tmpl w:val="6AD2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697973"/>
    <w:multiLevelType w:val="multilevel"/>
    <w:tmpl w:val="F24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47423"/>
    <w:multiLevelType w:val="multilevel"/>
    <w:tmpl w:val="7B86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738CA"/>
    <w:multiLevelType w:val="multilevel"/>
    <w:tmpl w:val="9DD8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D827B8"/>
    <w:multiLevelType w:val="multilevel"/>
    <w:tmpl w:val="06649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501F29"/>
    <w:multiLevelType w:val="multilevel"/>
    <w:tmpl w:val="5B58AF90"/>
    <w:lvl w:ilvl="0">
      <w:start w:val="3"/>
      <w:numFmt w:val="decimal"/>
      <w:lvlText w:val="%1"/>
      <w:lvlJc w:val="left"/>
      <w:pPr>
        <w:ind w:left="840" w:hanging="840"/>
      </w:pPr>
      <w:rPr>
        <w:rFonts w:ascii="Times New Roman" w:hAnsi="Times New Roman" w:cs="Times New Roman" w:hint="default"/>
        <w:color w:val="000000" w:themeColor="text1"/>
      </w:rPr>
    </w:lvl>
    <w:lvl w:ilvl="1">
      <w:start w:val="6"/>
      <w:numFmt w:val="decimal"/>
      <w:lvlText w:val="%1.%2"/>
      <w:lvlJc w:val="left"/>
      <w:pPr>
        <w:ind w:left="840" w:hanging="840"/>
      </w:pPr>
      <w:rPr>
        <w:rFonts w:ascii="Times New Roman" w:hAnsi="Times New Roman" w:cs="Times New Roman" w:hint="default"/>
        <w:color w:val="000000" w:themeColor="text1"/>
      </w:rPr>
    </w:lvl>
    <w:lvl w:ilvl="2">
      <w:start w:val="6"/>
      <w:numFmt w:val="decimal"/>
      <w:lvlText w:val="%1.%2.%3"/>
      <w:lvlJc w:val="left"/>
      <w:pPr>
        <w:ind w:left="840" w:hanging="840"/>
      </w:pPr>
      <w:rPr>
        <w:rFonts w:ascii="Times New Roman" w:hAnsi="Times New Roman" w:cs="Times New Roman" w:hint="default"/>
        <w:color w:val="000000" w:themeColor="text1"/>
      </w:rPr>
    </w:lvl>
    <w:lvl w:ilvl="3">
      <w:start w:val="4"/>
      <w:numFmt w:val="decimal"/>
      <w:lvlText w:val="%1.%2.%3.%4"/>
      <w:lvlJc w:val="left"/>
      <w:pPr>
        <w:ind w:left="840" w:hanging="840"/>
      </w:pPr>
      <w:rPr>
        <w:rFonts w:ascii="Times New Roman" w:hAnsi="Times New Roman" w:cs="Times New Roman" w:hint="default"/>
        <w:color w:val="000000" w:themeColor="text1"/>
      </w:rPr>
    </w:lvl>
    <w:lvl w:ilvl="4">
      <w:start w:val="3"/>
      <w:numFmt w:val="decimal"/>
      <w:lvlText w:val="%1.%2.%3.%4.%5"/>
      <w:lvlJc w:val="left"/>
      <w:pPr>
        <w:ind w:left="1080" w:hanging="1080"/>
      </w:pPr>
      <w:rPr>
        <w:rFonts w:ascii="Times New Roman" w:hAnsi="Times New Roman" w:cs="Times New Roman" w:hint="default"/>
        <w:color w:val="000000" w:themeColor="text1"/>
      </w:rPr>
    </w:lvl>
    <w:lvl w:ilvl="5">
      <w:start w:val="1"/>
      <w:numFmt w:val="decimal"/>
      <w:lvlText w:val="%1.%2.%3.%4.%5.%6"/>
      <w:lvlJc w:val="left"/>
      <w:pPr>
        <w:ind w:left="1080" w:hanging="1080"/>
      </w:pPr>
      <w:rPr>
        <w:rFonts w:ascii="Times New Roman" w:hAnsi="Times New Roman" w:cs="Times New Roman" w:hint="default"/>
        <w:color w:val="000000" w:themeColor="text1"/>
      </w:rPr>
    </w:lvl>
    <w:lvl w:ilvl="6">
      <w:start w:val="1"/>
      <w:numFmt w:val="decimal"/>
      <w:lvlText w:val="%1.%2.%3.%4.%5.%6.%7"/>
      <w:lvlJc w:val="left"/>
      <w:pPr>
        <w:ind w:left="1440" w:hanging="1440"/>
      </w:pPr>
      <w:rPr>
        <w:rFonts w:ascii="Times New Roman" w:hAnsi="Times New Roman" w:cs="Times New Roman" w:hint="default"/>
        <w:color w:val="000000" w:themeColor="text1"/>
      </w:rPr>
    </w:lvl>
    <w:lvl w:ilvl="7">
      <w:start w:val="1"/>
      <w:numFmt w:val="decimal"/>
      <w:lvlText w:val="%1.%2.%3.%4.%5.%6.%7.%8"/>
      <w:lvlJc w:val="left"/>
      <w:pPr>
        <w:ind w:left="1440" w:hanging="1440"/>
      </w:pPr>
      <w:rPr>
        <w:rFonts w:ascii="Times New Roman" w:hAnsi="Times New Roman" w:cs="Times New Roman" w:hint="default"/>
        <w:color w:val="000000" w:themeColor="text1"/>
      </w:rPr>
    </w:lvl>
    <w:lvl w:ilvl="8">
      <w:start w:val="1"/>
      <w:numFmt w:val="decimal"/>
      <w:lvlText w:val="%1.%2.%3.%4.%5.%6.%7.%8.%9"/>
      <w:lvlJc w:val="left"/>
      <w:pPr>
        <w:ind w:left="1800" w:hanging="1800"/>
      </w:pPr>
      <w:rPr>
        <w:rFonts w:ascii="Times New Roman" w:hAnsi="Times New Roman" w:cs="Times New Roman" w:hint="default"/>
        <w:color w:val="000000" w:themeColor="text1"/>
      </w:rPr>
    </w:lvl>
  </w:abstractNum>
  <w:abstractNum w:abstractNumId="13" w15:restartNumberingAfterBreak="0">
    <w:nsid w:val="2A6D64ED"/>
    <w:multiLevelType w:val="hybridMultilevel"/>
    <w:tmpl w:val="9D44D6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4" w15:restartNumberingAfterBreak="0">
    <w:nsid w:val="2E8727A6"/>
    <w:multiLevelType w:val="multilevel"/>
    <w:tmpl w:val="9006C6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267656"/>
    <w:multiLevelType w:val="multilevel"/>
    <w:tmpl w:val="19AE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57FD5"/>
    <w:multiLevelType w:val="multilevel"/>
    <w:tmpl w:val="A9B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112E16"/>
    <w:multiLevelType w:val="multilevel"/>
    <w:tmpl w:val="974C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A4198"/>
    <w:multiLevelType w:val="multilevel"/>
    <w:tmpl w:val="6C8A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7F347D"/>
    <w:multiLevelType w:val="hybridMultilevel"/>
    <w:tmpl w:val="6DB088B2"/>
    <w:lvl w:ilvl="0" w:tplc="B158F8BA">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921485"/>
    <w:multiLevelType w:val="multilevel"/>
    <w:tmpl w:val="B72C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0D7B8A"/>
    <w:multiLevelType w:val="hybridMultilevel"/>
    <w:tmpl w:val="437692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6469B0"/>
    <w:multiLevelType w:val="multilevel"/>
    <w:tmpl w:val="84D2F5DA"/>
    <w:lvl w:ilvl="0">
      <w:start w:val="1"/>
      <w:numFmt w:val="decimal"/>
      <w:lvlText w:val="%1."/>
      <w:lvlJc w:val="left"/>
      <w:pPr>
        <w:ind w:left="720" w:hanging="360"/>
      </w:pPr>
    </w:lvl>
    <w:lvl w:ilvl="1">
      <w:start w:val="6"/>
      <w:numFmt w:val="decimal"/>
      <w:isLgl/>
      <w:lvlText w:val="%1.%2"/>
      <w:lvlJc w:val="left"/>
      <w:pPr>
        <w:ind w:left="1800" w:hanging="1440"/>
      </w:pPr>
      <w:rPr>
        <w:rFonts w:hint="default"/>
      </w:rPr>
    </w:lvl>
    <w:lvl w:ilvl="2">
      <w:start w:val="6"/>
      <w:numFmt w:val="decimal"/>
      <w:isLgl/>
      <w:lvlText w:val="%1.%2.%3"/>
      <w:lvlJc w:val="left"/>
      <w:pPr>
        <w:ind w:left="1800" w:hanging="1440"/>
      </w:pPr>
      <w:rPr>
        <w:rFonts w:hint="default"/>
      </w:rPr>
    </w:lvl>
    <w:lvl w:ilvl="3">
      <w:start w:val="4"/>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97A2C46"/>
    <w:multiLevelType w:val="multilevel"/>
    <w:tmpl w:val="75B0559C"/>
    <w:lvl w:ilvl="0">
      <w:start w:val="3"/>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6"/>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1E1C94"/>
    <w:multiLevelType w:val="multilevel"/>
    <w:tmpl w:val="1D103F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B04495"/>
    <w:multiLevelType w:val="multilevel"/>
    <w:tmpl w:val="8BE8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AE1713"/>
    <w:multiLevelType w:val="multilevel"/>
    <w:tmpl w:val="D8A6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CD7E1A"/>
    <w:multiLevelType w:val="multilevel"/>
    <w:tmpl w:val="DB16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015657"/>
    <w:multiLevelType w:val="multilevel"/>
    <w:tmpl w:val="2A4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1450A0"/>
    <w:multiLevelType w:val="multilevel"/>
    <w:tmpl w:val="9D8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85092A"/>
    <w:multiLevelType w:val="hybridMultilevel"/>
    <w:tmpl w:val="90A6A0F4"/>
    <w:lvl w:ilvl="0" w:tplc="6DF0FFA8">
      <w:start w:val="1"/>
      <w:numFmt w:val="decimal"/>
      <w:lvlText w:val="%1."/>
      <w:lvlJc w:val="left"/>
      <w:pPr>
        <w:ind w:left="816" w:hanging="45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991868"/>
    <w:multiLevelType w:val="multilevel"/>
    <w:tmpl w:val="F19E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BF317D"/>
    <w:multiLevelType w:val="hybridMultilevel"/>
    <w:tmpl w:val="ADD4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83177C"/>
    <w:multiLevelType w:val="multilevel"/>
    <w:tmpl w:val="2EE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1F3555"/>
    <w:multiLevelType w:val="multilevel"/>
    <w:tmpl w:val="6774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9B0BDA"/>
    <w:multiLevelType w:val="multilevel"/>
    <w:tmpl w:val="D07C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D53489"/>
    <w:multiLevelType w:val="multilevel"/>
    <w:tmpl w:val="5130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F71B99"/>
    <w:multiLevelType w:val="multilevel"/>
    <w:tmpl w:val="CB88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E141E"/>
    <w:multiLevelType w:val="hybridMultilevel"/>
    <w:tmpl w:val="04EE93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E50CC5"/>
    <w:multiLevelType w:val="multilevel"/>
    <w:tmpl w:val="47562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00984"/>
    <w:multiLevelType w:val="multilevel"/>
    <w:tmpl w:val="6270F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B721878"/>
    <w:multiLevelType w:val="multilevel"/>
    <w:tmpl w:val="D2C44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C74FD9"/>
    <w:multiLevelType w:val="multilevel"/>
    <w:tmpl w:val="F410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6507A1"/>
    <w:multiLevelType w:val="hybridMultilevel"/>
    <w:tmpl w:val="8B8E6C48"/>
    <w:lvl w:ilvl="0" w:tplc="D562C40C">
      <w:start w:val="1"/>
      <w:numFmt w:val="decimal"/>
      <w:lvlText w:val="%1."/>
      <w:lvlJc w:val="left"/>
      <w:pPr>
        <w:ind w:left="420" w:hanging="360"/>
      </w:pPr>
    </w:lvl>
    <w:lvl w:ilvl="1" w:tplc="20000019">
      <w:start w:val="1"/>
      <w:numFmt w:val="lowerLetter"/>
      <w:lvlText w:val="%2."/>
      <w:lvlJc w:val="left"/>
      <w:pPr>
        <w:ind w:left="1140" w:hanging="360"/>
      </w:pPr>
    </w:lvl>
    <w:lvl w:ilvl="2" w:tplc="2000001B">
      <w:start w:val="1"/>
      <w:numFmt w:val="lowerRoman"/>
      <w:lvlText w:val="%3."/>
      <w:lvlJc w:val="right"/>
      <w:pPr>
        <w:ind w:left="1860" w:hanging="180"/>
      </w:pPr>
    </w:lvl>
    <w:lvl w:ilvl="3" w:tplc="2000000F">
      <w:start w:val="1"/>
      <w:numFmt w:val="decimal"/>
      <w:lvlText w:val="%4."/>
      <w:lvlJc w:val="left"/>
      <w:pPr>
        <w:ind w:left="2580" w:hanging="360"/>
      </w:pPr>
    </w:lvl>
    <w:lvl w:ilvl="4" w:tplc="20000019">
      <w:start w:val="1"/>
      <w:numFmt w:val="lowerLetter"/>
      <w:lvlText w:val="%5."/>
      <w:lvlJc w:val="left"/>
      <w:pPr>
        <w:ind w:left="3300" w:hanging="360"/>
      </w:pPr>
    </w:lvl>
    <w:lvl w:ilvl="5" w:tplc="2000001B">
      <w:start w:val="1"/>
      <w:numFmt w:val="lowerRoman"/>
      <w:lvlText w:val="%6."/>
      <w:lvlJc w:val="right"/>
      <w:pPr>
        <w:ind w:left="4020" w:hanging="180"/>
      </w:pPr>
    </w:lvl>
    <w:lvl w:ilvl="6" w:tplc="2000000F">
      <w:start w:val="1"/>
      <w:numFmt w:val="decimal"/>
      <w:lvlText w:val="%7."/>
      <w:lvlJc w:val="left"/>
      <w:pPr>
        <w:ind w:left="4740" w:hanging="360"/>
      </w:pPr>
    </w:lvl>
    <w:lvl w:ilvl="7" w:tplc="20000019">
      <w:start w:val="1"/>
      <w:numFmt w:val="lowerLetter"/>
      <w:lvlText w:val="%8."/>
      <w:lvlJc w:val="left"/>
      <w:pPr>
        <w:ind w:left="5460" w:hanging="360"/>
      </w:pPr>
    </w:lvl>
    <w:lvl w:ilvl="8" w:tplc="2000001B">
      <w:start w:val="1"/>
      <w:numFmt w:val="lowerRoman"/>
      <w:lvlText w:val="%9."/>
      <w:lvlJc w:val="right"/>
      <w:pPr>
        <w:ind w:left="6180" w:hanging="180"/>
      </w:pPr>
    </w:lvl>
  </w:abstractNum>
  <w:abstractNum w:abstractNumId="44" w15:restartNumberingAfterBreak="0">
    <w:nsid w:val="7D4628A0"/>
    <w:multiLevelType w:val="multilevel"/>
    <w:tmpl w:val="74BE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082504">
    <w:abstractNumId w:val="19"/>
  </w:num>
  <w:num w:numId="2" w16cid:durableId="519319221">
    <w:abstractNumId w:val="28"/>
  </w:num>
  <w:num w:numId="3" w16cid:durableId="1195390552">
    <w:abstractNumId w:val="44"/>
  </w:num>
  <w:num w:numId="4" w16cid:durableId="313528041">
    <w:abstractNumId w:val="29"/>
  </w:num>
  <w:num w:numId="5" w16cid:durableId="1302466032">
    <w:abstractNumId w:val="31"/>
  </w:num>
  <w:num w:numId="6" w16cid:durableId="1725370360">
    <w:abstractNumId w:val="14"/>
  </w:num>
  <w:num w:numId="7" w16cid:durableId="923103125">
    <w:abstractNumId w:val="42"/>
  </w:num>
  <w:num w:numId="8" w16cid:durableId="1409838787">
    <w:abstractNumId w:val="25"/>
  </w:num>
  <w:num w:numId="9" w16cid:durableId="1739592016">
    <w:abstractNumId w:val="15"/>
  </w:num>
  <w:num w:numId="10" w16cid:durableId="2095124667">
    <w:abstractNumId w:val="35"/>
  </w:num>
  <w:num w:numId="11" w16cid:durableId="2129660181">
    <w:abstractNumId w:val="9"/>
  </w:num>
  <w:num w:numId="12" w16cid:durableId="296765328">
    <w:abstractNumId w:val="16"/>
  </w:num>
  <w:num w:numId="13" w16cid:durableId="1549874350">
    <w:abstractNumId w:val="8"/>
  </w:num>
  <w:num w:numId="14" w16cid:durableId="799570603">
    <w:abstractNumId w:val="27"/>
  </w:num>
  <w:num w:numId="15" w16cid:durableId="733312354">
    <w:abstractNumId w:val="24"/>
  </w:num>
  <w:num w:numId="16" w16cid:durableId="3035049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1715834">
    <w:abstractNumId w:val="39"/>
  </w:num>
  <w:num w:numId="18" w16cid:durableId="19978047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0585556">
    <w:abstractNumId w:val="41"/>
  </w:num>
  <w:num w:numId="20" w16cid:durableId="976685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1383715">
    <w:abstractNumId w:val="34"/>
  </w:num>
  <w:num w:numId="22" w16cid:durableId="1834295842">
    <w:abstractNumId w:val="33"/>
  </w:num>
  <w:num w:numId="23" w16cid:durableId="290088547">
    <w:abstractNumId w:val="18"/>
  </w:num>
  <w:num w:numId="24" w16cid:durableId="831288794">
    <w:abstractNumId w:val="32"/>
  </w:num>
  <w:num w:numId="25" w16cid:durableId="337657755">
    <w:abstractNumId w:val="22"/>
  </w:num>
  <w:num w:numId="26" w16cid:durableId="190337927">
    <w:abstractNumId w:val="6"/>
  </w:num>
  <w:num w:numId="27" w16cid:durableId="1667318795">
    <w:abstractNumId w:val="17"/>
  </w:num>
  <w:num w:numId="28" w16cid:durableId="667247070">
    <w:abstractNumId w:val="2"/>
  </w:num>
  <w:num w:numId="29" w16cid:durableId="324474980">
    <w:abstractNumId w:val="30"/>
  </w:num>
  <w:num w:numId="30" w16cid:durableId="1468746415">
    <w:abstractNumId w:val="21"/>
  </w:num>
  <w:num w:numId="31" w16cid:durableId="1474564645">
    <w:abstractNumId w:val="11"/>
  </w:num>
  <w:num w:numId="32" w16cid:durableId="1583027870">
    <w:abstractNumId w:val="26"/>
  </w:num>
  <w:num w:numId="33" w16cid:durableId="812796963">
    <w:abstractNumId w:val="3"/>
  </w:num>
  <w:num w:numId="34" w16cid:durableId="1470593197">
    <w:abstractNumId w:val="7"/>
  </w:num>
  <w:num w:numId="35" w16cid:durableId="1512528857">
    <w:abstractNumId w:val="10"/>
  </w:num>
  <w:num w:numId="36" w16cid:durableId="1210992899">
    <w:abstractNumId w:val="37"/>
  </w:num>
  <w:num w:numId="37" w16cid:durableId="932400508">
    <w:abstractNumId w:val="0"/>
  </w:num>
  <w:num w:numId="38" w16cid:durableId="288511471">
    <w:abstractNumId w:val="5"/>
  </w:num>
  <w:num w:numId="39" w16cid:durableId="1393578748">
    <w:abstractNumId w:val="36"/>
  </w:num>
  <w:num w:numId="40" w16cid:durableId="1149204798">
    <w:abstractNumId w:val="20"/>
  </w:num>
  <w:num w:numId="41" w16cid:durableId="781845258">
    <w:abstractNumId w:val="12"/>
  </w:num>
  <w:num w:numId="42" w16cid:durableId="1991252737">
    <w:abstractNumId w:val="23"/>
  </w:num>
  <w:num w:numId="43" w16cid:durableId="196936838">
    <w:abstractNumId w:val="38"/>
  </w:num>
  <w:num w:numId="44" w16cid:durableId="1272006321">
    <w:abstractNumId w:val="13"/>
  </w:num>
  <w:num w:numId="45" w16cid:durableId="1255745956">
    <w:abstractNumId w:val="1"/>
  </w:num>
  <w:num w:numId="46" w16cid:durableId="396169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1MrUwMLG0MDYwNTNX0lEKTi0uzszPAykwrAUAT591VSwAAAA="/>
  </w:docVars>
  <w:rsids>
    <w:rsidRoot w:val="0012072E"/>
    <w:rsid w:val="00003346"/>
    <w:rsid w:val="000427A0"/>
    <w:rsid w:val="00070C19"/>
    <w:rsid w:val="00085FC8"/>
    <w:rsid w:val="0012072E"/>
    <w:rsid w:val="00121A98"/>
    <w:rsid w:val="0014154B"/>
    <w:rsid w:val="001506C6"/>
    <w:rsid w:val="00186838"/>
    <w:rsid w:val="00233DBF"/>
    <w:rsid w:val="00235235"/>
    <w:rsid w:val="00251813"/>
    <w:rsid w:val="00255298"/>
    <w:rsid w:val="00264C09"/>
    <w:rsid w:val="0035601A"/>
    <w:rsid w:val="003A1955"/>
    <w:rsid w:val="003D1C21"/>
    <w:rsid w:val="003D4BFD"/>
    <w:rsid w:val="004236D1"/>
    <w:rsid w:val="00431FDE"/>
    <w:rsid w:val="00433390"/>
    <w:rsid w:val="004341D9"/>
    <w:rsid w:val="004D563F"/>
    <w:rsid w:val="004E38D3"/>
    <w:rsid w:val="004E54C5"/>
    <w:rsid w:val="004F0955"/>
    <w:rsid w:val="005376EB"/>
    <w:rsid w:val="00565BE6"/>
    <w:rsid w:val="005A0B5F"/>
    <w:rsid w:val="005A587C"/>
    <w:rsid w:val="005F5DBC"/>
    <w:rsid w:val="00645543"/>
    <w:rsid w:val="006541C7"/>
    <w:rsid w:val="00685438"/>
    <w:rsid w:val="006C1449"/>
    <w:rsid w:val="007459BE"/>
    <w:rsid w:val="007533BF"/>
    <w:rsid w:val="007A7131"/>
    <w:rsid w:val="007B36E3"/>
    <w:rsid w:val="007E559D"/>
    <w:rsid w:val="007F2C37"/>
    <w:rsid w:val="00805FDE"/>
    <w:rsid w:val="008146C7"/>
    <w:rsid w:val="00850589"/>
    <w:rsid w:val="008D3C73"/>
    <w:rsid w:val="00930BE1"/>
    <w:rsid w:val="0094428C"/>
    <w:rsid w:val="00957B09"/>
    <w:rsid w:val="0098552F"/>
    <w:rsid w:val="00996955"/>
    <w:rsid w:val="009A4BFE"/>
    <w:rsid w:val="009B1881"/>
    <w:rsid w:val="009F64EC"/>
    <w:rsid w:val="009F76F2"/>
    <w:rsid w:val="00A02982"/>
    <w:rsid w:val="00A11A6B"/>
    <w:rsid w:val="00A32811"/>
    <w:rsid w:val="00A7534F"/>
    <w:rsid w:val="00A75428"/>
    <w:rsid w:val="00A76944"/>
    <w:rsid w:val="00AB6020"/>
    <w:rsid w:val="00B113BC"/>
    <w:rsid w:val="00B30818"/>
    <w:rsid w:val="00B835CD"/>
    <w:rsid w:val="00B97EF8"/>
    <w:rsid w:val="00BE1812"/>
    <w:rsid w:val="00C27058"/>
    <w:rsid w:val="00C279E4"/>
    <w:rsid w:val="00C74B31"/>
    <w:rsid w:val="00C75BA8"/>
    <w:rsid w:val="00C8435A"/>
    <w:rsid w:val="00D551CD"/>
    <w:rsid w:val="00DA5943"/>
    <w:rsid w:val="00DE38A4"/>
    <w:rsid w:val="00E125C3"/>
    <w:rsid w:val="00E24C62"/>
    <w:rsid w:val="00E3247D"/>
    <w:rsid w:val="00E562FD"/>
    <w:rsid w:val="00E90776"/>
    <w:rsid w:val="00EE2346"/>
    <w:rsid w:val="00EE275E"/>
    <w:rsid w:val="00F53D30"/>
    <w:rsid w:val="00F776F2"/>
    <w:rsid w:val="00FD69E9"/>
    <w:rsid w:val="00FE5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988B3"/>
  <w15:chartTrackingRefBased/>
  <w15:docId w15:val="{2D6D09B2-A8A0-469C-972C-1AF2BA8FC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72E"/>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5A0B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5A0B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5A0B5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5A0B5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A0B5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A0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B5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5A0B5F"/>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A0B5F"/>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rsid w:val="005A0B5F"/>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5A0B5F"/>
    <w:rPr>
      <w:rFonts w:eastAsiaTheme="majorEastAsia" w:cstheme="majorBidi"/>
      <w:color w:val="2E74B5" w:themeColor="accent1" w:themeShade="BF"/>
      <w:kern w:val="2"/>
      <w:sz w:val="24"/>
      <w:szCs w:val="24"/>
      <w14:ligatures w14:val="standardContextual"/>
    </w:rPr>
  </w:style>
  <w:style w:type="character" w:styleId="Strong">
    <w:name w:val="Strong"/>
    <w:basedOn w:val="DefaultParagraphFont"/>
    <w:uiPriority w:val="22"/>
    <w:qFormat/>
    <w:rsid w:val="0012072E"/>
    <w:rPr>
      <w:b/>
      <w:bCs/>
    </w:rPr>
  </w:style>
  <w:style w:type="paragraph" w:styleId="NormalWeb">
    <w:name w:val="Normal (Web)"/>
    <w:basedOn w:val="Normal"/>
    <w:uiPriority w:val="99"/>
    <w:unhideWhenUsed/>
    <w:rsid w:val="0012072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850589"/>
    <w:pPr>
      <w:ind w:left="720"/>
      <w:contextualSpacing/>
    </w:pPr>
  </w:style>
  <w:style w:type="character" w:customStyle="1" w:styleId="Heading6Char">
    <w:name w:val="Heading 6 Char"/>
    <w:basedOn w:val="DefaultParagraphFont"/>
    <w:link w:val="Heading6"/>
    <w:uiPriority w:val="9"/>
    <w:semiHidden/>
    <w:rsid w:val="005A0B5F"/>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5A0B5F"/>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A0B5F"/>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A0B5F"/>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5A0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B5F"/>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A0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B5F"/>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A0B5F"/>
    <w:pPr>
      <w:spacing w:before="160"/>
      <w:jc w:val="center"/>
    </w:pPr>
    <w:rPr>
      <w:i/>
      <w:iCs/>
      <w:color w:val="404040" w:themeColor="text1" w:themeTint="BF"/>
    </w:rPr>
  </w:style>
  <w:style w:type="character" w:customStyle="1" w:styleId="QuoteChar">
    <w:name w:val="Quote Char"/>
    <w:basedOn w:val="DefaultParagraphFont"/>
    <w:link w:val="Quote"/>
    <w:uiPriority w:val="29"/>
    <w:rsid w:val="005A0B5F"/>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A0B5F"/>
    <w:rPr>
      <w:i/>
      <w:iCs/>
      <w:color w:val="2E74B5" w:themeColor="accent1" w:themeShade="BF"/>
    </w:rPr>
  </w:style>
  <w:style w:type="paragraph" w:styleId="IntenseQuote">
    <w:name w:val="Intense Quote"/>
    <w:basedOn w:val="Normal"/>
    <w:next w:val="Normal"/>
    <w:link w:val="IntenseQuoteChar"/>
    <w:uiPriority w:val="30"/>
    <w:qFormat/>
    <w:rsid w:val="005A0B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A0B5F"/>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A0B5F"/>
    <w:rPr>
      <w:b/>
      <w:bCs/>
      <w:smallCaps/>
      <w:color w:val="2E74B5" w:themeColor="accent1" w:themeShade="BF"/>
      <w:spacing w:val="5"/>
    </w:rPr>
  </w:style>
  <w:style w:type="paragraph" w:customStyle="1" w:styleId="pdq2pgselectionanchorcontainer">
    <w:name w:val="pdq2pg_selectionanchorcontainer"/>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A0B5F"/>
    <w:rPr>
      <w:i/>
      <w:iCs/>
    </w:rPr>
  </w:style>
  <w:style w:type="paragraph" w:customStyle="1" w:styleId="isselectedend">
    <w:name w:val="isselectedend"/>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5A0B5F"/>
  </w:style>
  <w:style w:type="paragraph" w:customStyle="1" w:styleId="font-claude-response-body">
    <w:name w:val="font-claude-response-body"/>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A0B5F"/>
    <w:rPr>
      <w:color w:val="0000FF"/>
      <w:u w:val="single"/>
    </w:rPr>
  </w:style>
  <w:style w:type="character" w:customStyle="1" w:styleId="whitespace-normal">
    <w:name w:val="whitespace-normal"/>
    <w:basedOn w:val="DefaultParagraphFont"/>
    <w:rsid w:val="005A0B5F"/>
  </w:style>
  <w:style w:type="paragraph" w:styleId="Header">
    <w:name w:val="header"/>
    <w:basedOn w:val="Normal"/>
    <w:link w:val="HeaderChar"/>
    <w:uiPriority w:val="99"/>
    <w:unhideWhenUsed/>
    <w:rsid w:val="005A0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B5F"/>
    <w:rPr>
      <w:kern w:val="2"/>
      <w:sz w:val="24"/>
      <w:szCs w:val="24"/>
      <w14:ligatures w14:val="standardContextual"/>
    </w:rPr>
  </w:style>
  <w:style w:type="paragraph" w:styleId="Footer">
    <w:name w:val="footer"/>
    <w:basedOn w:val="Normal"/>
    <w:link w:val="FooterChar"/>
    <w:uiPriority w:val="99"/>
    <w:unhideWhenUsed/>
    <w:rsid w:val="005A0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B5F"/>
    <w:rPr>
      <w:kern w:val="2"/>
      <w:sz w:val="24"/>
      <w:szCs w:val="24"/>
      <w14:ligatures w14:val="standardContextual"/>
    </w:rPr>
  </w:style>
  <w:style w:type="paragraph" w:customStyle="1" w:styleId="ds-markdown-paragraph">
    <w:name w:val="ds-markdown-paragraph"/>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katex-mathml">
    <w:name w:val="katex-mathml"/>
    <w:basedOn w:val="DefaultParagraphFont"/>
    <w:rsid w:val="005A0B5F"/>
  </w:style>
  <w:style w:type="character" w:customStyle="1" w:styleId="mord">
    <w:name w:val="mord"/>
    <w:basedOn w:val="DefaultParagraphFont"/>
    <w:rsid w:val="005A0B5F"/>
  </w:style>
  <w:style w:type="character" w:customStyle="1" w:styleId="vlist-s">
    <w:name w:val="vlist-s"/>
    <w:basedOn w:val="DefaultParagraphFont"/>
    <w:rsid w:val="005A0B5F"/>
  </w:style>
  <w:style w:type="character" w:customStyle="1" w:styleId="mrel">
    <w:name w:val="mrel"/>
    <w:basedOn w:val="DefaultParagraphFont"/>
    <w:rsid w:val="005A0B5F"/>
  </w:style>
  <w:style w:type="character" w:customStyle="1" w:styleId="mbin">
    <w:name w:val="mbin"/>
    <w:basedOn w:val="DefaultParagraphFont"/>
    <w:rsid w:val="005A0B5F"/>
  </w:style>
  <w:style w:type="character" w:customStyle="1" w:styleId="mopen">
    <w:name w:val="mopen"/>
    <w:basedOn w:val="DefaultParagraphFont"/>
    <w:rsid w:val="005A0B5F"/>
  </w:style>
  <w:style w:type="character" w:customStyle="1" w:styleId="mpunct">
    <w:name w:val="mpunct"/>
    <w:basedOn w:val="DefaultParagraphFont"/>
    <w:rsid w:val="005A0B5F"/>
  </w:style>
  <w:style w:type="character" w:customStyle="1" w:styleId="mclose">
    <w:name w:val="mclose"/>
    <w:basedOn w:val="DefaultParagraphFont"/>
    <w:rsid w:val="005A0B5F"/>
  </w:style>
  <w:style w:type="paragraph" w:styleId="BalloonText">
    <w:name w:val="Balloon Text"/>
    <w:basedOn w:val="Normal"/>
    <w:link w:val="BalloonTextChar"/>
    <w:uiPriority w:val="99"/>
    <w:unhideWhenUsed/>
    <w:rsid w:val="005A0B5F"/>
    <w:pPr>
      <w:spacing w:after="0" w:line="240" w:lineRule="auto"/>
    </w:pPr>
    <w:rPr>
      <w:rFonts w:ascii="Tahoma" w:eastAsia="Calibri" w:hAnsi="Tahoma" w:cs="Times New Roman"/>
      <w:kern w:val="0"/>
      <w:sz w:val="16"/>
      <w:szCs w:val="16"/>
      <w:lang w:val="en-GB"/>
      <w14:ligatures w14:val="none"/>
    </w:rPr>
  </w:style>
  <w:style w:type="character" w:customStyle="1" w:styleId="BalloonTextChar">
    <w:name w:val="Balloon Text Char"/>
    <w:basedOn w:val="DefaultParagraphFont"/>
    <w:link w:val="BalloonText"/>
    <w:uiPriority w:val="99"/>
    <w:rsid w:val="005A0B5F"/>
    <w:rPr>
      <w:rFonts w:ascii="Tahoma" w:eastAsia="Calibri" w:hAnsi="Tahoma" w:cs="Times New Roman"/>
      <w:sz w:val="16"/>
      <w:szCs w:val="16"/>
      <w:lang w:val="en-GB"/>
    </w:rPr>
  </w:style>
  <w:style w:type="paragraph" w:customStyle="1" w:styleId="Default">
    <w:name w:val="Default"/>
    <w:rsid w:val="005A0B5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5A0B5F"/>
    <w:pPr>
      <w:spacing w:after="0" w:line="240" w:lineRule="auto"/>
    </w:pPr>
    <w:rPr>
      <w:rFonts w:ascii="Calibri" w:eastAsia="SimSun" w:hAnsi="Calibri" w:cs="SimSun"/>
    </w:rPr>
  </w:style>
  <w:style w:type="character" w:customStyle="1" w:styleId="NoSpacingChar">
    <w:name w:val="No Spacing Char"/>
    <w:basedOn w:val="DefaultParagraphFont"/>
    <w:link w:val="NoSpacing"/>
    <w:uiPriority w:val="1"/>
    <w:rsid w:val="005A0B5F"/>
    <w:rPr>
      <w:rFonts w:ascii="Calibri" w:eastAsia="SimSun" w:hAnsi="Calibri" w:cs="SimSun"/>
    </w:rPr>
  </w:style>
  <w:style w:type="character" w:customStyle="1" w:styleId="inlineblock">
    <w:name w:val="inlineblock"/>
    <w:basedOn w:val="DefaultParagraphFont"/>
    <w:rsid w:val="005A0B5F"/>
  </w:style>
  <w:style w:type="character" w:customStyle="1" w:styleId="html-italic">
    <w:name w:val="html-italic"/>
    <w:basedOn w:val="DefaultParagraphFont"/>
    <w:rsid w:val="005A0B5F"/>
  </w:style>
  <w:style w:type="character" w:customStyle="1" w:styleId="name">
    <w:name w:val="name"/>
    <w:basedOn w:val="DefaultParagraphFont"/>
    <w:rsid w:val="005A0B5F"/>
  </w:style>
  <w:style w:type="character" w:customStyle="1" w:styleId="affiliation">
    <w:name w:val="affiliation"/>
    <w:basedOn w:val="DefaultParagraphFont"/>
    <w:rsid w:val="005A0B5F"/>
  </w:style>
  <w:style w:type="character" w:customStyle="1" w:styleId="t">
    <w:name w:val="t"/>
    <w:basedOn w:val="DefaultParagraphFont"/>
    <w:rsid w:val="005A0B5F"/>
  </w:style>
  <w:style w:type="paragraph" w:customStyle="1" w:styleId="last">
    <w:name w:val="last"/>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hgkelc">
    <w:name w:val="hgkelc"/>
    <w:basedOn w:val="DefaultParagraphFont"/>
    <w:rsid w:val="005A0B5F"/>
  </w:style>
  <w:style w:type="character" w:customStyle="1" w:styleId="MTConvertedEquation">
    <w:name w:val="MTConvertedEquation"/>
    <w:basedOn w:val="DefaultParagraphFont"/>
    <w:rsid w:val="005A0B5F"/>
    <w:rPr>
      <w:rFonts w:ascii="Times New Roman" w:hAnsi="Times New Roman" w:cs="Times New Roman"/>
      <w:sz w:val="24"/>
      <w:szCs w:val="24"/>
    </w:rPr>
  </w:style>
  <w:style w:type="character" w:customStyle="1" w:styleId="a">
    <w:name w:val="_"/>
    <w:basedOn w:val="DefaultParagraphFont"/>
    <w:rsid w:val="005A0B5F"/>
  </w:style>
  <w:style w:type="character" w:customStyle="1" w:styleId="ff5">
    <w:name w:val="ff5"/>
    <w:basedOn w:val="DefaultParagraphFont"/>
    <w:rsid w:val="005A0B5F"/>
  </w:style>
  <w:style w:type="character" w:customStyle="1" w:styleId="ff1">
    <w:name w:val="ff1"/>
    <w:basedOn w:val="DefaultParagraphFont"/>
    <w:rsid w:val="005A0B5F"/>
  </w:style>
  <w:style w:type="paragraph" w:customStyle="1" w:styleId="MTDisplayEquation">
    <w:name w:val="MTDisplayEquation"/>
    <w:basedOn w:val="Normal"/>
    <w:next w:val="Normal"/>
    <w:link w:val="MTDisplayEquationChar"/>
    <w:rsid w:val="005A0B5F"/>
    <w:pPr>
      <w:tabs>
        <w:tab w:val="center" w:pos="4680"/>
        <w:tab w:val="right" w:pos="9360"/>
      </w:tabs>
      <w:spacing w:after="200" w:line="276" w:lineRule="auto"/>
      <w:jc w:val="both"/>
    </w:pPr>
    <w:rPr>
      <w:kern w:val="0"/>
      <w:sz w:val="22"/>
      <w:szCs w:val="22"/>
      <w14:ligatures w14:val="none"/>
    </w:rPr>
  </w:style>
  <w:style w:type="character" w:customStyle="1" w:styleId="MTDisplayEquationChar">
    <w:name w:val="MTDisplayEquation Char"/>
    <w:basedOn w:val="DefaultParagraphFont"/>
    <w:link w:val="MTDisplayEquation"/>
    <w:rsid w:val="005A0B5F"/>
  </w:style>
  <w:style w:type="character" w:customStyle="1" w:styleId="FootnoteTextChar">
    <w:name w:val="Footnote Text Char"/>
    <w:basedOn w:val="DefaultParagraphFont"/>
    <w:link w:val="FootnoteText"/>
    <w:uiPriority w:val="99"/>
    <w:semiHidden/>
    <w:rsid w:val="005A0B5F"/>
    <w:rPr>
      <w:rFonts w:ascii="Times New Roman" w:eastAsia="Times New Roman" w:hAnsi="Times New Roman" w:cs="Times New Roman"/>
      <w:sz w:val="20"/>
      <w:szCs w:val="20"/>
      <w:lang w:val="en-GB" w:eastAsia="en-GB"/>
    </w:rPr>
  </w:style>
  <w:style w:type="paragraph" w:styleId="FootnoteText">
    <w:name w:val="footnote text"/>
    <w:link w:val="FootnoteTextChar"/>
    <w:uiPriority w:val="99"/>
    <w:semiHidden/>
    <w:unhideWhenUsed/>
    <w:rsid w:val="005A0B5F"/>
    <w:pPr>
      <w:spacing w:after="0" w:line="240" w:lineRule="auto"/>
    </w:pPr>
    <w:rPr>
      <w:rFonts w:ascii="Times New Roman" w:eastAsia="Times New Roman" w:hAnsi="Times New Roman" w:cs="Times New Roman"/>
      <w:sz w:val="20"/>
      <w:szCs w:val="20"/>
      <w:lang w:val="en-GB" w:eastAsia="en-GB"/>
    </w:rPr>
  </w:style>
  <w:style w:type="character" w:customStyle="1" w:styleId="BodyTextChar">
    <w:name w:val="Body Text Char"/>
    <w:basedOn w:val="DefaultParagraphFont"/>
    <w:link w:val="BodyText"/>
    <w:uiPriority w:val="1"/>
    <w:semiHidden/>
    <w:rsid w:val="005A0B5F"/>
    <w:rPr>
      <w:sz w:val="24"/>
      <w:szCs w:val="24"/>
    </w:rPr>
  </w:style>
  <w:style w:type="paragraph" w:styleId="BodyText">
    <w:name w:val="Body Text"/>
    <w:basedOn w:val="Normal"/>
    <w:link w:val="BodyTextChar"/>
    <w:uiPriority w:val="1"/>
    <w:semiHidden/>
    <w:unhideWhenUsed/>
    <w:qFormat/>
    <w:rsid w:val="005A0B5F"/>
    <w:pPr>
      <w:spacing w:before="180" w:after="180" w:line="240" w:lineRule="auto"/>
    </w:pPr>
    <w:rPr>
      <w:kern w:val="0"/>
      <w14:ligatures w14:val="none"/>
    </w:rPr>
  </w:style>
  <w:style w:type="character" w:customStyle="1" w:styleId="DocumentMapChar">
    <w:name w:val="Document Map Char"/>
    <w:basedOn w:val="DefaultParagraphFont"/>
    <w:link w:val="DocumentMap"/>
    <w:uiPriority w:val="99"/>
    <w:semiHidden/>
    <w:rsid w:val="005A0B5F"/>
    <w:rPr>
      <w:rFonts w:ascii="Tahoma" w:hAnsi="Tahoma" w:cs="Tahoma"/>
      <w:sz w:val="16"/>
      <w:szCs w:val="16"/>
    </w:rPr>
  </w:style>
  <w:style w:type="paragraph" w:styleId="DocumentMap">
    <w:name w:val="Document Map"/>
    <w:basedOn w:val="Normal"/>
    <w:link w:val="DocumentMapChar"/>
    <w:uiPriority w:val="99"/>
    <w:semiHidden/>
    <w:unhideWhenUsed/>
    <w:rsid w:val="005A0B5F"/>
    <w:pPr>
      <w:spacing w:after="0" w:line="240" w:lineRule="auto"/>
    </w:pPr>
    <w:rPr>
      <w:rFonts w:ascii="Tahoma" w:hAnsi="Tahoma" w:cs="Tahoma"/>
      <w:kern w:val="0"/>
      <w:sz w:val="16"/>
      <w:szCs w:val="16"/>
      <w14:ligatures w14:val="none"/>
    </w:rPr>
  </w:style>
  <w:style w:type="paragraph" w:customStyle="1" w:styleId="comp">
    <w:name w:val="comp"/>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ext-align-center">
    <w:name w:val="text-align-center"/>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spacing0">
    <w:name w:val="nospacing"/>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ootnotedescriptionChar">
    <w:name w:val="footnote description Char"/>
    <w:link w:val="footnotedescription"/>
    <w:locked/>
    <w:rsid w:val="005A0B5F"/>
    <w:rPr>
      <w:rFonts w:ascii="Times New Roman" w:eastAsia="Times New Roman" w:hAnsi="Times New Roman" w:cs="Times New Roman"/>
      <w:color w:val="000000"/>
      <w:sz w:val="20"/>
    </w:rPr>
  </w:style>
  <w:style w:type="paragraph" w:customStyle="1" w:styleId="footnotedescription">
    <w:name w:val="footnote description"/>
    <w:next w:val="Normal"/>
    <w:link w:val="footnotedescriptionChar"/>
    <w:rsid w:val="005A0B5F"/>
    <w:pPr>
      <w:spacing w:after="0" w:line="256" w:lineRule="auto"/>
      <w:ind w:left="658"/>
    </w:pPr>
    <w:rPr>
      <w:rFonts w:ascii="Times New Roman" w:eastAsia="Times New Roman" w:hAnsi="Times New Roman" w:cs="Times New Roman"/>
      <w:color w:val="000000"/>
      <w:sz w:val="20"/>
    </w:rPr>
  </w:style>
  <w:style w:type="paragraph" w:customStyle="1" w:styleId="partialsearchresults-item-abstract">
    <w:name w:val="partialsearchresults-item-abstract"/>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tialsearchresults-item-url">
    <w:name w:val="partialsearchresults-item-url"/>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oot-block-node">
    <w:name w:val="root-block-node"/>
    <w:basedOn w:val="Normal"/>
    <w:uiPriority w:val="99"/>
    <w:rsid w:val="005A0B5F"/>
    <w:pPr>
      <w:spacing w:before="100" w:beforeAutospacing="1" w:after="100" w:afterAutospacing="1" w:line="240" w:lineRule="auto"/>
    </w:pPr>
    <w:rPr>
      <w:rFonts w:ascii="Times New Roman" w:eastAsiaTheme="minorEastAsia" w:hAnsi="Times New Roman" w:cs="Times New Roman"/>
      <w:kern w:val="0"/>
      <w:lang w:val="en-GB" w:eastAsia="en-GB"/>
      <w14:ligatures w14:val="none"/>
    </w:rPr>
  </w:style>
  <w:style w:type="paragraph" w:customStyle="1" w:styleId="yiv2951368979msonormal">
    <w:name w:val="yiv2951368979msonormal"/>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5A0B5F"/>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Heading10">
    <w:name w:val="Heading #1_"/>
    <w:basedOn w:val="DefaultParagraphFont"/>
    <w:link w:val="Heading11"/>
    <w:locked/>
    <w:rsid w:val="005A0B5F"/>
    <w:rPr>
      <w:rFonts w:ascii="AngsanaUPC" w:eastAsia="AngsanaUPC" w:hAnsi="AngsanaUPC" w:cs="AngsanaUPC"/>
      <w:b/>
      <w:bCs/>
      <w:sz w:val="46"/>
      <w:szCs w:val="46"/>
      <w:shd w:val="clear" w:color="auto" w:fill="FFFFFF"/>
    </w:rPr>
  </w:style>
  <w:style w:type="paragraph" w:customStyle="1" w:styleId="Heading11">
    <w:name w:val="Heading #1"/>
    <w:basedOn w:val="Normal"/>
    <w:link w:val="Heading10"/>
    <w:rsid w:val="005A0B5F"/>
    <w:pPr>
      <w:widowControl w:val="0"/>
      <w:shd w:val="clear" w:color="auto" w:fill="FFFFFF"/>
      <w:spacing w:before="840" w:after="540" w:line="0" w:lineRule="atLeast"/>
      <w:jc w:val="center"/>
      <w:outlineLvl w:val="0"/>
    </w:pPr>
    <w:rPr>
      <w:rFonts w:ascii="AngsanaUPC" w:eastAsia="AngsanaUPC" w:hAnsi="AngsanaUPC" w:cs="AngsanaUPC"/>
      <w:b/>
      <w:bCs/>
      <w:kern w:val="0"/>
      <w:sz w:val="46"/>
      <w:szCs w:val="46"/>
      <w14:ligatures w14:val="none"/>
    </w:rPr>
  </w:style>
  <w:style w:type="paragraph" w:customStyle="1" w:styleId="BodyText1">
    <w:name w:val="Body Text1"/>
    <w:basedOn w:val="Normal"/>
    <w:uiPriority w:val="99"/>
    <w:rsid w:val="005A0B5F"/>
    <w:pPr>
      <w:widowControl w:val="0"/>
      <w:shd w:val="clear" w:color="auto" w:fill="FFFFFF"/>
      <w:spacing w:before="540" w:after="480" w:line="0" w:lineRule="atLeast"/>
      <w:jc w:val="center"/>
    </w:pPr>
    <w:rPr>
      <w:rFonts w:ascii="AngsanaUPC" w:eastAsia="AngsanaUPC" w:hAnsi="AngsanaUPC" w:cs="AngsanaUPC"/>
      <w:b/>
      <w:bCs/>
      <w:kern w:val="0"/>
      <w:sz w:val="34"/>
      <w:szCs w:val="34"/>
      <w14:ligatures w14:val="none"/>
    </w:rPr>
  </w:style>
  <w:style w:type="paragraph" w:customStyle="1" w:styleId="zfr3q">
    <w:name w:val="zfr3q"/>
    <w:basedOn w:val="Normal"/>
    <w:uiPriority w:val="99"/>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arkedcontent">
    <w:name w:val="markedcontent"/>
    <w:basedOn w:val="DefaultParagraphFont"/>
    <w:rsid w:val="005A0B5F"/>
  </w:style>
  <w:style w:type="character" w:customStyle="1" w:styleId="mntl-sc-block-headingtext">
    <w:name w:val="mntl-sc-block-heading__text"/>
    <w:basedOn w:val="DefaultParagraphFont"/>
    <w:rsid w:val="005A0B5F"/>
  </w:style>
  <w:style w:type="character" w:customStyle="1" w:styleId="mntl-inline-citation">
    <w:name w:val="mntl-inline-citation"/>
    <w:basedOn w:val="DefaultParagraphFont"/>
    <w:rsid w:val="005A0B5F"/>
  </w:style>
  <w:style w:type="character" w:customStyle="1" w:styleId="figure-article-caption-owner">
    <w:name w:val="figure-article-caption-owner"/>
    <w:basedOn w:val="DefaultParagraphFont"/>
    <w:rsid w:val="005A0B5F"/>
  </w:style>
  <w:style w:type="character" w:customStyle="1" w:styleId="mntl-sc-block-subheadingtext">
    <w:name w:val="mntl-sc-block-subheading__text"/>
    <w:basedOn w:val="DefaultParagraphFont"/>
    <w:rsid w:val="005A0B5F"/>
  </w:style>
  <w:style w:type="character" w:customStyle="1" w:styleId="field">
    <w:name w:val="field"/>
    <w:basedOn w:val="DefaultParagraphFont"/>
    <w:rsid w:val="005A0B5F"/>
  </w:style>
  <w:style w:type="character" w:customStyle="1" w:styleId="linkwrapper">
    <w:name w:val="link__wrapper"/>
    <w:basedOn w:val="DefaultParagraphFont"/>
    <w:rsid w:val="005A0B5F"/>
  </w:style>
  <w:style w:type="character" w:customStyle="1" w:styleId="footnotemark">
    <w:name w:val="footnote mark"/>
    <w:rsid w:val="005A0B5F"/>
    <w:rPr>
      <w:rFonts w:ascii="Calibri" w:eastAsia="Calibri" w:hAnsi="Calibri" w:cs="Calibri" w:hint="default"/>
      <w:color w:val="000000"/>
      <w:sz w:val="20"/>
      <w:vertAlign w:val="superscript"/>
    </w:rPr>
  </w:style>
  <w:style w:type="character" w:customStyle="1" w:styleId="gissauthor">
    <w:name w:val="gissauthor"/>
    <w:basedOn w:val="DefaultParagraphFont"/>
    <w:rsid w:val="005A0B5F"/>
  </w:style>
  <w:style w:type="character" w:customStyle="1" w:styleId="jw-volume-update">
    <w:name w:val="jw-volume-update"/>
    <w:basedOn w:val="DefaultParagraphFont"/>
    <w:rsid w:val="005A0B5F"/>
  </w:style>
  <w:style w:type="character" w:customStyle="1" w:styleId="author-list">
    <w:name w:val="author-list"/>
    <w:basedOn w:val="DefaultParagraphFont"/>
    <w:rsid w:val="005A0B5F"/>
  </w:style>
  <w:style w:type="character" w:customStyle="1" w:styleId="c9dxtc">
    <w:name w:val="c9dxtc"/>
    <w:basedOn w:val="DefaultParagraphFont"/>
    <w:rsid w:val="005A0B5F"/>
  </w:style>
  <w:style w:type="character" w:customStyle="1" w:styleId="uv3um">
    <w:name w:val="uv3um"/>
    <w:basedOn w:val="DefaultParagraphFont"/>
    <w:rsid w:val="005A0B5F"/>
  </w:style>
  <w:style w:type="character" w:customStyle="1" w:styleId="relative">
    <w:name w:val="relative"/>
    <w:basedOn w:val="DefaultParagraphFont"/>
    <w:rsid w:val="005A0B5F"/>
  </w:style>
  <w:style w:type="character" w:customStyle="1" w:styleId="ms-1">
    <w:name w:val="ms-1"/>
    <w:basedOn w:val="DefaultParagraphFont"/>
    <w:rsid w:val="005A0B5F"/>
  </w:style>
  <w:style w:type="character" w:customStyle="1" w:styleId="max-w-full">
    <w:name w:val="max-w-full"/>
    <w:basedOn w:val="DefaultParagraphFont"/>
    <w:rsid w:val="005A0B5F"/>
  </w:style>
  <w:style w:type="character" w:customStyle="1" w:styleId="-me-1">
    <w:name w:val="-me-1"/>
    <w:basedOn w:val="DefaultParagraphFont"/>
    <w:rsid w:val="005A0B5F"/>
  </w:style>
  <w:style w:type="character" w:customStyle="1" w:styleId="v9tjod">
    <w:name w:val="v9tjod"/>
    <w:basedOn w:val="DefaultParagraphFont"/>
    <w:rsid w:val="005A0B5F"/>
  </w:style>
  <w:style w:type="character" w:customStyle="1" w:styleId="ylgvce">
    <w:name w:val="ylgvce"/>
    <w:basedOn w:val="DefaultParagraphFont"/>
    <w:rsid w:val="005A0B5F"/>
  </w:style>
  <w:style w:type="character" w:customStyle="1" w:styleId="authorname">
    <w:name w:val="authorname"/>
    <w:basedOn w:val="DefaultParagraphFont"/>
    <w:rsid w:val="005A0B5F"/>
  </w:style>
  <w:style w:type="character" w:customStyle="1" w:styleId="separator">
    <w:name w:val="separator"/>
    <w:basedOn w:val="DefaultParagraphFont"/>
    <w:rsid w:val="005A0B5F"/>
  </w:style>
  <w:style w:type="character" w:customStyle="1" w:styleId="Date1">
    <w:name w:val="Date1"/>
    <w:basedOn w:val="DefaultParagraphFont"/>
    <w:rsid w:val="005A0B5F"/>
  </w:style>
  <w:style w:type="character" w:customStyle="1" w:styleId="arttitle">
    <w:name w:val="art_title"/>
    <w:basedOn w:val="DefaultParagraphFont"/>
    <w:rsid w:val="005A0B5F"/>
  </w:style>
  <w:style w:type="character" w:customStyle="1" w:styleId="serialtitle">
    <w:name w:val="serial_title"/>
    <w:basedOn w:val="DefaultParagraphFont"/>
    <w:rsid w:val="005A0B5F"/>
  </w:style>
  <w:style w:type="character" w:customStyle="1" w:styleId="volumeissue">
    <w:name w:val="volume_issue"/>
    <w:basedOn w:val="DefaultParagraphFont"/>
    <w:rsid w:val="005A0B5F"/>
  </w:style>
  <w:style w:type="character" w:customStyle="1" w:styleId="pagerange">
    <w:name w:val="page_range"/>
    <w:basedOn w:val="DefaultParagraphFont"/>
    <w:rsid w:val="005A0B5F"/>
  </w:style>
  <w:style w:type="character" w:customStyle="1" w:styleId="doilink">
    <w:name w:val="doi_link"/>
    <w:basedOn w:val="DefaultParagraphFont"/>
    <w:rsid w:val="005A0B5F"/>
  </w:style>
  <w:style w:type="character" w:customStyle="1" w:styleId="mdcitlinksite">
    <w:name w:val="md_citlink__site"/>
    <w:basedOn w:val="DefaultParagraphFont"/>
    <w:rsid w:val="005A0B5F"/>
  </w:style>
  <w:style w:type="character" w:customStyle="1" w:styleId="mdcitlinkmore">
    <w:name w:val="md_citlink__more"/>
    <w:basedOn w:val="DefaultParagraphFont"/>
    <w:rsid w:val="005A0B5F"/>
  </w:style>
  <w:style w:type="character" w:customStyle="1" w:styleId="HTMLPreformattedChar">
    <w:name w:val="HTML Preformatted Char"/>
    <w:basedOn w:val="DefaultParagraphFont"/>
    <w:link w:val="HTMLPreformatted"/>
    <w:uiPriority w:val="99"/>
    <w:semiHidden/>
    <w:rsid w:val="005A0B5F"/>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5A0B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paragraph" w:customStyle="1" w:styleId="msonormal0">
    <w:name w:val="msonormal"/>
    <w:basedOn w:val="Normal"/>
    <w:rsid w:val="005A0B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gntyacmbb4b">
    <w:name w:val="gntyacmbb4b"/>
    <w:basedOn w:val="DefaultParagraphFont"/>
    <w:rsid w:val="005A0B5F"/>
  </w:style>
  <w:style w:type="character" w:customStyle="1" w:styleId="gntyacmbi4b">
    <w:name w:val="gntyacmbi4b"/>
    <w:basedOn w:val="DefaultParagraphFont"/>
    <w:rsid w:val="005A0B5F"/>
  </w:style>
  <w:style w:type="character" w:customStyle="1" w:styleId="gntyacmbh3b">
    <w:name w:val="gntyacmbh3b"/>
    <w:basedOn w:val="DefaultParagraphFont"/>
    <w:rsid w:val="005A0B5F"/>
  </w:style>
  <w:style w:type="character" w:customStyle="1" w:styleId="minner">
    <w:name w:val="minner"/>
    <w:basedOn w:val="DefaultParagraphFont"/>
    <w:rsid w:val="005A0B5F"/>
  </w:style>
  <w:style w:type="table" w:styleId="TableGrid">
    <w:name w:val="Table Grid"/>
    <w:basedOn w:val="TableNormal"/>
    <w:uiPriority w:val="59"/>
    <w:rsid w:val="007B3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
    <w:name w:val="katex"/>
    <w:basedOn w:val="DefaultParagraphFont"/>
    <w:rsid w:val="00645543"/>
  </w:style>
  <w:style w:type="table" w:styleId="TableGridLight">
    <w:name w:val="Grid Table Light"/>
    <w:basedOn w:val="TableNormal"/>
    <w:uiPriority w:val="40"/>
    <w:rsid w:val="00AB60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B97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40295">
      <w:bodyDiv w:val="1"/>
      <w:marLeft w:val="0"/>
      <w:marRight w:val="0"/>
      <w:marTop w:val="0"/>
      <w:marBottom w:val="0"/>
      <w:divBdr>
        <w:top w:val="none" w:sz="0" w:space="0" w:color="auto"/>
        <w:left w:val="none" w:sz="0" w:space="0" w:color="auto"/>
        <w:bottom w:val="none" w:sz="0" w:space="0" w:color="auto"/>
        <w:right w:val="none" w:sz="0" w:space="0" w:color="auto"/>
      </w:divBdr>
    </w:div>
    <w:div w:id="314188461">
      <w:bodyDiv w:val="1"/>
      <w:marLeft w:val="0"/>
      <w:marRight w:val="0"/>
      <w:marTop w:val="0"/>
      <w:marBottom w:val="0"/>
      <w:divBdr>
        <w:top w:val="none" w:sz="0" w:space="0" w:color="auto"/>
        <w:left w:val="none" w:sz="0" w:space="0" w:color="auto"/>
        <w:bottom w:val="none" w:sz="0" w:space="0" w:color="auto"/>
        <w:right w:val="none" w:sz="0" w:space="0" w:color="auto"/>
      </w:divBdr>
    </w:div>
    <w:div w:id="403723790">
      <w:bodyDiv w:val="1"/>
      <w:marLeft w:val="0"/>
      <w:marRight w:val="0"/>
      <w:marTop w:val="0"/>
      <w:marBottom w:val="0"/>
      <w:divBdr>
        <w:top w:val="none" w:sz="0" w:space="0" w:color="auto"/>
        <w:left w:val="none" w:sz="0" w:space="0" w:color="auto"/>
        <w:bottom w:val="none" w:sz="0" w:space="0" w:color="auto"/>
        <w:right w:val="none" w:sz="0" w:space="0" w:color="auto"/>
      </w:divBdr>
    </w:div>
    <w:div w:id="552928179">
      <w:bodyDiv w:val="1"/>
      <w:marLeft w:val="0"/>
      <w:marRight w:val="0"/>
      <w:marTop w:val="0"/>
      <w:marBottom w:val="0"/>
      <w:divBdr>
        <w:top w:val="none" w:sz="0" w:space="0" w:color="auto"/>
        <w:left w:val="none" w:sz="0" w:space="0" w:color="auto"/>
        <w:bottom w:val="none" w:sz="0" w:space="0" w:color="auto"/>
        <w:right w:val="none" w:sz="0" w:space="0" w:color="auto"/>
      </w:divBdr>
      <w:divsChild>
        <w:div w:id="2044285455">
          <w:marLeft w:val="0"/>
          <w:marRight w:val="0"/>
          <w:marTop w:val="0"/>
          <w:marBottom w:val="0"/>
          <w:divBdr>
            <w:top w:val="none" w:sz="0" w:space="0" w:color="auto"/>
            <w:left w:val="none" w:sz="0" w:space="0" w:color="auto"/>
            <w:bottom w:val="none" w:sz="0" w:space="0" w:color="auto"/>
            <w:right w:val="none" w:sz="0" w:space="0" w:color="auto"/>
          </w:divBdr>
          <w:divsChild>
            <w:div w:id="489516299">
              <w:marLeft w:val="0"/>
              <w:marRight w:val="0"/>
              <w:marTop w:val="0"/>
              <w:marBottom w:val="0"/>
              <w:divBdr>
                <w:top w:val="none" w:sz="0" w:space="0" w:color="auto"/>
                <w:left w:val="none" w:sz="0" w:space="0" w:color="auto"/>
                <w:bottom w:val="none" w:sz="0" w:space="0" w:color="auto"/>
                <w:right w:val="none" w:sz="0" w:space="0" w:color="auto"/>
              </w:divBdr>
              <w:divsChild>
                <w:div w:id="1466384726">
                  <w:marLeft w:val="0"/>
                  <w:marRight w:val="0"/>
                  <w:marTop w:val="0"/>
                  <w:marBottom w:val="0"/>
                  <w:divBdr>
                    <w:top w:val="none" w:sz="0" w:space="0" w:color="auto"/>
                    <w:left w:val="none" w:sz="0" w:space="0" w:color="auto"/>
                    <w:bottom w:val="none" w:sz="0" w:space="0" w:color="auto"/>
                    <w:right w:val="none" w:sz="0" w:space="0" w:color="auto"/>
                  </w:divBdr>
                  <w:divsChild>
                    <w:div w:id="111218261">
                      <w:marLeft w:val="0"/>
                      <w:marRight w:val="0"/>
                      <w:marTop w:val="0"/>
                      <w:marBottom w:val="0"/>
                      <w:divBdr>
                        <w:top w:val="none" w:sz="0" w:space="0" w:color="auto"/>
                        <w:left w:val="none" w:sz="0" w:space="0" w:color="auto"/>
                        <w:bottom w:val="none" w:sz="0" w:space="0" w:color="auto"/>
                        <w:right w:val="none" w:sz="0" w:space="0" w:color="auto"/>
                      </w:divBdr>
                      <w:divsChild>
                        <w:div w:id="908617385">
                          <w:marLeft w:val="0"/>
                          <w:marRight w:val="0"/>
                          <w:marTop w:val="0"/>
                          <w:marBottom w:val="0"/>
                          <w:divBdr>
                            <w:top w:val="none" w:sz="0" w:space="0" w:color="auto"/>
                            <w:left w:val="none" w:sz="0" w:space="0" w:color="auto"/>
                            <w:bottom w:val="none" w:sz="0" w:space="0" w:color="auto"/>
                            <w:right w:val="none" w:sz="0" w:space="0" w:color="auto"/>
                          </w:divBdr>
                          <w:divsChild>
                            <w:div w:id="1584602189">
                              <w:marLeft w:val="0"/>
                              <w:marRight w:val="0"/>
                              <w:marTop w:val="0"/>
                              <w:marBottom w:val="0"/>
                              <w:divBdr>
                                <w:top w:val="none" w:sz="0" w:space="0" w:color="auto"/>
                                <w:left w:val="none" w:sz="0" w:space="0" w:color="auto"/>
                                <w:bottom w:val="none" w:sz="0" w:space="0" w:color="auto"/>
                                <w:right w:val="none" w:sz="0" w:space="0" w:color="auto"/>
                              </w:divBdr>
                              <w:divsChild>
                                <w:div w:id="349914399">
                                  <w:marLeft w:val="0"/>
                                  <w:marRight w:val="0"/>
                                  <w:marTop w:val="0"/>
                                  <w:marBottom w:val="0"/>
                                  <w:divBdr>
                                    <w:top w:val="none" w:sz="0" w:space="0" w:color="auto"/>
                                    <w:left w:val="none" w:sz="0" w:space="0" w:color="auto"/>
                                    <w:bottom w:val="none" w:sz="0" w:space="0" w:color="auto"/>
                                    <w:right w:val="none" w:sz="0" w:space="0" w:color="auto"/>
                                  </w:divBdr>
                                  <w:divsChild>
                                    <w:div w:id="184604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068374">
      <w:bodyDiv w:val="1"/>
      <w:marLeft w:val="0"/>
      <w:marRight w:val="0"/>
      <w:marTop w:val="0"/>
      <w:marBottom w:val="0"/>
      <w:divBdr>
        <w:top w:val="none" w:sz="0" w:space="0" w:color="auto"/>
        <w:left w:val="none" w:sz="0" w:space="0" w:color="auto"/>
        <w:bottom w:val="none" w:sz="0" w:space="0" w:color="auto"/>
        <w:right w:val="none" w:sz="0" w:space="0" w:color="auto"/>
      </w:divBdr>
    </w:div>
    <w:div w:id="982083688">
      <w:bodyDiv w:val="1"/>
      <w:marLeft w:val="0"/>
      <w:marRight w:val="0"/>
      <w:marTop w:val="0"/>
      <w:marBottom w:val="0"/>
      <w:divBdr>
        <w:top w:val="none" w:sz="0" w:space="0" w:color="auto"/>
        <w:left w:val="none" w:sz="0" w:space="0" w:color="auto"/>
        <w:bottom w:val="none" w:sz="0" w:space="0" w:color="auto"/>
        <w:right w:val="none" w:sz="0" w:space="0" w:color="auto"/>
      </w:divBdr>
    </w:div>
    <w:div w:id="1001735425">
      <w:bodyDiv w:val="1"/>
      <w:marLeft w:val="0"/>
      <w:marRight w:val="0"/>
      <w:marTop w:val="0"/>
      <w:marBottom w:val="0"/>
      <w:divBdr>
        <w:top w:val="none" w:sz="0" w:space="0" w:color="auto"/>
        <w:left w:val="none" w:sz="0" w:space="0" w:color="auto"/>
        <w:bottom w:val="none" w:sz="0" w:space="0" w:color="auto"/>
        <w:right w:val="none" w:sz="0" w:space="0" w:color="auto"/>
      </w:divBdr>
    </w:div>
    <w:div w:id="103928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43546-024-00721-7%5D**" TargetMode="External"/><Relationship Id="rId18" Type="http://schemas.openxmlformats.org/officeDocument/2006/relationships/hyperlink" Target="https://doi.org/10.2307/1912773" TargetMode="External"/><Relationship Id="rId26" Type="http://schemas.openxmlformats.org/officeDocument/2006/relationships/hyperlink" Target="https://www.ajol.info/index.php/sa/article/view/199503" TargetMode="External"/><Relationship Id="rId3" Type="http://schemas.openxmlformats.org/officeDocument/2006/relationships/settings" Target="settings.xml"/><Relationship Id="rId21" Type="http://schemas.openxmlformats.org/officeDocument/2006/relationships/hyperlink" Target="https://doi.org/10.33003/fjs-2024-0802-2270%5D**" TargetMode="External"/><Relationship Id="rId34"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yperlink" Target="https://doi.org/10.1086/261527" TargetMode="External"/><Relationship Id="rId25" Type="http://schemas.openxmlformats.org/officeDocument/2006/relationships/hyperlink" Target="https://doi.org/10.1002/ijfe.2356"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0304-4076%2886%2990063-1" TargetMode="External"/><Relationship Id="rId20" Type="http://schemas.openxmlformats.org/officeDocument/2006/relationships/hyperlink" Target="https://doi.org/10.1016/j.irfa.2024.103184"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hyperlink" Target="https://doi.org/10.1016/j.irfa.2009.03.003%5D**"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3390/jrfm18060332" TargetMode="External"/><Relationship Id="rId23" Type="http://schemas.openxmlformats.org/officeDocument/2006/relationships/hyperlink" Target="https://doi.org/10.46557/001c.168129" TargetMode="External"/><Relationship Id="rId28" Type="http://schemas.openxmlformats.org/officeDocument/2006/relationships/header" Target="header2.xml"/><Relationship Id="rId10" Type="http://schemas.openxmlformats.org/officeDocument/2006/relationships/oleObject" Target="embeddings/oleObject2.bin"/><Relationship Id="rId19" Type="http://schemas.openxmlformats.org/officeDocument/2006/relationships/hyperlink" Target="https://doi.org/10.1017/S0266466600009063"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https://doi.org/10.1007/s43546-022-00228-z" TargetMode="External"/><Relationship Id="rId22" Type="http://schemas.openxmlformats.org/officeDocument/2006/relationships/hyperlink" Target="https://doi.org/10.33003/fujafr-2026.v4i3.403.216-232"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oleObject" Target="embeddings/oleObject1.bin"/><Relationship Id="rId35" Type="http://schemas.openxmlformats.org/officeDocument/2006/relationships/hyperlink" Target="https://doi.org/10.1016/j.resourpol.2024.104880" TargetMode="External"/><Relationship Id="rId36" Type="http://schemas.openxmlformats.org/officeDocument/2006/relationships/hyperlink" Target="https://doi.org/10.1016/0304-4076(86)90063-1" TargetMode="External"/><Relationship Id="rId37" Type="http://schemas.openxmlformats.org/officeDocument/2006/relationships/hyperlink" Target="https://doi.org/10.33003/fjs-2024-0802-2270" TargetMode="External"/><Relationship Id="rId38" Type="http://schemas.openxmlformats.org/officeDocument/2006/relationships/hyperlink" Target="https://doi.org/10.1016/j.irfa.2009.03.003" TargetMode="External"/><Relationship Id="rId39" Type="http://schemas.openxmlformats.org/officeDocument/2006/relationships/hyperlink" Target="https://doi.org/10.1007/s43546-024-007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1057</TotalTime>
  <Pages>1</Pages>
  <Words>8534</Words>
  <Characters>48647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ARJOCS_2897 - Revised manuscript (references and citations)</dc:title>
  <dc:subject>APA reference and bidirectional citation corrections</dc:subject>
  <dc:creator>Microsoft account</dc:creator>
  <cp:keywords/>
  <dc:description/>
  <cp:lastModifiedBy>SDI 1087</cp:lastModifiedBy>
  <cp:revision>47</cp:revision>
  <dcterms:created xsi:type="dcterms:W3CDTF">2026-08-30T02:59:00Z</dcterms:created>
  <dcterms:modified xsi:type="dcterms:W3CDTF">2026-10-15T09:44:00Z</dcterms:modified>
</cp:coreProperties>
</file>