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7168B" w14:textId="77777777" w:rsidR="00271861" w:rsidRPr="003248D2" w:rsidRDefault="00000000">
      <w:pPr>
        <w:pStyle w:val="ReviewTitle"/>
        <w:rPr>
          <w:color w:val="auto"/>
        </w:rPr>
      </w:pPr>
      <w:r w:rsidRPr="003248D2">
        <w:rPr>
          <w:color w:val="auto"/>
        </w:rPr>
        <w:t>Needle-Free Injection Technology: Physical Mechanisms, Clinical Evidence, Safety and Translational Prospects</w:t>
      </w:r>
    </w:p>
    <w:p w14:paraId="31D8D147" w14:textId="77777777" w:rsidR="00271861" w:rsidRPr="003248D2" w:rsidRDefault="00000000">
      <w:pPr>
        <w:pStyle w:val="Heading1"/>
        <w:rPr>
          <w:color w:val="auto"/>
        </w:rPr>
      </w:pPr>
      <w:r w:rsidRPr="003248D2">
        <w:rPr>
          <w:color w:val="auto"/>
        </w:rPr>
        <w:t>Abstract</w:t>
      </w:r>
    </w:p>
    <w:p w14:paraId="65E15128" w14:textId="77777777" w:rsidR="00271861" w:rsidRPr="003248D2" w:rsidRDefault="00000000">
      <w:pPr>
        <w:rPr>
          <w:color w:val="auto"/>
        </w:rPr>
      </w:pPr>
      <w:r w:rsidRPr="003248D2">
        <w:rPr>
          <w:color w:val="auto"/>
        </w:rPr>
        <w:t>Needle-free injection denotes the delivery of a medicinal substance across a tissue barrier without penetration by a conventional solid hypodermic needle. Liquid-jet injectors are its most clinically developed form; particulate ballistic systems and emerging laser-, pneumatic- and electromagnetic-actuated microjets represent related but technically distinct approaches. This critical narrative review integrates engineering, pharmaceutical, clinical and implementation evidence to examine how device architecture, jet dynamics, tissue heterogeneity and formulation characteristics determine the balance between delivery accuracy and injury. Literature published from 2000 to 9 August 2026 was considered, together with earlier concepts where necessary, using targeted scholarly searching and reference tracing. Experimental studies support the importance of nozzle geometry, jet power, temporally controlled propulsion, applicator loading and tissue properties. Randomised influenza and poliovirus vaccine studies demonstrate that particular injector–vaccine combinations can achieve clinically acceptable immune responses, although local reactogenicity and delivered-dose variability remain relevant. Controlled insulin studies indicate earlier drug absorption and improved early postprandial glycaemia, but do not establish long-term superiority in diabetes outcomes. Dermatological trials support selected intralesional applications, while their small samples, heterogeneous endpoints and frequent drug–device confounding restrict extrapolation. Historical bloodborne-pathogen risks show why reusable patient-contact components cannot be regarded as safe merely because no needle is present. Preclinical microjet and nucleic-acid findings extend the design space but are not equivalent to validated human delivery. The review proposes a device–formulation–tissue–setting framework in which pharmacological effectiveness, contamination prevention, usability and affordability must be demonstrated jointly rather than inferred from needle elimination. Future advances depend on reproducible dose accounting, robust biopharmaceutical stability testing, comparative clinical endpoints and implementation research under realistic conditions.</w:t>
      </w:r>
    </w:p>
    <w:p w14:paraId="0FF3467F" w14:textId="77777777" w:rsidR="00271861" w:rsidRPr="003248D2" w:rsidRDefault="00000000">
      <w:pPr>
        <w:spacing w:after="280"/>
        <w:jc w:val="left"/>
        <w:rPr>
          <w:color w:val="auto"/>
        </w:rPr>
      </w:pPr>
      <w:r w:rsidRPr="003248D2">
        <w:rPr>
          <w:b/>
          <w:color w:val="auto"/>
        </w:rPr>
        <w:t xml:space="preserve">Keywords: </w:t>
      </w:r>
      <w:r w:rsidRPr="003248D2">
        <w:rPr>
          <w:color w:val="auto"/>
        </w:rPr>
        <w:t>transcutaneous drug delivery; liquid jet; intradermal vaccination; needle aversion; electromechanical actuation; injection-site reactogenicity; biopharmaceutical formulation; device–drug combination</w:t>
      </w:r>
    </w:p>
    <w:p w14:paraId="02E43D3F" w14:textId="77777777" w:rsidR="00271861" w:rsidRPr="003248D2" w:rsidRDefault="00000000">
      <w:pPr>
        <w:pStyle w:val="Heading1"/>
        <w:rPr>
          <w:color w:val="auto"/>
        </w:rPr>
      </w:pPr>
      <w:r w:rsidRPr="003248D2">
        <w:rPr>
          <w:color w:val="auto"/>
        </w:rPr>
        <w:t>1. Introduction</w:t>
      </w:r>
    </w:p>
    <w:p w14:paraId="090E5BD4" w14:textId="77777777" w:rsidR="00271861" w:rsidRPr="003248D2" w:rsidRDefault="00000000">
      <w:pPr>
        <w:rPr>
          <w:color w:val="auto"/>
        </w:rPr>
      </w:pPr>
      <w:r w:rsidRPr="003248D2">
        <w:rPr>
          <w:color w:val="auto"/>
        </w:rPr>
        <w:t xml:space="preserve">Parenteral treatment has long relied on hollow metal needles to bypass biological barriers and provide drug exposure when oral or topical delivery is inadequate. This approach is versatile but produces sharps waste, creates opportunities for occupational injury and can be unacceptable to people who fear injections. In settings requiring repeated medication or rapid vaccination, administration technique and organisational capacity may be as consequential as the chemical identity of the active ingredient. Needle-free injection offers an alternative route across intact or nearly intact skin, principally by converting stored energy into a narrow, rapidly moving liquid jet. The absence of a penetrating metal needle is a meaningful design attribute, yet it does not guarantee an injection free of pain, tissue injury, contamination or drug loss. The correct comparator is therefore a complete delivery process, including formulation, device, user, target tissue </w:t>
      </w:r>
      <w:r w:rsidRPr="003248D2">
        <w:rPr>
          <w:color w:val="auto"/>
        </w:rPr>
        <w:lastRenderedPageBreak/>
        <w:t>and clinical endpoint, rather than the presence or absence of a needle in isolation (Baxter &amp; Mitragotri, 2006; Mitragotri, 2006; Vranis &amp; Theodorou, 2025).</w:t>
      </w:r>
    </w:p>
    <w:p w14:paraId="06E58181" w14:textId="77777777" w:rsidR="00271861" w:rsidRPr="003248D2" w:rsidRDefault="00000000">
      <w:pPr>
        <w:rPr>
          <w:color w:val="auto"/>
        </w:rPr>
      </w:pPr>
      <w:r w:rsidRPr="003248D2">
        <w:rPr>
          <w:color w:val="auto"/>
        </w:rPr>
        <w:t>Liquid-jet injection differs fundamentally from conventional topical transdermal delivery. A patch generally relies on diffusion through or across the stratum corneum and is constrained by molecular properties and skin permeability. A jet injector instead mechanically breaches the surface barrier with fluid momentum and deposits its contents within epidermal, dermal, subcutaneous or, for appropriately designed systems, muscular tissue. Particle bombardment uses accelerated solid material and follows different impact and deposition physics. Microneedle arrays may reduce the burden of conventional injections but physically penetrate tissue with microscopic projections; they are not needle-free in the strict engineering sense adopted here. Likewise, electroporation, ultrasound and thermal permeabilisation are barrier-modifying techniques rather than injectors unless coupled to an active injection mechanism. Preserving these distinctions prevents evidence from one modality being incorrectly credited to another (Chen et al., 2002; Dean et al., 2003; Schoppink &amp; Fernandez Rivas, 2022).</w:t>
      </w:r>
    </w:p>
    <w:p w14:paraId="2DA5DFC9" w14:textId="77777777" w:rsidR="001D0D1E" w:rsidRDefault="00000000">
      <w:r>
        <w:rPr>
          <w:highlight w:val="yellow"/>
        </w:rPr>
        <w:t>A multi-orifice experimental approach has also been investigated for larger-volume subcutaneous jet delivery; however, feasibility under the tested conditions does not establish clinical equivalence or consistent tissue deposition across formulations (McKeage et al., 2024).</w:t>
      </w:r>
    </w:p>
    <w:p w14:paraId="4F86F9DD" w14:textId="77777777" w:rsidR="00271861" w:rsidRPr="003248D2" w:rsidRDefault="00000000">
      <w:pPr>
        <w:rPr>
          <w:color w:val="auto"/>
        </w:rPr>
      </w:pPr>
      <w:r w:rsidRPr="003248D2">
        <w:rPr>
          <w:color w:val="auto"/>
        </w:rPr>
        <w:t>The historical experience of jet injection is simultaneously encouraging and cautionary. Earlier systems permitted rapid delivery of vaccines and other agents, establishing feasibility decades before modern miniaturised actuators existed. Nonetheless, injections could be accompanied by local pain, bruising and variable penetration, while equipment designed for repeated patient contact created serious infection-control concerns. Multiple-use-nozzle designs were consequently reconsidered, and modern disposable cartridges and protected fluid pathways were developed to separate patient contact from reusable propulsion hardware. The distinction is not merely chronological: a modern spring-loaded injector without a validated patient-to-patient contamination barrier would reproduce an older hazard, whereas appropriately engineered disposable interfaces may change the risk profile substantially (Barolet &amp; Benohanian, 2018; Kelly et al., 2008; Mitragotri, 2006).</w:t>
      </w:r>
    </w:p>
    <w:p w14:paraId="082C700D" w14:textId="77777777" w:rsidR="00271861" w:rsidRPr="003248D2" w:rsidRDefault="00000000">
      <w:pPr>
        <w:rPr>
          <w:color w:val="auto"/>
        </w:rPr>
      </w:pPr>
      <w:r w:rsidRPr="003248D2">
        <w:rPr>
          <w:color w:val="auto"/>
        </w:rPr>
        <w:t>Research has advanced in different disciplinary communities with limited integration. Biomechanical experiments measure the forces required to open tissue and the distribution of injected fluid. Pharmaceutical investigations ask whether a therapeutic molecule remains stable after intense acceleration and whether its local distribution changes absorption. Clinical trials examine immunogenicity, analgesia or disease-specific endpoints, often using one formulation with one device. Implementation studies address throughput, training and acceptance. These outcomes are related but not interchangeable. A high fraction of a dye delivered into an ex vivo skin sample does not establish clinical bioavailability; a satisfactory antibody response after one vaccine cannot validate another vaccine in the same hardware; and a preference for needle-free administration cannot compensate for inadequate dosing (Cu et al., 2020; Ikechukwu &amp; Agu, 2026; Stachowiak et al., 2009).</w:t>
      </w:r>
    </w:p>
    <w:p w14:paraId="2BD35141" w14:textId="77777777" w:rsidR="001D0D1E" w:rsidRDefault="00000000">
      <w:r>
        <w:rPr>
          <w:highlight w:val="yellow"/>
        </w:rPr>
        <w:t>In a randomised split-face comparison, laser-induced microjet administration of a dermal filler produced skin hydration and elasticity outcomes comparable to needle injection, although these procedure-specific findings do not establish general clinical superiority (Han et al., 2023). A separate small split-face trial evaluated a needle-free jet system for polynucleotide filler administration, illustrating the continuing need to interpret clinical performance within the tested product, device and indication (Hong et al., 2025).</w:t>
      </w:r>
    </w:p>
    <w:p w14:paraId="64E0FCBC" w14:textId="77777777" w:rsidR="00271861" w:rsidRPr="003248D2" w:rsidRDefault="00000000">
      <w:pPr>
        <w:rPr>
          <w:color w:val="auto"/>
        </w:rPr>
      </w:pPr>
      <w:r w:rsidRPr="003248D2">
        <w:rPr>
          <w:color w:val="auto"/>
        </w:rPr>
        <w:lastRenderedPageBreak/>
        <w:t>Existing reviews provide valuable foundations but leave different analytical gaps. Early overviews mapped liquid-jet physics and anticipated broader pharmaceutical applications before recent feedback-controlled devices and modern clinical trials became available (Baxter &amp; Mitragotri, 2006; Mitragotri, 2006). Later publications examined dermatological applications, variable injector settings and outcomes, while a structured dermatological evidence assessment found predominantly low methodological quality despite encouraging signals in selected scar indications (Barolet &amp; Benohanian, 2018; Bekkers et al., 2023; Han et al., 2021). A 2025 review expanded attention to reconstructive and aesthetic applications, and a 2026 vaccine-focused review integrated evolving immunisation platforms (Ikechukwu &amp; Agu, 2026; Vranis &amp; Theodorou, 2025). The unresolved question is not simply whether needle-free injection works; it is when a defined formulation and device reliably outperform, match or fall short of an appropriate needle-based or other delivery comparator.</w:t>
      </w:r>
    </w:p>
    <w:p w14:paraId="264C9523" w14:textId="77777777" w:rsidR="001D0D1E" w:rsidRDefault="00000000">
      <w:r>
        <w:rPr>
          <w:highlight w:val="yellow"/>
        </w:rPr>
        <w:t>A further technology-focused review surveyed device mechanisms, experimental design and clinical evidence, underscoring the diversity of injector architectures and the difficulty of drawing conclusions that apply across devices (Srivastava et al., 2025).</w:t>
      </w:r>
    </w:p>
    <w:p w14:paraId="63021536" w14:textId="77777777" w:rsidR="00271861" w:rsidRPr="003248D2" w:rsidRDefault="00000000">
      <w:pPr>
        <w:rPr>
          <w:color w:val="auto"/>
        </w:rPr>
      </w:pPr>
      <w:r w:rsidRPr="003248D2">
        <w:rPr>
          <w:color w:val="auto"/>
        </w:rPr>
        <w:t>A contemporary account also needs to resist technological determinism. A motor capable of programmable pressure pulses can be more controllable in a bench experiment but may be expensive, power-dependent or difficult to maintain. A compact spring-driven injector may be operationally simpler, yet less adaptable to skin thickness, viscosity and dose variation. A disposable fluid cartridge can prevent direct nozzle reuse but also creates material waste and procurement obligations. Emerging laser-generated jets can deposit minute volumes accurately in experimental models, whereas their real-world throughput and reliable drug compatibility remain uncertain. The translational question consequently involves an engineering–clinical trade-off: greater controllability is valuable only if it produces reproducible biological effects with an acceptable burden on users and health systems (McKeage et al., 2024; Rohilla &amp; Marston, 2020; Schoppink &amp; Fernandez Rivas, 2022; Taberner et al., 2012).</w:t>
      </w:r>
    </w:p>
    <w:p w14:paraId="61F4ACFB" w14:textId="77777777" w:rsidR="00271861" w:rsidRPr="003248D2" w:rsidRDefault="00000000">
      <w:pPr>
        <w:pStyle w:val="Heading2"/>
        <w:rPr>
          <w:color w:val="auto"/>
        </w:rPr>
      </w:pPr>
      <w:r w:rsidRPr="003248D2">
        <w:rPr>
          <w:color w:val="auto"/>
        </w:rPr>
        <w:t>1.1 Scope, Research Gap and Objectives</w:t>
      </w:r>
    </w:p>
    <w:p w14:paraId="029CF666" w14:textId="77777777" w:rsidR="00271861" w:rsidRPr="003248D2" w:rsidRDefault="00000000">
      <w:pPr>
        <w:rPr>
          <w:color w:val="auto"/>
        </w:rPr>
      </w:pPr>
      <w:r w:rsidRPr="003248D2">
        <w:rPr>
          <w:color w:val="auto"/>
        </w:rPr>
        <w:t>This review considers systems that actively propel liquids or particles into viable skin or underlying tissues without inserting a solid hypodermic needle. Its centre of gravity is liquid-jet injection, because that class has the most substantial human evidence. Powder and gene-gun methods are included to clarify adjacent mechanisms, while electromechanical and laser-driven microjets are examined as developmental extensions. Purely passive patches, conventional syringe injection, microneedles and nonspecific skin-permeabilisation methods are considered only as comparators. Veterinary and nonmedical uses are excluded unless a mechanistic principle materially informs human drug delivery.</w:t>
      </w:r>
    </w:p>
    <w:p w14:paraId="5AA55908" w14:textId="77777777" w:rsidR="001D0D1E" w:rsidRDefault="00000000">
      <w:r>
        <w:rPr>
          <w:highlight w:val="yellow"/>
        </w:rPr>
        <w:t>More specifically, the available literature does not consistently connect injector performance, received tissue dose, clinical outcomes and operational requirements within the same comparative assessment. This limits the extent to which findings from experimental systems or individual clinical indications can be transferred to other device–formulation combinations.</w:t>
      </w:r>
    </w:p>
    <w:p w14:paraId="145567AC" w14:textId="77777777" w:rsidR="00271861" w:rsidRPr="003248D2" w:rsidRDefault="00000000">
      <w:pPr>
        <w:rPr>
          <w:color w:val="auto"/>
        </w:rPr>
      </w:pPr>
      <w:r w:rsidRPr="003248D2">
        <w:rPr>
          <w:color w:val="auto"/>
        </w:rPr>
        <w:t xml:space="preserve">The principal research gap concerns the missing correspondence between physical performance measures, biologically delivered dose, clinical benefit and implementation safety. The objectives are to clarify terminology and governing mechanisms; compare propulsion architectures and tissue interactions; critically examine therapeutic and vaccine evidence; identify safety, formulation and regulatory constraints; and </w:t>
      </w:r>
      <w:r w:rsidRPr="003248D2">
        <w:rPr>
          <w:color w:val="auto"/>
        </w:rPr>
        <w:lastRenderedPageBreak/>
        <w:t>derive testable priorities for devices intended for routine clinical use. Rather than aggregating incompatible results, the synthesis treats each injector–formulation–route pairing as a distinct intervention requiring its own validation.</w:t>
      </w:r>
    </w:p>
    <w:p w14:paraId="2B76DAD9" w14:textId="77777777" w:rsidR="00271861" w:rsidRPr="003248D2" w:rsidRDefault="00000000">
      <w:pPr>
        <w:pStyle w:val="Heading1"/>
        <w:rPr>
          <w:color w:val="auto"/>
        </w:rPr>
      </w:pPr>
      <w:r w:rsidRPr="003248D2">
        <w:rPr>
          <w:color w:val="auto"/>
        </w:rPr>
        <w:t>2. Methods for Literature Selection</w:t>
      </w:r>
    </w:p>
    <w:p w14:paraId="09B67480" w14:textId="77777777" w:rsidR="00271861" w:rsidRPr="003248D2" w:rsidRDefault="00000000">
      <w:pPr>
        <w:pStyle w:val="Heading2"/>
        <w:rPr>
          <w:color w:val="auto"/>
        </w:rPr>
      </w:pPr>
      <w:r w:rsidRPr="003248D2">
        <w:rPr>
          <w:color w:val="auto"/>
        </w:rPr>
        <w:t>2.1 Review Design and Rationale</w:t>
      </w:r>
    </w:p>
    <w:p w14:paraId="37A018C9" w14:textId="77777777" w:rsidR="00271861" w:rsidRPr="003248D2" w:rsidRDefault="00000000">
      <w:pPr>
        <w:rPr>
          <w:color w:val="auto"/>
        </w:rPr>
      </w:pPr>
      <w:r w:rsidRPr="003248D2">
        <w:rPr>
          <w:color w:val="auto"/>
        </w:rPr>
        <w:t>A critical narrative design was used because relevant findings span fluid dynamics, tissue mechanics, engineering prototypes, pharmacokinetic experiments, randomised vaccination trials, dermatological interventions and health-system implementation. These sources cannot be pooled into one defensible treatment-effect estimate without erasing differences in physical modality, anatomical target, formulation and outcome. Narrative synthesis permits comparison of explanatory mechanisms and contradictions while maintaining transparency over literature selection. The discussion was organised with reference to principles of justification, search transparency, evidence level and endpoint reporting described for high-quality narrative reviews by Baethge et al. (2019). No claim of a systematic exhaustive search, formal meta-analysis or independently scored risk-of-bias assessment is made.</w:t>
      </w:r>
    </w:p>
    <w:p w14:paraId="13E39909" w14:textId="77777777" w:rsidR="00271861" w:rsidRPr="003248D2" w:rsidRDefault="00000000">
      <w:pPr>
        <w:pStyle w:val="Heading2"/>
        <w:rPr>
          <w:color w:val="auto"/>
        </w:rPr>
      </w:pPr>
      <w:r w:rsidRPr="003248D2">
        <w:rPr>
          <w:color w:val="auto"/>
        </w:rPr>
        <w:t>2.2 Information Sources</w:t>
      </w:r>
    </w:p>
    <w:p w14:paraId="1D72A2B9" w14:textId="77777777" w:rsidR="00271861" w:rsidRPr="003248D2" w:rsidRDefault="00000000">
      <w:pPr>
        <w:rPr>
          <w:color w:val="auto"/>
        </w:rPr>
      </w:pPr>
      <w:r w:rsidRPr="003248D2">
        <w:rPr>
          <w:color w:val="auto"/>
        </w:rPr>
        <w:t>Targeted scholarly discovery used PubMed for clinical and pharmaceutical literature, PubMed Central for accessible full-text verification, OpenAlex for complementary bibliographic discovery and citation relationships, and the Directory of Open Access Journals for open-access device and vaccine studies. Article-level evidence was checked against available full text, indexed bibliographic records or official journal article pages. Related-paper and backward-reference searches were used to identify foundational fluid-mechanics experiments, infection-control evidence and clinical comparators. Recent reviews were examined primarily to map disciplinary coverage and detect gaps, not to substitute their claims for original studies. Only publications whose identity and relevance could be checked were eligible for citation.</w:t>
      </w:r>
    </w:p>
    <w:p w14:paraId="51D94C60" w14:textId="77777777" w:rsidR="00271861" w:rsidRPr="003248D2" w:rsidRDefault="00000000">
      <w:pPr>
        <w:pStyle w:val="Heading2"/>
        <w:rPr>
          <w:color w:val="auto"/>
        </w:rPr>
      </w:pPr>
      <w:r w:rsidRPr="003248D2">
        <w:rPr>
          <w:color w:val="auto"/>
        </w:rPr>
        <w:t>2.3 Search Strategy and Search Period</w:t>
      </w:r>
    </w:p>
    <w:p w14:paraId="1853EF6C" w14:textId="77777777" w:rsidR="00271861" w:rsidRPr="003248D2" w:rsidRDefault="00000000">
      <w:pPr>
        <w:rPr>
          <w:color w:val="auto"/>
        </w:rPr>
      </w:pPr>
      <w:r w:rsidRPr="003248D2">
        <w:rPr>
          <w:color w:val="auto"/>
        </w:rPr>
        <w:t>The principal period was 1 January 2000 to 9 August 2026. It covers the emergence of modern disposable-interface and electronically controllable designs alongside most directly relevant clinical comparisons. Older developments were considered conceptually where essential; no older study was required to substantiate a numerical claim in the present synthesis. Searches combined device terms such as “needle-free injector”, “needleless injection”, “jet injector”, “liquid microjet”, “pneumatic injection” and “ballistic powder delivery” with mechanisms (“jet velocity”, “skin penetration”, “viscosity”, “nozzle”, “Lorentz actuator”, “laser microjet”) and outcomes (“immunogenicity”, “dose-sparing”, “insulin absorption”, “analgesia”, “scar”, “pain”, “contamination”, “injection quality”). Representative concept combinations included (“needle-free” OR “needleless” OR “jet injection”) AND (“vaccine” OR “insulin” OR “drug delivery”) and (“jet injector” OR “microjet”) AND (“skin” OR “tissue”) AND (“penetration” OR “dispersion” OR “safety”). The final date defines the publication boundary rather than the dates on which individual original experiments occurred.</w:t>
      </w:r>
    </w:p>
    <w:p w14:paraId="6714AEF7" w14:textId="77777777" w:rsidR="00271861" w:rsidRPr="003248D2" w:rsidRDefault="00000000">
      <w:pPr>
        <w:pStyle w:val="Heading2"/>
        <w:rPr>
          <w:color w:val="auto"/>
        </w:rPr>
      </w:pPr>
      <w:r w:rsidRPr="003248D2">
        <w:rPr>
          <w:color w:val="auto"/>
        </w:rPr>
        <w:lastRenderedPageBreak/>
        <w:t>2.4 Eligibility Criteria</w:t>
      </w:r>
    </w:p>
    <w:p w14:paraId="1F89246E" w14:textId="77777777" w:rsidR="00271861" w:rsidRPr="003248D2" w:rsidRDefault="00000000">
      <w:pPr>
        <w:rPr>
          <w:color w:val="auto"/>
        </w:rPr>
      </w:pPr>
      <w:r w:rsidRPr="003248D2">
        <w:rPr>
          <w:color w:val="auto"/>
        </w:rPr>
        <w:t>Peer-reviewed original articles and relevant evidence syntheses were prioritised when they addressed a defined needle-free mechanism, pharmaceutical payload, human or experimental skin model, or clinically meaningful outcome. Controlled human studies were emphasised for efficacy and acceptability; laboratory or ex vivo experiments were used to establish physical plausibility rather than patient benefit. Selected reviews supported historical interpretation, methodological discussion and identification of evidence gaps. English-language full texts or sufficiently detailed accessible English abstracts were assessed. Incomplete bibliographic entries, unsupported promotional descriptions, patents offered as effectiveness evidence, and technical papers without relevance to tissue injection were excluded from citation. Animal findings were retained only with explicit identification of their preclinical status.</w:t>
      </w:r>
    </w:p>
    <w:p w14:paraId="6B475C9C" w14:textId="77777777" w:rsidR="00271861" w:rsidRPr="003248D2" w:rsidRDefault="00000000">
      <w:pPr>
        <w:pStyle w:val="Heading2"/>
        <w:rPr>
          <w:color w:val="auto"/>
        </w:rPr>
      </w:pPr>
      <w:r w:rsidRPr="003248D2">
        <w:rPr>
          <w:color w:val="auto"/>
        </w:rPr>
        <w:t>2.5 Screening, Duplicate Handling and Study Selection</w:t>
      </w:r>
    </w:p>
    <w:p w14:paraId="2BB8C5E8" w14:textId="77777777" w:rsidR="00271861" w:rsidRPr="003248D2" w:rsidRDefault="00000000">
      <w:pPr>
        <w:rPr>
          <w:color w:val="auto"/>
        </w:rPr>
      </w:pPr>
      <w:r w:rsidRPr="003248D2">
        <w:rPr>
          <w:color w:val="auto"/>
        </w:rPr>
        <w:t>Records were considered through title and abstract relevance, with full-text examination where accessible and necessary for interpretation. Repeated discovery of the same article through separate sources was treated as one publication, using its title, authors, year and digital object identifier to reconcile duplicates. The evidence was selected purposively to encompass influential foundational experiments, controlled comparative trials, recent mechanism studies, contrary findings and safety-critical observations. Study-selection counts were not prospectively recorded, and none are presented. Inaccessible full texts were not assumed to contain unreported methods, outcomes or negative results; in such instances inference was restricted to what the verifiable abstract and bibliographic record supported.</w:t>
      </w:r>
    </w:p>
    <w:p w14:paraId="6A8D2B39" w14:textId="77777777" w:rsidR="00271861" w:rsidRPr="003248D2" w:rsidRDefault="00000000">
      <w:pPr>
        <w:pStyle w:val="Heading2"/>
        <w:rPr>
          <w:color w:val="auto"/>
        </w:rPr>
      </w:pPr>
      <w:r w:rsidRPr="003248D2">
        <w:rPr>
          <w:color w:val="auto"/>
        </w:rPr>
        <w:t>2.6 Critical Appraisal and Synthesis</w:t>
      </w:r>
    </w:p>
    <w:p w14:paraId="44C010A9" w14:textId="77777777" w:rsidR="00271861" w:rsidRPr="003248D2" w:rsidRDefault="00000000">
      <w:pPr>
        <w:rPr>
          <w:color w:val="auto"/>
        </w:rPr>
      </w:pPr>
      <w:r w:rsidRPr="003248D2">
        <w:rPr>
          <w:color w:val="auto"/>
        </w:rPr>
        <w:t>Evidence was appraised qualitatively by design, comparator, sample size, blinding feasibility, endpoint validity, completeness of dose accounting, skin-model relevance, device specification, formulation identity, confounding and independence of replication. Special attention was paid to whether effects attributed to the injector could instead arise from injection route, dose fraction, drug concentration, operator experience or intervention intensity. Controlled human endpoints were given greater interpretive weight than surrogate measurements or uncontrolled case series. Engineering observations were compared through their boundary conditions rather than assumed universal design rules. The synthesis developed recurring themes around mechanisms, device control, clinical use, infection prevention and translation; interpretive confidence was qualified rather than converted into artificial numerical grades.</w:t>
      </w:r>
    </w:p>
    <w:p w14:paraId="174BECE7" w14:textId="77777777" w:rsidR="00271861" w:rsidRPr="003248D2" w:rsidRDefault="00000000">
      <w:pPr>
        <w:pStyle w:val="Heading1"/>
        <w:rPr>
          <w:color w:val="auto"/>
        </w:rPr>
      </w:pPr>
      <w:r w:rsidRPr="003248D2">
        <w:rPr>
          <w:color w:val="auto"/>
        </w:rPr>
        <w:t>3. Physical Principles and Tissue–Jet Interactions</w:t>
      </w:r>
    </w:p>
    <w:p w14:paraId="56CC14A9" w14:textId="77777777" w:rsidR="00271861" w:rsidRPr="003248D2" w:rsidRDefault="00000000">
      <w:pPr>
        <w:pStyle w:val="Heading2"/>
        <w:rPr>
          <w:color w:val="auto"/>
        </w:rPr>
      </w:pPr>
      <w:r w:rsidRPr="003248D2">
        <w:rPr>
          <w:color w:val="auto"/>
        </w:rPr>
        <w:t>3.1 From stored energy to penetration</w:t>
      </w:r>
    </w:p>
    <w:p w14:paraId="6E4180D1" w14:textId="77777777" w:rsidR="00271861" w:rsidRPr="003248D2" w:rsidRDefault="00000000">
      <w:pPr>
        <w:rPr>
          <w:color w:val="auto"/>
        </w:rPr>
      </w:pPr>
      <w:r w:rsidRPr="003248D2">
        <w:rPr>
          <w:color w:val="auto"/>
        </w:rPr>
        <w:t xml:space="preserve">In a liquid-jet injector, an energy store accelerates a piston or fluid column and raises the pressure upstream of a fine orifice. The emerging jet converts pressure into fluid velocity and transfers momentum to the skin upon impact. For practical devices, design inputs include pressure history, nozzle dimensions, stand-off distance, cartridge compliance, fluid density and viscosity, and the contact force imposed by the applicator. These parameters are not independent in a working assembly. For example, increasing viscosity may change internal losses and ejection shape; modifying the nozzle changes not only jet diameter but also the hydraulic resistance and upstream pressure history. A device described solely by its nominal peak pressure or a </w:t>
      </w:r>
      <w:r w:rsidRPr="003248D2">
        <w:rPr>
          <w:color w:val="auto"/>
        </w:rPr>
        <w:lastRenderedPageBreak/>
        <w:t>marketing term such as “high velocity” is therefore inadequately characterised for comparative science (Baxter &amp; Mitragotri, 2006; McKeage et al., 2024; Shergold et al., 2006).</w:t>
      </w:r>
    </w:p>
    <w:p w14:paraId="61F7C191" w14:textId="77777777" w:rsidR="00271861" w:rsidRPr="003248D2" w:rsidRDefault="00000000">
      <w:pPr>
        <w:rPr>
          <w:color w:val="auto"/>
        </w:rPr>
      </w:pPr>
      <w:r w:rsidRPr="003248D2">
        <w:rPr>
          <w:color w:val="auto"/>
        </w:rPr>
        <w:t>The skin is not a uniform membrane that opens at one reproducible pressure. Its outer barrier, layered connective tissue, appendages and variable hydration create a structure in which local puncture is followed by crack opening, fluid accumulation and redistribution. Shergold et al. (2006) experimentally linked liquid-jet entry into soft materials to crack formation and reported the influence of jet diameter on the pressure needed for penetration. Schramm-Baxter and Mitragotri (2004) showed that jet power captured important aspects of penetration and dispersion in their skin and gel experiments. These observations support the use of energy- and momentum-related metrics, but neither a simple threshold nor a single global parameter fully predicts what happens in living tissue. Different target sites can respond differently despite matching nominal jet settings.</w:t>
      </w:r>
    </w:p>
    <w:p w14:paraId="78C9CA63" w14:textId="77777777" w:rsidR="00271861" w:rsidRPr="003248D2" w:rsidRDefault="00000000">
      <w:pPr>
        <w:pStyle w:val="Heading2"/>
        <w:rPr>
          <w:color w:val="auto"/>
        </w:rPr>
      </w:pPr>
      <w:r w:rsidRPr="003248D2">
        <w:rPr>
          <w:color w:val="auto"/>
        </w:rPr>
        <w:t>3.2 Penetration threshold, sustained flow and delivered fraction</w:t>
      </w:r>
    </w:p>
    <w:p w14:paraId="70663BB0" w14:textId="77777777" w:rsidR="00271861" w:rsidRPr="003248D2" w:rsidRDefault="00000000">
      <w:pPr>
        <w:rPr>
          <w:color w:val="auto"/>
        </w:rPr>
      </w:pPr>
      <w:r w:rsidRPr="003248D2">
        <w:rPr>
          <w:color w:val="auto"/>
        </w:rPr>
        <w:t>The injection pulse is better understood as a sequence than as one peak event. A sufficiently energetic initial jet opens the tissue surface; subsequent fluid must follow that pathway against tissue resistance and local back pressure. Excessively weak initiation produces surface wetting and loss, while a forceful sustained pulse may drive fluid beyond the intended layer or accentuate tissue disruption. Stachowiak et al. (2009) showed experimentally that a high-velocity penetration stage followed by a lower-velocity delivery stage can decouple penetration depth and injected volume to some extent. The conclusion is conditional: their findings were obtained in model materials and ex vivo samples, and the ideal temporal profile for a child’s dermis, a scar or adult subcutaneous tissue may differ. Pulse shape should thus be validated against tissue-specific outcomes rather than specified only as an engineering advantage.</w:t>
      </w:r>
    </w:p>
    <w:p w14:paraId="1D0CB55E" w14:textId="77777777" w:rsidR="00271861" w:rsidRPr="003248D2" w:rsidRDefault="00000000">
      <w:pPr>
        <w:rPr>
          <w:color w:val="auto"/>
        </w:rPr>
      </w:pPr>
      <w:r w:rsidRPr="003248D2">
        <w:rPr>
          <w:color w:val="auto"/>
        </w:rPr>
        <w:t>The nominal loaded dose, ejected dose and biologically deposited dose are different quantities. Some fluid can remain in the cartridge or nozzle, escape at the nozzle–skin interface, rebound after impact or leak from the puncture site. A visible intradermal bleb offers useful feedback but is an imperfect surrogate for antigen delivery. Resik et al. (2015) studied several devices during fractional-dose poliovirus vaccination and found that injection quality indicators related to immune response for one poliovirus type, yet associations were not uniform across outcomes. Thus, both mechanistic loss measures and biological validation are necessary. Devices intended for very small doses are particularly sensitive to small absolute losses, although their performance cannot be inferred by simply scaling down a larger injector.</w:t>
      </w:r>
    </w:p>
    <w:p w14:paraId="0B969651" w14:textId="77777777" w:rsidR="00271861" w:rsidRPr="003248D2" w:rsidRDefault="00000000">
      <w:pPr>
        <w:pStyle w:val="Heading2"/>
        <w:rPr>
          <w:color w:val="auto"/>
        </w:rPr>
      </w:pPr>
      <w:r w:rsidRPr="003248D2">
        <w:rPr>
          <w:color w:val="auto"/>
        </w:rPr>
        <w:t>3.3 Jet geometry, stability and dispersion</w:t>
      </w:r>
    </w:p>
    <w:p w14:paraId="2B1159A0" w14:textId="77777777" w:rsidR="00271861" w:rsidRPr="003248D2" w:rsidRDefault="00000000">
      <w:pPr>
        <w:rPr>
          <w:color w:val="auto"/>
        </w:rPr>
      </w:pPr>
      <w:r w:rsidRPr="003248D2">
        <w:rPr>
          <w:color w:val="auto"/>
        </w:rPr>
        <w:t>Nozzle diameter, jet coherence and exit velocity interact to determine the area over which energy is applied. A narrow coherent jet may create a small entry site, whereas an unstable or diffuse jet can spread energy across the surface and increase splash or incomplete penetration. In bench studies, very high jet power can deepen the track but also produce complex dispersion rather than a neat cylindrical depot. The tissue receives an initial impact followed by a pressure-driven redistribution phase, and injection may follow interfaces of lower resistance. High-speed optical studies in tissue simulants capture these rapid events and are useful for selecting candidate pulse profiles; nevertheless, transparent gels do not reproduce all skin vascular, cellular and mechanical properties (Miyazaki et al., 2021; Schramm-Baxter &amp; Mitragotri, 2004; Tagawa et al., 2013).</w:t>
      </w:r>
    </w:p>
    <w:p w14:paraId="53A80B71" w14:textId="77777777" w:rsidR="00271861" w:rsidRPr="003248D2" w:rsidRDefault="00000000">
      <w:pPr>
        <w:rPr>
          <w:color w:val="auto"/>
        </w:rPr>
      </w:pPr>
      <w:r w:rsidRPr="003248D2">
        <w:rPr>
          <w:color w:val="auto"/>
        </w:rPr>
        <w:lastRenderedPageBreak/>
        <w:t>Tagawa et al. (2013) demonstrated highly focused microjets capable of entering human skin, a significant proof of physical feasibility for microvolume delivery. Later optical work visualised transient interaction with tissue simulants and reinforced the importance of target mechanics and jet confinement (Miyazaki et al., 2021). In a complementary comparison, Cu et al. (2020) assessed nanolitre jets, needle administration and topical delivery using ex vivo porcine skin; the experimental design illustrates that speed and spatial extent of dye movement depend on delivery method. Those results should not be interpreted as equivalent measures of bioavailability, sterility or clinical dose accuracy. A dye’s fluorescence distribution and a pharmacologically active biologic’s tissue fate may diverge substantially.</w:t>
      </w:r>
    </w:p>
    <w:p w14:paraId="70CBD05B" w14:textId="77777777" w:rsidR="00271861" w:rsidRPr="003248D2" w:rsidRDefault="00000000">
      <w:pPr>
        <w:pStyle w:val="Heading2"/>
        <w:rPr>
          <w:color w:val="auto"/>
        </w:rPr>
      </w:pPr>
      <w:r w:rsidRPr="003248D2">
        <w:rPr>
          <w:color w:val="auto"/>
        </w:rPr>
        <w:t>3.4 Skin variability and applicator loading</w:t>
      </w:r>
    </w:p>
    <w:p w14:paraId="560518E3" w14:textId="77777777" w:rsidR="00271861" w:rsidRPr="003248D2" w:rsidRDefault="00000000">
      <w:pPr>
        <w:rPr>
          <w:color w:val="auto"/>
        </w:rPr>
      </w:pPr>
      <w:r w:rsidRPr="003248D2">
        <w:rPr>
          <w:color w:val="auto"/>
        </w:rPr>
        <w:t>Sex, age, anatomy, scar architecture, subcutaneous fat, hydration, temperature and disease can affect local tissue resistance and the target depth. The degree to which these variables matter depends on whether the injection is intended for epidermal antigen presentation, dermal treatment or subcutaneous systemic absorption. Mechanical preloading by the applicator changes local tissue deformation and may improve contact, but it can also alter skin thickness at the injection site. Rohilla et al. (2020) examined applicator load, standoff and fluid viscosity in ex vivo guinea-pig, pig and human skin models and found effects on efficiency and dispersion. Their result demonstrates device- and tissue-specific coupling, not a universal loading prescription that can be transferred untested to other injectors.</w:t>
      </w:r>
    </w:p>
    <w:p w14:paraId="1C98909D" w14:textId="77777777" w:rsidR="00271861" w:rsidRPr="003248D2" w:rsidRDefault="00000000">
      <w:pPr>
        <w:rPr>
          <w:color w:val="auto"/>
        </w:rPr>
      </w:pPr>
      <w:r w:rsidRPr="003248D2">
        <w:rPr>
          <w:color w:val="auto"/>
        </w:rPr>
        <w:t>Clinical implementation therefore benefits from defining a permissible envelope of tissue variation rather than testing only an ideal skin substitute. In routine vaccination, operators may use different body sites and may not apply a reproducible contact force, especially with agitated infants. In dermatology, abnormal tissue stiffness makes the target itself part of the design challenge. In insulin administration, an injector must contend with variation in subcutaneous thickness and injection site. Such heterogeneity creates a plausible pathway from apparently consistent device output to variable biological exposure, explaining why hardware reproducibility alone cannot establish treatment consistency (Bashorun et al., 2022; de Wit et al., 2015; Han et al., 2021).</w:t>
      </w:r>
    </w:p>
    <w:p w14:paraId="23F089D7" w14:textId="77777777" w:rsidR="00271861" w:rsidRPr="003248D2" w:rsidRDefault="00000000">
      <w:pPr>
        <w:pStyle w:val="Heading2"/>
        <w:rPr>
          <w:color w:val="auto"/>
        </w:rPr>
      </w:pPr>
      <w:r w:rsidRPr="003248D2">
        <w:rPr>
          <w:color w:val="auto"/>
        </w:rPr>
        <w:t>3.5 Fluid properties, viscosity and fragile products</w:t>
      </w:r>
    </w:p>
    <w:p w14:paraId="5DE4B66D" w14:textId="77777777" w:rsidR="00271861" w:rsidRPr="003248D2" w:rsidRDefault="00000000">
      <w:pPr>
        <w:rPr>
          <w:color w:val="auto"/>
        </w:rPr>
      </w:pPr>
      <w:r w:rsidRPr="003248D2">
        <w:rPr>
          <w:color w:val="auto"/>
        </w:rPr>
        <w:t>Viscosity is not a passive formulation label. It affects pressure transmission, nozzle losses, jet breakup and heating during rapid flow. McKeage et al. (2024) investigated temperature-dependent viscosity and described the role that local viscous heating can play during jet formation, challenging the assumption that all highly concentrated formulations are intrinsically incompatible with needle-free propulsion. Yet feasible ejection is only one criterion. Drugs can also face transient pressure, shear, cavitation, contact with device materials and adsorption to fluid-path surfaces. For proteins, nucleic acids and particulate carriers, post-injection molecular integrity and functional potency must be assessed independently of the ejection velocity. Results with water, dye or insulin solutions cannot be generalised to an emulsion, protein aggregate-prone biologic or a nucleic-acid formulation without direct testing (Ikechukwu &amp; Agu, 2026; McKeage et al., 2024).</w:t>
      </w:r>
    </w:p>
    <w:p w14:paraId="2A374BB7" w14:textId="77777777" w:rsidR="00271861" w:rsidRPr="003248D2" w:rsidRDefault="00000000">
      <w:pPr>
        <w:rPr>
          <w:color w:val="auto"/>
        </w:rPr>
      </w:pPr>
      <w:r w:rsidRPr="003248D2">
        <w:rPr>
          <w:color w:val="auto"/>
        </w:rPr>
        <w:t xml:space="preserve">An especially important distinction is between formulation damage caused by the injector and biological alteration caused by the target site. A vaccine delivered intradermally may have different immune responses from the same vaccine delivered intramuscularly, even when both doses are chemically intact. Conversely, a nominally dose-equivalent injection may lose material during splashback, making the observed </w:t>
      </w:r>
      <w:r w:rsidRPr="003248D2">
        <w:rPr>
          <w:color w:val="auto"/>
        </w:rPr>
        <w:lastRenderedPageBreak/>
        <w:t>immunogenicity inseparable from true received dose. Rigorous evaluation must therefore measure formulation integrity before and after jetting, actual material recovered or deposited, and the relevant biological response. Such a design allows investigators to distinguish mechanical failure, formulation failure and site-of-delivery effects rather than attributing all differences to “jet injection” as one undifferentiated exposure.</w:t>
      </w:r>
    </w:p>
    <w:p w14:paraId="26607656" w14:textId="77777777" w:rsidR="00271861" w:rsidRPr="003248D2" w:rsidRDefault="00000000">
      <w:pPr>
        <w:rPr>
          <w:color w:val="auto"/>
        </w:rPr>
      </w:pPr>
      <w:r w:rsidRPr="003248D2">
        <w:rPr>
          <w:color w:val="auto"/>
        </w:rPr>
        <w:t>The synthesis in Table 1 distinguishes physical variables with direct experimental support from their less secure clinical extrapolations. The central implication is that no single jet parameter is an adequate universal quality measure; an injection system must be characterised as a coupled device–fluid–tissue process. The table also identifies measurements that should accompany proposed performance claims.</w:t>
      </w:r>
    </w:p>
    <w:p w14:paraId="5DA88653" w14:textId="77777777" w:rsidR="00271861" w:rsidRPr="003248D2" w:rsidRDefault="00000000">
      <w:pPr>
        <w:pStyle w:val="ReviewTableTitle"/>
        <w:rPr>
          <w:color w:val="auto"/>
        </w:rPr>
      </w:pPr>
      <w:r w:rsidRPr="003248D2">
        <w:rPr>
          <w:b/>
          <w:color w:val="auto"/>
        </w:rPr>
        <w:t xml:space="preserve">Table 1. </w:t>
      </w:r>
      <w:r w:rsidRPr="003248D2">
        <w:rPr>
          <w:color w:val="auto"/>
        </w:rPr>
        <w:t>Mechanistic determinants of liquid-jet penetration and dose reliability</w:t>
      </w:r>
    </w:p>
    <w:tbl>
      <w:tblPr>
        <w:tblW w:w="0" w:type="auto"/>
        <w:tblBorders>
          <w:top w:val="single" w:sz="4" w:space="0" w:color="B8C3CD"/>
          <w:bottom w:val="single" w:sz="4" w:space="0" w:color="B8C3CD"/>
          <w:insideH w:val="single" w:sz="4" w:space="0" w:color="B8C3CD"/>
        </w:tblBorders>
        <w:tblLayout w:type="fixed"/>
        <w:tblLook w:val="04A0" w:firstRow="1" w:lastRow="0" w:firstColumn="1" w:lastColumn="0" w:noHBand="0" w:noVBand="1"/>
      </w:tblPr>
      <w:tblGrid>
        <w:gridCol w:w="1829"/>
        <w:gridCol w:w="3168"/>
        <w:gridCol w:w="3082"/>
        <w:gridCol w:w="1541"/>
      </w:tblGrid>
      <w:tr w:rsidR="003248D2" w:rsidRPr="003248D2" w14:paraId="4AF68E5D" w14:textId="77777777">
        <w:trPr>
          <w:cantSplit/>
          <w:tblHeader/>
        </w:trPr>
        <w:tc>
          <w:tcPr>
            <w:tcW w:w="1829" w:type="dxa"/>
            <w:shd w:val="clear" w:color="auto" w:fill="EAF0F4"/>
            <w:tcMar>
              <w:top w:w="140" w:type="dxa"/>
              <w:left w:w="120" w:type="dxa"/>
              <w:bottom w:w="138" w:type="dxa"/>
              <w:right w:w="115" w:type="dxa"/>
            </w:tcMar>
            <w:vAlign w:val="center"/>
          </w:tcPr>
          <w:p w14:paraId="25360A20" w14:textId="77777777" w:rsidR="00271861" w:rsidRPr="003248D2" w:rsidRDefault="00000000">
            <w:pPr>
              <w:spacing w:after="0" w:line="259" w:lineRule="auto"/>
              <w:rPr>
                <w:color w:val="auto"/>
              </w:rPr>
            </w:pPr>
            <w:r w:rsidRPr="003248D2">
              <w:rPr>
                <w:b/>
                <w:color w:val="auto"/>
                <w:sz w:val="16"/>
              </w:rPr>
              <w:t>Physical or biological determinant</w:t>
            </w:r>
          </w:p>
        </w:tc>
        <w:tc>
          <w:tcPr>
            <w:tcW w:w="3168" w:type="dxa"/>
            <w:shd w:val="clear" w:color="auto" w:fill="EAF0F4"/>
            <w:tcMar>
              <w:top w:w="140" w:type="dxa"/>
              <w:left w:w="120" w:type="dxa"/>
              <w:bottom w:w="138" w:type="dxa"/>
              <w:right w:w="115" w:type="dxa"/>
            </w:tcMar>
            <w:vAlign w:val="center"/>
          </w:tcPr>
          <w:p w14:paraId="252F3DA6" w14:textId="77777777" w:rsidR="00271861" w:rsidRPr="003248D2" w:rsidRDefault="00000000">
            <w:pPr>
              <w:spacing w:after="0" w:line="259" w:lineRule="auto"/>
              <w:rPr>
                <w:color w:val="auto"/>
              </w:rPr>
            </w:pPr>
            <w:r w:rsidRPr="003248D2">
              <w:rPr>
                <w:b/>
                <w:color w:val="auto"/>
                <w:sz w:val="16"/>
              </w:rPr>
              <w:t>Mechanistic consequence</w:t>
            </w:r>
          </w:p>
        </w:tc>
        <w:tc>
          <w:tcPr>
            <w:tcW w:w="3082" w:type="dxa"/>
            <w:shd w:val="clear" w:color="auto" w:fill="EAF0F4"/>
            <w:tcMar>
              <w:top w:w="140" w:type="dxa"/>
              <w:left w:w="120" w:type="dxa"/>
              <w:bottom w:w="138" w:type="dxa"/>
              <w:right w:w="115" w:type="dxa"/>
            </w:tcMar>
            <w:vAlign w:val="center"/>
          </w:tcPr>
          <w:p w14:paraId="205CE2D9" w14:textId="77777777" w:rsidR="00271861" w:rsidRPr="003248D2" w:rsidRDefault="00000000">
            <w:pPr>
              <w:spacing w:after="0" w:line="259" w:lineRule="auto"/>
              <w:rPr>
                <w:color w:val="auto"/>
              </w:rPr>
            </w:pPr>
            <w:r w:rsidRPr="003248D2">
              <w:rPr>
                <w:b/>
                <w:color w:val="auto"/>
                <w:sz w:val="16"/>
              </w:rPr>
              <w:t>Interpretative or validation boundary</w:t>
            </w:r>
          </w:p>
        </w:tc>
        <w:tc>
          <w:tcPr>
            <w:tcW w:w="1541" w:type="dxa"/>
            <w:shd w:val="clear" w:color="auto" w:fill="EAF0F4"/>
            <w:tcMar>
              <w:top w:w="140" w:type="dxa"/>
              <w:left w:w="120" w:type="dxa"/>
              <w:bottom w:w="138" w:type="dxa"/>
              <w:right w:w="115" w:type="dxa"/>
            </w:tcMar>
            <w:vAlign w:val="center"/>
          </w:tcPr>
          <w:p w14:paraId="267754A2" w14:textId="77777777" w:rsidR="00271861" w:rsidRPr="003248D2" w:rsidRDefault="00000000">
            <w:pPr>
              <w:spacing w:after="0" w:line="259" w:lineRule="auto"/>
              <w:rPr>
                <w:color w:val="auto"/>
              </w:rPr>
            </w:pPr>
            <w:r w:rsidRPr="003248D2">
              <w:rPr>
                <w:b/>
                <w:color w:val="auto"/>
                <w:sz w:val="16"/>
              </w:rPr>
              <w:t>Supporting references</w:t>
            </w:r>
          </w:p>
        </w:tc>
      </w:tr>
      <w:tr w:rsidR="003248D2" w:rsidRPr="003248D2" w14:paraId="6D2EF0A3" w14:textId="77777777">
        <w:trPr>
          <w:cantSplit/>
        </w:trPr>
        <w:tc>
          <w:tcPr>
            <w:tcW w:w="1829" w:type="dxa"/>
            <w:tcMar>
              <w:top w:w="115" w:type="dxa"/>
              <w:left w:w="120" w:type="dxa"/>
              <w:bottom w:w="115" w:type="dxa"/>
              <w:right w:w="120" w:type="dxa"/>
            </w:tcMar>
            <w:vAlign w:val="center"/>
          </w:tcPr>
          <w:p w14:paraId="6FC05282" w14:textId="77777777" w:rsidR="00271861" w:rsidRPr="003248D2" w:rsidRDefault="00000000">
            <w:pPr>
              <w:spacing w:after="0" w:line="264" w:lineRule="auto"/>
              <w:jc w:val="left"/>
              <w:rPr>
                <w:color w:val="auto"/>
              </w:rPr>
            </w:pPr>
            <w:r w:rsidRPr="003248D2">
              <w:rPr>
                <w:color w:val="auto"/>
                <w:sz w:val="17"/>
              </w:rPr>
              <w:t>Jet power and initial speed</w:t>
            </w:r>
          </w:p>
        </w:tc>
        <w:tc>
          <w:tcPr>
            <w:tcW w:w="3168" w:type="dxa"/>
            <w:tcMar>
              <w:top w:w="115" w:type="dxa"/>
              <w:left w:w="120" w:type="dxa"/>
              <w:bottom w:w="115" w:type="dxa"/>
              <w:right w:w="120" w:type="dxa"/>
            </w:tcMar>
            <w:vAlign w:val="center"/>
          </w:tcPr>
          <w:p w14:paraId="402A456E" w14:textId="77777777" w:rsidR="00271861" w:rsidRPr="003248D2" w:rsidRDefault="00000000">
            <w:pPr>
              <w:spacing w:after="0" w:line="264" w:lineRule="auto"/>
              <w:jc w:val="left"/>
              <w:rPr>
                <w:color w:val="auto"/>
              </w:rPr>
            </w:pPr>
            <w:r w:rsidRPr="003248D2">
              <w:rPr>
                <w:color w:val="auto"/>
                <w:sz w:val="17"/>
              </w:rPr>
              <w:t>Initiates barrier deformation and tissue entry when threshold conditions are met.</w:t>
            </w:r>
          </w:p>
        </w:tc>
        <w:tc>
          <w:tcPr>
            <w:tcW w:w="3082" w:type="dxa"/>
            <w:tcMar>
              <w:top w:w="115" w:type="dxa"/>
              <w:left w:w="120" w:type="dxa"/>
              <w:bottom w:w="115" w:type="dxa"/>
              <w:right w:w="120" w:type="dxa"/>
            </w:tcMar>
            <w:vAlign w:val="center"/>
          </w:tcPr>
          <w:p w14:paraId="30B65EB5" w14:textId="77777777" w:rsidR="00271861" w:rsidRPr="003248D2" w:rsidRDefault="00000000">
            <w:pPr>
              <w:spacing w:after="0" w:line="264" w:lineRule="auto"/>
              <w:jc w:val="left"/>
              <w:rPr>
                <w:color w:val="auto"/>
              </w:rPr>
            </w:pPr>
            <w:r w:rsidRPr="003248D2">
              <w:rPr>
                <w:color w:val="auto"/>
                <w:sz w:val="17"/>
              </w:rPr>
              <w:t>Speed alone does not determine how much of the nominal dose remains in viable tissue.</w:t>
            </w:r>
          </w:p>
        </w:tc>
        <w:tc>
          <w:tcPr>
            <w:tcW w:w="1541" w:type="dxa"/>
            <w:tcMar>
              <w:top w:w="115" w:type="dxa"/>
              <w:left w:w="120" w:type="dxa"/>
              <w:bottom w:w="115" w:type="dxa"/>
              <w:right w:w="120" w:type="dxa"/>
            </w:tcMar>
            <w:vAlign w:val="center"/>
          </w:tcPr>
          <w:p w14:paraId="5F5C261C" w14:textId="77777777" w:rsidR="00271861" w:rsidRPr="003248D2" w:rsidRDefault="00000000">
            <w:pPr>
              <w:spacing w:after="0" w:line="264" w:lineRule="auto"/>
              <w:jc w:val="left"/>
              <w:rPr>
                <w:color w:val="auto"/>
              </w:rPr>
            </w:pPr>
            <w:r w:rsidRPr="003248D2">
              <w:rPr>
                <w:color w:val="auto"/>
                <w:sz w:val="16"/>
              </w:rPr>
              <w:t>(Schramm-Baxter &amp; Mitragotri, 2004; Shergold et al., 2006)</w:t>
            </w:r>
          </w:p>
        </w:tc>
      </w:tr>
      <w:tr w:rsidR="003248D2" w:rsidRPr="003248D2" w14:paraId="3388AB45" w14:textId="77777777">
        <w:trPr>
          <w:cantSplit/>
        </w:trPr>
        <w:tc>
          <w:tcPr>
            <w:tcW w:w="1829" w:type="dxa"/>
            <w:tcMar>
              <w:top w:w="115" w:type="dxa"/>
              <w:left w:w="120" w:type="dxa"/>
              <w:bottom w:w="115" w:type="dxa"/>
              <w:right w:w="120" w:type="dxa"/>
            </w:tcMar>
            <w:vAlign w:val="center"/>
          </w:tcPr>
          <w:p w14:paraId="3CD28FB5" w14:textId="77777777" w:rsidR="00271861" w:rsidRPr="003248D2" w:rsidRDefault="00000000">
            <w:pPr>
              <w:spacing w:after="0" w:line="264" w:lineRule="auto"/>
              <w:jc w:val="left"/>
              <w:rPr>
                <w:color w:val="auto"/>
              </w:rPr>
            </w:pPr>
            <w:r w:rsidRPr="003248D2">
              <w:rPr>
                <w:color w:val="auto"/>
                <w:sz w:val="17"/>
              </w:rPr>
              <w:t>Pressure–time waveform</w:t>
            </w:r>
          </w:p>
        </w:tc>
        <w:tc>
          <w:tcPr>
            <w:tcW w:w="3168" w:type="dxa"/>
            <w:tcMar>
              <w:top w:w="115" w:type="dxa"/>
              <w:left w:w="120" w:type="dxa"/>
              <w:bottom w:w="115" w:type="dxa"/>
              <w:right w:w="120" w:type="dxa"/>
            </w:tcMar>
            <w:vAlign w:val="center"/>
          </w:tcPr>
          <w:p w14:paraId="74DFDB35" w14:textId="77777777" w:rsidR="00271861" w:rsidRPr="003248D2" w:rsidRDefault="00000000">
            <w:pPr>
              <w:spacing w:after="0" w:line="264" w:lineRule="auto"/>
              <w:jc w:val="left"/>
              <w:rPr>
                <w:color w:val="auto"/>
              </w:rPr>
            </w:pPr>
            <w:r w:rsidRPr="003248D2">
              <w:rPr>
                <w:color w:val="auto"/>
                <w:sz w:val="17"/>
              </w:rPr>
              <w:t>Separates early penetration from later liquid dispersion and volume delivery.</w:t>
            </w:r>
          </w:p>
        </w:tc>
        <w:tc>
          <w:tcPr>
            <w:tcW w:w="3082" w:type="dxa"/>
            <w:tcMar>
              <w:top w:w="115" w:type="dxa"/>
              <w:left w:w="120" w:type="dxa"/>
              <w:bottom w:w="115" w:type="dxa"/>
              <w:right w:w="120" w:type="dxa"/>
            </w:tcMar>
            <w:vAlign w:val="center"/>
          </w:tcPr>
          <w:p w14:paraId="4AE972E5" w14:textId="77777777" w:rsidR="00271861" w:rsidRPr="003248D2" w:rsidRDefault="00000000">
            <w:pPr>
              <w:spacing w:after="0" w:line="264" w:lineRule="auto"/>
              <w:jc w:val="left"/>
              <w:rPr>
                <w:color w:val="auto"/>
              </w:rPr>
            </w:pPr>
            <w:r w:rsidRPr="003248D2">
              <w:rPr>
                <w:color w:val="auto"/>
                <w:sz w:val="17"/>
              </w:rPr>
              <w:t>Evidence for independently programmable delivery is predominantly experimental.</w:t>
            </w:r>
          </w:p>
        </w:tc>
        <w:tc>
          <w:tcPr>
            <w:tcW w:w="1541" w:type="dxa"/>
            <w:tcMar>
              <w:top w:w="115" w:type="dxa"/>
              <w:left w:w="120" w:type="dxa"/>
              <w:bottom w:w="115" w:type="dxa"/>
              <w:right w:w="120" w:type="dxa"/>
            </w:tcMar>
            <w:vAlign w:val="center"/>
          </w:tcPr>
          <w:p w14:paraId="78E991BB" w14:textId="77777777" w:rsidR="00271861" w:rsidRPr="003248D2" w:rsidRDefault="00000000">
            <w:pPr>
              <w:spacing w:after="0" w:line="264" w:lineRule="auto"/>
              <w:jc w:val="left"/>
              <w:rPr>
                <w:color w:val="auto"/>
              </w:rPr>
            </w:pPr>
            <w:r w:rsidRPr="003248D2">
              <w:rPr>
                <w:color w:val="auto"/>
                <w:sz w:val="16"/>
              </w:rPr>
              <w:t>(Stachowiak et al., 2009; Taberner et al., 2012)</w:t>
            </w:r>
          </w:p>
        </w:tc>
      </w:tr>
      <w:tr w:rsidR="003248D2" w:rsidRPr="003248D2" w14:paraId="7691BDF7" w14:textId="77777777">
        <w:trPr>
          <w:cantSplit/>
        </w:trPr>
        <w:tc>
          <w:tcPr>
            <w:tcW w:w="1829" w:type="dxa"/>
            <w:tcMar>
              <w:top w:w="115" w:type="dxa"/>
              <w:left w:w="120" w:type="dxa"/>
              <w:bottom w:w="115" w:type="dxa"/>
              <w:right w:w="120" w:type="dxa"/>
            </w:tcMar>
            <w:vAlign w:val="center"/>
          </w:tcPr>
          <w:p w14:paraId="1D1F451E" w14:textId="77777777" w:rsidR="00271861" w:rsidRPr="003248D2" w:rsidRDefault="00000000">
            <w:pPr>
              <w:spacing w:after="0" w:line="264" w:lineRule="auto"/>
              <w:jc w:val="left"/>
              <w:rPr>
                <w:color w:val="auto"/>
              </w:rPr>
            </w:pPr>
            <w:r w:rsidRPr="003248D2">
              <w:rPr>
                <w:color w:val="auto"/>
                <w:sz w:val="17"/>
              </w:rPr>
              <w:t>Nozzle diameter and jet coherence</w:t>
            </w:r>
          </w:p>
        </w:tc>
        <w:tc>
          <w:tcPr>
            <w:tcW w:w="3168" w:type="dxa"/>
            <w:tcMar>
              <w:top w:w="115" w:type="dxa"/>
              <w:left w:w="120" w:type="dxa"/>
              <w:bottom w:w="115" w:type="dxa"/>
              <w:right w:w="120" w:type="dxa"/>
            </w:tcMar>
            <w:vAlign w:val="center"/>
          </w:tcPr>
          <w:p w14:paraId="53AB5B93" w14:textId="77777777" w:rsidR="00271861" w:rsidRPr="003248D2" w:rsidRDefault="00000000">
            <w:pPr>
              <w:spacing w:after="0" w:line="264" w:lineRule="auto"/>
              <w:jc w:val="left"/>
              <w:rPr>
                <w:color w:val="auto"/>
              </w:rPr>
            </w:pPr>
            <w:r w:rsidRPr="003248D2">
              <w:rPr>
                <w:color w:val="auto"/>
                <w:sz w:val="17"/>
              </w:rPr>
              <w:t>Changes impact footprint, flow characteristics and dispersion geometry.</w:t>
            </w:r>
          </w:p>
        </w:tc>
        <w:tc>
          <w:tcPr>
            <w:tcW w:w="3082" w:type="dxa"/>
            <w:tcMar>
              <w:top w:w="115" w:type="dxa"/>
              <w:left w:w="120" w:type="dxa"/>
              <w:bottom w:w="115" w:type="dxa"/>
              <w:right w:w="120" w:type="dxa"/>
            </w:tcMar>
            <w:vAlign w:val="center"/>
          </w:tcPr>
          <w:p w14:paraId="6FE501C6" w14:textId="77777777" w:rsidR="00271861" w:rsidRPr="003248D2" w:rsidRDefault="00000000">
            <w:pPr>
              <w:spacing w:after="0" w:line="264" w:lineRule="auto"/>
              <w:jc w:val="left"/>
              <w:rPr>
                <w:color w:val="auto"/>
              </w:rPr>
            </w:pPr>
            <w:r w:rsidRPr="003248D2">
              <w:rPr>
                <w:color w:val="auto"/>
                <w:sz w:val="17"/>
              </w:rPr>
              <w:t>Highly focused microjets and conventional bolus injectors are not directly dose-equivalent.</w:t>
            </w:r>
          </w:p>
        </w:tc>
        <w:tc>
          <w:tcPr>
            <w:tcW w:w="1541" w:type="dxa"/>
            <w:tcMar>
              <w:top w:w="115" w:type="dxa"/>
              <w:left w:w="120" w:type="dxa"/>
              <w:bottom w:w="115" w:type="dxa"/>
              <w:right w:w="120" w:type="dxa"/>
            </w:tcMar>
            <w:vAlign w:val="center"/>
          </w:tcPr>
          <w:p w14:paraId="3F81EDEF" w14:textId="77777777" w:rsidR="00271861" w:rsidRPr="003248D2" w:rsidRDefault="00000000">
            <w:pPr>
              <w:spacing w:after="0" w:line="264" w:lineRule="auto"/>
              <w:jc w:val="left"/>
              <w:rPr>
                <w:color w:val="auto"/>
              </w:rPr>
            </w:pPr>
            <w:r w:rsidRPr="003248D2">
              <w:rPr>
                <w:color w:val="auto"/>
                <w:sz w:val="16"/>
              </w:rPr>
              <w:t>(Cu et al., 2020; Tagawa et al., 2013)</w:t>
            </w:r>
          </w:p>
        </w:tc>
      </w:tr>
      <w:tr w:rsidR="003248D2" w:rsidRPr="003248D2" w14:paraId="5DC7B4E7" w14:textId="77777777">
        <w:trPr>
          <w:cantSplit/>
        </w:trPr>
        <w:tc>
          <w:tcPr>
            <w:tcW w:w="1829" w:type="dxa"/>
            <w:tcMar>
              <w:top w:w="115" w:type="dxa"/>
              <w:left w:w="120" w:type="dxa"/>
              <w:bottom w:w="115" w:type="dxa"/>
              <w:right w:w="120" w:type="dxa"/>
            </w:tcMar>
            <w:vAlign w:val="center"/>
          </w:tcPr>
          <w:p w14:paraId="5031AC42" w14:textId="77777777" w:rsidR="00271861" w:rsidRPr="003248D2" w:rsidRDefault="00000000">
            <w:pPr>
              <w:spacing w:after="0" w:line="264" w:lineRule="auto"/>
              <w:jc w:val="left"/>
              <w:rPr>
                <w:color w:val="auto"/>
              </w:rPr>
            </w:pPr>
            <w:r w:rsidRPr="003248D2">
              <w:rPr>
                <w:color w:val="auto"/>
                <w:sz w:val="17"/>
              </w:rPr>
              <w:t>Tissue structure and compliance</w:t>
            </w:r>
          </w:p>
        </w:tc>
        <w:tc>
          <w:tcPr>
            <w:tcW w:w="3168" w:type="dxa"/>
            <w:tcMar>
              <w:top w:w="115" w:type="dxa"/>
              <w:left w:w="120" w:type="dxa"/>
              <w:bottom w:w="115" w:type="dxa"/>
              <w:right w:w="120" w:type="dxa"/>
            </w:tcMar>
            <w:vAlign w:val="center"/>
          </w:tcPr>
          <w:p w14:paraId="1CAA3FD0" w14:textId="77777777" w:rsidR="00271861" w:rsidRPr="003248D2" w:rsidRDefault="00000000">
            <w:pPr>
              <w:spacing w:after="0" w:line="264" w:lineRule="auto"/>
              <w:jc w:val="left"/>
              <w:rPr>
                <w:color w:val="auto"/>
              </w:rPr>
            </w:pPr>
            <w:r w:rsidRPr="003248D2">
              <w:rPr>
                <w:color w:val="auto"/>
                <w:sz w:val="17"/>
              </w:rPr>
              <w:t>Skin thickness and mechanics modify entry, spreading and tissue injury.</w:t>
            </w:r>
          </w:p>
        </w:tc>
        <w:tc>
          <w:tcPr>
            <w:tcW w:w="3082" w:type="dxa"/>
            <w:tcMar>
              <w:top w:w="115" w:type="dxa"/>
              <w:left w:w="120" w:type="dxa"/>
              <w:bottom w:w="115" w:type="dxa"/>
              <w:right w:w="120" w:type="dxa"/>
            </w:tcMar>
            <w:vAlign w:val="center"/>
          </w:tcPr>
          <w:p w14:paraId="4A5ECE40" w14:textId="77777777" w:rsidR="00271861" w:rsidRPr="003248D2" w:rsidRDefault="00000000">
            <w:pPr>
              <w:spacing w:after="0" w:line="264" w:lineRule="auto"/>
              <w:jc w:val="left"/>
              <w:rPr>
                <w:color w:val="auto"/>
              </w:rPr>
            </w:pPr>
            <w:r w:rsidRPr="003248D2">
              <w:rPr>
                <w:color w:val="auto"/>
                <w:sz w:val="17"/>
              </w:rPr>
              <w:t>Ex vivo human skin and synthetic gels only partially approximate living patients.</w:t>
            </w:r>
          </w:p>
        </w:tc>
        <w:tc>
          <w:tcPr>
            <w:tcW w:w="1541" w:type="dxa"/>
            <w:tcMar>
              <w:top w:w="115" w:type="dxa"/>
              <w:left w:w="120" w:type="dxa"/>
              <w:bottom w:w="115" w:type="dxa"/>
              <w:right w:w="120" w:type="dxa"/>
            </w:tcMar>
            <w:vAlign w:val="center"/>
          </w:tcPr>
          <w:p w14:paraId="321B563A" w14:textId="77777777" w:rsidR="00271861" w:rsidRPr="003248D2" w:rsidRDefault="00000000">
            <w:pPr>
              <w:spacing w:after="0" w:line="264" w:lineRule="auto"/>
              <w:jc w:val="left"/>
              <w:rPr>
                <w:color w:val="auto"/>
              </w:rPr>
            </w:pPr>
            <w:r w:rsidRPr="003248D2">
              <w:rPr>
                <w:color w:val="auto"/>
                <w:sz w:val="16"/>
              </w:rPr>
              <w:t>(Miyazaki et al., 2021; Rohilla et al., 2020)</w:t>
            </w:r>
          </w:p>
        </w:tc>
      </w:tr>
      <w:tr w:rsidR="003248D2" w:rsidRPr="003248D2" w14:paraId="1B9248B2" w14:textId="77777777">
        <w:trPr>
          <w:cantSplit/>
        </w:trPr>
        <w:tc>
          <w:tcPr>
            <w:tcW w:w="1829" w:type="dxa"/>
            <w:tcMar>
              <w:top w:w="115" w:type="dxa"/>
              <w:left w:w="120" w:type="dxa"/>
              <w:bottom w:w="115" w:type="dxa"/>
              <w:right w:w="120" w:type="dxa"/>
            </w:tcMar>
            <w:vAlign w:val="center"/>
          </w:tcPr>
          <w:p w14:paraId="5173E6D8" w14:textId="77777777" w:rsidR="00271861" w:rsidRPr="003248D2" w:rsidRDefault="00000000">
            <w:pPr>
              <w:spacing w:after="0" w:line="264" w:lineRule="auto"/>
              <w:jc w:val="left"/>
              <w:rPr>
                <w:color w:val="auto"/>
              </w:rPr>
            </w:pPr>
            <w:r w:rsidRPr="003248D2">
              <w:rPr>
                <w:color w:val="auto"/>
                <w:sz w:val="17"/>
              </w:rPr>
              <w:t>Contact force and applicator alignment</w:t>
            </w:r>
          </w:p>
        </w:tc>
        <w:tc>
          <w:tcPr>
            <w:tcW w:w="3168" w:type="dxa"/>
            <w:tcMar>
              <w:top w:w="115" w:type="dxa"/>
              <w:left w:w="120" w:type="dxa"/>
              <w:bottom w:w="115" w:type="dxa"/>
              <w:right w:w="120" w:type="dxa"/>
            </w:tcMar>
            <w:vAlign w:val="center"/>
          </w:tcPr>
          <w:p w14:paraId="666BE002" w14:textId="77777777" w:rsidR="00271861" w:rsidRPr="003248D2" w:rsidRDefault="00000000">
            <w:pPr>
              <w:spacing w:after="0" w:line="264" w:lineRule="auto"/>
              <w:jc w:val="left"/>
              <w:rPr>
                <w:color w:val="auto"/>
              </w:rPr>
            </w:pPr>
            <w:r w:rsidRPr="003248D2">
              <w:rPr>
                <w:color w:val="auto"/>
                <w:sz w:val="17"/>
              </w:rPr>
              <w:t>Alters local support and the interface through which the jet enters.</w:t>
            </w:r>
          </w:p>
        </w:tc>
        <w:tc>
          <w:tcPr>
            <w:tcW w:w="3082" w:type="dxa"/>
            <w:tcMar>
              <w:top w:w="115" w:type="dxa"/>
              <w:left w:w="120" w:type="dxa"/>
              <w:bottom w:w="115" w:type="dxa"/>
              <w:right w:w="120" w:type="dxa"/>
            </w:tcMar>
            <w:vAlign w:val="center"/>
          </w:tcPr>
          <w:p w14:paraId="537D8A03" w14:textId="77777777" w:rsidR="00271861" w:rsidRPr="003248D2" w:rsidRDefault="00000000">
            <w:pPr>
              <w:spacing w:after="0" w:line="264" w:lineRule="auto"/>
              <w:jc w:val="left"/>
              <w:rPr>
                <w:color w:val="auto"/>
              </w:rPr>
            </w:pPr>
            <w:r w:rsidRPr="003248D2">
              <w:rPr>
                <w:color w:val="auto"/>
                <w:sz w:val="17"/>
              </w:rPr>
              <w:t>Operator handling needs to be tested across realistic sites and users.</w:t>
            </w:r>
          </w:p>
        </w:tc>
        <w:tc>
          <w:tcPr>
            <w:tcW w:w="1541" w:type="dxa"/>
            <w:tcMar>
              <w:top w:w="115" w:type="dxa"/>
              <w:left w:w="120" w:type="dxa"/>
              <w:bottom w:w="115" w:type="dxa"/>
              <w:right w:w="120" w:type="dxa"/>
            </w:tcMar>
            <w:vAlign w:val="center"/>
          </w:tcPr>
          <w:p w14:paraId="12247467" w14:textId="77777777" w:rsidR="00271861" w:rsidRPr="003248D2" w:rsidRDefault="00000000">
            <w:pPr>
              <w:spacing w:after="0" w:line="264" w:lineRule="auto"/>
              <w:jc w:val="left"/>
              <w:rPr>
                <w:color w:val="auto"/>
              </w:rPr>
            </w:pPr>
            <w:r w:rsidRPr="003248D2">
              <w:rPr>
                <w:color w:val="auto"/>
                <w:sz w:val="16"/>
              </w:rPr>
              <w:t>(Rohilla et al., 2020; Resik et al., 2015)</w:t>
            </w:r>
          </w:p>
        </w:tc>
      </w:tr>
      <w:tr w:rsidR="003248D2" w:rsidRPr="003248D2" w14:paraId="6E1408C3" w14:textId="77777777">
        <w:trPr>
          <w:cantSplit/>
        </w:trPr>
        <w:tc>
          <w:tcPr>
            <w:tcW w:w="1829" w:type="dxa"/>
            <w:tcMar>
              <w:top w:w="115" w:type="dxa"/>
              <w:left w:w="120" w:type="dxa"/>
              <w:bottom w:w="115" w:type="dxa"/>
              <w:right w:w="120" w:type="dxa"/>
            </w:tcMar>
            <w:vAlign w:val="center"/>
          </w:tcPr>
          <w:p w14:paraId="55FB8DC2" w14:textId="77777777" w:rsidR="00271861" w:rsidRPr="003248D2" w:rsidRDefault="00000000">
            <w:pPr>
              <w:spacing w:after="0" w:line="264" w:lineRule="auto"/>
              <w:jc w:val="left"/>
              <w:rPr>
                <w:color w:val="auto"/>
              </w:rPr>
            </w:pPr>
            <w:r w:rsidRPr="003248D2">
              <w:rPr>
                <w:color w:val="auto"/>
                <w:sz w:val="17"/>
              </w:rPr>
              <w:t>Viscosity, temperature and payload</w:t>
            </w:r>
          </w:p>
        </w:tc>
        <w:tc>
          <w:tcPr>
            <w:tcW w:w="3168" w:type="dxa"/>
            <w:tcMar>
              <w:top w:w="115" w:type="dxa"/>
              <w:left w:w="120" w:type="dxa"/>
              <w:bottom w:w="115" w:type="dxa"/>
              <w:right w:w="120" w:type="dxa"/>
            </w:tcMar>
            <w:vAlign w:val="center"/>
          </w:tcPr>
          <w:p w14:paraId="2E7A350D" w14:textId="77777777" w:rsidR="00271861" w:rsidRPr="003248D2" w:rsidRDefault="00000000">
            <w:pPr>
              <w:spacing w:after="0" w:line="264" w:lineRule="auto"/>
              <w:jc w:val="left"/>
              <w:rPr>
                <w:color w:val="auto"/>
              </w:rPr>
            </w:pPr>
            <w:r w:rsidRPr="003248D2">
              <w:rPr>
                <w:color w:val="auto"/>
                <w:sz w:val="17"/>
              </w:rPr>
              <w:t>Modifies pressure loss, ejection dynamics and possible molecule stress.</w:t>
            </w:r>
          </w:p>
        </w:tc>
        <w:tc>
          <w:tcPr>
            <w:tcW w:w="3082" w:type="dxa"/>
            <w:tcMar>
              <w:top w:w="115" w:type="dxa"/>
              <w:left w:w="120" w:type="dxa"/>
              <w:bottom w:w="115" w:type="dxa"/>
              <w:right w:w="120" w:type="dxa"/>
            </w:tcMar>
            <w:vAlign w:val="center"/>
          </w:tcPr>
          <w:p w14:paraId="21520AF1" w14:textId="77777777" w:rsidR="00271861" w:rsidRPr="003248D2" w:rsidRDefault="00000000">
            <w:pPr>
              <w:spacing w:after="0" w:line="264" w:lineRule="auto"/>
              <w:jc w:val="left"/>
              <w:rPr>
                <w:color w:val="auto"/>
              </w:rPr>
            </w:pPr>
            <w:r w:rsidRPr="003248D2">
              <w:rPr>
                <w:color w:val="auto"/>
                <w:sz w:val="17"/>
              </w:rPr>
              <w:t>Nominally identical device settings may not be interchangeable across formulations.</w:t>
            </w:r>
          </w:p>
        </w:tc>
        <w:tc>
          <w:tcPr>
            <w:tcW w:w="1541" w:type="dxa"/>
            <w:tcMar>
              <w:top w:w="115" w:type="dxa"/>
              <w:left w:w="120" w:type="dxa"/>
              <w:bottom w:w="115" w:type="dxa"/>
              <w:right w:w="120" w:type="dxa"/>
            </w:tcMar>
            <w:vAlign w:val="center"/>
          </w:tcPr>
          <w:p w14:paraId="637A8382" w14:textId="77777777" w:rsidR="00271861" w:rsidRPr="003248D2" w:rsidRDefault="00000000">
            <w:pPr>
              <w:spacing w:after="0" w:line="264" w:lineRule="auto"/>
              <w:jc w:val="left"/>
              <w:rPr>
                <w:color w:val="auto"/>
              </w:rPr>
            </w:pPr>
            <w:r w:rsidRPr="003248D2">
              <w:rPr>
                <w:color w:val="auto"/>
                <w:sz w:val="16"/>
              </w:rPr>
              <w:t>(McKeage et al., 2024; van der Ven et al., 2026)</w:t>
            </w:r>
          </w:p>
        </w:tc>
      </w:tr>
    </w:tbl>
    <w:p w14:paraId="11A10852" w14:textId="77777777" w:rsidR="00271861" w:rsidRPr="003248D2" w:rsidRDefault="00000000">
      <w:pPr>
        <w:pStyle w:val="ReviewTableNote"/>
        <w:rPr>
          <w:color w:val="auto"/>
        </w:rPr>
      </w:pPr>
      <w:r w:rsidRPr="003248D2">
        <w:rPr>
          <w:i/>
          <w:color w:val="auto"/>
        </w:rPr>
        <w:t xml:space="preserve">Note. </w:t>
      </w:r>
      <w:r w:rsidRPr="003248D2">
        <w:rPr>
          <w:color w:val="auto"/>
        </w:rPr>
        <w:t>Selected evidence is illustrative rather than exhaustive; findings are conditional on the tested device and formulation.</w:t>
      </w:r>
    </w:p>
    <w:p w14:paraId="69C8DF6B" w14:textId="77777777" w:rsidR="00271861" w:rsidRPr="003248D2" w:rsidRDefault="00000000">
      <w:pPr>
        <w:pStyle w:val="Heading1"/>
        <w:rPr>
          <w:color w:val="auto"/>
        </w:rPr>
      </w:pPr>
      <w:r w:rsidRPr="003248D2">
        <w:rPr>
          <w:color w:val="auto"/>
        </w:rPr>
        <w:t>4. Injector Architectures and Emerging Delivery Platforms</w:t>
      </w:r>
    </w:p>
    <w:p w14:paraId="5A2FFD76" w14:textId="77777777" w:rsidR="00271861" w:rsidRPr="003248D2" w:rsidRDefault="00000000">
      <w:pPr>
        <w:pStyle w:val="Heading2"/>
        <w:rPr>
          <w:color w:val="auto"/>
        </w:rPr>
      </w:pPr>
      <w:r w:rsidRPr="003248D2">
        <w:rPr>
          <w:color w:val="auto"/>
        </w:rPr>
        <w:t>4.1 Mechanical and gas-powered liquid injectors</w:t>
      </w:r>
    </w:p>
    <w:p w14:paraId="7E1B7FCA" w14:textId="77777777" w:rsidR="00271861" w:rsidRPr="003248D2" w:rsidRDefault="00000000">
      <w:pPr>
        <w:rPr>
          <w:color w:val="auto"/>
        </w:rPr>
      </w:pPr>
      <w:r w:rsidRPr="003248D2">
        <w:rPr>
          <w:color w:val="auto"/>
        </w:rPr>
        <w:t xml:space="preserve">Most clinically familiar jet injectors use stored mechanical or pneumatic energy to propel a piston through a liquid cartridge. Spring-driven devices can be compact and relatively independent of external power, making them attractive for vaccination and repeated self-administration. Gas-powered systems offer alternative pressure-generation profiles and have been adapted for injections involving different volumes and tissue targets. Both designs can produce effective tissue penetration, but their actual pressure waveform is shaped by the energy source, piston friction, cartridge compliance and nozzle resistance. “Spring-powered” and “pneumatic” are consequently not reliable proxies for deep versus superficial delivery: those outcomes </w:t>
      </w:r>
      <w:r w:rsidRPr="003248D2">
        <w:rPr>
          <w:color w:val="auto"/>
        </w:rPr>
        <w:lastRenderedPageBreak/>
        <w:t>require empirical characterisation of each device under the intended conditions (Baxter &amp; Mitragotri, 2006; Ikechukwu &amp; Agu, 2026; Vranis &amp; Theodorou, 2025).</w:t>
      </w:r>
    </w:p>
    <w:p w14:paraId="0002661E" w14:textId="77777777" w:rsidR="00271861" w:rsidRPr="003248D2" w:rsidRDefault="00000000">
      <w:pPr>
        <w:rPr>
          <w:color w:val="auto"/>
        </w:rPr>
      </w:pPr>
      <w:r w:rsidRPr="003248D2">
        <w:rPr>
          <w:color w:val="auto"/>
        </w:rPr>
        <w:t>A practical distinction within traditional designs is the fluid-path interface. Reusable propulsion components can coexist with disposable sterile drug-contact and patient-contact elements. This architecture can reduce cross-patient exposure, but only when the contaminated fluid and splash trajectories are prevented from reaching surfaces subsequently reused. Disposable-syringe jet injectors are preferable to unprotected multiple-use nozzles from an infection-control perspective, although they still require validation of assembly, cartridge filling, handling and disposal. They do not abolish waste; they replace conventional sharps with a different combination of polymer and device components. Whether that substitution is environmentally beneficial depends on the full life cycle, not the absence of a needle in the waste container (Kelly et al., 2008; McAllister et al., 2014).</w:t>
      </w:r>
    </w:p>
    <w:p w14:paraId="77143894" w14:textId="77777777" w:rsidR="00271861" w:rsidRPr="003248D2" w:rsidRDefault="00000000">
      <w:pPr>
        <w:rPr>
          <w:color w:val="auto"/>
        </w:rPr>
      </w:pPr>
      <w:r w:rsidRPr="003248D2">
        <w:rPr>
          <w:color w:val="auto"/>
        </w:rPr>
        <w:t>Mechanical simplicity may also create an important trade-off between fixed settings and adaptability. A fixed-output injector can be easier to train and quality-control for one approved vaccine volume, provided its performance remains acceptable across anticipated users and anatomical sites. A multi-indication injector, by contrast, may need different energy settings or cartridges for each volume and formulation. Adjustable controls offer flexibility while introducing opportunities for operator selection errors. Effective standardisation must therefore align permissible adjustment with intended use, ideally through configuration controls and unambiguous dose interfaces rather than assuming that more settings are always safer. Clinical experience with intradermal fractional-dose vaccination reinforces the importance of the injector and administration protocol as a single validated package (Bashorun et al., 2022; Resik et al., 2015).</w:t>
      </w:r>
    </w:p>
    <w:p w14:paraId="5DCB81FF" w14:textId="77777777" w:rsidR="00271861" w:rsidRPr="003248D2" w:rsidRDefault="00000000">
      <w:pPr>
        <w:pStyle w:val="Heading2"/>
        <w:rPr>
          <w:color w:val="auto"/>
        </w:rPr>
      </w:pPr>
      <w:r w:rsidRPr="003248D2">
        <w:rPr>
          <w:color w:val="auto"/>
        </w:rPr>
        <w:t>4.2 Feedback-controlled electromagnetic actuation</w:t>
      </w:r>
    </w:p>
    <w:p w14:paraId="6347018E" w14:textId="77777777" w:rsidR="00271861" w:rsidRPr="003248D2" w:rsidRDefault="00000000">
      <w:pPr>
        <w:rPr>
          <w:color w:val="auto"/>
        </w:rPr>
      </w:pPr>
      <w:r w:rsidRPr="003248D2">
        <w:rPr>
          <w:color w:val="auto"/>
        </w:rPr>
        <w:t>A different development pathway uses an electrically controlled actuator to modulate the jet during the injection event. Stachowiak et al. (2009) established the principle that temporal control could alter penetration and volume independently in their experiments. Taberner et al. (2012) subsequently demonstrated a real-time controlled linear Lorentz-force actuator capable of regulating jet speed and delivery volume into gels and post-mortem animal tissue. The significance of these studies is not a claim that any electronically controlled injector is clinically superior. They show that pressure history is an actionable design variable and that a single fixed impulse is not an unavoidable physical requirement.</w:t>
      </w:r>
    </w:p>
    <w:p w14:paraId="36139055" w14:textId="77777777" w:rsidR="00271861" w:rsidRPr="003248D2" w:rsidRDefault="00000000">
      <w:pPr>
        <w:rPr>
          <w:color w:val="auto"/>
        </w:rPr>
      </w:pPr>
      <w:r w:rsidRPr="003248D2">
        <w:rPr>
          <w:color w:val="auto"/>
        </w:rPr>
        <w:t>For translation, the value of feedback depends on what the system observes. Measuring actuator displacement or piston velocity is not equivalent to directly measuring intradermal delivery, since unexpected leakage and tissue resistance may remain invisible to the device. A closed-loop instrument should ideally detect meaningful deviations, such as a blocked nozzle, incomplete cartridge emptying or abnormal skin contact, and demonstrate that corrective action improves received dose. This demands sensors, calibration stability and failure-mode analysis. Additional electronics can introduce battery dependence, maintenance requirements, drift and device costs; an engineering improvement should be weighed against these operational liabilities in the specific clinical setting (Stachowiak et al., 2009; Taberner et al., 2012).</w:t>
      </w:r>
    </w:p>
    <w:p w14:paraId="2794EE5D" w14:textId="77777777" w:rsidR="00271861" w:rsidRPr="003248D2" w:rsidRDefault="00000000">
      <w:pPr>
        <w:pStyle w:val="Heading2"/>
        <w:rPr>
          <w:color w:val="auto"/>
        </w:rPr>
      </w:pPr>
      <w:r w:rsidRPr="003248D2">
        <w:rPr>
          <w:color w:val="auto"/>
        </w:rPr>
        <w:t>4.3 Laser-induced and microfluidic jets</w:t>
      </w:r>
    </w:p>
    <w:p w14:paraId="17892554" w14:textId="77777777" w:rsidR="00271861" w:rsidRPr="003248D2" w:rsidRDefault="00000000">
      <w:pPr>
        <w:rPr>
          <w:color w:val="auto"/>
        </w:rPr>
      </w:pPr>
      <w:r w:rsidRPr="003248D2">
        <w:rPr>
          <w:color w:val="auto"/>
        </w:rPr>
        <w:t xml:space="preserve">Laser-powered systems convert optical energy into a pressure impulse, often by local bubble formation in a microfluidic chamber. Their attraction is precise control of a small jet pulse without requiring a large spring </w:t>
      </w:r>
      <w:r w:rsidRPr="003248D2">
        <w:rPr>
          <w:color w:val="auto"/>
        </w:rPr>
        <w:lastRenderedPageBreak/>
        <w:t>or compressed-gas reservoir. Laboratory investigations have tested the dependence of penetration on optical and fluidic conditions, while focused microjets have demonstrated entry into biological skin. Rohilla and Marston (2020) evaluated the feasibility of laser-induced jets for ex vivo skin delivery, and Schoppink and Fernandez Rivas (2022) situated laser methods within the broader pursuit of small-volume, superficial administration. This research identifies a plausible route towards precise intradermal delivery, but the mature clinical evidence base for laser propulsion is markedly smaller than that for established spring-driven vaccination systems.</w:t>
      </w:r>
    </w:p>
    <w:p w14:paraId="0369BC32" w14:textId="77777777" w:rsidR="00271861" w:rsidRPr="003248D2" w:rsidRDefault="00000000">
      <w:pPr>
        <w:rPr>
          <w:color w:val="auto"/>
        </w:rPr>
      </w:pPr>
      <w:r w:rsidRPr="003248D2">
        <w:rPr>
          <w:color w:val="auto"/>
        </w:rPr>
        <w:t>The latest ex vivo experiments extend the physical promise without resolving clinical readiness. Van der Ven et al. (2026) investigated microfluidic jet delivery of insulin and liposomes into human skin outside the body, directly examining deposition and spatial distribution rather than relying solely on model gels. This is an important step towards payload-specific validation. Nevertheless, viable immune responses, systemic absorption, pain, repeated-dose tolerability and home use cannot be established from excised tissue. Moreover, a system designed for tiny superficial volumes is not automatically suitable for conventional subcutaneous boluses. Comparison with a standard needle must match intended dose and target layer, or the apparent benefit may be a consequence of administering different interventions.</w:t>
      </w:r>
    </w:p>
    <w:p w14:paraId="0A6571E1" w14:textId="77777777" w:rsidR="00271861" w:rsidRPr="003248D2" w:rsidRDefault="00000000">
      <w:pPr>
        <w:rPr>
          <w:color w:val="auto"/>
        </w:rPr>
      </w:pPr>
      <w:r w:rsidRPr="003248D2">
        <w:rPr>
          <w:color w:val="auto"/>
        </w:rPr>
        <w:t>One further translational limitation is the relationship between laser actuation and drug exposure. Thermal or cavitation phenomena may occur in an actuation chamber even when the therapeutic fluid is nominally shielded. Development programmes should quantify temperature excursions, possible aerosol generation, device-to-device optical variation and the integrity of fragile payloads. A demonstration of coherent jet generation with a dye solution supports feasibility, but it does not certify vaccine antigenicity, sterility assurance or nucleic-acid structure. Microfluidic systems thus offer control potential while creating fluid-path materials and manufacturing questions that do not arise in exactly the same form with a conventional syringe (Rohilla &amp; Marston, 2020; Schoppink &amp; Fernandez Rivas, 2022; van der Ven et al., 2026).</w:t>
      </w:r>
    </w:p>
    <w:p w14:paraId="70CE828D" w14:textId="77777777" w:rsidR="00271861" w:rsidRPr="003248D2" w:rsidRDefault="00000000">
      <w:pPr>
        <w:pStyle w:val="Heading2"/>
        <w:rPr>
          <w:color w:val="auto"/>
        </w:rPr>
      </w:pPr>
      <w:r w:rsidRPr="003248D2">
        <w:rPr>
          <w:color w:val="auto"/>
        </w:rPr>
        <w:t>4.4 Solid-particle and powder-based approaches</w:t>
      </w:r>
    </w:p>
    <w:p w14:paraId="3D7355CE" w14:textId="77777777" w:rsidR="00271861" w:rsidRPr="003248D2" w:rsidRDefault="00000000">
      <w:pPr>
        <w:rPr>
          <w:color w:val="auto"/>
        </w:rPr>
      </w:pPr>
      <w:r w:rsidRPr="003248D2">
        <w:rPr>
          <w:color w:val="auto"/>
        </w:rPr>
        <w:t>Powder or particle-mediated devices accelerate dry particles into viable skin, using kinetic impact rather than a liquid stream. Such systems are appealing for local antigen presentation and for formulations that might benefit from reduced reliance on a liquid reservoir. Early descriptions of epidermal powder immunisation and deoxyribonucleic acid (DNA)-coated microprojectiles established the conceptual importance of skin immune-cell targeting (Chen et al., 2002; Dean et al., 2003). Nonetheless, they should not be treated as interchangeable with liquid jets. Particle size, material density, coating integrity, impact energy and deposition distribution affect both tissue trauma and effective antigen delivery; powder manufacturing, stability and dose uniformity pose their own challenges.</w:t>
      </w:r>
    </w:p>
    <w:p w14:paraId="0CAF9FF9" w14:textId="77777777" w:rsidR="00271861" w:rsidRPr="003248D2" w:rsidRDefault="00000000">
      <w:pPr>
        <w:rPr>
          <w:color w:val="auto"/>
        </w:rPr>
      </w:pPr>
      <w:r w:rsidRPr="003248D2">
        <w:rPr>
          <w:color w:val="auto"/>
        </w:rPr>
        <w:t>The advantage of bypassing a needle also does not itself demonstrate a public-health advantage. Particle systems may require specialised production, stringent inhalation controls and high-cost disposable components. Clinical comparators must include the actual antigen dose reaching the intended tissue, immune response after a complete schedule and adverse local effects. In principle, tissue-targeted delivery may allow dose reduction, but the extent is antigen-specific. The strongest justification for retaining ballistic systems within an integrative review is to show that “needle-free” describes an administration boundary, not a common device mechanism or a transferable efficacy claim (Chen et al., 2002; Dean et al., 2003).</w:t>
      </w:r>
    </w:p>
    <w:p w14:paraId="4898C8A8" w14:textId="77777777" w:rsidR="00271861" w:rsidRPr="003248D2" w:rsidRDefault="00000000">
      <w:pPr>
        <w:pStyle w:val="Heading2"/>
        <w:rPr>
          <w:color w:val="auto"/>
        </w:rPr>
      </w:pPr>
      <w:r w:rsidRPr="003248D2">
        <w:rPr>
          <w:color w:val="auto"/>
        </w:rPr>
        <w:lastRenderedPageBreak/>
        <w:t>4.5 Device–drug combination as the relevant unit of approval</w:t>
      </w:r>
    </w:p>
    <w:p w14:paraId="2856AD86" w14:textId="77777777" w:rsidR="00271861" w:rsidRPr="003248D2" w:rsidRDefault="00000000">
      <w:pPr>
        <w:rPr>
          <w:color w:val="auto"/>
        </w:rPr>
      </w:pPr>
      <w:r w:rsidRPr="003248D2">
        <w:rPr>
          <w:color w:val="auto"/>
        </w:rPr>
        <w:t>A frequent methodological weakness is to evaluate a device as though it had a stable clinical effect independent of its contents. In practice, changing from saline to a high-viscosity biologic, from an adult arm to a child’s skin, or from subcutaneous insulin to an intradermal vaccine changes the delivery problem. Device specification therefore needs to include intended drug properties, loading and priming procedures, permitted sites, volume limits, administration frequency, compatible sterile consumables and demonstrated human outcomes. Approved or marketed use for one indication does not validate off-label use for another. The distinction matters especially for substances whose biological activity is sensitive to shear, aggregation or carrier architecture (Ikechukwu &amp; Agu, 2026; McKeage et al., 2024).</w:t>
      </w:r>
    </w:p>
    <w:p w14:paraId="204BB504" w14:textId="77777777" w:rsidR="00271861" w:rsidRPr="003248D2" w:rsidRDefault="00000000">
      <w:pPr>
        <w:rPr>
          <w:color w:val="auto"/>
        </w:rPr>
      </w:pPr>
      <w:r w:rsidRPr="003248D2">
        <w:rPr>
          <w:color w:val="auto"/>
        </w:rPr>
        <w:t>Table 2 relates each principal architecture to its demonstrated capability and chief translational bottleneck. It highlights that the strength of evidence is not evenly distributed: mature clinical examples cluster around conventional liquid-jet devices, whereas highly tunable microjets offer primarily experimental evidence. This asymmetry is a reason to prioritise evidence-generating studies over technology rankings based on novelty or nominal actuation precision.</w:t>
      </w:r>
    </w:p>
    <w:p w14:paraId="136C0AEF" w14:textId="77777777" w:rsidR="00271861" w:rsidRPr="003248D2" w:rsidRDefault="00000000">
      <w:pPr>
        <w:pStyle w:val="ReviewTableTitle"/>
        <w:rPr>
          <w:color w:val="auto"/>
        </w:rPr>
      </w:pPr>
      <w:r w:rsidRPr="003248D2">
        <w:rPr>
          <w:b/>
          <w:color w:val="auto"/>
        </w:rPr>
        <w:t xml:space="preserve">Table 2. </w:t>
      </w:r>
      <w:r w:rsidRPr="003248D2">
        <w:rPr>
          <w:color w:val="auto"/>
        </w:rPr>
        <w:t>Comparison of propulsion systems and current translational constraints</w:t>
      </w:r>
    </w:p>
    <w:tbl>
      <w:tblPr>
        <w:tblW w:w="0" w:type="auto"/>
        <w:tblBorders>
          <w:top w:val="single" w:sz="4" w:space="0" w:color="B8C3CD"/>
          <w:bottom w:val="single" w:sz="4" w:space="0" w:color="B8C3CD"/>
          <w:insideH w:val="single" w:sz="4" w:space="0" w:color="B8C3CD"/>
        </w:tblBorders>
        <w:tblLayout w:type="fixed"/>
        <w:tblLook w:val="04A0" w:firstRow="1" w:lastRow="0" w:firstColumn="1" w:lastColumn="0" w:noHBand="0" w:noVBand="1"/>
      </w:tblPr>
      <w:tblGrid>
        <w:gridCol w:w="1829"/>
        <w:gridCol w:w="3168"/>
        <w:gridCol w:w="3082"/>
        <w:gridCol w:w="1541"/>
      </w:tblGrid>
      <w:tr w:rsidR="003248D2" w:rsidRPr="003248D2" w14:paraId="48692E15" w14:textId="77777777">
        <w:trPr>
          <w:cantSplit/>
          <w:tblHeader/>
        </w:trPr>
        <w:tc>
          <w:tcPr>
            <w:tcW w:w="1829" w:type="dxa"/>
            <w:shd w:val="clear" w:color="auto" w:fill="EAF0F4"/>
            <w:tcMar>
              <w:top w:w="140" w:type="dxa"/>
              <w:left w:w="120" w:type="dxa"/>
              <w:bottom w:w="138" w:type="dxa"/>
              <w:right w:w="115" w:type="dxa"/>
            </w:tcMar>
            <w:vAlign w:val="center"/>
          </w:tcPr>
          <w:p w14:paraId="32EC3A4F" w14:textId="77777777" w:rsidR="00271861" w:rsidRPr="003248D2" w:rsidRDefault="00000000">
            <w:pPr>
              <w:spacing w:after="0" w:line="259" w:lineRule="auto"/>
              <w:rPr>
                <w:color w:val="auto"/>
              </w:rPr>
            </w:pPr>
            <w:r w:rsidRPr="003248D2">
              <w:rPr>
                <w:b/>
                <w:color w:val="auto"/>
                <w:sz w:val="16"/>
              </w:rPr>
              <w:t>Needle-free delivery class</w:t>
            </w:r>
          </w:p>
        </w:tc>
        <w:tc>
          <w:tcPr>
            <w:tcW w:w="3168" w:type="dxa"/>
            <w:shd w:val="clear" w:color="auto" w:fill="EAF0F4"/>
            <w:tcMar>
              <w:top w:w="140" w:type="dxa"/>
              <w:left w:w="120" w:type="dxa"/>
              <w:bottom w:w="138" w:type="dxa"/>
              <w:right w:w="115" w:type="dxa"/>
            </w:tcMar>
            <w:vAlign w:val="center"/>
          </w:tcPr>
          <w:p w14:paraId="2B85A71E" w14:textId="77777777" w:rsidR="00271861" w:rsidRPr="003248D2" w:rsidRDefault="00000000">
            <w:pPr>
              <w:spacing w:after="0" w:line="259" w:lineRule="auto"/>
              <w:rPr>
                <w:color w:val="auto"/>
              </w:rPr>
            </w:pPr>
            <w:r w:rsidRPr="003248D2">
              <w:rPr>
                <w:b/>
                <w:color w:val="auto"/>
                <w:sz w:val="16"/>
              </w:rPr>
              <w:t>Demonstrated capability</w:t>
            </w:r>
          </w:p>
        </w:tc>
        <w:tc>
          <w:tcPr>
            <w:tcW w:w="3082" w:type="dxa"/>
            <w:shd w:val="clear" w:color="auto" w:fill="EAF0F4"/>
            <w:tcMar>
              <w:top w:w="140" w:type="dxa"/>
              <w:left w:w="120" w:type="dxa"/>
              <w:bottom w:w="138" w:type="dxa"/>
              <w:right w:w="115" w:type="dxa"/>
            </w:tcMar>
            <w:vAlign w:val="center"/>
          </w:tcPr>
          <w:p w14:paraId="4168E923" w14:textId="77777777" w:rsidR="00271861" w:rsidRPr="003248D2" w:rsidRDefault="00000000">
            <w:pPr>
              <w:spacing w:after="0" w:line="259" w:lineRule="auto"/>
              <w:rPr>
                <w:color w:val="auto"/>
              </w:rPr>
            </w:pPr>
            <w:r w:rsidRPr="003248D2">
              <w:rPr>
                <w:b/>
                <w:color w:val="auto"/>
                <w:sz w:val="16"/>
              </w:rPr>
              <w:t>Main limitation or unproven extension</w:t>
            </w:r>
          </w:p>
        </w:tc>
        <w:tc>
          <w:tcPr>
            <w:tcW w:w="1541" w:type="dxa"/>
            <w:shd w:val="clear" w:color="auto" w:fill="EAF0F4"/>
            <w:tcMar>
              <w:top w:w="140" w:type="dxa"/>
              <w:left w:w="120" w:type="dxa"/>
              <w:bottom w:w="138" w:type="dxa"/>
              <w:right w:w="115" w:type="dxa"/>
            </w:tcMar>
            <w:vAlign w:val="center"/>
          </w:tcPr>
          <w:p w14:paraId="70C4C93D" w14:textId="77777777" w:rsidR="00271861" w:rsidRPr="003248D2" w:rsidRDefault="00000000">
            <w:pPr>
              <w:spacing w:after="0" w:line="259" w:lineRule="auto"/>
              <w:rPr>
                <w:color w:val="auto"/>
              </w:rPr>
            </w:pPr>
            <w:r w:rsidRPr="003248D2">
              <w:rPr>
                <w:b/>
                <w:color w:val="auto"/>
                <w:sz w:val="16"/>
              </w:rPr>
              <w:t>Supporting references</w:t>
            </w:r>
          </w:p>
        </w:tc>
      </w:tr>
      <w:tr w:rsidR="003248D2" w:rsidRPr="003248D2" w14:paraId="39B9B1F2" w14:textId="77777777">
        <w:trPr>
          <w:cantSplit/>
        </w:trPr>
        <w:tc>
          <w:tcPr>
            <w:tcW w:w="1829" w:type="dxa"/>
            <w:tcMar>
              <w:top w:w="115" w:type="dxa"/>
              <w:left w:w="120" w:type="dxa"/>
              <w:bottom w:w="115" w:type="dxa"/>
              <w:right w:w="120" w:type="dxa"/>
            </w:tcMar>
            <w:vAlign w:val="center"/>
          </w:tcPr>
          <w:p w14:paraId="0619BE77" w14:textId="77777777" w:rsidR="00271861" w:rsidRPr="003248D2" w:rsidRDefault="00000000">
            <w:pPr>
              <w:spacing w:after="0" w:line="264" w:lineRule="auto"/>
              <w:jc w:val="left"/>
              <w:rPr>
                <w:color w:val="auto"/>
              </w:rPr>
            </w:pPr>
            <w:r w:rsidRPr="003248D2">
              <w:rPr>
                <w:color w:val="auto"/>
                <w:sz w:val="17"/>
              </w:rPr>
              <w:t>Spring-driven liquid jet</w:t>
            </w:r>
          </w:p>
        </w:tc>
        <w:tc>
          <w:tcPr>
            <w:tcW w:w="3168" w:type="dxa"/>
            <w:tcMar>
              <w:top w:w="115" w:type="dxa"/>
              <w:left w:w="120" w:type="dxa"/>
              <w:bottom w:w="115" w:type="dxa"/>
              <w:right w:w="120" w:type="dxa"/>
            </w:tcMar>
            <w:vAlign w:val="center"/>
          </w:tcPr>
          <w:p w14:paraId="24AC7EC0" w14:textId="77777777" w:rsidR="00271861" w:rsidRPr="003248D2" w:rsidRDefault="00000000">
            <w:pPr>
              <w:spacing w:after="0" w:line="264" w:lineRule="auto"/>
              <w:jc w:val="left"/>
              <w:rPr>
                <w:color w:val="auto"/>
              </w:rPr>
            </w:pPr>
            <w:r w:rsidRPr="003248D2">
              <w:rPr>
                <w:color w:val="auto"/>
                <w:sz w:val="17"/>
              </w:rPr>
              <w:t>Clinically evaluated administration of selected vaccines and drugs with relatively simple actuation.</w:t>
            </w:r>
          </w:p>
        </w:tc>
        <w:tc>
          <w:tcPr>
            <w:tcW w:w="3082" w:type="dxa"/>
            <w:tcMar>
              <w:top w:w="115" w:type="dxa"/>
              <w:left w:w="120" w:type="dxa"/>
              <w:bottom w:w="115" w:type="dxa"/>
              <w:right w:w="120" w:type="dxa"/>
            </w:tcMar>
            <w:vAlign w:val="center"/>
          </w:tcPr>
          <w:p w14:paraId="088742FA" w14:textId="77777777" w:rsidR="00271861" w:rsidRPr="003248D2" w:rsidRDefault="00000000">
            <w:pPr>
              <w:spacing w:after="0" w:line="264" w:lineRule="auto"/>
              <w:jc w:val="left"/>
              <w:rPr>
                <w:color w:val="auto"/>
              </w:rPr>
            </w:pPr>
            <w:r w:rsidRPr="003248D2">
              <w:rPr>
                <w:color w:val="auto"/>
                <w:sz w:val="17"/>
              </w:rPr>
              <w:t>Fixed energy settings and cartridge geometry may restrict formulation and tissue flexibility.</w:t>
            </w:r>
          </w:p>
        </w:tc>
        <w:tc>
          <w:tcPr>
            <w:tcW w:w="1541" w:type="dxa"/>
            <w:tcMar>
              <w:top w:w="115" w:type="dxa"/>
              <w:left w:w="120" w:type="dxa"/>
              <w:bottom w:w="115" w:type="dxa"/>
              <w:right w:w="120" w:type="dxa"/>
            </w:tcMar>
            <w:vAlign w:val="center"/>
          </w:tcPr>
          <w:p w14:paraId="48211F47" w14:textId="77777777" w:rsidR="00271861" w:rsidRPr="003248D2" w:rsidRDefault="00000000">
            <w:pPr>
              <w:spacing w:after="0" w:line="264" w:lineRule="auto"/>
              <w:jc w:val="left"/>
              <w:rPr>
                <w:color w:val="auto"/>
              </w:rPr>
            </w:pPr>
            <w:r w:rsidRPr="003248D2">
              <w:rPr>
                <w:color w:val="auto"/>
                <w:sz w:val="16"/>
              </w:rPr>
              <w:t>(Baxter &amp; Mitragotri, 2006; McAllister et al., 2014)</w:t>
            </w:r>
          </w:p>
        </w:tc>
      </w:tr>
      <w:tr w:rsidR="003248D2" w:rsidRPr="003248D2" w14:paraId="599B0964" w14:textId="77777777">
        <w:trPr>
          <w:cantSplit/>
        </w:trPr>
        <w:tc>
          <w:tcPr>
            <w:tcW w:w="1829" w:type="dxa"/>
            <w:tcMar>
              <w:top w:w="115" w:type="dxa"/>
              <w:left w:w="120" w:type="dxa"/>
              <w:bottom w:w="115" w:type="dxa"/>
              <w:right w:w="120" w:type="dxa"/>
            </w:tcMar>
            <w:vAlign w:val="center"/>
          </w:tcPr>
          <w:p w14:paraId="23EC71E0" w14:textId="77777777" w:rsidR="00271861" w:rsidRPr="003248D2" w:rsidRDefault="00000000">
            <w:pPr>
              <w:spacing w:after="0" w:line="264" w:lineRule="auto"/>
              <w:jc w:val="left"/>
              <w:rPr>
                <w:color w:val="auto"/>
              </w:rPr>
            </w:pPr>
            <w:r w:rsidRPr="003248D2">
              <w:rPr>
                <w:color w:val="auto"/>
                <w:sz w:val="17"/>
              </w:rPr>
              <w:t>Compressed-gas or pneumatic liquid jet</w:t>
            </w:r>
          </w:p>
        </w:tc>
        <w:tc>
          <w:tcPr>
            <w:tcW w:w="3168" w:type="dxa"/>
            <w:tcMar>
              <w:top w:w="115" w:type="dxa"/>
              <w:left w:w="120" w:type="dxa"/>
              <w:bottom w:w="115" w:type="dxa"/>
              <w:right w:w="120" w:type="dxa"/>
            </w:tcMar>
            <w:vAlign w:val="center"/>
          </w:tcPr>
          <w:p w14:paraId="40D95380" w14:textId="77777777" w:rsidR="00271861" w:rsidRPr="003248D2" w:rsidRDefault="00000000">
            <w:pPr>
              <w:spacing w:after="0" w:line="264" w:lineRule="auto"/>
              <w:jc w:val="left"/>
              <w:rPr>
                <w:color w:val="auto"/>
              </w:rPr>
            </w:pPr>
            <w:r w:rsidRPr="003248D2">
              <w:rPr>
                <w:color w:val="auto"/>
                <w:sz w:val="17"/>
              </w:rPr>
              <w:t>Intralesional therapies and adjustable propulsion have been investigated clinically.</w:t>
            </w:r>
          </w:p>
        </w:tc>
        <w:tc>
          <w:tcPr>
            <w:tcW w:w="3082" w:type="dxa"/>
            <w:tcMar>
              <w:top w:w="115" w:type="dxa"/>
              <w:left w:w="120" w:type="dxa"/>
              <w:bottom w:w="115" w:type="dxa"/>
              <w:right w:w="120" w:type="dxa"/>
            </w:tcMar>
            <w:vAlign w:val="center"/>
          </w:tcPr>
          <w:p w14:paraId="6C652705" w14:textId="77777777" w:rsidR="00271861" w:rsidRPr="003248D2" w:rsidRDefault="00000000">
            <w:pPr>
              <w:spacing w:after="0" w:line="264" w:lineRule="auto"/>
              <w:jc w:val="left"/>
              <w:rPr>
                <w:color w:val="auto"/>
              </w:rPr>
            </w:pPr>
            <w:r w:rsidRPr="003248D2">
              <w:rPr>
                <w:color w:val="auto"/>
                <w:sz w:val="17"/>
              </w:rPr>
              <w:t>Dose escape, skin response and device-specific settings require lesion-level validation.</w:t>
            </w:r>
          </w:p>
        </w:tc>
        <w:tc>
          <w:tcPr>
            <w:tcW w:w="1541" w:type="dxa"/>
            <w:tcMar>
              <w:top w:w="115" w:type="dxa"/>
              <w:left w:w="120" w:type="dxa"/>
              <w:bottom w:w="115" w:type="dxa"/>
              <w:right w:w="120" w:type="dxa"/>
            </w:tcMar>
            <w:vAlign w:val="center"/>
          </w:tcPr>
          <w:p w14:paraId="7F96DCA1" w14:textId="77777777" w:rsidR="00271861" w:rsidRPr="003248D2" w:rsidRDefault="00000000">
            <w:pPr>
              <w:spacing w:after="0" w:line="264" w:lineRule="auto"/>
              <w:jc w:val="left"/>
              <w:rPr>
                <w:color w:val="auto"/>
              </w:rPr>
            </w:pPr>
            <w:r w:rsidRPr="003248D2">
              <w:rPr>
                <w:color w:val="auto"/>
                <w:sz w:val="16"/>
              </w:rPr>
              <w:t>(Barolet &amp; Benohanian, 2018; Erlendsson et al., 2022)</w:t>
            </w:r>
          </w:p>
        </w:tc>
      </w:tr>
      <w:tr w:rsidR="003248D2" w:rsidRPr="003248D2" w14:paraId="5594085A" w14:textId="77777777">
        <w:trPr>
          <w:cantSplit/>
        </w:trPr>
        <w:tc>
          <w:tcPr>
            <w:tcW w:w="1829" w:type="dxa"/>
            <w:tcMar>
              <w:top w:w="115" w:type="dxa"/>
              <w:left w:w="120" w:type="dxa"/>
              <w:bottom w:w="115" w:type="dxa"/>
              <w:right w:w="120" w:type="dxa"/>
            </w:tcMar>
            <w:vAlign w:val="center"/>
          </w:tcPr>
          <w:p w14:paraId="2BC439BD" w14:textId="77777777" w:rsidR="00271861" w:rsidRPr="003248D2" w:rsidRDefault="00000000">
            <w:pPr>
              <w:spacing w:after="0" w:line="264" w:lineRule="auto"/>
              <w:jc w:val="left"/>
              <w:rPr>
                <w:color w:val="auto"/>
              </w:rPr>
            </w:pPr>
            <w:r w:rsidRPr="003248D2">
              <w:rPr>
                <w:color w:val="auto"/>
                <w:sz w:val="17"/>
              </w:rPr>
              <w:t>Electromagnetic closed-loop actuator</w:t>
            </w:r>
          </w:p>
        </w:tc>
        <w:tc>
          <w:tcPr>
            <w:tcW w:w="3168" w:type="dxa"/>
            <w:tcMar>
              <w:top w:w="115" w:type="dxa"/>
              <w:left w:w="120" w:type="dxa"/>
              <w:bottom w:w="115" w:type="dxa"/>
              <w:right w:w="120" w:type="dxa"/>
            </w:tcMar>
            <w:vAlign w:val="center"/>
          </w:tcPr>
          <w:p w14:paraId="21E7DD88" w14:textId="77777777" w:rsidR="00271861" w:rsidRPr="003248D2" w:rsidRDefault="00000000">
            <w:pPr>
              <w:spacing w:after="0" w:line="264" w:lineRule="auto"/>
              <w:jc w:val="left"/>
              <w:rPr>
                <w:color w:val="auto"/>
              </w:rPr>
            </w:pPr>
            <w:r w:rsidRPr="003248D2">
              <w:rPr>
                <w:color w:val="auto"/>
                <w:sz w:val="17"/>
              </w:rPr>
              <w:t>Bench demonstrations can vary the injection pulse and delivered volume.</w:t>
            </w:r>
          </w:p>
        </w:tc>
        <w:tc>
          <w:tcPr>
            <w:tcW w:w="3082" w:type="dxa"/>
            <w:tcMar>
              <w:top w:w="115" w:type="dxa"/>
              <w:left w:w="120" w:type="dxa"/>
              <w:bottom w:w="115" w:type="dxa"/>
              <w:right w:w="120" w:type="dxa"/>
            </w:tcMar>
            <w:vAlign w:val="center"/>
          </w:tcPr>
          <w:p w14:paraId="572A6406" w14:textId="77777777" w:rsidR="00271861" w:rsidRPr="003248D2" w:rsidRDefault="00000000">
            <w:pPr>
              <w:spacing w:after="0" w:line="264" w:lineRule="auto"/>
              <w:jc w:val="left"/>
              <w:rPr>
                <w:color w:val="auto"/>
              </w:rPr>
            </w:pPr>
            <w:r w:rsidRPr="003248D2">
              <w:rPr>
                <w:color w:val="auto"/>
                <w:sz w:val="17"/>
              </w:rPr>
              <w:t>Tissue receipt of dose is not established by actuator telemetry alone.</w:t>
            </w:r>
          </w:p>
        </w:tc>
        <w:tc>
          <w:tcPr>
            <w:tcW w:w="1541" w:type="dxa"/>
            <w:tcMar>
              <w:top w:w="115" w:type="dxa"/>
              <w:left w:w="120" w:type="dxa"/>
              <w:bottom w:w="115" w:type="dxa"/>
              <w:right w:w="120" w:type="dxa"/>
            </w:tcMar>
            <w:vAlign w:val="center"/>
          </w:tcPr>
          <w:p w14:paraId="104C2E2C" w14:textId="77777777" w:rsidR="00271861" w:rsidRPr="003248D2" w:rsidRDefault="00000000">
            <w:pPr>
              <w:spacing w:after="0" w:line="264" w:lineRule="auto"/>
              <w:jc w:val="left"/>
              <w:rPr>
                <w:color w:val="auto"/>
              </w:rPr>
            </w:pPr>
            <w:r w:rsidRPr="003248D2">
              <w:rPr>
                <w:color w:val="auto"/>
                <w:sz w:val="16"/>
              </w:rPr>
              <w:t>(Stachowiak et al., 2009; Taberner et al., 2012)</w:t>
            </w:r>
          </w:p>
        </w:tc>
      </w:tr>
      <w:tr w:rsidR="003248D2" w:rsidRPr="003248D2" w14:paraId="416802A4" w14:textId="77777777">
        <w:trPr>
          <w:cantSplit/>
        </w:trPr>
        <w:tc>
          <w:tcPr>
            <w:tcW w:w="1829" w:type="dxa"/>
            <w:tcMar>
              <w:top w:w="115" w:type="dxa"/>
              <w:left w:w="120" w:type="dxa"/>
              <w:bottom w:w="115" w:type="dxa"/>
              <w:right w:w="120" w:type="dxa"/>
            </w:tcMar>
            <w:vAlign w:val="center"/>
          </w:tcPr>
          <w:p w14:paraId="2B1151A5" w14:textId="77777777" w:rsidR="00271861" w:rsidRPr="003248D2" w:rsidRDefault="00000000">
            <w:pPr>
              <w:spacing w:after="0" w:line="264" w:lineRule="auto"/>
              <w:jc w:val="left"/>
              <w:rPr>
                <w:color w:val="auto"/>
              </w:rPr>
            </w:pPr>
            <w:r w:rsidRPr="003248D2">
              <w:rPr>
                <w:color w:val="auto"/>
                <w:sz w:val="17"/>
              </w:rPr>
              <w:t>Laser-driven microfluidic jet</w:t>
            </w:r>
          </w:p>
        </w:tc>
        <w:tc>
          <w:tcPr>
            <w:tcW w:w="3168" w:type="dxa"/>
            <w:tcMar>
              <w:top w:w="115" w:type="dxa"/>
              <w:left w:w="120" w:type="dxa"/>
              <w:bottom w:w="115" w:type="dxa"/>
              <w:right w:w="120" w:type="dxa"/>
            </w:tcMar>
            <w:vAlign w:val="center"/>
          </w:tcPr>
          <w:p w14:paraId="5275DE76" w14:textId="77777777" w:rsidR="00271861" w:rsidRPr="003248D2" w:rsidRDefault="00000000">
            <w:pPr>
              <w:spacing w:after="0" w:line="264" w:lineRule="auto"/>
              <w:jc w:val="left"/>
              <w:rPr>
                <w:color w:val="auto"/>
              </w:rPr>
            </w:pPr>
            <w:r w:rsidRPr="003248D2">
              <w:rPr>
                <w:color w:val="auto"/>
                <w:sz w:val="17"/>
              </w:rPr>
              <w:t>Experimental delivery of focused small-volume jets into skin or ex vivo tissue.</w:t>
            </w:r>
          </w:p>
        </w:tc>
        <w:tc>
          <w:tcPr>
            <w:tcW w:w="3082" w:type="dxa"/>
            <w:tcMar>
              <w:top w:w="115" w:type="dxa"/>
              <w:left w:w="120" w:type="dxa"/>
              <w:bottom w:w="115" w:type="dxa"/>
              <w:right w:w="120" w:type="dxa"/>
            </w:tcMar>
            <w:vAlign w:val="center"/>
          </w:tcPr>
          <w:p w14:paraId="0EE44590" w14:textId="77777777" w:rsidR="00271861" w:rsidRPr="003248D2" w:rsidRDefault="00000000">
            <w:pPr>
              <w:spacing w:after="0" w:line="264" w:lineRule="auto"/>
              <w:jc w:val="left"/>
              <w:rPr>
                <w:color w:val="auto"/>
              </w:rPr>
            </w:pPr>
            <w:r w:rsidRPr="003248D2">
              <w:rPr>
                <w:color w:val="auto"/>
                <w:sz w:val="17"/>
              </w:rPr>
              <w:t>Clinical throughput, fragile-formulation compatibility and long-term safety are unresolved.</w:t>
            </w:r>
          </w:p>
        </w:tc>
        <w:tc>
          <w:tcPr>
            <w:tcW w:w="1541" w:type="dxa"/>
            <w:tcMar>
              <w:top w:w="115" w:type="dxa"/>
              <w:left w:w="120" w:type="dxa"/>
              <w:bottom w:w="115" w:type="dxa"/>
              <w:right w:w="120" w:type="dxa"/>
            </w:tcMar>
            <w:vAlign w:val="center"/>
          </w:tcPr>
          <w:p w14:paraId="664D5FFB" w14:textId="77777777" w:rsidR="00271861" w:rsidRPr="003248D2" w:rsidRDefault="00000000">
            <w:pPr>
              <w:spacing w:after="0" w:line="264" w:lineRule="auto"/>
              <w:jc w:val="left"/>
              <w:rPr>
                <w:color w:val="auto"/>
              </w:rPr>
            </w:pPr>
            <w:r w:rsidRPr="003248D2">
              <w:rPr>
                <w:color w:val="auto"/>
                <w:sz w:val="16"/>
              </w:rPr>
              <w:t>(Rohilla &amp; Marston, 2020; van der Ven et al., 2026)</w:t>
            </w:r>
          </w:p>
        </w:tc>
      </w:tr>
      <w:tr w:rsidR="003248D2" w:rsidRPr="003248D2" w14:paraId="423EE2CD" w14:textId="77777777">
        <w:trPr>
          <w:cantSplit/>
        </w:trPr>
        <w:tc>
          <w:tcPr>
            <w:tcW w:w="1829" w:type="dxa"/>
            <w:tcMar>
              <w:top w:w="115" w:type="dxa"/>
              <w:left w:w="120" w:type="dxa"/>
              <w:bottom w:w="115" w:type="dxa"/>
              <w:right w:w="120" w:type="dxa"/>
            </w:tcMar>
            <w:vAlign w:val="center"/>
          </w:tcPr>
          <w:p w14:paraId="4E3A1AFA" w14:textId="77777777" w:rsidR="00271861" w:rsidRPr="003248D2" w:rsidRDefault="00000000">
            <w:pPr>
              <w:spacing w:after="0" w:line="264" w:lineRule="auto"/>
              <w:jc w:val="left"/>
              <w:rPr>
                <w:color w:val="auto"/>
              </w:rPr>
            </w:pPr>
            <w:r w:rsidRPr="003248D2">
              <w:rPr>
                <w:color w:val="auto"/>
                <w:sz w:val="17"/>
              </w:rPr>
              <w:t>Ballistic particle / dry-powder system</w:t>
            </w:r>
          </w:p>
        </w:tc>
        <w:tc>
          <w:tcPr>
            <w:tcW w:w="3168" w:type="dxa"/>
            <w:tcMar>
              <w:top w:w="115" w:type="dxa"/>
              <w:left w:w="120" w:type="dxa"/>
              <w:bottom w:w="115" w:type="dxa"/>
              <w:right w:w="120" w:type="dxa"/>
            </w:tcMar>
            <w:vAlign w:val="center"/>
          </w:tcPr>
          <w:p w14:paraId="2629DB03" w14:textId="77777777" w:rsidR="00271861" w:rsidRPr="003248D2" w:rsidRDefault="00000000">
            <w:pPr>
              <w:spacing w:after="0" w:line="264" w:lineRule="auto"/>
              <w:jc w:val="left"/>
              <w:rPr>
                <w:color w:val="auto"/>
              </w:rPr>
            </w:pPr>
            <w:r w:rsidRPr="003248D2">
              <w:rPr>
                <w:color w:val="auto"/>
                <w:sz w:val="17"/>
              </w:rPr>
              <w:t>Skin-targeted particle or antigen deposition is physically feasible.</w:t>
            </w:r>
          </w:p>
        </w:tc>
        <w:tc>
          <w:tcPr>
            <w:tcW w:w="3082" w:type="dxa"/>
            <w:tcMar>
              <w:top w:w="115" w:type="dxa"/>
              <w:left w:w="120" w:type="dxa"/>
              <w:bottom w:w="115" w:type="dxa"/>
              <w:right w:w="120" w:type="dxa"/>
            </w:tcMar>
            <w:vAlign w:val="center"/>
          </w:tcPr>
          <w:p w14:paraId="2EC3D509" w14:textId="77777777" w:rsidR="00271861" w:rsidRPr="003248D2" w:rsidRDefault="00000000">
            <w:pPr>
              <w:spacing w:after="0" w:line="264" w:lineRule="auto"/>
              <w:jc w:val="left"/>
              <w:rPr>
                <w:color w:val="auto"/>
              </w:rPr>
            </w:pPr>
            <w:r w:rsidRPr="003248D2">
              <w:rPr>
                <w:color w:val="auto"/>
                <w:sz w:val="17"/>
              </w:rPr>
              <w:t>Particle manufacturing, impact trauma and clinical efficacy differ from liquid-jet evidence.</w:t>
            </w:r>
          </w:p>
        </w:tc>
        <w:tc>
          <w:tcPr>
            <w:tcW w:w="1541" w:type="dxa"/>
            <w:tcMar>
              <w:top w:w="115" w:type="dxa"/>
              <w:left w:w="120" w:type="dxa"/>
              <w:bottom w:w="115" w:type="dxa"/>
              <w:right w:w="120" w:type="dxa"/>
            </w:tcMar>
            <w:vAlign w:val="center"/>
          </w:tcPr>
          <w:p w14:paraId="29D09708" w14:textId="77777777" w:rsidR="00271861" w:rsidRPr="003248D2" w:rsidRDefault="00000000">
            <w:pPr>
              <w:spacing w:after="0" w:line="264" w:lineRule="auto"/>
              <w:jc w:val="left"/>
              <w:rPr>
                <w:color w:val="auto"/>
              </w:rPr>
            </w:pPr>
            <w:r w:rsidRPr="003248D2">
              <w:rPr>
                <w:color w:val="auto"/>
                <w:sz w:val="16"/>
              </w:rPr>
              <w:t>(Chen et al., 2002; Dean et al., 2003)</w:t>
            </w:r>
          </w:p>
        </w:tc>
      </w:tr>
    </w:tbl>
    <w:p w14:paraId="018FA499" w14:textId="77777777" w:rsidR="00271861" w:rsidRPr="003248D2" w:rsidRDefault="00000000">
      <w:pPr>
        <w:pStyle w:val="ReviewTableNote"/>
        <w:rPr>
          <w:color w:val="auto"/>
        </w:rPr>
      </w:pPr>
      <w:r w:rsidRPr="003248D2">
        <w:rPr>
          <w:i/>
          <w:color w:val="auto"/>
        </w:rPr>
        <w:t xml:space="preserve">Note. </w:t>
      </w:r>
      <w:r w:rsidRPr="003248D2">
        <w:rPr>
          <w:color w:val="auto"/>
        </w:rPr>
        <w:t>Selected evidence is illustrative rather than exhaustive; findings are conditional on the tested device and formulation.</w:t>
      </w:r>
    </w:p>
    <w:p w14:paraId="7EAA380D" w14:textId="77777777" w:rsidR="00271861" w:rsidRPr="003248D2" w:rsidRDefault="00000000">
      <w:pPr>
        <w:pStyle w:val="Heading1"/>
        <w:rPr>
          <w:color w:val="auto"/>
        </w:rPr>
      </w:pPr>
      <w:r w:rsidRPr="003248D2">
        <w:rPr>
          <w:color w:val="auto"/>
        </w:rPr>
        <w:t>5. Vaccination: Immunogenicity, Dose-Sparing and Field Performance</w:t>
      </w:r>
    </w:p>
    <w:p w14:paraId="63354CF3" w14:textId="77777777" w:rsidR="00271861" w:rsidRPr="003248D2" w:rsidRDefault="00000000">
      <w:pPr>
        <w:pStyle w:val="Heading2"/>
        <w:rPr>
          <w:color w:val="auto"/>
        </w:rPr>
      </w:pPr>
      <w:r w:rsidRPr="003248D2">
        <w:rPr>
          <w:color w:val="auto"/>
        </w:rPr>
        <w:t>5.1 Vaccine delivery is not a single outcome</w:t>
      </w:r>
    </w:p>
    <w:p w14:paraId="0ED5DFD2" w14:textId="77777777" w:rsidR="00271861" w:rsidRPr="003248D2" w:rsidRDefault="00000000">
      <w:pPr>
        <w:rPr>
          <w:color w:val="auto"/>
        </w:rPr>
      </w:pPr>
      <w:r w:rsidRPr="003248D2">
        <w:rPr>
          <w:color w:val="auto"/>
        </w:rPr>
        <w:t xml:space="preserve">Vaccination is the most historically prominent application because rapid administration, avoidance of conventional sharps and access to immunologically active skin layers create a plausible public-health rationale. Yet vaccine performance must be judged by product- and programme-specific criteria. For an </w:t>
      </w:r>
      <w:r w:rsidRPr="003248D2">
        <w:rPr>
          <w:color w:val="auto"/>
        </w:rPr>
        <w:lastRenderedPageBreak/>
        <w:t>established vaccine, non-inferiority in prespecified antibody endpoints may be the appropriate first test, although antibody measurements are not always perfect surrogates for long-term protection. An intradermal fractional dose tests both route and dose reduction, whereas full-dose intramuscular delivery tests a closer method substitution. These questions should not be pooled under the vague outcome of “effective immunisation” (Ikechukwu &amp; Agu, 2026; McAllister et al., 2014; Mohammed et al., 2010).</w:t>
      </w:r>
    </w:p>
    <w:p w14:paraId="3DF83117" w14:textId="77777777" w:rsidR="00271861" w:rsidRPr="003248D2" w:rsidRDefault="00000000">
      <w:pPr>
        <w:rPr>
          <w:color w:val="auto"/>
        </w:rPr>
      </w:pPr>
      <w:r w:rsidRPr="003248D2">
        <w:rPr>
          <w:color w:val="auto"/>
        </w:rPr>
        <w:t>Comparative trials need careful interpretation of the counterfactual. A study comparing one-fifth of a conventional intramuscular dose administered intradermally using a jet with the full intramuscular dose tests the combined effect of route, amount and device. Even if antibody responses are comparable, the result does not prove that the jet is intrinsically superior to a needle when both deliver the same amount into the same layer. Conversely, failure to satisfy an immunological threshold may reflect dose-sparing limits rather than inadequate injector mechanics. Separating device, route and dose experimentally is expensive but essential if a study is intended to support generalisation beyond a particular vaccine programme.</w:t>
      </w:r>
    </w:p>
    <w:p w14:paraId="758002DD" w14:textId="77777777" w:rsidR="00271861" w:rsidRPr="003248D2" w:rsidRDefault="00000000">
      <w:pPr>
        <w:pStyle w:val="Heading2"/>
        <w:rPr>
          <w:color w:val="auto"/>
        </w:rPr>
      </w:pPr>
      <w:r w:rsidRPr="003248D2">
        <w:rPr>
          <w:color w:val="auto"/>
        </w:rPr>
        <w:t>5.2 Influenza vaccine: a robust method-comparison example</w:t>
      </w:r>
    </w:p>
    <w:p w14:paraId="4AFACB60" w14:textId="77777777" w:rsidR="00271861" w:rsidRPr="003248D2" w:rsidRDefault="00000000">
      <w:pPr>
        <w:rPr>
          <w:color w:val="auto"/>
        </w:rPr>
      </w:pPr>
      <w:r w:rsidRPr="003248D2">
        <w:rPr>
          <w:color w:val="auto"/>
        </w:rPr>
        <w:t>The randomised controlled influenza trial by McAllister et al. (2014) provides relatively strong evidence for a defined injector–vaccine application. In healthy adults, a trivalent inactivated influenza vaccine administered intramuscularly with a needle-free jet injector met prespecified non-inferiority criteria against administration with a needle and syringe. The trial used strain-specific geometric mean titres and seroconversion outcomes, with an established comparator and a clear analysis framework. This design addresses the limited but important question of whether the tested method preserved expected vaccine immunogenicity. It does not justify replacing all conventional influenza administration platforms in every age group, nor does antibody non-inferiority establish superior protection against influenza infection.</w:t>
      </w:r>
    </w:p>
    <w:p w14:paraId="1258FBB8" w14:textId="77777777" w:rsidR="00271861" w:rsidRPr="003248D2" w:rsidRDefault="00000000">
      <w:pPr>
        <w:rPr>
          <w:color w:val="auto"/>
        </w:rPr>
      </w:pPr>
      <w:r w:rsidRPr="003248D2">
        <w:rPr>
          <w:color w:val="auto"/>
        </w:rPr>
        <w:t>Safety findings temper the interpretation. The trial reported more frequent local injection-site reactions in the jet group, despite an acceptable overall safety profile. This reveals an important distinction between patient preference and measured tissue response: removing the needle does not necessarily make the local tissue experience less intense. The result also challenges the unqualified statement that needle-free injection is less painful, because discomfort can arise from jet impact, pressure, formulation or resulting inflammation. Clinically meaningful acceptability should include different time points and reactions rather than relying only on the discomfort experienced at the instant of administration (McAllister et al., 2014).</w:t>
      </w:r>
    </w:p>
    <w:p w14:paraId="7ABD6D26" w14:textId="77777777" w:rsidR="00271861" w:rsidRPr="003248D2" w:rsidRDefault="00000000">
      <w:pPr>
        <w:pStyle w:val="Heading2"/>
        <w:rPr>
          <w:color w:val="auto"/>
        </w:rPr>
      </w:pPr>
      <w:r w:rsidRPr="003248D2">
        <w:rPr>
          <w:color w:val="auto"/>
        </w:rPr>
        <w:t>5.3 Poliovirus vaccination: dose reduction and injection quality</w:t>
      </w:r>
    </w:p>
    <w:p w14:paraId="50114A8F" w14:textId="77777777" w:rsidR="00271861" w:rsidRPr="003248D2" w:rsidRDefault="00000000">
      <w:pPr>
        <w:rPr>
          <w:color w:val="auto"/>
        </w:rPr>
      </w:pPr>
      <w:r w:rsidRPr="003248D2">
        <w:rPr>
          <w:color w:val="auto"/>
        </w:rPr>
        <w:t>Poliovirus vaccination has generated a particularly informative body of pragmatic and clinical evidence because fractional-dose intradermal inactivated poliovirus vaccine is attractive when supply or cost is constrained. In an infant trial in Oman, Mohammed et al. (2010) compared one-fifth-dose intradermal administration using a needle-free device with full-dose intramuscular administration, establishing the biological feasibility of a dose-sparing strategy under specific conditions. This evidence is relevant to programme design but requires attention to the schedule, poliovirus serotypes and primary immune measures. A fraction of the standard dose is not generically interchangeable with a full dose for all antigens or schedules.</w:t>
      </w:r>
    </w:p>
    <w:p w14:paraId="42661E40" w14:textId="77777777" w:rsidR="00271861" w:rsidRPr="003248D2" w:rsidRDefault="00000000">
      <w:pPr>
        <w:rPr>
          <w:color w:val="auto"/>
        </w:rPr>
      </w:pPr>
      <w:r w:rsidRPr="003248D2">
        <w:rPr>
          <w:color w:val="auto"/>
        </w:rPr>
        <w:t xml:space="preserve">Resik et al. (2015) investigated several intradermal delivery platforms and compared measurable injection characteristics with immunogenicity in Cuba. The relationship between bleb formation, leakage and antibody response was not consistent across all serotype outcomes. This finding does not make injection quality </w:t>
      </w:r>
      <w:r w:rsidRPr="003248D2">
        <w:rPr>
          <w:color w:val="auto"/>
        </w:rPr>
        <w:lastRenderedPageBreak/>
        <w:t>irrelevant; rather, it demonstrates that surface appearance is too imperfect to function as a stand-alone biological release criterion. A visible bleb can indicate that fluid reached superficial layers, while unmeasured dispersion, prior vaccine exposure and individual immune variation still influence antibody outcomes. Device evaluation should preserve both process quality and clinically relevant immune endpoints rather than treating them as substitutes.</w:t>
      </w:r>
    </w:p>
    <w:p w14:paraId="62A34FF8" w14:textId="77777777" w:rsidR="00271861" w:rsidRPr="003248D2" w:rsidRDefault="00000000">
      <w:pPr>
        <w:rPr>
          <w:color w:val="auto"/>
        </w:rPr>
      </w:pPr>
      <w:r w:rsidRPr="003248D2">
        <w:rPr>
          <w:color w:val="auto"/>
        </w:rPr>
        <w:t>The pragmatic campaign study in The Gambia offers a useful field-level test. Bashorun et al. (2022) compared intradermal fractional-dose vaccine administered using a disposable syringe jet injector, an intradermal adaptor or a conventional needle-and-syringe approach. The trial assigned vaccination teams, rather than individual children, to administration methods and demonstrated non-inferiority for specified immune-response outcomes in the campaign context. Its strengths include field implementation, several delivery approaches and outcomes beyond a laboratory setting. Its design also creates interpretive features absent from individually randomised trials: operator clusters, shared workflow, setting-specific training and the potential for contextual influences. An encouraging field result should not be converted into a claim that administration expertise never matters or that performance is identical across all health services.</w:t>
      </w:r>
    </w:p>
    <w:p w14:paraId="2E3FCB51" w14:textId="77777777" w:rsidR="00271861" w:rsidRPr="003248D2" w:rsidRDefault="00000000">
      <w:pPr>
        <w:rPr>
          <w:color w:val="auto"/>
        </w:rPr>
      </w:pPr>
      <w:r w:rsidRPr="003248D2">
        <w:rPr>
          <w:color w:val="auto"/>
        </w:rPr>
        <w:t>Across these studies, fractional-dose administration is best considered a vaccine-specific, schedule-specific and device-specific policy instrument. Dose-sparing can increase the number of administrations obtainable from a fixed vaccine stock only when injection losses, cold-chain management, vial use and programme wastage are incorporated. The theoretical multiplication of doses from a vial does not automatically translate into the same multiplication of fully immunised individuals. This distinction is especially pertinent for campaign planning, where preparation time, device servicing, cartridge supply and throughput can determine realised benefit (Bashorun et al., 2022; Ikechukwu &amp; Agu, 2026; Resik et al., 2015).</w:t>
      </w:r>
    </w:p>
    <w:p w14:paraId="60679D51" w14:textId="77777777" w:rsidR="00271861" w:rsidRPr="003248D2" w:rsidRDefault="00000000">
      <w:pPr>
        <w:pStyle w:val="Heading2"/>
        <w:rPr>
          <w:color w:val="auto"/>
        </w:rPr>
      </w:pPr>
      <w:r w:rsidRPr="003248D2">
        <w:rPr>
          <w:color w:val="auto"/>
        </w:rPr>
        <w:t>5.4 Other licensed and candidate vaccines</w:t>
      </w:r>
    </w:p>
    <w:p w14:paraId="020B23CA" w14:textId="77777777" w:rsidR="00271861" w:rsidRPr="003248D2" w:rsidRDefault="00000000">
      <w:pPr>
        <w:rPr>
          <w:color w:val="auto"/>
        </w:rPr>
      </w:pPr>
      <w:r w:rsidRPr="003248D2">
        <w:rPr>
          <w:color w:val="auto"/>
        </w:rPr>
        <w:t>Pilot studies of human papillomavirus vaccine illustrate why small preliminary comparisons need cautious interpretation. Nelson et al. (2013) assessed different vaccine products, routes, doses and administration methods in a pilot randomised investigation of young adults. Its relevance lies in demonstrating the possibility of intradermal experimentation with established vaccines, rather than proving a broadly applicable dose-sparing replacement. Small group sizes and a factorial mixture of vaccine, dose and route limit the confidence of any one comparison. Similar concerns apply to the small Indian measles–mumps–rubella trial reported by Ratta et al. (2025): it presents a potentially useful method-comparison signal but was not large enough to establish general safety or definitive equivalence across its components. The involvement of device-related commercial authors should also be considered when weighing independent replication needs.</w:t>
      </w:r>
    </w:p>
    <w:p w14:paraId="0068BD6D" w14:textId="77777777" w:rsidR="00271861" w:rsidRPr="003248D2" w:rsidRDefault="00000000">
      <w:pPr>
        <w:rPr>
          <w:color w:val="auto"/>
        </w:rPr>
      </w:pPr>
      <w:r w:rsidRPr="003248D2">
        <w:rPr>
          <w:color w:val="auto"/>
        </w:rPr>
        <w:t>Newer human studies extend the technology beyond established protein and inactivated vaccines. Paulsen et al. (2024) evaluated an Andes virus DNA vaccine delivered by needle-free injection in a randomised phase 1 trial, focusing on safety and antibody responses rather than disease prevention. Hooper et al. (2024) reported a phase 1 trial involving Hantaan and Puumala virus DNA vaccines delivered by a needle-free system. These programmes show feasibility for selected plasmid formulations and support continued development. Yet early immunogenicity and short-to-medium-term tolerability cannot be interpreted as demonstrated effectiveness against hantavirus disease. Formulation, construct, antigen and dosing schedule jointly determine response, so the device’s contribution to immunity remains difficult to isolate when alternative delivery methods are not tested in parallel.</w:t>
      </w:r>
    </w:p>
    <w:p w14:paraId="4D37A530" w14:textId="77777777" w:rsidR="00271861" w:rsidRPr="003248D2" w:rsidRDefault="00000000">
      <w:pPr>
        <w:rPr>
          <w:color w:val="auto"/>
        </w:rPr>
      </w:pPr>
      <w:r w:rsidRPr="003248D2">
        <w:rPr>
          <w:color w:val="auto"/>
        </w:rPr>
        <w:lastRenderedPageBreak/>
        <w:t>Preclinical messenger ribonucleic acid (mRNA) injection opens a different translational question. Kisakov et al. (2025) reported immune responses after needle-free administration of an experimental coronavirus mRNA construct in mice. This is relevant to the possibility of delivery without lipid nanoparticles, but neither protein expression nor immune response in mice resolves delivery efficiency in humans, repeated-dose local injury or long-term stability of a clinical formulation. Comparisons with lipid nanoparticle formulations additionally confound packaging and administration method. The central lesson is methodological: promising nucleic-acid delivery demands paired assessment of jetting stress, intracellular expression, immune outcomes and manufacturing feasibility before claims of platform replacement are warranted.</w:t>
      </w:r>
    </w:p>
    <w:p w14:paraId="6AC901D0" w14:textId="77777777" w:rsidR="00271861" w:rsidRPr="003248D2" w:rsidRDefault="00000000">
      <w:pPr>
        <w:pStyle w:val="Heading2"/>
        <w:rPr>
          <w:color w:val="auto"/>
        </w:rPr>
      </w:pPr>
      <w:r w:rsidRPr="003248D2">
        <w:rPr>
          <w:color w:val="auto"/>
        </w:rPr>
        <w:t>5.5 Interpretation across vaccine trials</w:t>
      </w:r>
    </w:p>
    <w:p w14:paraId="3C578146" w14:textId="77777777" w:rsidR="00271861" w:rsidRPr="003248D2" w:rsidRDefault="00000000">
      <w:pPr>
        <w:rPr>
          <w:color w:val="auto"/>
        </w:rPr>
      </w:pPr>
      <w:r w:rsidRPr="003248D2">
        <w:rPr>
          <w:color w:val="auto"/>
        </w:rPr>
        <w:t>The most defensible overall inference is that clinically adequate immunogenicity has been demonstrated for selected device–vaccine–route combinations. The strength of this statement is highest where sample sizes, non-inferiority limits and direct needle comparators were prespecified, and lower for small exploratory vaccine studies. No evidence here justifies an assumption that needle-free administration uniformly enhances immune responses or can support indiscriminate fractional dosing. Local reactogenicity may be more prominent for some injectors even when systemic safety is acceptable. Product-specific approval, contraindications, age ranges and administration instructions therefore remain critical, while emerging platforms require their own trials (Bashorun et al., 2022; McAllister et al., 2014; Nelson et al., 2013).</w:t>
      </w:r>
    </w:p>
    <w:p w14:paraId="040725E3" w14:textId="77777777" w:rsidR="00271861" w:rsidRPr="003248D2" w:rsidRDefault="00000000">
      <w:pPr>
        <w:rPr>
          <w:color w:val="auto"/>
        </w:rPr>
      </w:pPr>
      <w:r w:rsidRPr="003248D2">
        <w:rPr>
          <w:color w:val="auto"/>
        </w:rPr>
        <w:t>Table 3 juxtaposes principal human vaccine evidence by design, comparator and inferential limit. The comparison shows why immunological success has to be interpreted against the actual trial question: full-dose method substitution, route-dependent dose-sparing and first-in-human candidate-vaccine development answer different scientific and implementation questions.</w:t>
      </w:r>
    </w:p>
    <w:p w14:paraId="21452592" w14:textId="77777777" w:rsidR="00271861" w:rsidRPr="003248D2" w:rsidRDefault="00000000">
      <w:pPr>
        <w:pStyle w:val="ReviewTableTitle"/>
        <w:rPr>
          <w:color w:val="auto"/>
        </w:rPr>
      </w:pPr>
      <w:r w:rsidRPr="003248D2">
        <w:rPr>
          <w:b/>
          <w:color w:val="auto"/>
        </w:rPr>
        <w:t xml:space="preserve">Table 3. </w:t>
      </w:r>
      <w:r w:rsidRPr="003248D2">
        <w:rPr>
          <w:color w:val="auto"/>
        </w:rPr>
        <w:t>Representative human vaccine studies and their limits of inference</w:t>
      </w:r>
    </w:p>
    <w:tbl>
      <w:tblPr>
        <w:tblW w:w="0" w:type="auto"/>
        <w:tblBorders>
          <w:top w:val="single" w:sz="4" w:space="0" w:color="B8C3CD"/>
          <w:bottom w:val="single" w:sz="4" w:space="0" w:color="B8C3CD"/>
          <w:insideH w:val="single" w:sz="4" w:space="0" w:color="B8C3CD"/>
        </w:tblBorders>
        <w:tblLayout w:type="fixed"/>
        <w:tblLook w:val="04A0" w:firstRow="1" w:lastRow="0" w:firstColumn="1" w:lastColumn="0" w:noHBand="0" w:noVBand="1"/>
      </w:tblPr>
      <w:tblGrid>
        <w:gridCol w:w="1829"/>
        <w:gridCol w:w="3168"/>
        <w:gridCol w:w="3082"/>
        <w:gridCol w:w="1541"/>
      </w:tblGrid>
      <w:tr w:rsidR="003248D2" w:rsidRPr="003248D2" w14:paraId="3F48157A" w14:textId="77777777">
        <w:trPr>
          <w:cantSplit/>
          <w:tblHeader/>
        </w:trPr>
        <w:tc>
          <w:tcPr>
            <w:tcW w:w="1829" w:type="dxa"/>
            <w:shd w:val="clear" w:color="auto" w:fill="EAF0F4"/>
            <w:tcMar>
              <w:top w:w="140" w:type="dxa"/>
              <w:left w:w="120" w:type="dxa"/>
              <w:bottom w:w="138" w:type="dxa"/>
              <w:right w:w="115" w:type="dxa"/>
            </w:tcMar>
            <w:vAlign w:val="center"/>
          </w:tcPr>
          <w:p w14:paraId="74BF1D0A" w14:textId="77777777" w:rsidR="00271861" w:rsidRPr="003248D2" w:rsidRDefault="00000000">
            <w:pPr>
              <w:spacing w:after="0" w:line="259" w:lineRule="auto"/>
              <w:rPr>
                <w:color w:val="auto"/>
              </w:rPr>
            </w:pPr>
            <w:r w:rsidRPr="003248D2">
              <w:rPr>
                <w:b/>
                <w:color w:val="auto"/>
                <w:sz w:val="16"/>
              </w:rPr>
              <w:t>Vaccine and study context</w:t>
            </w:r>
          </w:p>
        </w:tc>
        <w:tc>
          <w:tcPr>
            <w:tcW w:w="3168" w:type="dxa"/>
            <w:shd w:val="clear" w:color="auto" w:fill="EAF0F4"/>
            <w:tcMar>
              <w:top w:w="140" w:type="dxa"/>
              <w:left w:w="120" w:type="dxa"/>
              <w:bottom w:w="138" w:type="dxa"/>
              <w:right w:w="115" w:type="dxa"/>
            </w:tcMar>
            <w:vAlign w:val="center"/>
          </w:tcPr>
          <w:p w14:paraId="62CA0204" w14:textId="77777777" w:rsidR="00271861" w:rsidRPr="003248D2" w:rsidRDefault="00000000">
            <w:pPr>
              <w:spacing w:after="0" w:line="259" w:lineRule="auto"/>
              <w:rPr>
                <w:color w:val="auto"/>
              </w:rPr>
            </w:pPr>
            <w:r w:rsidRPr="003248D2">
              <w:rPr>
                <w:b/>
                <w:color w:val="auto"/>
                <w:sz w:val="16"/>
              </w:rPr>
              <w:t>Principal evidence</w:t>
            </w:r>
          </w:p>
        </w:tc>
        <w:tc>
          <w:tcPr>
            <w:tcW w:w="3082" w:type="dxa"/>
            <w:shd w:val="clear" w:color="auto" w:fill="EAF0F4"/>
            <w:tcMar>
              <w:top w:w="140" w:type="dxa"/>
              <w:left w:w="120" w:type="dxa"/>
              <w:bottom w:w="138" w:type="dxa"/>
              <w:right w:w="115" w:type="dxa"/>
            </w:tcMar>
            <w:vAlign w:val="center"/>
          </w:tcPr>
          <w:p w14:paraId="7ABC372E" w14:textId="77777777" w:rsidR="00271861" w:rsidRPr="003248D2" w:rsidRDefault="00000000">
            <w:pPr>
              <w:spacing w:after="0" w:line="259" w:lineRule="auto"/>
              <w:rPr>
                <w:color w:val="auto"/>
              </w:rPr>
            </w:pPr>
            <w:r w:rsidRPr="003248D2">
              <w:rPr>
                <w:b/>
                <w:color w:val="auto"/>
                <w:sz w:val="16"/>
              </w:rPr>
              <w:t>Limit of causal or clinical inference</w:t>
            </w:r>
          </w:p>
        </w:tc>
        <w:tc>
          <w:tcPr>
            <w:tcW w:w="1541" w:type="dxa"/>
            <w:shd w:val="clear" w:color="auto" w:fill="EAF0F4"/>
            <w:tcMar>
              <w:top w:w="140" w:type="dxa"/>
              <w:left w:w="120" w:type="dxa"/>
              <w:bottom w:w="138" w:type="dxa"/>
              <w:right w:w="115" w:type="dxa"/>
            </w:tcMar>
            <w:vAlign w:val="center"/>
          </w:tcPr>
          <w:p w14:paraId="219DD6D9" w14:textId="77777777" w:rsidR="00271861" w:rsidRPr="003248D2" w:rsidRDefault="00000000">
            <w:pPr>
              <w:spacing w:after="0" w:line="259" w:lineRule="auto"/>
              <w:rPr>
                <w:color w:val="auto"/>
              </w:rPr>
            </w:pPr>
            <w:r w:rsidRPr="003248D2">
              <w:rPr>
                <w:b/>
                <w:color w:val="auto"/>
                <w:sz w:val="16"/>
              </w:rPr>
              <w:t>Supporting references</w:t>
            </w:r>
          </w:p>
        </w:tc>
      </w:tr>
      <w:tr w:rsidR="003248D2" w:rsidRPr="003248D2" w14:paraId="6ABBB938" w14:textId="77777777">
        <w:trPr>
          <w:cantSplit/>
        </w:trPr>
        <w:tc>
          <w:tcPr>
            <w:tcW w:w="1829" w:type="dxa"/>
            <w:tcMar>
              <w:top w:w="115" w:type="dxa"/>
              <w:left w:w="120" w:type="dxa"/>
              <w:bottom w:w="115" w:type="dxa"/>
              <w:right w:w="120" w:type="dxa"/>
            </w:tcMar>
            <w:vAlign w:val="center"/>
          </w:tcPr>
          <w:p w14:paraId="4B6CD092" w14:textId="77777777" w:rsidR="00271861" w:rsidRPr="003248D2" w:rsidRDefault="00000000">
            <w:pPr>
              <w:spacing w:after="0" w:line="264" w:lineRule="auto"/>
              <w:jc w:val="left"/>
              <w:rPr>
                <w:color w:val="auto"/>
              </w:rPr>
            </w:pPr>
            <w:r w:rsidRPr="003248D2">
              <w:rPr>
                <w:color w:val="auto"/>
                <w:sz w:val="17"/>
              </w:rPr>
              <w:t>Seasonal influenza, full-dose delivery</w:t>
            </w:r>
          </w:p>
        </w:tc>
        <w:tc>
          <w:tcPr>
            <w:tcW w:w="3168" w:type="dxa"/>
            <w:tcMar>
              <w:top w:w="115" w:type="dxa"/>
              <w:left w:w="120" w:type="dxa"/>
              <w:bottom w:w="115" w:type="dxa"/>
              <w:right w:w="120" w:type="dxa"/>
            </w:tcMar>
            <w:vAlign w:val="center"/>
          </w:tcPr>
          <w:p w14:paraId="288A566B" w14:textId="77777777" w:rsidR="00271861" w:rsidRPr="003248D2" w:rsidRDefault="00000000">
            <w:pPr>
              <w:spacing w:after="0" w:line="264" w:lineRule="auto"/>
              <w:jc w:val="left"/>
              <w:rPr>
                <w:color w:val="auto"/>
              </w:rPr>
            </w:pPr>
            <w:r w:rsidRPr="003248D2">
              <w:rPr>
                <w:color w:val="auto"/>
                <w:sz w:val="17"/>
              </w:rPr>
              <w:t>Randomised non-inferiority comparison supports a specified needle-free vaccine regimen.</w:t>
            </w:r>
          </w:p>
        </w:tc>
        <w:tc>
          <w:tcPr>
            <w:tcW w:w="3082" w:type="dxa"/>
            <w:tcMar>
              <w:top w:w="115" w:type="dxa"/>
              <w:left w:w="120" w:type="dxa"/>
              <w:bottom w:w="115" w:type="dxa"/>
              <w:right w:w="120" w:type="dxa"/>
            </w:tcMar>
            <w:vAlign w:val="center"/>
          </w:tcPr>
          <w:p w14:paraId="5E22177E" w14:textId="77777777" w:rsidR="00271861" w:rsidRPr="003248D2" w:rsidRDefault="00000000">
            <w:pPr>
              <w:spacing w:after="0" w:line="264" w:lineRule="auto"/>
              <w:jc w:val="left"/>
              <w:rPr>
                <w:color w:val="auto"/>
              </w:rPr>
            </w:pPr>
            <w:r w:rsidRPr="003248D2">
              <w:rPr>
                <w:color w:val="auto"/>
                <w:sz w:val="17"/>
              </w:rPr>
              <w:t>Local reactions and product-specific conditions prevent extrapolation to all injectors.</w:t>
            </w:r>
          </w:p>
        </w:tc>
        <w:tc>
          <w:tcPr>
            <w:tcW w:w="1541" w:type="dxa"/>
            <w:tcMar>
              <w:top w:w="115" w:type="dxa"/>
              <w:left w:w="120" w:type="dxa"/>
              <w:bottom w:w="115" w:type="dxa"/>
              <w:right w:w="120" w:type="dxa"/>
            </w:tcMar>
            <w:vAlign w:val="center"/>
          </w:tcPr>
          <w:p w14:paraId="5CEC27B2" w14:textId="77777777" w:rsidR="00271861" w:rsidRPr="003248D2" w:rsidRDefault="00000000">
            <w:pPr>
              <w:spacing w:after="0" w:line="264" w:lineRule="auto"/>
              <w:jc w:val="left"/>
              <w:rPr>
                <w:color w:val="auto"/>
              </w:rPr>
            </w:pPr>
            <w:r w:rsidRPr="003248D2">
              <w:rPr>
                <w:color w:val="auto"/>
                <w:sz w:val="16"/>
              </w:rPr>
              <w:t>(McAllister et al., 2014)</w:t>
            </w:r>
          </w:p>
        </w:tc>
      </w:tr>
      <w:tr w:rsidR="003248D2" w:rsidRPr="003248D2" w14:paraId="0B4CF0CC" w14:textId="77777777">
        <w:trPr>
          <w:cantSplit/>
        </w:trPr>
        <w:tc>
          <w:tcPr>
            <w:tcW w:w="1829" w:type="dxa"/>
            <w:tcMar>
              <w:top w:w="115" w:type="dxa"/>
              <w:left w:w="120" w:type="dxa"/>
              <w:bottom w:w="115" w:type="dxa"/>
              <w:right w:w="120" w:type="dxa"/>
            </w:tcMar>
            <w:vAlign w:val="center"/>
          </w:tcPr>
          <w:p w14:paraId="3EBD8637" w14:textId="77777777" w:rsidR="00271861" w:rsidRPr="003248D2" w:rsidRDefault="00000000">
            <w:pPr>
              <w:spacing w:after="0" w:line="264" w:lineRule="auto"/>
              <w:jc w:val="left"/>
              <w:rPr>
                <w:color w:val="auto"/>
              </w:rPr>
            </w:pPr>
            <w:r w:rsidRPr="003248D2">
              <w:rPr>
                <w:color w:val="auto"/>
                <w:sz w:val="17"/>
              </w:rPr>
              <w:t>Inactivated poliovirus, Oman</w:t>
            </w:r>
          </w:p>
        </w:tc>
        <w:tc>
          <w:tcPr>
            <w:tcW w:w="3168" w:type="dxa"/>
            <w:tcMar>
              <w:top w:w="115" w:type="dxa"/>
              <w:left w:w="120" w:type="dxa"/>
              <w:bottom w:w="115" w:type="dxa"/>
              <w:right w:w="120" w:type="dxa"/>
            </w:tcMar>
            <w:vAlign w:val="center"/>
          </w:tcPr>
          <w:p w14:paraId="07D2C2E7" w14:textId="77777777" w:rsidR="00271861" w:rsidRPr="003248D2" w:rsidRDefault="00000000">
            <w:pPr>
              <w:spacing w:after="0" w:line="264" w:lineRule="auto"/>
              <w:jc w:val="left"/>
              <w:rPr>
                <w:color w:val="auto"/>
              </w:rPr>
            </w:pPr>
            <w:r w:rsidRPr="003248D2">
              <w:rPr>
                <w:color w:val="auto"/>
                <w:sz w:val="17"/>
              </w:rPr>
              <w:t>Fractional intradermal schedules offer important dose-sparing information.</w:t>
            </w:r>
          </w:p>
        </w:tc>
        <w:tc>
          <w:tcPr>
            <w:tcW w:w="3082" w:type="dxa"/>
            <w:tcMar>
              <w:top w:w="115" w:type="dxa"/>
              <w:left w:w="120" w:type="dxa"/>
              <w:bottom w:w="115" w:type="dxa"/>
              <w:right w:w="120" w:type="dxa"/>
            </w:tcMar>
            <w:vAlign w:val="center"/>
          </w:tcPr>
          <w:p w14:paraId="3B8BC001" w14:textId="77777777" w:rsidR="00271861" w:rsidRPr="003248D2" w:rsidRDefault="00000000">
            <w:pPr>
              <w:spacing w:after="0" w:line="264" w:lineRule="auto"/>
              <w:jc w:val="left"/>
              <w:rPr>
                <w:color w:val="auto"/>
              </w:rPr>
            </w:pPr>
            <w:r w:rsidRPr="003248D2">
              <w:rPr>
                <w:color w:val="auto"/>
                <w:sz w:val="17"/>
              </w:rPr>
              <w:t>Fractional dosing and route must not be attributed to propulsion alone.</w:t>
            </w:r>
          </w:p>
        </w:tc>
        <w:tc>
          <w:tcPr>
            <w:tcW w:w="1541" w:type="dxa"/>
            <w:tcMar>
              <w:top w:w="115" w:type="dxa"/>
              <w:left w:w="120" w:type="dxa"/>
              <w:bottom w:w="115" w:type="dxa"/>
              <w:right w:w="120" w:type="dxa"/>
            </w:tcMar>
            <w:vAlign w:val="center"/>
          </w:tcPr>
          <w:p w14:paraId="7B51C704" w14:textId="77777777" w:rsidR="00271861" w:rsidRPr="003248D2" w:rsidRDefault="00000000">
            <w:pPr>
              <w:spacing w:after="0" w:line="264" w:lineRule="auto"/>
              <w:jc w:val="left"/>
              <w:rPr>
                <w:color w:val="auto"/>
              </w:rPr>
            </w:pPr>
            <w:r w:rsidRPr="003248D2">
              <w:rPr>
                <w:color w:val="auto"/>
                <w:sz w:val="16"/>
              </w:rPr>
              <w:t>(Mohammed et al., 2010)</w:t>
            </w:r>
          </w:p>
        </w:tc>
      </w:tr>
      <w:tr w:rsidR="003248D2" w:rsidRPr="003248D2" w14:paraId="34FE32E6" w14:textId="77777777">
        <w:trPr>
          <w:cantSplit/>
        </w:trPr>
        <w:tc>
          <w:tcPr>
            <w:tcW w:w="1829" w:type="dxa"/>
            <w:tcMar>
              <w:top w:w="115" w:type="dxa"/>
              <w:left w:w="120" w:type="dxa"/>
              <w:bottom w:w="115" w:type="dxa"/>
              <w:right w:w="120" w:type="dxa"/>
            </w:tcMar>
            <w:vAlign w:val="center"/>
          </w:tcPr>
          <w:p w14:paraId="21BE7DD4" w14:textId="77777777" w:rsidR="00271861" w:rsidRPr="003248D2" w:rsidRDefault="00000000">
            <w:pPr>
              <w:spacing w:after="0" w:line="264" w:lineRule="auto"/>
              <w:jc w:val="left"/>
              <w:rPr>
                <w:color w:val="auto"/>
              </w:rPr>
            </w:pPr>
            <w:r w:rsidRPr="003248D2">
              <w:rPr>
                <w:color w:val="auto"/>
                <w:sz w:val="17"/>
              </w:rPr>
              <w:t>Inactivated poliovirus, Cuba</w:t>
            </w:r>
          </w:p>
        </w:tc>
        <w:tc>
          <w:tcPr>
            <w:tcW w:w="3168" w:type="dxa"/>
            <w:tcMar>
              <w:top w:w="115" w:type="dxa"/>
              <w:left w:w="120" w:type="dxa"/>
              <w:bottom w:w="115" w:type="dxa"/>
              <w:right w:w="120" w:type="dxa"/>
            </w:tcMar>
            <w:vAlign w:val="center"/>
          </w:tcPr>
          <w:p w14:paraId="23EDFEF1" w14:textId="77777777" w:rsidR="00271861" w:rsidRPr="003248D2" w:rsidRDefault="00000000">
            <w:pPr>
              <w:spacing w:after="0" w:line="264" w:lineRule="auto"/>
              <w:jc w:val="left"/>
              <w:rPr>
                <w:color w:val="auto"/>
              </w:rPr>
            </w:pPr>
            <w:r w:rsidRPr="003248D2">
              <w:rPr>
                <w:color w:val="auto"/>
                <w:sz w:val="17"/>
              </w:rPr>
              <w:t>Injection-quality analysis relates intradermal delivery characteristics to immune responses.</w:t>
            </w:r>
          </w:p>
        </w:tc>
        <w:tc>
          <w:tcPr>
            <w:tcW w:w="3082" w:type="dxa"/>
            <w:tcMar>
              <w:top w:w="115" w:type="dxa"/>
              <w:left w:w="120" w:type="dxa"/>
              <w:bottom w:w="115" w:type="dxa"/>
              <w:right w:w="120" w:type="dxa"/>
            </w:tcMar>
            <w:vAlign w:val="center"/>
          </w:tcPr>
          <w:p w14:paraId="7C5A1D9E" w14:textId="77777777" w:rsidR="00271861" w:rsidRPr="003248D2" w:rsidRDefault="00000000">
            <w:pPr>
              <w:spacing w:after="0" w:line="264" w:lineRule="auto"/>
              <w:jc w:val="left"/>
              <w:rPr>
                <w:color w:val="auto"/>
              </w:rPr>
            </w:pPr>
            <w:r w:rsidRPr="003248D2">
              <w:rPr>
                <w:color w:val="auto"/>
                <w:sz w:val="17"/>
              </w:rPr>
              <w:t>Observed associations do not by themselves identify a universal minimum jet performance.</w:t>
            </w:r>
          </w:p>
        </w:tc>
        <w:tc>
          <w:tcPr>
            <w:tcW w:w="1541" w:type="dxa"/>
            <w:tcMar>
              <w:top w:w="115" w:type="dxa"/>
              <w:left w:w="120" w:type="dxa"/>
              <w:bottom w:w="115" w:type="dxa"/>
              <w:right w:w="120" w:type="dxa"/>
            </w:tcMar>
            <w:vAlign w:val="center"/>
          </w:tcPr>
          <w:p w14:paraId="282F2DD6" w14:textId="77777777" w:rsidR="00271861" w:rsidRPr="003248D2" w:rsidRDefault="00000000">
            <w:pPr>
              <w:spacing w:after="0" w:line="264" w:lineRule="auto"/>
              <w:jc w:val="left"/>
              <w:rPr>
                <w:color w:val="auto"/>
              </w:rPr>
            </w:pPr>
            <w:r w:rsidRPr="003248D2">
              <w:rPr>
                <w:color w:val="auto"/>
                <w:sz w:val="16"/>
              </w:rPr>
              <w:t>(Resik et al., 2015)</w:t>
            </w:r>
          </w:p>
        </w:tc>
      </w:tr>
      <w:tr w:rsidR="003248D2" w:rsidRPr="003248D2" w14:paraId="5B1F311A" w14:textId="77777777">
        <w:trPr>
          <w:cantSplit/>
        </w:trPr>
        <w:tc>
          <w:tcPr>
            <w:tcW w:w="1829" w:type="dxa"/>
            <w:tcMar>
              <w:top w:w="115" w:type="dxa"/>
              <w:left w:w="120" w:type="dxa"/>
              <w:bottom w:w="115" w:type="dxa"/>
              <w:right w:w="120" w:type="dxa"/>
            </w:tcMar>
            <w:vAlign w:val="center"/>
          </w:tcPr>
          <w:p w14:paraId="16F37853" w14:textId="77777777" w:rsidR="00271861" w:rsidRPr="003248D2" w:rsidRDefault="00000000">
            <w:pPr>
              <w:spacing w:after="0" w:line="264" w:lineRule="auto"/>
              <w:jc w:val="left"/>
              <w:rPr>
                <w:color w:val="auto"/>
              </w:rPr>
            </w:pPr>
            <w:r w:rsidRPr="003248D2">
              <w:rPr>
                <w:color w:val="auto"/>
                <w:sz w:val="17"/>
              </w:rPr>
              <w:t>Inactivated poliovirus, The Gambia</w:t>
            </w:r>
          </w:p>
        </w:tc>
        <w:tc>
          <w:tcPr>
            <w:tcW w:w="3168" w:type="dxa"/>
            <w:tcMar>
              <w:top w:w="115" w:type="dxa"/>
              <w:left w:w="120" w:type="dxa"/>
              <w:bottom w:w="115" w:type="dxa"/>
              <w:right w:w="120" w:type="dxa"/>
            </w:tcMar>
            <w:vAlign w:val="center"/>
          </w:tcPr>
          <w:p w14:paraId="155BC8AB" w14:textId="77777777" w:rsidR="00271861" w:rsidRPr="003248D2" w:rsidRDefault="00000000">
            <w:pPr>
              <w:spacing w:after="0" w:line="264" w:lineRule="auto"/>
              <w:jc w:val="left"/>
              <w:rPr>
                <w:color w:val="auto"/>
              </w:rPr>
            </w:pPr>
            <w:r w:rsidRPr="003248D2">
              <w:rPr>
                <w:color w:val="auto"/>
                <w:sz w:val="17"/>
              </w:rPr>
              <w:t>Pragmatic campaign non-inferiority testing assessed an injector in routine-style delivery.</w:t>
            </w:r>
          </w:p>
        </w:tc>
        <w:tc>
          <w:tcPr>
            <w:tcW w:w="3082" w:type="dxa"/>
            <w:tcMar>
              <w:top w:w="115" w:type="dxa"/>
              <w:left w:w="120" w:type="dxa"/>
              <w:bottom w:w="115" w:type="dxa"/>
              <w:right w:w="120" w:type="dxa"/>
            </w:tcMar>
            <w:vAlign w:val="center"/>
          </w:tcPr>
          <w:p w14:paraId="7D2E0AA7" w14:textId="77777777" w:rsidR="00271861" w:rsidRPr="003248D2" w:rsidRDefault="00000000">
            <w:pPr>
              <w:spacing w:after="0" w:line="264" w:lineRule="auto"/>
              <w:jc w:val="left"/>
              <w:rPr>
                <w:color w:val="auto"/>
              </w:rPr>
            </w:pPr>
            <w:r w:rsidRPr="003248D2">
              <w:rPr>
                <w:color w:val="auto"/>
                <w:sz w:val="17"/>
              </w:rPr>
              <w:t>Results apply to the studied schedule, personnel and comparator methods.</w:t>
            </w:r>
          </w:p>
        </w:tc>
        <w:tc>
          <w:tcPr>
            <w:tcW w:w="1541" w:type="dxa"/>
            <w:tcMar>
              <w:top w:w="115" w:type="dxa"/>
              <w:left w:w="120" w:type="dxa"/>
              <w:bottom w:w="115" w:type="dxa"/>
              <w:right w:w="120" w:type="dxa"/>
            </w:tcMar>
            <w:vAlign w:val="center"/>
          </w:tcPr>
          <w:p w14:paraId="6A5BB442" w14:textId="77777777" w:rsidR="00271861" w:rsidRPr="003248D2" w:rsidRDefault="00000000">
            <w:pPr>
              <w:spacing w:after="0" w:line="264" w:lineRule="auto"/>
              <w:jc w:val="left"/>
              <w:rPr>
                <w:color w:val="auto"/>
              </w:rPr>
            </w:pPr>
            <w:r w:rsidRPr="003248D2">
              <w:rPr>
                <w:color w:val="auto"/>
                <w:sz w:val="16"/>
              </w:rPr>
              <w:t>(Bashorun et al., 2022)</w:t>
            </w:r>
          </w:p>
        </w:tc>
      </w:tr>
      <w:tr w:rsidR="003248D2" w:rsidRPr="003248D2" w14:paraId="548F1068" w14:textId="77777777">
        <w:trPr>
          <w:cantSplit/>
        </w:trPr>
        <w:tc>
          <w:tcPr>
            <w:tcW w:w="1829" w:type="dxa"/>
            <w:tcMar>
              <w:top w:w="115" w:type="dxa"/>
              <w:left w:w="120" w:type="dxa"/>
              <w:bottom w:w="115" w:type="dxa"/>
              <w:right w:w="120" w:type="dxa"/>
            </w:tcMar>
            <w:vAlign w:val="center"/>
          </w:tcPr>
          <w:p w14:paraId="56AB8637" w14:textId="77777777" w:rsidR="00271861" w:rsidRPr="003248D2" w:rsidRDefault="00000000">
            <w:pPr>
              <w:spacing w:after="0" w:line="264" w:lineRule="auto"/>
              <w:jc w:val="left"/>
              <w:rPr>
                <w:color w:val="auto"/>
              </w:rPr>
            </w:pPr>
            <w:r w:rsidRPr="003248D2">
              <w:rPr>
                <w:color w:val="auto"/>
                <w:sz w:val="17"/>
              </w:rPr>
              <w:t>Human papillomavirus and measles–mumps–rubella</w:t>
            </w:r>
          </w:p>
        </w:tc>
        <w:tc>
          <w:tcPr>
            <w:tcW w:w="3168" w:type="dxa"/>
            <w:tcMar>
              <w:top w:w="115" w:type="dxa"/>
              <w:left w:w="120" w:type="dxa"/>
              <w:bottom w:w="115" w:type="dxa"/>
              <w:right w:w="120" w:type="dxa"/>
            </w:tcMar>
            <w:vAlign w:val="center"/>
          </w:tcPr>
          <w:p w14:paraId="0D48C8AC" w14:textId="77777777" w:rsidR="00271861" w:rsidRPr="003248D2" w:rsidRDefault="00000000">
            <w:pPr>
              <w:spacing w:after="0" w:line="264" w:lineRule="auto"/>
              <w:jc w:val="left"/>
              <w:rPr>
                <w:color w:val="auto"/>
              </w:rPr>
            </w:pPr>
            <w:r w:rsidRPr="003248D2">
              <w:rPr>
                <w:color w:val="auto"/>
                <w:sz w:val="17"/>
              </w:rPr>
              <w:t>Clinical studies broaden evidence beyond influenza and polio vaccines.</w:t>
            </w:r>
          </w:p>
        </w:tc>
        <w:tc>
          <w:tcPr>
            <w:tcW w:w="3082" w:type="dxa"/>
            <w:tcMar>
              <w:top w:w="115" w:type="dxa"/>
              <w:left w:w="120" w:type="dxa"/>
              <w:bottom w:w="115" w:type="dxa"/>
              <w:right w:w="120" w:type="dxa"/>
            </w:tcMar>
            <w:vAlign w:val="center"/>
          </w:tcPr>
          <w:p w14:paraId="3C47160C" w14:textId="77777777" w:rsidR="00271861" w:rsidRPr="003248D2" w:rsidRDefault="00000000">
            <w:pPr>
              <w:spacing w:after="0" w:line="264" w:lineRule="auto"/>
              <w:jc w:val="left"/>
              <w:rPr>
                <w:color w:val="auto"/>
              </w:rPr>
            </w:pPr>
            <w:r w:rsidRPr="003248D2">
              <w:rPr>
                <w:color w:val="auto"/>
                <w:sz w:val="17"/>
              </w:rPr>
              <w:t>Pilot and context-specific findings are not class-wide immunological equivalence.</w:t>
            </w:r>
          </w:p>
        </w:tc>
        <w:tc>
          <w:tcPr>
            <w:tcW w:w="1541" w:type="dxa"/>
            <w:tcMar>
              <w:top w:w="115" w:type="dxa"/>
              <w:left w:w="120" w:type="dxa"/>
              <w:bottom w:w="115" w:type="dxa"/>
              <w:right w:w="120" w:type="dxa"/>
            </w:tcMar>
            <w:vAlign w:val="center"/>
          </w:tcPr>
          <w:p w14:paraId="0E25A09B" w14:textId="77777777" w:rsidR="00271861" w:rsidRPr="003248D2" w:rsidRDefault="00000000">
            <w:pPr>
              <w:spacing w:after="0" w:line="264" w:lineRule="auto"/>
              <w:jc w:val="left"/>
              <w:rPr>
                <w:color w:val="auto"/>
              </w:rPr>
            </w:pPr>
            <w:r w:rsidRPr="003248D2">
              <w:rPr>
                <w:color w:val="auto"/>
                <w:sz w:val="16"/>
              </w:rPr>
              <w:t>(Nelson et al., 2013; Ratta et al., 2025)</w:t>
            </w:r>
          </w:p>
        </w:tc>
      </w:tr>
      <w:tr w:rsidR="003248D2" w:rsidRPr="003248D2" w14:paraId="018479F7" w14:textId="77777777">
        <w:trPr>
          <w:cantSplit/>
        </w:trPr>
        <w:tc>
          <w:tcPr>
            <w:tcW w:w="1829" w:type="dxa"/>
            <w:tcMar>
              <w:top w:w="115" w:type="dxa"/>
              <w:left w:w="120" w:type="dxa"/>
              <w:bottom w:w="115" w:type="dxa"/>
              <w:right w:w="120" w:type="dxa"/>
            </w:tcMar>
            <w:vAlign w:val="center"/>
          </w:tcPr>
          <w:p w14:paraId="0F75452B" w14:textId="77777777" w:rsidR="00271861" w:rsidRPr="003248D2" w:rsidRDefault="00000000">
            <w:pPr>
              <w:spacing w:after="0" w:line="264" w:lineRule="auto"/>
              <w:jc w:val="left"/>
              <w:rPr>
                <w:color w:val="auto"/>
              </w:rPr>
            </w:pPr>
            <w:r w:rsidRPr="003248D2">
              <w:rPr>
                <w:color w:val="auto"/>
                <w:sz w:val="17"/>
              </w:rPr>
              <w:lastRenderedPageBreak/>
              <w:t xml:space="preserve">Andes, </w:t>
            </w:r>
            <w:proofErr w:type="spellStart"/>
            <w:r w:rsidRPr="003248D2">
              <w:rPr>
                <w:color w:val="auto"/>
                <w:sz w:val="17"/>
              </w:rPr>
              <w:t>Hantaan</w:t>
            </w:r>
            <w:proofErr w:type="spellEnd"/>
            <w:r w:rsidRPr="003248D2">
              <w:rPr>
                <w:color w:val="auto"/>
                <w:sz w:val="17"/>
              </w:rPr>
              <w:t xml:space="preserve"> and </w:t>
            </w:r>
            <w:proofErr w:type="spellStart"/>
            <w:r w:rsidRPr="003248D2">
              <w:rPr>
                <w:color w:val="auto"/>
                <w:sz w:val="17"/>
              </w:rPr>
              <w:t>Puumala</w:t>
            </w:r>
            <w:proofErr w:type="spellEnd"/>
            <w:r w:rsidRPr="003248D2">
              <w:rPr>
                <w:color w:val="auto"/>
                <w:sz w:val="17"/>
              </w:rPr>
              <w:t xml:space="preserve"> DNA candidates</w:t>
            </w:r>
          </w:p>
        </w:tc>
        <w:tc>
          <w:tcPr>
            <w:tcW w:w="3168" w:type="dxa"/>
            <w:tcMar>
              <w:top w:w="115" w:type="dxa"/>
              <w:left w:w="120" w:type="dxa"/>
              <w:bottom w:w="115" w:type="dxa"/>
              <w:right w:w="120" w:type="dxa"/>
            </w:tcMar>
            <w:vAlign w:val="center"/>
          </w:tcPr>
          <w:p w14:paraId="20EB3EDE" w14:textId="77777777" w:rsidR="00271861" w:rsidRPr="003248D2" w:rsidRDefault="00000000">
            <w:pPr>
              <w:spacing w:after="0" w:line="264" w:lineRule="auto"/>
              <w:jc w:val="left"/>
              <w:rPr>
                <w:color w:val="auto"/>
              </w:rPr>
            </w:pPr>
            <w:r w:rsidRPr="003248D2">
              <w:rPr>
                <w:color w:val="auto"/>
                <w:sz w:val="17"/>
              </w:rPr>
              <w:t>Phase 1 evidence informs tolerability and immunogenicity of defined investigational formulations.</w:t>
            </w:r>
          </w:p>
        </w:tc>
        <w:tc>
          <w:tcPr>
            <w:tcW w:w="3082" w:type="dxa"/>
            <w:tcMar>
              <w:top w:w="115" w:type="dxa"/>
              <w:left w:w="120" w:type="dxa"/>
              <w:bottom w:w="115" w:type="dxa"/>
              <w:right w:w="120" w:type="dxa"/>
            </w:tcMar>
            <w:vAlign w:val="center"/>
          </w:tcPr>
          <w:p w14:paraId="7BD77F9F" w14:textId="77777777" w:rsidR="00271861" w:rsidRPr="003248D2" w:rsidRDefault="00000000">
            <w:pPr>
              <w:spacing w:after="0" w:line="264" w:lineRule="auto"/>
              <w:jc w:val="left"/>
              <w:rPr>
                <w:color w:val="auto"/>
              </w:rPr>
            </w:pPr>
            <w:r w:rsidRPr="003248D2">
              <w:rPr>
                <w:color w:val="auto"/>
                <w:sz w:val="17"/>
              </w:rPr>
              <w:t>Immunogenicity is not proof of disease prevention or commercial platform interchangeability.</w:t>
            </w:r>
          </w:p>
        </w:tc>
        <w:tc>
          <w:tcPr>
            <w:tcW w:w="1541" w:type="dxa"/>
            <w:tcMar>
              <w:top w:w="115" w:type="dxa"/>
              <w:left w:w="120" w:type="dxa"/>
              <w:bottom w:w="115" w:type="dxa"/>
              <w:right w:w="120" w:type="dxa"/>
            </w:tcMar>
            <w:vAlign w:val="center"/>
          </w:tcPr>
          <w:p w14:paraId="1547E0B7" w14:textId="77777777" w:rsidR="00271861" w:rsidRPr="003248D2" w:rsidRDefault="00000000">
            <w:pPr>
              <w:spacing w:after="0" w:line="264" w:lineRule="auto"/>
              <w:jc w:val="left"/>
              <w:rPr>
                <w:color w:val="auto"/>
              </w:rPr>
            </w:pPr>
            <w:r w:rsidRPr="003248D2">
              <w:rPr>
                <w:color w:val="auto"/>
                <w:sz w:val="16"/>
              </w:rPr>
              <w:t>(Hooper et al., 2024; Paulsen et al., 2024)</w:t>
            </w:r>
          </w:p>
        </w:tc>
      </w:tr>
    </w:tbl>
    <w:p w14:paraId="5247B605" w14:textId="77777777" w:rsidR="00271861" w:rsidRPr="003248D2" w:rsidRDefault="00000000">
      <w:pPr>
        <w:pStyle w:val="ReviewTableNote"/>
        <w:rPr>
          <w:color w:val="auto"/>
        </w:rPr>
      </w:pPr>
      <w:r w:rsidRPr="003248D2">
        <w:rPr>
          <w:i/>
          <w:color w:val="auto"/>
        </w:rPr>
        <w:t xml:space="preserve">Note. </w:t>
      </w:r>
      <w:r w:rsidRPr="003248D2">
        <w:rPr>
          <w:color w:val="auto"/>
        </w:rPr>
        <w:t>The studies assess different vaccines, doses, routes and populations; the table does not imply comparability of effect sizes.</w:t>
      </w:r>
    </w:p>
    <w:p w14:paraId="241ECDFD" w14:textId="77777777" w:rsidR="00271861" w:rsidRPr="003248D2" w:rsidRDefault="00000000">
      <w:pPr>
        <w:pStyle w:val="Heading1"/>
        <w:rPr>
          <w:color w:val="auto"/>
        </w:rPr>
      </w:pPr>
      <w:r w:rsidRPr="003248D2">
        <w:rPr>
          <w:color w:val="auto"/>
        </w:rPr>
        <w:t>6. Therapeutic Applications Beyond Vaccination</w:t>
      </w:r>
    </w:p>
    <w:p w14:paraId="4CD11EA1" w14:textId="77777777" w:rsidR="00271861" w:rsidRPr="003248D2" w:rsidRDefault="00000000">
      <w:pPr>
        <w:pStyle w:val="Heading2"/>
        <w:rPr>
          <w:color w:val="auto"/>
        </w:rPr>
      </w:pPr>
      <w:r w:rsidRPr="003248D2">
        <w:rPr>
          <w:color w:val="auto"/>
        </w:rPr>
        <w:t>6.1 Insulin: rapid absorption versus sustained treatment benefit</w:t>
      </w:r>
    </w:p>
    <w:p w14:paraId="0D90D76A" w14:textId="77777777" w:rsidR="00271861" w:rsidRPr="003248D2" w:rsidRDefault="00000000">
      <w:pPr>
        <w:rPr>
          <w:color w:val="auto"/>
        </w:rPr>
      </w:pPr>
      <w:r w:rsidRPr="003248D2">
        <w:rPr>
          <w:color w:val="auto"/>
        </w:rPr>
        <w:t>Insulin illustrates both the physiological advantages and the evidentiary limitations of jet-assisted systemic drug delivery. Unlike a conventional subcutaneous needle that leaves a relatively concentrated depot, jet injection can disperse insulin over a broader tissue region. Increased contact area may accelerate absorption, which is potentially useful for rapid-acting preparations administered with meals or for correction of marked hyperglycaemia. The mechanism is plausible, but the clinically relevant comparison must quantify both the timing of insulin action and its consequences for blood glucose and hypoglycaemia. A faster plasma concentration peak is not itself a patient-important endpoint, particularly if dosing behaviour, injection burden, cost or total exposure are adversely affected (Baxter &amp; Mitragotri, 2006; Mitragotri, 2006).</w:t>
      </w:r>
    </w:p>
    <w:p w14:paraId="08A4B795" w14:textId="77777777" w:rsidR="00271861" w:rsidRPr="003248D2" w:rsidRDefault="00000000">
      <w:pPr>
        <w:rPr>
          <w:color w:val="auto"/>
        </w:rPr>
      </w:pPr>
      <w:r w:rsidRPr="003248D2">
        <w:rPr>
          <w:color w:val="auto"/>
        </w:rPr>
        <w:t>In a randomised double-blind, double-dummy crossover clamp study, Engwerda et al. (2011) compared insulin aspart delivered by jet injector and by a conventional insulin pen in healthy volunteers. The investigators reported an earlier maximum glucose-infusion-rate response after jet administration, supporting accelerated pharmacodynamic action under controlled experimental conditions. The clamp design offered careful measurement and reduced between-person variability. However, its small sample, healthy-volunteer setting and absence of ordinary meals or long-term treatment outcomes limited direct extrapolation to diabetes management. The result establishes a mechanism-related pharmacological advantage, not an evidence-based reason to change routine insulin therapy in the whole diabetes population.</w:t>
      </w:r>
    </w:p>
    <w:p w14:paraId="322379D7" w14:textId="77777777" w:rsidR="00271861" w:rsidRPr="003248D2" w:rsidRDefault="00000000">
      <w:pPr>
        <w:rPr>
          <w:color w:val="auto"/>
        </w:rPr>
      </w:pPr>
      <w:r w:rsidRPr="003248D2">
        <w:rPr>
          <w:color w:val="auto"/>
        </w:rPr>
        <w:t>Engwerda et al. (2013) extended the comparison to patients with type 1 or type 2 diabetes in a randomised crossover meal study. Jet injection shortened the time to peak plasma insulin and reduced the early postprandial hyperglycaemic burden, but the improvement was not maintained as a statistically significant reduction across the later observation period. This distinction matters clinically: an earlier action profile may help particular patients whose glucose excursions are difficult to control, while its effect on overall glycaemic exposure is more limited. A separate crossover study in overweight or obese patients found earlier correction of marked hyperglycaemia after jet-injected rapid-acting insulin (de Wit et al., 2015). The studies are consistent on faster initial action, yet their limited sizes and short observation windows do not answer questions about glycated haemoglobin, severe hypoglycaemia, adherence or health-service utilisation.</w:t>
      </w:r>
    </w:p>
    <w:p w14:paraId="1605F51D" w14:textId="77777777" w:rsidR="00271861" w:rsidRPr="003248D2" w:rsidRDefault="00000000">
      <w:pPr>
        <w:rPr>
          <w:color w:val="auto"/>
        </w:rPr>
      </w:pPr>
      <w:r w:rsidRPr="003248D2">
        <w:rPr>
          <w:color w:val="auto"/>
        </w:rPr>
        <w:t xml:space="preserve">For insulin, future comparisons should therefore distinguish pharmacokinetic equivalence, short-term pharmacodynamic advantage and overall treatment effectiveness. Continuous glucose monitoring, patient-reported burden and longer follow-up are necessary to evaluate whether faster action produces durable benefit rather than only shifting early glucose curves. Stable dose delivery under different injection-site characteristics is also relevant. These requirements may be especially demanding for self-administration, where loading, site selection and device maintenance differ from a supervised study. Evidence of a </w:t>
      </w:r>
      <w:r w:rsidRPr="003248D2">
        <w:rPr>
          <w:color w:val="auto"/>
        </w:rPr>
        <w:lastRenderedPageBreak/>
        <w:t>mechanistically favourable profile supports targeted clinical development but is not a substitute for a pragmatic treatment trial.</w:t>
      </w:r>
    </w:p>
    <w:p w14:paraId="7D99225D" w14:textId="77777777" w:rsidR="00271861" w:rsidRPr="003248D2" w:rsidRDefault="00000000">
      <w:pPr>
        <w:pStyle w:val="Heading2"/>
        <w:rPr>
          <w:color w:val="auto"/>
        </w:rPr>
      </w:pPr>
      <w:r w:rsidRPr="003248D2">
        <w:rPr>
          <w:color w:val="auto"/>
        </w:rPr>
        <w:t>6.2 Growth hormone and the adherence question</w:t>
      </w:r>
    </w:p>
    <w:p w14:paraId="76C838E7" w14:textId="77777777" w:rsidR="00271861" w:rsidRPr="003248D2" w:rsidRDefault="00000000">
      <w:pPr>
        <w:rPr>
          <w:color w:val="auto"/>
        </w:rPr>
      </w:pPr>
      <w:r w:rsidRPr="003248D2">
        <w:rPr>
          <w:color w:val="auto"/>
        </w:rPr>
        <w:t>Repeated administration offers a different argument for needle-free technology: reducing the perceived burden of frequent injections could improve persistence. Spoudeas et al. (2014) compared prescribing and delivery records for children treated with jet-delivered growth hormone against those receiving needle-based devices. The retrospective analysis reported longer treatment persistence in the jet-delivery group. That is a potentially relevant association, but treatment device, branded product, family support and care pathways were not randomised. Home-delivery records are imperfect measures of injection events, and the use of particular commercial devices may correlate with clinical or socioeconomic characteristics.</w:t>
      </w:r>
    </w:p>
    <w:p w14:paraId="7A3BDE24" w14:textId="77777777" w:rsidR="00271861" w:rsidRPr="003248D2" w:rsidRDefault="00000000">
      <w:pPr>
        <w:rPr>
          <w:color w:val="auto"/>
        </w:rPr>
      </w:pPr>
      <w:r w:rsidRPr="003248D2">
        <w:rPr>
          <w:color w:val="auto"/>
        </w:rPr>
        <w:t>The study therefore does not prove that the absence of needles caused improved adherence or superior growth. A rigorous evaluation would compare equivalent growth hormone formulations, provide balanced training and support, and capture electronic administration records, validated patient experiences and longitudinal height outcomes. It should also examine the durability of any preference after repeated jet impacts and the practical burden of cleaning or priming. A device that is preferred at the first injection may not retain the same advantage during months or years of use. Growth-hormone research usefully illustrates that adherence is a behavioural and organisational outcome, not an automatic mechanical consequence of removing the needle (Spoudeas et al., 2014).</w:t>
      </w:r>
    </w:p>
    <w:p w14:paraId="65C5FE64" w14:textId="77777777" w:rsidR="00271861" w:rsidRPr="003248D2" w:rsidRDefault="00000000">
      <w:pPr>
        <w:pStyle w:val="Heading2"/>
        <w:rPr>
          <w:color w:val="auto"/>
        </w:rPr>
      </w:pPr>
      <w:r w:rsidRPr="003248D2">
        <w:rPr>
          <w:color w:val="auto"/>
        </w:rPr>
        <w:t>6.3 Local anaesthesia: procedure-specific performance</w:t>
      </w:r>
    </w:p>
    <w:p w14:paraId="77BD3125" w14:textId="77777777" w:rsidR="00271861" w:rsidRPr="003248D2" w:rsidRDefault="00000000">
      <w:pPr>
        <w:rPr>
          <w:color w:val="auto"/>
        </w:rPr>
      </w:pPr>
      <w:r w:rsidRPr="003248D2">
        <w:rPr>
          <w:color w:val="auto"/>
        </w:rPr>
        <w:t>Local anaesthetic delivery permits a relatively direct assessment of patient experience because the treatment is followed by a defined clinical procedure. Lysakowski et al. (2003) used a randomised comparison of a needle-free lidocaine device and alternative approaches before peripheral intravenous cannulation, incorporating analgesia, adverse events and cost-related considerations. Such trials can separate pain from the delivery event and pain from the subsequent intervention, a distinction often overlooked in device preference studies. The injection may briefly sting or produce pressure, yet provide sufficient local anaesthesia to reduce pain from a later needle-dependent procedure. Consequently, needle-free analgesic delivery is better described as reducing or changing needle exposure during preparation, not necessarily eliminating needles from the entire clinical encounter.</w:t>
      </w:r>
    </w:p>
    <w:p w14:paraId="30134B15" w14:textId="77777777" w:rsidR="00271861" w:rsidRPr="003248D2" w:rsidRDefault="00000000">
      <w:pPr>
        <w:rPr>
          <w:color w:val="auto"/>
        </w:rPr>
      </w:pPr>
      <w:r w:rsidRPr="003248D2">
        <w:rPr>
          <w:color w:val="auto"/>
        </w:rPr>
        <w:t>A prospective split-body study of local anaesthesia in minor dermatological procedures reported by Saravanan et al. (2026) provides a more recent comparison, using participants as their own controls for two matched lesions. Within-person comparisons can reduce variability in pain sensitivity, but clinicians and participants generally cannot be blinded to the delivery method, and symmetrical lesions may differ in innervation or depth. Evidence from a small procedure class cannot be extended automatically to large wound infiltration, regional nerve blocks or procedures requiring a deep and predictable volume. In this field, the most useful endpoints are adequate depth and duration of anaesthesia, procedure completion without rescue infiltration, overall pain burden, tissue complications and cost per completed procedure, not the initial injection pain score alone.</w:t>
      </w:r>
    </w:p>
    <w:p w14:paraId="6F343B2B" w14:textId="77777777" w:rsidR="00271861" w:rsidRPr="003248D2" w:rsidRDefault="00000000">
      <w:pPr>
        <w:pStyle w:val="Heading2"/>
        <w:rPr>
          <w:color w:val="auto"/>
        </w:rPr>
      </w:pPr>
      <w:r w:rsidRPr="003248D2">
        <w:rPr>
          <w:color w:val="auto"/>
        </w:rPr>
        <w:lastRenderedPageBreak/>
        <w:t>6.4 Dermatology: dermal targeting with variable clinical evidence</w:t>
      </w:r>
    </w:p>
    <w:p w14:paraId="41CED8F5" w14:textId="77777777" w:rsidR="00271861" w:rsidRPr="003248D2" w:rsidRDefault="00000000">
      <w:pPr>
        <w:rPr>
          <w:color w:val="auto"/>
        </w:rPr>
      </w:pPr>
      <w:r w:rsidRPr="003248D2">
        <w:rPr>
          <w:color w:val="auto"/>
        </w:rPr>
        <w:t>Dermatological indications are attractive because many treatments seek relatively superficial or intralesional delivery rather than systemic exposure. However, the target can be pathologically stiff or uneven, as in keloids, hypertrophic scars or sclerotic tissue, and these same features alter fluid penetration. Device pressure, nozzle distance, repeated injection density and the chosen drug may all influence results. Earlier overviews catalogued uses in scars, hyperhidrosis and other conditions, while emphasising the absence of standardised settings for different indications (Barolet &amp; Benohanian, 2018; Han et al., 2021). A later systematic review identified some encouraging results but judged the overall clinical evidence base heterogeneous and predominantly low quality (Bekkers et al., 2023).</w:t>
      </w:r>
    </w:p>
    <w:p w14:paraId="3765FE0E" w14:textId="77777777" w:rsidR="00271861" w:rsidRPr="003248D2" w:rsidRDefault="00000000">
      <w:pPr>
        <w:rPr>
          <w:color w:val="auto"/>
        </w:rPr>
      </w:pPr>
      <w:r w:rsidRPr="003248D2">
        <w:rPr>
          <w:color w:val="auto"/>
        </w:rPr>
        <w:t>Controlled scar studies provide a more useful basis for appraisal than a catalogue of cosmetic applications. Erlendsson et al. (2022) investigated a single course of pneumatic jet-assisted fluorouracil and triamcinolone delivery into hypertrophic scars in a blinded, randomised split-scar design. Objective imaging and clinical scores strengthened the interpretation, but the comparison with an untreated section means the study primarily tests a combined drug–device intervention rather than the device against needle infiltration with the same medicines. Another randomised double-blind split-lesion trial used jet-assisted bleomycin in severe keloids and reported improved scar measures relative to saline control, while also documenting notable fluid spillage and local adverse effects (Bekkers et al., 2024). These trials demonstrate promising treatment possibilities without solving the separate questions of optimal medicine, concentration, depth or long-term recurrence.</w:t>
      </w:r>
    </w:p>
    <w:p w14:paraId="5ED02AC3" w14:textId="77777777" w:rsidR="00271861" w:rsidRPr="003248D2" w:rsidRDefault="00000000">
      <w:pPr>
        <w:rPr>
          <w:color w:val="auto"/>
        </w:rPr>
      </w:pPr>
      <w:r w:rsidRPr="003248D2">
        <w:rPr>
          <w:color w:val="auto"/>
        </w:rPr>
        <w:t>The bleomycin experience is especially informative because it exposes a tension between measurable lesion response and dose control. A clinical treatment can improve a visible scar even when a sizeable fraction of the nominal injected material is spilled, yet this does not make variable leakage acceptable for a cytotoxic medication. Reported local effects such as bruising, pigmentation change and superficial tissue injury also show that “non-needle” should not be conflated with minimally injurious. Further research must quantify how much active drug remains within each lesion and correlate that with response and toxicity. Appropriate trials should compare the same medicine by jet and needle, ideally using objective lesion volume, blinded outcome assessment and sufficient follow-up to characterise recurrence (Bekkers et al., 2024; Erlendsson et al., 2022).</w:t>
      </w:r>
    </w:p>
    <w:p w14:paraId="73056636" w14:textId="77777777" w:rsidR="00271861" w:rsidRPr="003248D2" w:rsidRDefault="00000000">
      <w:pPr>
        <w:rPr>
          <w:color w:val="auto"/>
        </w:rPr>
      </w:pPr>
      <w:r w:rsidRPr="003248D2">
        <w:rPr>
          <w:color w:val="auto"/>
        </w:rPr>
        <w:t>A broader appraisal must also recognise differences between device efficacy and clinical protocol efficacy. In acne scarring, local anaesthesia or superficial rejuvenation, jetting saline, corticosteroids or fillers may produce both mechanical and pharmacological effects. Pressure-induced tissue remodelling could contribute independently of the active ingredient, while repeated procedural visits can introduce non-specific treatment effects. Without sham, saline or active-comparator arms, the mechanism of benefit remains difficult to infer. The 2023 dermatology systematic review therefore supports restricted, indication-level optimism rather than a general endorsement of pneumatic injection for all intralesional treatments (Bekkers et al., 2023; Vranis &amp; Theodorou, 2025).</w:t>
      </w:r>
    </w:p>
    <w:p w14:paraId="312F0A9F" w14:textId="77777777" w:rsidR="00271861" w:rsidRPr="003248D2" w:rsidRDefault="00000000">
      <w:pPr>
        <w:pStyle w:val="Heading2"/>
        <w:rPr>
          <w:color w:val="auto"/>
        </w:rPr>
      </w:pPr>
      <w:r w:rsidRPr="003248D2">
        <w:rPr>
          <w:color w:val="auto"/>
        </w:rPr>
        <w:t>6.5 Clinical judgement across therapeutic areas</w:t>
      </w:r>
    </w:p>
    <w:p w14:paraId="74B749E7" w14:textId="77777777" w:rsidR="00271861" w:rsidRPr="003248D2" w:rsidRDefault="00000000">
      <w:pPr>
        <w:rPr>
          <w:color w:val="auto"/>
        </w:rPr>
      </w:pPr>
      <w:r w:rsidRPr="003248D2">
        <w:rPr>
          <w:color w:val="auto"/>
        </w:rPr>
        <w:t xml:space="preserve">Across systemic and local applications, the strongest mechanistic signal is the accelerated early absorption of certain rapid-acting insulin preparations. The most convincing emerging local signals involve specific scar regimens studied with controlled designs, though superiority over optimally administered needle injections </w:t>
      </w:r>
      <w:r w:rsidRPr="003248D2">
        <w:rPr>
          <w:color w:val="auto"/>
        </w:rPr>
        <w:lastRenderedPageBreak/>
        <w:t>remains uncertain. Adherence advantages for long-term treatment are plausible but vulnerable to confounding, and anaesthetic performance is bounded by procedural indication. Consequently, clinical implementation should occur at the level of a named drug, device and treatment pathway, with outcomes matched to that pathway. Evidence should not be imported wholesale from vaccination studies merely because the propulsion mechanism is similar.</w:t>
      </w:r>
    </w:p>
    <w:p w14:paraId="369B2272" w14:textId="77777777" w:rsidR="00271861" w:rsidRPr="003248D2" w:rsidRDefault="00000000">
      <w:pPr>
        <w:rPr>
          <w:color w:val="auto"/>
        </w:rPr>
      </w:pPr>
      <w:r w:rsidRPr="003248D2">
        <w:rPr>
          <w:color w:val="auto"/>
        </w:rPr>
        <w:t>Table 4 summarises these therapeutic evidence streams according to the endpoint measured and the inference that remains unsupported. Its central message is that a change in delivery kinetics or a positive lesion response represents only one component of the patient-level value proposition; comparative effectiveness, reliability and safety still require indication-specific evaluation.</w:t>
      </w:r>
    </w:p>
    <w:p w14:paraId="78854F3F" w14:textId="77777777" w:rsidR="00271861" w:rsidRPr="003248D2" w:rsidRDefault="00000000">
      <w:pPr>
        <w:pStyle w:val="ReviewTableTitle"/>
        <w:rPr>
          <w:color w:val="auto"/>
        </w:rPr>
      </w:pPr>
      <w:r w:rsidRPr="003248D2">
        <w:rPr>
          <w:b/>
          <w:color w:val="auto"/>
        </w:rPr>
        <w:t xml:space="preserve">Table 4. </w:t>
      </w:r>
      <w:r w:rsidRPr="003248D2">
        <w:rPr>
          <w:color w:val="auto"/>
        </w:rPr>
        <w:t>Therapeutic evidence by indication, endpoint and unresolved question</w:t>
      </w:r>
    </w:p>
    <w:tbl>
      <w:tblPr>
        <w:tblW w:w="0" w:type="auto"/>
        <w:tblBorders>
          <w:top w:val="single" w:sz="4" w:space="0" w:color="B8C3CD"/>
          <w:bottom w:val="single" w:sz="4" w:space="0" w:color="B8C3CD"/>
          <w:insideH w:val="single" w:sz="4" w:space="0" w:color="B8C3CD"/>
        </w:tblBorders>
        <w:tblLayout w:type="fixed"/>
        <w:tblLook w:val="04A0" w:firstRow="1" w:lastRow="0" w:firstColumn="1" w:lastColumn="0" w:noHBand="0" w:noVBand="1"/>
      </w:tblPr>
      <w:tblGrid>
        <w:gridCol w:w="1829"/>
        <w:gridCol w:w="3168"/>
        <w:gridCol w:w="3082"/>
        <w:gridCol w:w="1541"/>
      </w:tblGrid>
      <w:tr w:rsidR="003248D2" w:rsidRPr="003248D2" w14:paraId="44480B1A" w14:textId="77777777">
        <w:trPr>
          <w:cantSplit/>
          <w:tblHeader/>
        </w:trPr>
        <w:tc>
          <w:tcPr>
            <w:tcW w:w="1829" w:type="dxa"/>
            <w:shd w:val="clear" w:color="auto" w:fill="EAF0F4"/>
            <w:tcMar>
              <w:top w:w="140" w:type="dxa"/>
              <w:left w:w="120" w:type="dxa"/>
              <w:bottom w:w="138" w:type="dxa"/>
              <w:right w:w="115" w:type="dxa"/>
            </w:tcMar>
            <w:vAlign w:val="center"/>
          </w:tcPr>
          <w:p w14:paraId="2D3E09F1" w14:textId="77777777" w:rsidR="00271861" w:rsidRPr="003248D2" w:rsidRDefault="00000000">
            <w:pPr>
              <w:spacing w:after="0" w:line="259" w:lineRule="auto"/>
              <w:rPr>
                <w:color w:val="auto"/>
              </w:rPr>
            </w:pPr>
            <w:r w:rsidRPr="003248D2">
              <w:rPr>
                <w:b/>
                <w:color w:val="auto"/>
                <w:sz w:val="16"/>
              </w:rPr>
              <w:t>Therapeutic setting</w:t>
            </w:r>
          </w:p>
        </w:tc>
        <w:tc>
          <w:tcPr>
            <w:tcW w:w="3168" w:type="dxa"/>
            <w:shd w:val="clear" w:color="auto" w:fill="EAF0F4"/>
            <w:tcMar>
              <w:top w:w="140" w:type="dxa"/>
              <w:left w:w="120" w:type="dxa"/>
              <w:bottom w:w="138" w:type="dxa"/>
              <w:right w:w="115" w:type="dxa"/>
            </w:tcMar>
            <w:vAlign w:val="center"/>
          </w:tcPr>
          <w:p w14:paraId="40102550" w14:textId="77777777" w:rsidR="00271861" w:rsidRPr="003248D2" w:rsidRDefault="00000000">
            <w:pPr>
              <w:spacing w:after="0" w:line="259" w:lineRule="auto"/>
              <w:rPr>
                <w:color w:val="auto"/>
              </w:rPr>
            </w:pPr>
            <w:r w:rsidRPr="003248D2">
              <w:rPr>
                <w:b/>
                <w:color w:val="auto"/>
                <w:sz w:val="16"/>
              </w:rPr>
              <w:t>Supported signal or observation</w:t>
            </w:r>
          </w:p>
        </w:tc>
        <w:tc>
          <w:tcPr>
            <w:tcW w:w="3082" w:type="dxa"/>
            <w:shd w:val="clear" w:color="auto" w:fill="EAF0F4"/>
            <w:tcMar>
              <w:top w:w="140" w:type="dxa"/>
              <w:left w:w="120" w:type="dxa"/>
              <w:bottom w:w="138" w:type="dxa"/>
              <w:right w:w="115" w:type="dxa"/>
            </w:tcMar>
            <w:vAlign w:val="center"/>
          </w:tcPr>
          <w:p w14:paraId="467441D5" w14:textId="77777777" w:rsidR="00271861" w:rsidRPr="003248D2" w:rsidRDefault="00000000">
            <w:pPr>
              <w:spacing w:after="0" w:line="259" w:lineRule="auto"/>
              <w:rPr>
                <w:color w:val="auto"/>
              </w:rPr>
            </w:pPr>
            <w:r w:rsidRPr="003248D2">
              <w:rPr>
                <w:b/>
                <w:color w:val="auto"/>
                <w:sz w:val="16"/>
              </w:rPr>
              <w:t>Major remaining clinical question</w:t>
            </w:r>
          </w:p>
        </w:tc>
        <w:tc>
          <w:tcPr>
            <w:tcW w:w="1541" w:type="dxa"/>
            <w:shd w:val="clear" w:color="auto" w:fill="EAF0F4"/>
            <w:tcMar>
              <w:top w:w="140" w:type="dxa"/>
              <w:left w:w="120" w:type="dxa"/>
              <w:bottom w:w="138" w:type="dxa"/>
              <w:right w:w="115" w:type="dxa"/>
            </w:tcMar>
            <w:vAlign w:val="center"/>
          </w:tcPr>
          <w:p w14:paraId="750E6510" w14:textId="77777777" w:rsidR="00271861" w:rsidRPr="003248D2" w:rsidRDefault="00000000">
            <w:pPr>
              <w:spacing w:after="0" w:line="259" w:lineRule="auto"/>
              <w:rPr>
                <w:color w:val="auto"/>
              </w:rPr>
            </w:pPr>
            <w:r w:rsidRPr="003248D2">
              <w:rPr>
                <w:b/>
                <w:color w:val="auto"/>
                <w:sz w:val="16"/>
              </w:rPr>
              <w:t>Supporting references</w:t>
            </w:r>
          </w:p>
        </w:tc>
      </w:tr>
      <w:tr w:rsidR="003248D2" w:rsidRPr="003248D2" w14:paraId="36378575" w14:textId="77777777">
        <w:trPr>
          <w:cantSplit/>
        </w:trPr>
        <w:tc>
          <w:tcPr>
            <w:tcW w:w="1829" w:type="dxa"/>
            <w:tcMar>
              <w:top w:w="115" w:type="dxa"/>
              <w:left w:w="120" w:type="dxa"/>
              <w:bottom w:w="115" w:type="dxa"/>
              <w:right w:w="120" w:type="dxa"/>
            </w:tcMar>
            <w:vAlign w:val="center"/>
          </w:tcPr>
          <w:p w14:paraId="1ADEBAB1" w14:textId="77777777" w:rsidR="00271861" w:rsidRPr="003248D2" w:rsidRDefault="00000000">
            <w:pPr>
              <w:spacing w:after="0" w:line="264" w:lineRule="auto"/>
              <w:jc w:val="left"/>
              <w:rPr>
                <w:color w:val="auto"/>
              </w:rPr>
            </w:pPr>
            <w:r w:rsidRPr="003248D2">
              <w:rPr>
                <w:color w:val="auto"/>
                <w:sz w:val="17"/>
              </w:rPr>
              <w:t>Rapid-acting insulin, controlled studies</w:t>
            </w:r>
          </w:p>
        </w:tc>
        <w:tc>
          <w:tcPr>
            <w:tcW w:w="3168" w:type="dxa"/>
            <w:tcMar>
              <w:top w:w="115" w:type="dxa"/>
              <w:left w:w="120" w:type="dxa"/>
              <w:bottom w:w="115" w:type="dxa"/>
              <w:right w:w="120" w:type="dxa"/>
            </w:tcMar>
            <w:vAlign w:val="center"/>
          </w:tcPr>
          <w:p w14:paraId="6DACCE66" w14:textId="77777777" w:rsidR="00271861" w:rsidRPr="003248D2" w:rsidRDefault="00000000">
            <w:pPr>
              <w:spacing w:after="0" w:line="264" w:lineRule="auto"/>
              <w:jc w:val="left"/>
              <w:rPr>
                <w:color w:val="auto"/>
              </w:rPr>
            </w:pPr>
            <w:r w:rsidRPr="003248D2">
              <w:rPr>
                <w:color w:val="auto"/>
                <w:sz w:val="17"/>
              </w:rPr>
              <w:t>Earlier absorption/action and improved early glucose control in studied participants.</w:t>
            </w:r>
          </w:p>
        </w:tc>
        <w:tc>
          <w:tcPr>
            <w:tcW w:w="3082" w:type="dxa"/>
            <w:tcMar>
              <w:top w:w="115" w:type="dxa"/>
              <w:left w:w="120" w:type="dxa"/>
              <w:bottom w:w="115" w:type="dxa"/>
              <w:right w:w="120" w:type="dxa"/>
            </w:tcMar>
            <w:vAlign w:val="center"/>
          </w:tcPr>
          <w:p w14:paraId="1976FE71" w14:textId="77777777" w:rsidR="00271861" w:rsidRPr="003248D2" w:rsidRDefault="00000000">
            <w:pPr>
              <w:spacing w:after="0" w:line="264" w:lineRule="auto"/>
              <w:jc w:val="left"/>
              <w:rPr>
                <w:color w:val="auto"/>
              </w:rPr>
            </w:pPr>
            <w:r w:rsidRPr="003248D2">
              <w:rPr>
                <w:color w:val="auto"/>
                <w:sz w:val="17"/>
              </w:rPr>
              <w:t>Do these benefits improve sustained glycaemia, hypoglycaemia and adherence?</w:t>
            </w:r>
          </w:p>
        </w:tc>
        <w:tc>
          <w:tcPr>
            <w:tcW w:w="1541" w:type="dxa"/>
            <w:tcMar>
              <w:top w:w="115" w:type="dxa"/>
              <w:left w:w="120" w:type="dxa"/>
              <w:bottom w:w="115" w:type="dxa"/>
              <w:right w:w="120" w:type="dxa"/>
            </w:tcMar>
            <w:vAlign w:val="center"/>
          </w:tcPr>
          <w:p w14:paraId="050BF15F" w14:textId="77777777" w:rsidR="00271861" w:rsidRPr="003248D2" w:rsidRDefault="00000000">
            <w:pPr>
              <w:spacing w:after="0" w:line="264" w:lineRule="auto"/>
              <w:jc w:val="left"/>
              <w:rPr>
                <w:color w:val="auto"/>
              </w:rPr>
            </w:pPr>
            <w:r w:rsidRPr="003248D2">
              <w:rPr>
                <w:color w:val="auto"/>
                <w:sz w:val="16"/>
              </w:rPr>
              <w:t>(de Wit et al., 2015; Engwerda et al., 2011, 2013)</w:t>
            </w:r>
          </w:p>
        </w:tc>
      </w:tr>
      <w:tr w:rsidR="003248D2" w:rsidRPr="003248D2" w14:paraId="749DFFA7" w14:textId="77777777">
        <w:trPr>
          <w:cantSplit/>
        </w:trPr>
        <w:tc>
          <w:tcPr>
            <w:tcW w:w="1829" w:type="dxa"/>
            <w:tcMar>
              <w:top w:w="115" w:type="dxa"/>
              <w:left w:w="120" w:type="dxa"/>
              <w:bottom w:w="115" w:type="dxa"/>
              <w:right w:w="120" w:type="dxa"/>
            </w:tcMar>
            <w:vAlign w:val="center"/>
          </w:tcPr>
          <w:p w14:paraId="0B0798F9" w14:textId="77777777" w:rsidR="00271861" w:rsidRPr="003248D2" w:rsidRDefault="00000000">
            <w:pPr>
              <w:spacing w:after="0" w:line="264" w:lineRule="auto"/>
              <w:jc w:val="left"/>
              <w:rPr>
                <w:color w:val="auto"/>
              </w:rPr>
            </w:pPr>
            <w:proofErr w:type="spellStart"/>
            <w:r w:rsidRPr="003248D2">
              <w:rPr>
                <w:color w:val="auto"/>
                <w:sz w:val="17"/>
              </w:rPr>
              <w:t>Paediatric</w:t>
            </w:r>
            <w:proofErr w:type="spellEnd"/>
            <w:r w:rsidRPr="003248D2">
              <w:rPr>
                <w:color w:val="auto"/>
                <w:sz w:val="17"/>
              </w:rPr>
              <w:t xml:space="preserve"> growth hormone</w:t>
            </w:r>
          </w:p>
        </w:tc>
        <w:tc>
          <w:tcPr>
            <w:tcW w:w="3168" w:type="dxa"/>
            <w:tcMar>
              <w:top w:w="115" w:type="dxa"/>
              <w:left w:w="120" w:type="dxa"/>
              <w:bottom w:w="115" w:type="dxa"/>
              <w:right w:w="120" w:type="dxa"/>
            </w:tcMar>
            <w:vAlign w:val="center"/>
          </w:tcPr>
          <w:p w14:paraId="3D84362A" w14:textId="77777777" w:rsidR="00271861" w:rsidRPr="003248D2" w:rsidRDefault="00000000">
            <w:pPr>
              <w:spacing w:after="0" w:line="264" w:lineRule="auto"/>
              <w:jc w:val="left"/>
              <w:rPr>
                <w:color w:val="auto"/>
              </w:rPr>
            </w:pPr>
            <w:r w:rsidRPr="003248D2">
              <w:rPr>
                <w:color w:val="auto"/>
                <w:sz w:val="17"/>
              </w:rPr>
              <w:t>Comparative persistence and device experience have been studied.</w:t>
            </w:r>
          </w:p>
        </w:tc>
        <w:tc>
          <w:tcPr>
            <w:tcW w:w="3082" w:type="dxa"/>
            <w:tcMar>
              <w:top w:w="115" w:type="dxa"/>
              <w:left w:w="120" w:type="dxa"/>
              <w:bottom w:w="115" w:type="dxa"/>
              <w:right w:w="120" w:type="dxa"/>
            </w:tcMar>
            <w:vAlign w:val="center"/>
          </w:tcPr>
          <w:p w14:paraId="141EBB75" w14:textId="77777777" w:rsidR="00271861" w:rsidRPr="003248D2" w:rsidRDefault="00000000">
            <w:pPr>
              <w:spacing w:after="0" w:line="264" w:lineRule="auto"/>
              <w:jc w:val="left"/>
              <w:rPr>
                <w:color w:val="auto"/>
              </w:rPr>
            </w:pPr>
            <w:r w:rsidRPr="003248D2">
              <w:rPr>
                <w:color w:val="auto"/>
                <w:sz w:val="17"/>
              </w:rPr>
              <w:t>Is adherence attributable to injector design rather than selection and support?</w:t>
            </w:r>
          </w:p>
        </w:tc>
        <w:tc>
          <w:tcPr>
            <w:tcW w:w="1541" w:type="dxa"/>
            <w:tcMar>
              <w:top w:w="115" w:type="dxa"/>
              <w:left w:w="120" w:type="dxa"/>
              <w:bottom w:w="115" w:type="dxa"/>
              <w:right w:w="120" w:type="dxa"/>
            </w:tcMar>
            <w:vAlign w:val="center"/>
          </w:tcPr>
          <w:p w14:paraId="7A0A34F1" w14:textId="77777777" w:rsidR="00271861" w:rsidRPr="003248D2" w:rsidRDefault="00000000">
            <w:pPr>
              <w:spacing w:after="0" w:line="264" w:lineRule="auto"/>
              <w:jc w:val="left"/>
              <w:rPr>
                <w:color w:val="auto"/>
              </w:rPr>
            </w:pPr>
            <w:r w:rsidRPr="003248D2">
              <w:rPr>
                <w:color w:val="auto"/>
                <w:sz w:val="16"/>
              </w:rPr>
              <w:t>(Spoudeas et al., 2014)</w:t>
            </w:r>
          </w:p>
        </w:tc>
      </w:tr>
      <w:tr w:rsidR="003248D2" w:rsidRPr="003248D2" w14:paraId="1C1F90C4" w14:textId="77777777">
        <w:trPr>
          <w:cantSplit/>
        </w:trPr>
        <w:tc>
          <w:tcPr>
            <w:tcW w:w="1829" w:type="dxa"/>
            <w:tcMar>
              <w:top w:w="115" w:type="dxa"/>
              <w:left w:w="120" w:type="dxa"/>
              <w:bottom w:w="115" w:type="dxa"/>
              <w:right w:w="120" w:type="dxa"/>
            </w:tcMar>
            <w:vAlign w:val="center"/>
          </w:tcPr>
          <w:p w14:paraId="6C659E7B" w14:textId="77777777" w:rsidR="00271861" w:rsidRPr="003248D2" w:rsidRDefault="00000000">
            <w:pPr>
              <w:spacing w:after="0" w:line="264" w:lineRule="auto"/>
              <w:jc w:val="left"/>
              <w:rPr>
                <w:color w:val="auto"/>
              </w:rPr>
            </w:pPr>
            <w:r w:rsidRPr="003248D2">
              <w:rPr>
                <w:color w:val="auto"/>
                <w:sz w:val="17"/>
              </w:rPr>
              <w:t xml:space="preserve">Local </w:t>
            </w:r>
            <w:proofErr w:type="spellStart"/>
            <w:r w:rsidRPr="003248D2">
              <w:rPr>
                <w:color w:val="auto"/>
                <w:sz w:val="17"/>
              </w:rPr>
              <w:t>anaesthetic</w:t>
            </w:r>
            <w:proofErr w:type="spellEnd"/>
            <w:r w:rsidRPr="003248D2">
              <w:rPr>
                <w:color w:val="auto"/>
                <w:sz w:val="17"/>
              </w:rPr>
              <w:t xml:space="preserve"> delivery</w:t>
            </w:r>
          </w:p>
        </w:tc>
        <w:tc>
          <w:tcPr>
            <w:tcW w:w="3168" w:type="dxa"/>
            <w:tcMar>
              <w:top w:w="115" w:type="dxa"/>
              <w:left w:w="120" w:type="dxa"/>
              <w:bottom w:w="115" w:type="dxa"/>
              <w:right w:w="120" w:type="dxa"/>
            </w:tcMar>
            <w:vAlign w:val="center"/>
          </w:tcPr>
          <w:p w14:paraId="117DB56B" w14:textId="77777777" w:rsidR="00271861" w:rsidRPr="003248D2" w:rsidRDefault="00000000">
            <w:pPr>
              <w:spacing w:after="0" w:line="264" w:lineRule="auto"/>
              <w:jc w:val="left"/>
              <w:rPr>
                <w:color w:val="auto"/>
              </w:rPr>
            </w:pPr>
            <w:r w:rsidRPr="003248D2">
              <w:rPr>
                <w:color w:val="auto"/>
                <w:sz w:val="17"/>
              </w:rPr>
              <w:t>Selected clinical comparisons report reduced administration discomfort.</w:t>
            </w:r>
          </w:p>
        </w:tc>
        <w:tc>
          <w:tcPr>
            <w:tcW w:w="3082" w:type="dxa"/>
            <w:tcMar>
              <w:top w:w="115" w:type="dxa"/>
              <w:left w:w="120" w:type="dxa"/>
              <w:bottom w:w="115" w:type="dxa"/>
              <w:right w:w="120" w:type="dxa"/>
            </w:tcMar>
            <w:vAlign w:val="center"/>
          </w:tcPr>
          <w:p w14:paraId="1EA59088" w14:textId="77777777" w:rsidR="00271861" w:rsidRPr="003248D2" w:rsidRDefault="00000000">
            <w:pPr>
              <w:spacing w:after="0" w:line="264" w:lineRule="auto"/>
              <w:jc w:val="left"/>
              <w:rPr>
                <w:color w:val="auto"/>
              </w:rPr>
            </w:pPr>
            <w:r w:rsidRPr="003248D2">
              <w:rPr>
                <w:color w:val="auto"/>
                <w:sz w:val="17"/>
              </w:rPr>
              <w:t>Does performance remain satisfactory across procedure depths, drugs and ages?</w:t>
            </w:r>
          </w:p>
        </w:tc>
        <w:tc>
          <w:tcPr>
            <w:tcW w:w="1541" w:type="dxa"/>
            <w:tcMar>
              <w:top w:w="115" w:type="dxa"/>
              <w:left w:w="120" w:type="dxa"/>
              <w:bottom w:w="115" w:type="dxa"/>
              <w:right w:w="120" w:type="dxa"/>
            </w:tcMar>
            <w:vAlign w:val="center"/>
          </w:tcPr>
          <w:p w14:paraId="50A66FE5" w14:textId="77777777" w:rsidR="00271861" w:rsidRPr="003248D2" w:rsidRDefault="00000000">
            <w:pPr>
              <w:spacing w:after="0" w:line="264" w:lineRule="auto"/>
              <w:jc w:val="left"/>
              <w:rPr>
                <w:color w:val="auto"/>
              </w:rPr>
            </w:pPr>
            <w:r w:rsidRPr="003248D2">
              <w:rPr>
                <w:color w:val="auto"/>
                <w:sz w:val="16"/>
              </w:rPr>
              <w:t>(Lysakowski et al., 2003; Saravanan et al., 2026)</w:t>
            </w:r>
          </w:p>
        </w:tc>
      </w:tr>
      <w:tr w:rsidR="003248D2" w:rsidRPr="003248D2" w14:paraId="6FD0F574" w14:textId="77777777">
        <w:trPr>
          <w:cantSplit/>
        </w:trPr>
        <w:tc>
          <w:tcPr>
            <w:tcW w:w="1829" w:type="dxa"/>
            <w:tcMar>
              <w:top w:w="115" w:type="dxa"/>
              <w:left w:w="120" w:type="dxa"/>
              <w:bottom w:w="115" w:type="dxa"/>
              <w:right w:w="120" w:type="dxa"/>
            </w:tcMar>
            <w:vAlign w:val="center"/>
          </w:tcPr>
          <w:p w14:paraId="02016A40" w14:textId="77777777" w:rsidR="00271861" w:rsidRPr="003248D2" w:rsidRDefault="00000000">
            <w:pPr>
              <w:spacing w:after="0" w:line="264" w:lineRule="auto"/>
              <w:jc w:val="left"/>
              <w:rPr>
                <w:color w:val="auto"/>
              </w:rPr>
            </w:pPr>
            <w:r w:rsidRPr="003248D2">
              <w:rPr>
                <w:color w:val="auto"/>
                <w:sz w:val="17"/>
              </w:rPr>
              <w:t>Hypertrophic scars</w:t>
            </w:r>
          </w:p>
        </w:tc>
        <w:tc>
          <w:tcPr>
            <w:tcW w:w="3168" w:type="dxa"/>
            <w:tcMar>
              <w:top w:w="115" w:type="dxa"/>
              <w:left w:w="120" w:type="dxa"/>
              <w:bottom w:w="115" w:type="dxa"/>
              <w:right w:w="120" w:type="dxa"/>
            </w:tcMar>
            <w:vAlign w:val="center"/>
          </w:tcPr>
          <w:p w14:paraId="0B55D1D3" w14:textId="77777777" w:rsidR="00271861" w:rsidRPr="003248D2" w:rsidRDefault="00000000">
            <w:pPr>
              <w:spacing w:after="0" w:line="264" w:lineRule="auto"/>
              <w:jc w:val="left"/>
              <w:rPr>
                <w:color w:val="auto"/>
              </w:rPr>
            </w:pPr>
            <w:r w:rsidRPr="003248D2">
              <w:rPr>
                <w:color w:val="auto"/>
                <w:sz w:val="17"/>
              </w:rPr>
              <w:t>A controlled study of pneumatic delivery examined combined intralesional treatment.</w:t>
            </w:r>
          </w:p>
        </w:tc>
        <w:tc>
          <w:tcPr>
            <w:tcW w:w="3082" w:type="dxa"/>
            <w:tcMar>
              <w:top w:w="115" w:type="dxa"/>
              <w:left w:w="120" w:type="dxa"/>
              <w:bottom w:w="115" w:type="dxa"/>
              <w:right w:w="120" w:type="dxa"/>
            </w:tcMar>
            <w:vAlign w:val="center"/>
          </w:tcPr>
          <w:p w14:paraId="765F4473" w14:textId="77777777" w:rsidR="00271861" w:rsidRPr="003248D2" w:rsidRDefault="00000000">
            <w:pPr>
              <w:spacing w:after="0" w:line="264" w:lineRule="auto"/>
              <w:jc w:val="left"/>
              <w:rPr>
                <w:color w:val="auto"/>
              </w:rPr>
            </w:pPr>
            <w:r w:rsidRPr="003248D2">
              <w:rPr>
                <w:color w:val="auto"/>
                <w:sz w:val="17"/>
              </w:rPr>
              <w:t>How much benefit is drug-related and how much reflects distribution or penetration?</w:t>
            </w:r>
          </w:p>
        </w:tc>
        <w:tc>
          <w:tcPr>
            <w:tcW w:w="1541" w:type="dxa"/>
            <w:tcMar>
              <w:top w:w="115" w:type="dxa"/>
              <w:left w:w="120" w:type="dxa"/>
              <w:bottom w:w="115" w:type="dxa"/>
              <w:right w:w="120" w:type="dxa"/>
            </w:tcMar>
            <w:vAlign w:val="center"/>
          </w:tcPr>
          <w:p w14:paraId="3FD1D479" w14:textId="77777777" w:rsidR="00271861" w:rsidRPr="003248D2" w:rsidRDefault="00000000">
            <w:pPr>
              <w:spacing w:after="0" w:line="264" w:lineRule="auto"/>
              <w:jc w:val="left"/>
              <w:rPr>
                <w:color w:val="auto"/>
              </w:rPr>
            </w:pPr>
            <w:r w:rsidRPr="003248D2">
              <w:rPr>
                <w:color w:val="auto"/>
                <w:sz w:val="16"/>
              </w:rPr>
              <w:t>(Erlendsson et al., 2022)</w:t>
            </w:r>
          </w:p>
        </w:tc>
      </w:tr>
      <w:tr w:rsidR="003248D2" w:rsidRPr="003248D2" w14:paraId="7F3A83D9" w14:textId="77777777">
        <w:trPr>
          <w:cantSplit/>
        </w:trPr>
        <w:tc>
          <w:tcPr>
            <w:tcW w:w="1829" w:type="dxa"/>
            <w:tcMar>
              <w:top w:w="115" w:type="dxa"/>
              <w:left w:w="120" w:type="dxa"/>
              <w:bottom w:w="115" w:type="dxa"/>
              <w:right w:w="120" w:type="dxa"/>
            </w:tcMar>
            <w:vAlign w:val="center"/>
          </w:tcPr>
          <w:p w14:paraId="3E6558A1" w14:textId="77777777" w:rsidR="00271861" w:rsidRPr="003248D2" w:rsidRDefault="00000000">
            <w:pPr>
              <w:spacing w:after="0" w:line="264" w:lineRule="auto"/>
              <w:jc w:val="left"/>
              <w:rPr>
                <w:color w:val="auto"/>
              </w:rPr>
            </w:pPr>
            <w:r w:rsidRPr="003248D2">
              <w:rPr>
                <w:color w:val="auto"/>
                <w:sz w:val="17"/>
              </w:rPr>
              <w:t>Keloids and bleomycin</w:t>
            </w:r>
          </w:p>
        </w:tc>
        <w:tc>
          <w:tcPr>
            <w:tcW w:w="3168" w:type="dxa"/>
            <w:tcMar>
              <w:top w:w="115" w:type="dxa"/>
              <w:left w:w="120" w:type="dxa"/>
              <w:bottom w:w="115" w:type="dxa"/>
              <w:right w:w="120" w:type="dxa"/>
            </w:tcMar>
            <w:vAlign w:val="center"/>
          </w:tcPr>
          <w:p w14:paraId="5105EB22" w14:textId="77777777" w:rsidR="00271861" w:rsidRPr="003248D2" w:rsidRDefault="00000000">
            <w:pPr>
              <w:spacing w:after="0" w:line="264" w:lineRule="auto"/>
              <w:jc w:val="left"/>
              <w:rPr>
                <w:color w:val="auto"/>
              </w:rPr>
            </w:pPr>
            <w:r w:rsidRPr="003248D2">
              <w:rPr>
                <w:color w:val="auto"/>
                <w:sz w:val="17"/>
              </w:rPr>
              <w:t>A blinded placebo-controlled trial supports benefit in a defined severe-keloid population.</w:t>
            </w:r>
          </w:p>
        </w:tc>
        <w:tc>
          <w:tcPr>
            <w:tcW w:w="3082" w:type="dxa"/>
            <w:tcMar>
              <w:top w:w="115" w:type="dxa"/>
              <w:left w:w="120" w:type="dxa"/>
              <w:bottom w:w="115" w:type="dxa"/>
              <w:right w:w="120" w:type="dxa"/>
            </w:tcMar>
            <w:vAlign w:val="center"/>
          </w:tcPr>
          <w:p w14:paraId="6B1A5E9A" w14:textId="77777777" w:rsidR="00271861" w:rsidRPr="003248D2" w:rsidRDefault="00000000">
            <w:pPr>
              <w:spacing w:after="0" w:line="264" w:lineRule="auto"/>
              <w:jc w:val="left"/>
              <w:rPr>
                <w:color w:val="auto"/>
              </w:rPr>
            </w:pPr>
            <w:r w:rsidRPr="003248D2">
              <w:rPr>
                <w:color w:val="auto"/>
                <w:sz w:val="17"/>
              </w:rPr>
              <w:t>How does the complete regimen compare with optimised active needle-based care?</w:t>
            </w:r>
          </w:p>
        </w:tc>
        <w:tc>
          <w:tcPr>
            <w:tcW w:w="1541" w:type="dxa"/>
            <w:tcMar>
              <w:top w:w="115" w:type="dxa"/>
              <w:left w:w="120" w:type="dxa"/>
              <w:bottom w:w="115" w:type="dxa"/>
              <w:right w:w="120" w:type="dxa"/>
            </w:tcMar>
            <w:vAlign w:val="center"/>
          </w:tcPr>
          <w:p w14:paraId="6DAC1F52" w14:textId="77777777" w:rsidR="00271861" w:rsidRPr="003248D2" w:rsidRDefault="00000000">
            <w:pPr>
              <w:spacing w:after="0" w:line="264" w:lineRule="auto"/>
              <w:jc w:val="left"/>
              <w:rPr>
                <w:color w:val="auto"/>
              </w:rPr>
            </w:pPr>
            <w:r w:rsidRPr="003248D2">
              <w:rPr>
                <w:color w:val="auto"/>
                <w:sz w:val="16"/>
              </w:rPr>
              <w:t>(Bekkers et al., 2024)</w:t>
            </w:r>
          </w:p>
        </w:tc>
      </w:tr>
      <w:tr w:rsidR="003248D2" w:rsidRPr="003248D2" w14:paraId="0562C171" w14:textId="77777777">
        <w:trPr>
          <w:cantSplit/>
        </w:trPr>
        <w:tc>
          <w:tcPr>
            <w:tcW w:w="1829" w:type="dxa"/>
            <w:tcMar>
              <w:top w:w="115" w:type="dxa"/>
              <w:left w:w="120" w:type="dxa"/>
              <w:bottom w:w="115" w:type="dxa"/>
              <w:right w:w="120" w:type="dxa"/>
            </w:tcMar>
            <w:vAlign w:val="center"/>
          </w:tcPr>
          <w:p w14:paraId="02E10DCD" w14:textId="77777777" w:rsidR="00271861" w:rsidRPr="003248D2" w:rsidRDefault="00000000">
            <w:pPr>
              <w:spacing w:after="0" w:line="264" w:lineRule="auto"/>
              <w:jc w:val="left"/>
              <w:rPr>
                <w:color w:val="auto"/>
              </w:rPr>
            </w:pPr>
            <w:r w:rsidRPr="003248D2">
              <w:rPr>
                <w:color w:val="auto"/>
                <w:sz w:val="17"/>
              </w:rPr>
              <w:t>Dermatological field as a whole</w:t>
            </w:r>
          </w:p>
        </w:tc>
        <w:tc>
          <w:tcPr>
            <w:tcW w:w="3168" w:type="dxa"/>
            <w:tcMar>
              <w:top w:w="115" w:type="dxa"/>
              <w:left w:w="120" w:type="dxa"/>
              <w:bottom w:w="115" w:type="dxa"/>
              <w:right w:w="120" w:type="dxa"/>
            </w:tcMar>
            <w:vAlign w:val="center"/>
          </w:tcPr>
          <w:p w14:paraId="0EDB2F97" w14:textId="77777777" w:rsidR="00271861" w:rsidRPr="003248D2" w:rsidRDefault="00000000">
            <w:pPr>
              <w:spacing w:after="0" w:line="264" w:lineRule="auto"/>
              <w:jc w:val="left"/>
              <w:rPr>
                <w:color w:val="auto"/>
              </w:rPr>
            </w:pPr>
            <w:r w:rsidRPr="003248D2">
              <w:rPr>
                <w:color w:val="auto"/>
                <w:sz w:val="17"/>
              </w:rPr>
              <w:t>A formal review finds promising signals across heterogeneous small studies.</w:t>
            </w:r>
          </w:p>
        </w:tc>
        <w:tc>
          <w:tcPr>
            <w:tcW w:w="3082" w:type="dxa"/>
            <w:tcMar>
              <w:top w:w="115" w:type="dxa"/>
              <w:left w:w="120" w:type="dxa"/>
              <w:bottom w:w="115" w:type="dxa"/>
              <w:right w:w="120" w:type="dxa"/>
            </w:tcMar>
            <w:vAlign w:val="center"/>
          </w:tcPr>
          <w:p w14:paraId="09BD7D97" w14:textId="77777777" w:rsidR="00271861" w:rsidRPr="003248D2" w:rsidRDefault="00000000">
            <w:pPr>
              <w:spacing w:after="0" w:line="264" w:lineRule="auto"/>
              <w:jc w:val="left"/>
              <w:rPr>
                <w:color w:val="auto"/>
              </w:rPr>
            </w:pPr>
            <w:r w:rsidRPr="003248D2">
              <w:rPr>
                <w:color w:val="auto"/>
                <w:sz w:val="17"/>
              </w:rPr>
              <w:t>Reliable dose accounting and larger independent active-comparator trials remain scarce.</w:t>
            </w:r>
          </w:p>
        </w:tc>
        <w:tc>
          <w:tcPr>
            <w:tcW w:w="1541" w:type="dxa"/>
            <w:tcMar>
              <w:top w:w="115" w:type="dxa"/>
              <w:left w:w="120" w:type="dxa"/>
              <w:bottom w:w="115" w:type="dxa"/>
              <w:right w:w="120" w:type="dxa"/>
            </w:tcMar>
            <w:vAlign w:val="center"/>
          </w:tcPr>
          <w:p w14:paraId="4587CA25" w14:textId="77777777" w:rsidR="00271861" w:rsidRPr="003248D2" w:rsidRDefault="00000000">
            <w:pPr>
              <w:spacing w:after="0" w:line="264" w:lineRule="auto"/>
              <w:jc w:val="left"/>
              <w:rPr>
                <w:color w:val="auto"/>
              </w:rPr>
            </w:pPr>
            <w:r w:rsidRPr="003248D2">
              <w:rPr>
                <w:color w:val="auto"/>
                <w:sz w:val="16"/>
              </w:rPr>
              <w:t>(Bekkers et al., 2023; Han et al., 2021)</w:t>
            </w:r>
          </w:p>
        </w:tc>
      </w:tr>
    </w:tbl>
    <w:p w14:paraId="38A3B0EB" w14:textId="77777777" w:rsidR="00271861" w:rsidRPr="003248D2" w:rsidRDefault="00000000">
      <w:pPr>
        <w:pStyle w:val="ReviewTableNote"/>
        <w:rPr>
          <w:color w:val="auto"/>
        </w:rPr>
      </w:pPr>
      <w:r w:rsidRPr="003248D2">
        <w:rPr>
          <w:i/>
          <w:color w:val="auto"/>
        </w:rPr>
        <w:t xml:space="preserve">Note. </w:t>
      </w:r>
      <w:r w:rsidRPr="003248D2">
        <w:rPr>
          <w:color w:val="auto"/>
        </w:rPr>
        <w:t>Mechanistic and patient-important outcomes are deliberately distinguished; the evidence is indication- and device-specific.</w:t>
      </w:r>
    </w:p>
    <w:p w14:paraId="7AC6E8EE" w14:textId="77777777" w:rsidR="00271861" w:rsidRPr="003248D2" w:rsidRDefault="00000000">
      <w:pPr>
        <w:pStyle w:val="Heading1"/>
        <w:rPr>
          <w:color w:val="auto"/>
        </w:rPr>
      </w:pPr>
      <w:r w:rsidRPr="003248D2">
        <w:rPr>
          <w:color w:val="auto"/>
        </w:rPr>
        <w:t>7. Safety, Dose Integrity and Quality Assurance</w:t>
      </w:r>
    </w:p>
    <w:p w14:paraId="3BE2F031" w14:textId="77777777" w:rsidR="00271861" w:rsidRPr="003248D2" w:rsidRDefault="00000000">
      <w:pPr>
        <w:pStyle w:val="Heading2"/>
        <w:rPr>
          <w:color w:val="auto"/>
        </w:rPr>
      </w:pPr>
      <w:r w:rsidRPr="003248D2">
        <w:rPr>
          <w:color w:val="auto"/>
        </w:rPr>
        <w:t>7.1 Historical contamination lessons and modern asepsis</w:t>
      </w:r>
    </w:p>
    <w:p w14:paraId="0C2559DA" w14:textId="77777777" w:rsidR="00271861" w:rsidRPr="003248D2" w:rsidRDefault="00000000">
      <w:pPr>
        <w:rPr>
          <w:color w:val="auto"/>
        </w:rPr>
      </w:pPr>
      <w:r w:rsidRPr="003248D2">
        <w:rPr>
          <w:color w:val="auto"/>
        </w:rPr>
        <w:t>The most consequential historical objection to multiple-use jet injection concerns patient-to-patient transmission of biological material. Reuse of patient-contact components can permit blood or fluid to enter the apparatus or contaminate subsequent injections, even if the liquid jet is outward-directed. The absence of a solid needle does not neutralise this pathway. In an empirical safety investigation, Kelly et al. (2008) tested a protective-cap approach in hepatitis B carriers and stopped the trial early after detecting contamination under the tested configuration. This result is important because it challenges the assumption that adding a visible physical separator necessarily prevents transfer. Infection safety must be measured using sensitive, device-relevant tests rather than inferred from design drawings or observed absence of overt blood.</w:t>
      </w:r>
    </w:p>
    <w:p w14:paraId="0FF4AFB4" w14:textId="77777777" w:rsidR="00271861" w:rsidRPr="003248D2" w:rsidRDefault="00000000">
      <w:pPr>
        <w:rPr>
          <w:color w:val="auto"/>
        </w:rPr>
      </w:pPr>
      <w:r w:rsidRPr="003248D2">
        <w:rPr>
          <w:color w:val="auto"/>
        </w:rPr>
        <w:lastRenderedPageBreak/>
        <w:t>A modern sterile cartridge reduces some obvious routes of cross-contamination, but the full system must be examined for leakage, backflow, splash and contaminated external surfaces. The critical unit is the complete injection procedure: cartridge loading, operator contact, applicator pressure, surface cleaning and next-patient handling. An apparatus that ejects a sterile dose from an unopened cartridge may still expose staff or users to contaminated splash if the contact geometry is poorly controlled. Validation should include realistic high-risk fluids and worst-case usage rather than reassuring tests with clean, dry surfaces alone. The lessons of earlier jet systems argue for disposable patient-contact fluid paths and explicit independent contamination testing as non-negotiable design conditions (Barolet &amp; Benohanian, 2018; Kelly et al., 2008).</w:t>
      </w:r>
    </w:p>
    <w:p w14:paraId="39054603" w14:textId="77777777" w:rsidR="00271861" w:rsidRPr="003248D2" w:rsidRDefault="00000000">
      <w:pPr>
        <w:rPr>
          <w:color w:val="auto"/>
        </w:rPr>
      </w:pPr>
      <w:r w:rsidRPr="003248D2">
        <w:rPr>
          <w:color w:val="auto"/>
        </w:rPr>
        <w:t>Needle-free devices may reduce injuries from used hypodermic needles, but that benefit must be distinguished from complete elimination of transmission risk. Clinics still handle vials, medicinal containers and potentially contaminated materials; staff may use conventional needles to load a reservoir unless the product is supplied in a compatible prefilled system. The actual reduction in sharps exposure therefore depends on preparation and administration workflow. Device safety claims should be phrased as elimination of the penetrating administration needle when that is true, not as proof that no needles or infectious exposures occur anywhere in the medication pathway.</w:t>
      </w:r>
    </w:p>
    <w:p w14:paraId="1A5BAEB8" w14:textId="77777777" w:rsidR="00271861" w:rsidRPr="003248D2" w:rsidRDefault="00000000">
      <w:pPr>
        <w:pStyle w:val="Heading2"/>
        <w:rPr>
          <w:color w:val="auto"/>
        </w:rPr>
      </w:pPr>
      <w:r w:rsidRPr="003248D2">
        <w:rPr>
          <w:color w:val="auto"/>
        </w:rPr>
        <w:t>7.2 Pain, bruising and local reactogenicity</w:t>
      </w:r>
    </w:p>
    <w:p w14:paraId="4A4A8336" w14:textId="77777777" w:rsidR="00271861" w:rsidRPr="003248D2" w:rsidRDefault="00000000">
      <w:pPr>
        <w:rPr>
          <w:color w:val="auto"/>
        </w:rPr>
      </w:pPr>
      <w:r w:rsidRPr="003248D2">
        <w:rPr>
          <w:color w:val="auto"/>
        </w:rPr>
        <w:t>Pain is among the most frequently promoted advantages of needle-free administration, but evidence is context-specific. Patients may fear the sight of a needle, anticipate pain from puncture or dislike repeated injections for reasons that do not correlate closely with measured immediate discomfort. A jet can remove the visual and penetrating needle components while generating pressure, a sudden acoustic impulse or local bruising. Vaccine trials have reported greater local reactogenicity with some jet devices, whereas particular anaesthetic and dermatological studies report favourable procedural experiences. These findings are not necessarily contradictory because comparator route, volume, tissue site, drug and timing of assessment differ (Bekkers et al., 2023; McAllister et al., 2014; Saravanan et al., 2026).</w:t>
      </w:r>
    </w:p>
    <w:p w14:paraId="27989B91" w14:textId="77777777" w:rsidR="00271861" w:rsidRPr="003248D2" w:rsidRDefault="00000000">
      <w:pPr>
        <w:rPr>
          <w:color w:val="auto"/>
        </w:rPr>
      </w:pPr>
      <w:r w:rsidRPr="003248D2">
        <w:rPr>
          <w:color w:val="auto"/>
        </w:rPr>
        <w:t>Standardised tolerability assessment should include pain at impact, delayed tenderness, swelling, erythema, bleeding, bruising and recovery time, ideally alongside validated anxiety and preference instruments. Participant preference can be strongly affected by previous injection experience or marketing expectations; unblinded comparisons are particularly susceptible. For repeated self-injection, acceptability should be assessed after sustained use rather than a single favourable first impression. A clinically meaningful benefit is better framed as lower overall treatment burden without compromising delivery or safety, not as a categorical assertion that every jet injector is painless.</w:t>
      </w:r>
    </w:p>
    <w:p w14:paraId="2494C133" w14:textId="77777777" w:rsidR="00271861" w:rsidRPr="003248D2" w:rsidRDefault="00000000">
      <w:pPr>
        <w:pStyle w:val="Heading2"/>
        <w:rPr>
          <w:color w:val="auto"/>
        </w:rPr>
      </w:pPr>
      <w:r w:rsidRPr="003248D2">
        <w:rPr>
          <w:color w:val="auto"/>
        </w:rPr>
        <w:t>7.3 Dose accounting and formulation compatibility</w:t>
      </w:r>
    </w:p>
    <w:p w14:paraId="79C48BDA" w14:textId="77777777" w:rsidR="00271861" w:rsidRPr="003248D2" w:rsidRDefault="00000000">
      <w:pPr>
        <w:rPr>
          <w:color w:val="auto"/>
        </w:rPr>
      </w:pPr>
      <w:r w:rsidRPr="003248D2">
        <w:rPr>
          <w:color w:val="auto"/>
        </w:rPr>
        <w:t>Dose integrity deserves the same scrutiny as mechanical penetration. Complete ejection from a cartridge does not ensure that the prescribed amount reached its intended tissue compartment. Surface spillage and reflux can be substantial for some local indications, while dispersion across different depths may alter pharmacokinetics or immune activation. In the keloid trial by Bekkers et al. (2024), substantial reported spillage coexisted with favourable scar responses, illustrating why efficacy at one dose does not establish precise delivered-dose control. Conversely, injection quality indicators in poliovirus studies did not predict immune outcomes uniformly (Resik et al., 2015). These findings support recording both material balance and biological response rather than selecting whichever metric is most favourable.</w:t>
      </w:r>
    </w:p>
    <w:p w14:paraId="04363198" w14:textId="77777777" w:rsidR="00271861" w:rsidRPr="003248D2" w:rsidRDefault="00000000">
      <w:pPr>
        <w:rPr>
          <w:color w:val="auto"/>
        </w:rPr>
      </w:pPr>
      <w:r w:rsidRPr="003248D2">
        <w:rPr>
          <w:color w:val="auto"/>
        </w:rPr>
        <w:lastRenderedPageBreak/>
        <w:t>Formulation testing should encompass concentration, rheological behaviour, particulate loading, physical and chemical stability, potency and potential interactions with the drug-contact path. Molecularly complex agents may respond differently to jet acceleration and decompression from saline or small-molecule drugs. Work on viscosity-dependent jetting demonstrates that some barriers are more nuanced than a simple viscosity ceiling, but the possibility of successful fluid acceleration must not be equated with post-delivery molecular integrity (McKeage et al., 2024). A defensible development programme should include pre- and post-jet analyses relevant to the specific molecule, plus stability after storage in the intended cartridge and after any permitted preparation steps.</w:t>
      </w:r>
    </w:p>
    <w:p w14:paraId="2E195063" w14:textId="77777777" w:rsidR="00271861" w:rsidRPr="003248D2" w:rsidRDefault="00000000">
      <w:pPr>
        <w:rPr>
          <w:color w:val="auto"/>
        </w:rPr>
      </w:pPr>
      <w:r w:rsidRPr="003248D2">
        <w:rPr>
          <w:color w:val="auto"/>
        </w:rPr>
        <w:t>Analytical standards should also be proportional to dose and risk. For a low-volume intradermal vaccine, even small leakage may represent a high proportion of the nominal dose. For a relatively large subcutaneous insulin injection, a small absolute delivery error may have meaningful consequences in sensitive patients. For a cytotoxic lesion treatment, both under-delivery and unanticipated off-target deposition have safety implications. These examples show why one generic injection-efficiency threshold would be inappropriate. Acceptance criteria should be justified by exposure–response relationships, indication, administration frequency and the variability of the target tissue.</w:t>
      </w:r>
    </w:p>
    <w:p w14:paraId="1C2DBA56" w14:textId="77777777" w:rsidR="00271861" w:rsidRPr="003248D2" w:rsidRDefault="00000000">
      <w:pPr>
        <w:pStyle w:val="Heading2"/>
        <w:rPr>
          <w:color w:val="auto"/>
        </w:rPr>
      </w:pPr>
      <w:r w:rsidRPr="003248D2">
        <w:rPr>
          <w:color w:val="auto"/>
        </w:rPr>
        <w:t>7.4 Mechanical failure, usability and human factors</w:t>
      </w:r>
    </w:p>
    <w:p w14:paraId="21523CF3" w14:textId="77777777" w:rsidR="00271861" w:rsidRPr="003248D2" w:rsidRDefault="00000000">
      <w:pPr>
        <w:rPr>
          <w:color w:val="auto"/>
        </w:rPr>
      </w:pPr>
      <w:r w:rsidRPr="003248D2">
        <w:rPr>
          <w:color w:val="auto"/>
        </w:rPr>
        <w:t>An injector's safety envelope must include foreseeable technical failures. Blocked nozzles can produce partial ejection or abnormal pressure, worn seals can cause leakage, incorrect assembly may compromise sterility, and variation in skin contact can change penetration. For powered systems, sensor miscalibration and battery-related faults add further pathways. For fixed mechanical systems, a damaged spring or altered cartridge tolerance may shift jet output without obvious warning. Reliability testing should include production variability, shelf life, repeated actuation where permitted, environmental temperature, humidity and realistic operator handling. A performance claim measured on new laboratory equipment does not automatically apply at the end of a product's intended service life (Rohilla et al., 2020; Stachowiak et al., 2009; Taberner et al., 2012).</w:t>
      </w:r>
    </w:p>
    <w:p w14:paraId="6AF90998" w14:textId="77777777" w:rsidR="00271861" w:rsidRPr="003248D2" w:rsidRDefault="00000000">
      <w:pPr>
        <w:rPr>
          <w:color w:val="auto"/>
        </w:rPr>
      </w:pPr>
      <w:r w:rsidRPr="003248D2">
        <w:rPr>
          <w:color w:val="auto"/>
        </w:rPr>
        <w:t>Human factors are particularly important where trained vaccinators must deliver high numbers of injections or patients must administer drugs at home. The operator needs to select the correct cartridge, maintain contact, recognise failed injections and avoid repeating a dose without a clear rule. The response to a visibly incomplete injection may differ from that after an uncertain fractional-dose administration. Device labels and training should specify what constitutes a failed or partial event and what clinical action is justified, with advice linked to the particular medicine. Ergonomic differences among injectors were observed during poliovirus immunisation research, further indicating that nominally similar devices are not operationally interchangeable (Resik et al., 2015).</w:t>
      </w:r>
    </w:p>
    <w:p w14:paraId="6EF20BD2" w14:textId="77777777" w:rsidR="00271861" w:rsidRPr="003248D2" w:rsidRDefault="00000000">
      <w:pPr>
        <w:pStyle w:val="Heading2"/>
        <w:rPr>
          <w:color w:val="auto"/>
        </w:rPr>
      </w:pPr>
      <w:r w:rsidRPr="003248D2">
        <w:rPr>
          <w:color w:val="auto"/>
        </w:rPr>
        <w:t>7.5 How safety should be evidenced</w:t>
      </w:r>
    </w:p>
    <w:p w14:paraId="56BC5E04" w14:textId="77777777" w:rsidR="00271861" w:rsidRPr="003248D2" w:rsidRDefault="00000000">
      <w:pPr>
        <w:rPr>
          <w:color w:val="auto"/>
        </w:rPr>
      </w:pPr>
      <w:r w:rsidRPr="003248D2">
        <w:rPr>
          <w:color w:val="auto"/>
        </w:rPr>
        <w:t xml:space="preserve">A credible safety claim requires several complementary layers. Bench tests characterise jet performance, leakage and device failure; microbiological studies examine possible patient-to-patient transfer; formulation assessments verify molecular stability and sterility assurance; controlled clinical trials detect common local and systemic effects; and post-deployment surveillance is needed to discover uncommon or use-dependent problems. The evidentiary strength of each layer is limited by what it can observe. A small clinical trial with no serious adverse events cannot exclude rare harms; a microbiologically sterile fluid path cannot establish </w:t>
      </w:r>
      <w:r w:rsidRPr="003248D2">
        <w:rPr>
          <w:color w:val="auto"/>
        </w:rPr>
        <w:lastRenderedPageBreak/>
        <w:t>acceptable injection-site injury; and a favourable short-term adverse-event profile does not demonstrate long-term usability. This layered conception is more rigorous than treating “needle-free” as a single safety endpoint (Bekkers et al., 2023; Kelly et al., 2008; McAllister et al., 2014).</w:t>
      </w:r>
    </w:p>
    <w:p w14:paraId="136F9A7E" w14:textId="77777777" w:rsidR="00271861" w:rsidRPr="003248D2" w:rsidRDefault="00000000">
      <w:pPr>
        <w:pStyle w:val="Heading1"/>
        <w:rPr>
          <w:color w:val="auto"/>
        </w:rPr>
      </w:pPr>
      <w:r w:rsidRPr="003248D2">
        <w:rPr>
          <w:color w:val="auto"/>
        </w:rPr>
        <w:t>8. Implementation, Equity, Regulation and Environmental Trade-offs</w:t>
      </w:r>
    </w:p>
    <w:p w14:paraId="3B86A1D9" w14:textId="77777777" w:rsidR="00271861" w:rsidRPr="003248D2" w:rsidRDefault="00000000">
      <w:pPr>
        <w:pStyle w:val="Heading2"/>
        <w:rPr>
          <w:color w:val="auto"/>
        </w:rPr>
      </w:pPr>
      <w:r w:rsidRPr="003248D2">
        <w:rPr>
          <w:color w:val="auto"/>
        </w:rPr>
        <w:t>8.1 Clinical workflow and health-system value</w:t>
      </w:r>
    </w:p>
    <w:p w14:paraId="36FBE603" w14:textId="77777777" w:rsidR="00271861" w:rsidRPr="003248D2" w:rsidRDefault="00000000">
      <w:pPr>
        <w:rPr>
          <w:color w:val="auto"/>
        </w:rPr>
      </w:pPr>
      <w:r w:rsidRPr="003248D2">
        <w:rPr>
          <w:color w:val="auto"/>
        </w:rPr>
        <w:t>The operational case for needle-free injection is often strongest where conventional administration is frequent, time-sensitive or difficult to deliver safely. Vaccine campaigns may value throughput and fewer sharps, whereas long-term therapy may prioritise home usability and treatment persistence. Nevertheless, the comparison should use the entire service pathway, not the actuation time alone. Preparation, filling, priming, consumable replacement, injection, management of unsuccessful attempts, cleaning, stock control and disposal all consume time and resources. A device that ejects a dose rapidly may offer little net advantage if cartridge preparation becomes the rate-limiting step. The pragmatic campaign experience reported by Bashorun et al. (2022) is valuable precisely because it tested administration under operational conditions rather than assuming that laboratory injection quality would translate automatically into programme performance.</w:t>
      </w:r>
    </w:p>
    <w:p w14:paraId="78B3D54E" w14:textId="77777777" w:rsidR="00271861" w:rsidRPr="003248D2" w:rsidRDefault="00000000">
      <w:pPr>
        <w:rPr>
          <w:color w:val="auto"/>
        </w:rPr>
      </w:pPr>
      <w:r w:rsidRPr="003248D2">
        <w:rPr>
          <w:color w:val="auto"/>
        </w:rPr>
        <w:t>A defensible economic analysis requires the price of the injector and its service life, cost per sterile interface or prefilled cartridge, maintenance, staff training, waste management, wastage of medicines and the cost of adverse events. For an intradermal dose-sparing vaccine, any reduction in drug use must be offset against consumable costs and the possibility that partial-dose leakage necessitates additional doses or reduces protection. For insulin or growth hormone, extra device expenditure might be justified by patient benefit or better adherence, but that benefit must be demonstrated rather than assigned a hypothetical monetary value. The cost-effectiveness of one injector cannot simply be transferred to a different health system with other workforce, procurement and waste infrastructure (Bashorun et al., 2022; Lysakowski et al., 2003; Spoudeas et al., 2014).</w:t>
      </w:r>
    </w:p>
    <w:p w14:paraId="260B17D6" w14:textId="77777777" w:rsidR="00271861" w:rsidRPr="003248D2" w:rsidRDefault="00000000">
      <w:pPr>
        <w:pStyle w:val="Heading2"/>
        <w:rPr>
          <w:color w:val="auto"/>
        </w:rPr>
      </w:pPr>
      <w:r w:rsidRPr="003248D2">
        <w:rPr>
          <w:color w:val="auto"/>
        </w:rPr>
        <w:t>8.2 Access, acceptability and equity</w:t>
      </w:r>
    </w:p>
    <w:p w14:paraId="129E2205" w14:textId="77777777" w:rsidR="00271861" w:rsidRPr="003248D2" w:rsidRDefault="00000000">
      <w:pPr>
        <w:rPr>
          <w:color w:val="auto"/>
        </w:rPr>
      </w:pPr>
      <w:r w:rsidRPr="003248D2">
        <w:rPr>
          <w:color w:val="auto"/>
        </w:rPr>
        <w:t>Needle-free devices are sometimes presented as inherently more inclusive for populations who fear needles or live where safe sharps disposal is difficult. These propositions are plausible, but equity outcomes depend on availability, affordability, reliable consumables and accessible training. A proprietary cartridge requirement can create supply dependence, while an electronic unit may rely on power, calibration or specialist repairs. A robust mechanical injector might fit decentralised services better, but only when its dose and sterility performance have been validated in the anticipated environments. Patient acceptability must also be studied among groups usually underrepresented in device trials, including children, older people, individuals with altered skin and users with manual or visual limitations (Ikechukwu &amp; Agu, 2026; Vranis &amp; Theodorou, 2025).</w:t>
      </w:r>
    </w:p>
    <w:p w14:paraId="578BD2E9" w14:textId="77777777" w:rsidR="00271861" w:rsidRPr="003248D2" w:rsidRDefault="00000000">
      <w:pPr>
        <w:rPr>
          <w:color w:val="auto"/>
        </w:rPr>
      </w:pPr>
      <w:r w:rsidRPr="003248D2">
        <w:rPr>
          <w:color w:val="auto"/>
        </w:rPr>
        <w:t xml:space="preserve">Cultural preferences and expectations should be elicited directly rather than inferred from the absence of a needle. Some patients dislike the sound or force of jet delivery, while others may prefer an established injection method they trust. In vaccine programmes, a novel device can influence consent, operator confidence and public perceptions of safety. Where the aim is improved uptake, meaningful outcomes include completed vaccination schedules, refusal rates, continuation after an initial injection and equitable </w:t>
      </w:r>
      <w:r w:rsidRPr="003248D2">
        <w:rPr>
          <w:color w:val="auto"/>
        </w:rPr>
        <w:lastRenderedPageBreak/>
        <w:t>geographic coverage. A brief demonstration of lower self-reported fear does not demonstrate improved population protection. For home treatment, the strongest evidence would show sustained adherence and clinical outcomes across people who had previously experienced injection-related barriers (Spoudeas et al., 2014).</w:t>
      </w:r>
    </w:p>
    <w:p w14:paraId="2A271E38" w14:textId="77777777" w:rsidR="00271861" w:rsidRPr="003248D2" w:rsidRDefault="00000000">
      <w:pPr>
        <w:pStyle w:val="Heading2"/>
        <w:rPr>
          <w:color w:val="auto"/>
        </w:rPr>
      </w:pPr>
      <w:r w:rsidRPr="003248D2">
        <w:rPr>
          <w:color w:val="auto"/>
        </w:rPr>
        <w:t>8.3 Regulatory and manufacturing implications</w:t>
      </w:r>
    </w:p>
    <w:p w14:paraId="39BF2190" w14:textId="77777777" w:rsidR="00271861" w:rsidRPr="003248D2" w:rsidRDefault="00000000">
      <w:pPr>
        <w:rPr>
          <w:color w:val="auto"/>
        </w:rPr>
      </w:pPr>
      <w:r w:rsidRPr="003248D2">
        <w:rPr>
          <w:color w:val="auto"/>
        </w:rPr>
        <w:t>A needle-free injector intended to deliver an approved medicine may nevertheless alter the medicinal product's exposure profile or route. Regulatory assessment therefore concerns the combined product and its specified uses, including performance verification, dose uniformity, aseptic assurance, container–closure compatibility, clinical comparability and the risk-management system. The appropriate evidence will differ for a vaccine that seeks immunogenicity non-inferiority, an insulin system claiming more rapid action, and a dermatological device intended for lesion-specific treatment. Claims such as “painless”, “cross-contamination-free” or “dose-sparing” each require evidence pertinent to the claim rather than a general citation about jet injectors (Ikechukwu &amp; Agu, 2026; McAllister et al., 2014).</w:t>
      </w:r>
    </w:p>
    <w:p w14:paraId="74775545" w14:textId="77777777" w:rsidR="00271861" w:rsidRPr="003248D2" w:rsidRDefault="00000000">
      <w:pPr>
        <w:rPr>
          <w:color w:val="auto"/>
        </w:rPr>
      </w:pPr>
      <w:r w:rsidRPr="003248D2">
        <w:rPr>
          <w:color w:val="auto"/>
        </w:rPr>
        <w:t>Manufacturing quality is particularly important because a small nozzle can be sensitive to dimensional tolerances, particles and material wear. Prefilled sterile components may simplify use but require validated fill accuracy, storage stability, packaging integrity and compatibility with the propulsion unit. Adjustable devices additionally need a reliable interface between prescription, selected settings and the actual delivered pulse. A structured design-control process should treat changes in cartridge material, nozzle geometry or formulation as potential changes to clinical performance. This approach avoids the false assurance of regarding a new injection accessory as a neutral substitution for a conventional needle.</w:t>
      </w:r>
    </w:p>
    <w:p w14:paraId="210F2E9B" w14:textId="77777777" w:rsidR="00271861" w:rsidRPr="003248D2" w:rsidRDefault="00000000">
      <w:pPr>
        <w:pStyle w:val="Heading2"/>
        <w:rPr>
          <w:color w:val="auto"/>
        </w:rPr>
      </w:pPr>
      <w:r w:rsidRPr="003248D2">
        <w:rPr>
          <w:color w:val="auto"/>
        </w:rPr>
        <w:t>8.4 Environmental implications and supply resilience</w:t>
      </w:r>
    </w:p>
    <w:p w14:paraId="5E7BB192" w14:textId="77777777" w:rsidR="00271861" w:rsidRPr="003248D2" w:rsidRDefault="00000000">
      <w:pPr>
        <w:rPr>
          <w:color w:val="auto"/>
        </w:rPr>
      </w:pPr>
      <w:r w:rsidRPr="003248D2">
        <w:rPr>
          <w:color w:val="auto"/>
        </w:rPr>
        <w:t>Removing metal needles may reduce conventional sharps requirements during administration, an operational advantage in some settings, but the environmental comparison is more complicated. Single-use plastics, sterile packaging, springs, gas cartridges, batteries and electronics each have upstream resource costs and downstream treatment needs. The environmental burden can increase if low-use reusable hardware is frequently discarded or if proprietary consumables require energy-intensive distribution. Conversely, successful intradermal dose-sparing could reduce vaccine quantities required for a given level of protection when supported by reliable biological results. No universal net environmental benefit can be inferred without a product-specific assessment of material inputs, use frequency, transport, disposal and effectiveness (Bashorun et al., 2022; Ikechukwu &amp; Agu, 2026).</w:t>
      </w:r>
    </w:p>
    <w:p w14:paraId="4A580FE5" w14:textId="77777777" w:rsidR="00271861" w:rsidRPr="003248D2" w:rsidRDefault="00000000">
      <w:pPr>
        <w:rPr>
          <w:color w:val="auto"/>
        </w:rPr>
      </w:pPr>
      <w:r w:rsidRPr="003248D2">
        <w:rPr>
          <w:color w:val="auto"/>
        </w:rPr>
        <w:t>Resilience deserves equal consideration. A conventional syringe has a comparatively simple procurement and training profile, while an injector with a single specialised cartridge source can be vulnerable to procurement interruptions. Programmes considering scale-up should establish fallback administration methods and clear rules for clinical equivalence when supplies fail. Long-term service contracts, consumable availability and operator retraining may determine whether a technically successful device remains in routine use. These are not peripheral business questions: an interruption in a vaccine campaign or chronic treatment schedule can affect the real-world value of a delivery system even when its individual injections are effective.</w:t>
      </w:r>
    </w:p>
    <w:p w14:paraId="2F66A693" w14:textId="77777777" w:rsidR="00271861" w:rsidRPr="003248D2" w:rsidRDefault="00000000">
      <w:pPr>
        <w:rPr>
          <w:color w:val="auto"/>
        </w:rPr>
      </w:pPr>
      <w:r w:rsidRPr="003248D2">
        <w:rPr>
          <w:color w:val="auto"/>
        </w:rPr>
        <w:t xml:space="preserve">Table 5 translates the physical and clinical evidence into a context-specific implementation framework. Rather than ranking technologies as universally superior, it identifies what would need to be demonstrated </w:t>
      </w:r>
      <w:r w:rsidRPr="003248D2">
        <w:rPr>
          <w:color w:val="auto"/>
        </w:rPr>
        <w:lastRenderedPageBreak/>
        <w:t>before adoption in distinct care settings. The emphasis is on linking a proposed benefit with a measurable endpoint and an appropriate comparator.</w:t>
      </w:r>
    </w:p>
    <w:p w14:paraId="10111BD7" w14:textId="77777777" w:rsidR="00271861" w:rsidRPr="003248D2" w:rsidRDefault="00000000">
      <w:pPr>
        <w:pStyle w:val="ReviewTableTitle"/>
        <w:rPr>
          <w:color w:val="auto"/>
        </w:rPr>
      </w:pPr>
      <w:r w:rsidRPr="003248D2">
        <w:rPr>
          <w:b/>
          <w:color w:val="auto"/>
        </w:rPr>
        <w:t xml:space="preserve">Table 5. </w:t>
      </w:r>
      <w:r w:rsidRPr="003248D2">
        <w:rPr>
          <w:color w:val="auto"/>
        </w:rPr>
        <w:t>Evidence requirements for real-world adoption across care settings</w:t>
      </w:r>
    </w:p>
    <w:tbl>
      <w:tblPr>
        <w:tblW w:w="0" w:type="auto"/>
        <w:tblBorders>
          <w:top w:val="single" w:sz="4" w:space="0" w:color="B8C3CD"/>
          <w:bottom w:val="single" w:sz="4" w:space="0" w:color="B8C3CD"/>
          <w:insideH w:val="single" w:sz="4" w:space="0" w:color="B8C3CD"/>
        </w:tblBorders>
        <w:tblLayout w:type="fixed"/>
        <w:tblLook w:val="04A0" w:firstRow="1" w:lastRow="0" w:firstColumn="1" w:lastColumn="0" w:noHBand="0" w:noVBand="1"/>
      </w:tblPr>
      <w:tblGrid>
        <w:gridCol w:w="1829"/>
        <w:gridCol w:w="3168"/>
        <w:gridCol w:w="3082"/>
        <w:gridCol w:w="1541"/>
      </w:tblGrid>
      <w:tr w:rsidR="003248D2" w:rsidRPr="003248D2" w14:paraId="53315C6A" w14:textId="77777777">
        <w:trPr>
          <w:cantSplit/>
          <w:tblHeader/>
        </w:trPr>
        <w:tc>
          <w:tcPr>
            <w:tcW w:w="1829" w:type="dxa"/>
            <w:shd w:val="clear" w:color="auto" w:fill="EAF0F4"/>
            <w:tcMar>
              <w:top w:w="140" w:type="dxa"/>
              <w:left w:w="120" w:type="dxa"/>
              <w:bottom w:w="138" w:type="dxa"/>
              <w:right w:w="115" w:type="dxa"/>
            </w:tcMar>
            <w:vAlign w:val="center"/>
          </w:tcPr>
          <w:p w14:paraId="7B65B0B0" w14:textId="77777777" w:rsidR="00271861" w:rsidRPr="003248D2" w:rsidRDefault="00000000">
            <w:pPr>
              <w:spacing w:after="0" w:line="259" w:lineRule="auto"/>
              <w:rPr>
                <w:color w:val="auto"/>
              </w:rPr>
            </w:pPr>
            <w:r w:rsidRPr="003248D2">
              <w:rPr>
                <w:b/>
                <w:color w:val="auto"/>
                <w:sz w:val="16"/>
              </w:rPr>
              <w:t>Intended implementation context</w:t>
            </w:r>
          </w:p>
        </w:tc>
        <w:tc>
          <w:tcPr>
            <w:tcW w:w="3168" w:type="dxa"/>
            <w:shd w:val="clear" w:color="auto" w:fill="EAF0F4"/>
            <w:tcMar>
              <w:top w:w="140" w:type="dxa"/>
              <w:left w:w="120" w:type="dxa"/>
              <w:bottom w:w="138" w:type="dxa"/>
              <w:right w:w="115" w:type="dxa"/>
            </w:tcMar>
            <w:vAlign w:val="center"/>
          </w:tcPr>
          <w:p w14:paraId="073848E0" w14:textId="77777777" w:rsidR="00271861" w:rsidRPr="003248D2" w:rsidRDefault="00000000">
            <w:pPr>
              <w:spacing w:after="0" w:line="259" w:lineRule="auto"/>
              <w:rPr>
                <w:color w:val="auto"/>
              </w:rPr>
            </w:pPr>
            <w:r w:rsidRPr="003248D2">
              <w:rPr>
                <w:b/>
                <w:color w:val="auto"/>
                <w:sz w:val="16"/>
              </w:rPr>
              <w:t>Minimum evidence needed before scale-up</w:t>
            </w:r>
          </w:p>
        </w:tc>
        <w:tc>
          <w:tcPr>
            <w:tcW w:w="3082" w:type="dxa"/>
            <w:shd w:val="clear" w:color="auto" w:fill="EAF0F4"/>
            <w:tcMar>
              <w:top w:w="140" w:type="dxa"/>
              <w:left w:w="120" w:type="dxa"/>
              <w:bottom w:w="138" w:type="dxa"/>
              <w:right w:w="115" w:type="dxa"/>
            </w:tcMar>
            <w:vAlign w:val="center"/>
          </w:tcPr>
          <w:p w14:paraId="15507373" w14:textId="77777777" w:rsidR="00271861" w:rsidRPr="003248D2" w:rsidRDefault="00000000">
            <w:pPr>
              <w:spacing w:after="0" w:line="259" w:lineRule="auto"/>
              <w:rPr>
                <w:color w:val="auto"/>
              </w:rPr>
            </w:pPr>
            <w:r w:rsidRPr="003248D2">
              <w:rPr>
                <w:b/>
                <w:color w:val="auto"/>
                <w:sz w:val="16"/>
              </w:rPr>
              <w:t>Principal operational hazard or trade-off</w:t>
            </w:r>
          </w:p>
        </w:tc>
        <w:tc>
          <w:tcPr>
            <w:tcW w:w="1541" w:type="dxa"/>
            <w:shd w:val="clear" w:color="auto" w:fill="EAF0F4"/>
            <w:tcMar>
              <w:top w:w="140" w:type="dxa"/>
              <w:left w:w="120" w:type="dxa"/>
              <w:bottom w:w="138" w:type="dxa"/>
              <w:right w:w="115" w:type="dxa"/>
            </w:tcMar>
            <w:vAlign w:val="center"/>
          </w:tcPr>
          <w:p w14:paraId="4A69AD7C" w14:textId="77777777" w:rsidR="00271861" w:rsidRPr="003248D2" w:rsidRDefault="00000000">
            <w:pPr>
              <w:spacing w:after="0" w:line="259" w:lineRule="auto"/>
              <w:rPr>
                <w:color w:val="auto"/>
              </w:rPr>
            </w:pPr>
            <w:r w:rsidRPr="003248D2">
              <w:rPr>
                <w:b/>
                <w:color w:val="auto"/>
                <w:sz w:val="16"/>
              </w:rPr>
              <w:t>Supporting references</w:t>
            </w:r>
          </w:p>
        </w:tc>
      </w:tr>
      <w:tr w:rsidR="003248D2" w:rsidRPr="003248D2" w14:paraId="0F83D286" w14:textId="77777777">
        <w:trPr>
          <w:cantSplit/>
        </w:trPr>
        <w:tc>
          <w:tcPr>
            <w:tcW w:w="1829" w:type="dxa"/>
            <w:tcMar>
              <w:top w:w="115" w:type="dxa"/>
              <w:left w:w="120" w:type="dxa"/>
              <w:bottom w:w="115" w:type="dxa"/>
              <w:right w:w="120" w:type="dxa"/>
            </w:tcMar>
            <w:vAlign w:val="center"/>
          </w:tcPr>
          <w:p w14:paraId="27B33DB4" w14:textId="77777777" w:rsidR="00271861" w:rsidRPr="003248D2" w:rsidRDefault="00000000">
            <w:pPr>
              <w:spacing w:after="0" w:line="264" w:lineRule="auto"/>
              <w:jc w:val="left"/>
              <w:rPr>
                <w:color w:val="auto"/>
              </w:rPr>
            </w:pPr>
            <w:r w:rsidRPr="003248D2">
              <w:rPr>
                <w:color w:val="auto"/>
                <w:sz w:val="17"/>
              </w:rPr>
              <w:t>Vaccination campaign</w:t>
            </w:r>
          </w:p>
        </w:tc>
        <w:tc>
          <w:tcPr>
            <w:tcW w:w="3168" w:type="dxa"/>
            <w:tcMar>
              <w:top w:w="115" w:type="dxa"/>
              <w:left w:w="120" w:type="dxa"/>
              <w:bottom w:w="115" w:type="dxa"/>
              <w:right w:w="120" w:type="dxa"/>
            </w:tcMar>
            <w:vAlign w:val="center"/>
          </w:tcPr>
          <w:p w14:paraId="2252EB26" w14:textId="77777777" w:rsidR="00271861" w:rsidRPr="003248D2" w:rsidRDefault="00000000">
            <w:pPr>
              <w:spacing w:after="0" w:line="264" w:lineRule="auto"/>
              <w:jc w:val="left"/>
              <w:rPr>
                <w:color w:val="auto"/>
              </w:rPr>
            </w:pPr>
            <w:r w:rsidRPr="003248D2">
              <w:rPr>
                <w:color w:val="auto"/>
                <w:sz w:val="17"/>
              </w:rPr>
              <w:t>Named vaccine and schedule; prespecified immunogenicity, dose, contamination and failure data.</w:t>
            </w:r>
          </w:p>
        </w:tc>
        <w:tc>
          <w:tcPr>
            <w:tcW w:w="3082" w:type="dxa"/>
            <w:tcMar>
              <w:top w:w="115" w:type="dxa"/>
              <w:left w:w="120" w:type="dxa"/>
              <w:bottom w:w="115" w:type="dxa"/>
              <w:right w:w="120" w:type="dxa"/>
            </w:tcMar>
            <w:vAlign w:val="center"/>
          </w:tcPr>
          <w:p w14:paraId="6213D297" w14:textId="77777777" w:rsidR="00271861" w:rsidRPr="003248D2" w:rsidRDefault="00000000">
            <w:pPr>
              <w:spacing w:after="0" w:line="264" w:lineRule="auto"/>
              <w:jc w:val="left"/>
              <w:rPr>
                <w:color w:val="auto"/>
              </w:rPr>
            </w:pPr>
            <w:r w:rsidRPr="003248D2">
              <w:rPr>
                <w:color w:val="auto"/>
                <w:sz w:val="17"/>
              </w:rPr>
              <w:t>Training variability, splash, local reactions and supply continuity.</w:t>
            </w:r>
          </w:p>
        </w:tc>
        <w:tc>
          <w:tcPr>
            <w:tcW w:w="1541" w:type="dxa"/>
            <w:tcMar>
              <w:top w:w="115" w:type="dxa"/>
              <w:left w:w="120" w:type="dxa"/>
              <w:bottom w:w="115" w:type="dxa"/>
              <w:right w:w="120" w:type="dxa"/>
            </w:tcMar>
            <w:vAlign w:val="center"/>
          </w:tcPr>
          <w:p w14:paraId="2D82D721" w14:textId="77777777" w:rsidR="00271861" w:rsidRPr="003248D2" w:rsidRDefault="00000000">
            <w:pPr>
              <w:spacing w:after="0" w:line="264" w:lineRule="auto"/>
              <w:jc w:val="left"/>
              <w:rPr>
                <w:color w:val="auto"/>
              </w:rPr>
            </w:pPr>
            <w:r w:rsidRPr="003248D2">
              <w:rPr>
                <w:color w:val="auto"/>
                <w:sz w:val="16"/>
              </w:rPr>
              <w:t>(Bashorun et al., 2022; Kelly et al., 2008)</w:t>
            </w:r>
          </w:p>
        </w:tc>
      </w:tr>
      <w:tr w:rsidR="003248D2" w:rsidRPr="003248D2" w14:paraId="2BD383A0" w14:textId="77777777">
        <w:trPr>
          <w:cantSplit/>
        </w:trPr>
        <w:tc>
          <w:tcPr>
            <w:tcW w:w="1829" w:type="dxa"/>
            <w:tcMar>
              <w:top w:w="115" w:type="dxa"/>
              <w:left w:w="120" w:type="dxa"/>
              <w:bottom w:w="115" w:type="dxa"/>
              <w:right w:w="120" w:type="dxa"/>
            </w:tcMar>
            <w:vAlign w:val="center"/>
          </w:tcPr>
          <w:p w14:paraId="4F3027BC" w14:textId="77777777" w:rsidR="00271861" w:rsidRPr="003248D2" w:rsidRDefault="00000000">
            <w:pPr>
              <w:spacing w:after="0" w:line="264" w:lineRule="auto"/>
              <w:jc w:val="left"/>
              <w:rPr>
                <w:color w:val="auto"/>
              </w:rPr>
            </w:pPr>
            <w:r w:rsidRPr="003248D2">
              <w:rPr>
                <w:color w:val="auto"/>
                <w:sz w:val="17"/>
              </w:rPr>
              <w:t>Routine diabetes self-care</w:t>
            </w:r>
          </w:p>
        </w:tc>
        <w:tc>
          <w:tcPr>
            <w:tcW w:w="3168" w:type="dxa"/>
            <w:tcMar>
              <w:top w:w="115" w:type="dxa"/>
              <w:left w:w="120" w:type="dxa"/>
              <w:bottom w:w="115" w:type="dxa"/>
              <w:right w:w="120" w:type="dxa"/>
            </w:tcMar>
            <w:vAlign w:val="center"/>
          </w:tcPr>
          <w:p w14:paraId="057134F6" w14:textId="77777777" w:rsidR="00271861" w:rsidRPr="003248D2" w:rsidRDefault="00000000">
            <w:pPr>
              <w:spacing w:after="0" w:line="264" w:lineRule="auto"/>
              <w:jc w:val="left"/>
              <w:rPr>
                <w:color w:val="auto"/>
              </w:rPr>
            </w:pPr>
            <w:r w:rsidRPr="003248D2">
              <w:rPr>
                <w:color w:val="auto"/>
                <w:sz w:val="17"/>
              </w:rPr>
              <w:t>Device-specific dose consistency, sustained glucose endpoints and patient-use trials.</w:t>
            </w:r>
          </w:p>
        </w:tc>
        <w:tc>
          <w:tcPr>
            <w:tcW w:w="3082" w:type="dxa"/>
            <w:tcMar>
              <w:top w:w="115" w:type="dxa"/>
              <w:left w:w="120" w:type="dxa"/>
              <w:bottom w:w="115" w:type="dxa"/>
              <w:right w:w="120" w:type="dxa"/>
            </w:tcMar>
            <w:vAlign w:val="center"/>
          </w:tcPr>
          <w:p w14:paraId="630976CA" w14:textId="77777777" w:rsidR="00271861" w:rsidRPr="003248D2" w:rsidRDefault="00000000">
            <w:pPr>
              <w:spacing w:after="0" w:line="264" w:lineRule="auto"/>
              <w:jc w:val="left"/>
              <w:rPr>
                <w:color w:val="auto"/>
              </w:rPr>
            </w:pPr>
            <w:r w:rsidRPr="003248D2">
              <w:rPr>
                <w:color w:val="auto"/>
                <w:sz w:val="17"/>
              </w:rPr>
              <w:t>Variable contact, cartridge handling, cost and regimen complexity.</w:t>
            </w:r>
          </w:p>
        </w:tc>
        <w:tc>
          <w:tcPr>
            <w:tcW w:w="1541" w:type="dxa"/>
            <w:tcMar>
              <w:top w:w="115" w:type="dxa"/>
              <w:left w:w="120" w:type="dxa"/>
              <w:bottom w:w="115" w:type="dxa"/>
              <w:right w:w="120" w:type="dxa"/>
            </w:tcMar>
            <w:vAlign w:val="center"/>
          </w:tcPr>
          <w:p w14:paraId="7D1F10C6" w14:textId="77777777" w:rsidR="00271861" w:rsidRPr="003248D2" w:rsidRDefault="00000000">
            <w:pPr>
              <w:spacing w:after="0" w:line="264" w:lineRule="auto"/>
              <w:jc w:val="left"/>
              <w:rPr>
                <w:color w:val="auto"/>
              </w:rPr>
            </w:pPr>
            <w:r w:rsidRPr="003248D2">
              <w:rPr>
                <w:color w:val="auto"/>
                <w:sz w:val="16"/>
              </w:rPr>
              <w:t>(de Wit et al., 2015; Engwerda et al., 2013)</w:t>
            </w:r>
          </w:p>
        </w:tc>
      </w:tr>
      <w:tr w:rsidR="003248D2" w:rsidRPr="003248D2" w14:paraId="6B8AA646" w14:textId="77777777">
        <w:trPr>
          <w:cantSplit/>
        </w:trPr>
        <w:tc>
          <w:tcPr>
            <w:tcW w:w="1829" w:type="dxa"/>
            <w:tcMar>
              <w:top w:w="115" w:type="dxa"/>
              <w:left w:w="120" w:type="dxa"/>
              <w:bottom w:w="115" w:type="dxa"/>
              <w:right w:w="120" w:type="dxa"/>
            </w:tcMar>
            <w:vAlign w:val="center"/>
          </w:tcPr>
          <w:p w14:paraId="6C6D692A" w14:textId="77777777" w:rsidR="00271861" w:rsidRPr="003248D2" w:rsidRDefault="00000000">
            <w:pPr>
              <w:spacing w:after="0" w:line="264" w:lineRule="auto"/>
              <w:jc w:val="left"/>
              <w:rPr>
                <w:color w:val="auto"/>
              </w:rPr>
            </w:pPr>
            <w:r w:rsidRPr="003248D2">
              <w:rPr>
                <w:color w:val="auto"/>
                <w:sz w:val="17"/>
              </w:rPr>
              <w:t>Dermatological clinic</w:t>
            </w:r>
          </w:p>
        </w:tc>
        <w:tc>
          <w:tcPr>
            <w:tcW w:w="3168" w:type="dxa"/>
            <w:tcMar>
              <w:top w:w="115" w:type="dxa"/>
              <w:left w:w="120" w:type="dxa"/>
              <w:bottom w:w="115" w:type="dxa"/>
              <w:right w:w="120" w:type="dxa"/>
            </w:tcMar>
            <w:vAlign w:val="center"/>
          </w:tcPr>
          <w:p w14:paraId="3C685A82" w14:textId="77777777" w:rsidR="00271861" w:rsidRPr="003248D2" w:rsidRDefault="00000000">
            <w:pPr>
              <w:spacing w:after="0" w:line="264" w:lineRule="auto"/>
              <w:jc w:val="left"/>
              <w:rPr>
                <w:color w:val="auto"/>
              </w:rPr>
            </w:pPr>
            <w:r w:rsidRPr="003248D2">
              <w:rPr>
                <w:color w:val="auto"/>
                <w:sz w:val="17"/>
              </w:rPr>
              <w:t>Lesion-specific delivery validation and comparisons with optimised active treatment.</w:t>
            </w:r>
          </w:p>
        </w:tc>
        <w:tc>
          <w:tcPr>
            <w:tcW w:w="3082" w:type="dxa"/>
            <w:tcMar>
              <w:top w:w="115" w:type="dxa"/>
              <w:left w:w="120" w:type="dxa"/>
              <w:bottom w:w="115" w:type="dxa"/>
              <w:right w:w="120" w:type="dxa"/>
            </w:tcMar>
            <w:vAlign w:val="center"/>
          </w:tcPr>
          <w:p w14:paraId="0A64F696" w14:textId="77777777" w:rsidR="00271861" w:rsidRPr="003248D2" w:rsidRDefault="00000000">
            <w:pPr>
              <w:spacing w:after="0" w:line="264" w:lineRule="auto"/>
              <w:jc w:val="left"/>
              <w:rPr>
                <w:color w:val="auto"/>
              </w:rPr>
            </w:pPr>
            <w:r w:rsidRPr="003248D2">
              <w:rPr>
                <w:color w:val="auto"/>
                <w:sz w:val="17"/>
              </w:rPr>
              <w:t>Uncertain local deposition, dosing, bruising and procedural time.</w:t>
            </w:r>
          </w:p>
        </w:tc>
        <w:tc>
          <w:tcPr>
            <w:tcW w:w="1541" w:type="dxa"/>
            <w:tcMar>
              <w:top w:w="115" w:type="dxa"/>
              <w:left w:w="120" w:type="dxa"/>
              <w:bottom w:w="115" w:type="dxa"/>
              <w:right w:w="120" w:type="dxa"/>
            </w:tcMar>
            <w:vAlign w:val="center"/>
          </w:tcPr>
          <w:p w14:paraId="5E54854C" w14:textId="77777777" w:rsidR="00271861" w:rsidRPr="003248D2" w:rsidRDefault="00000000">
            <w:pPr>
              <w:spacing w:after="0" w:line="264" w:lineRule="auto"/>
              <w:jc w:val="left"/>
              <w:rPr>
                <w:color w:val="auto"/>
              </w:rPr>
            </w:pPr>
            <w:r w:rsidRPr="003248D2">
              <w:rPr>
                <w:color w:val="auto"/>
                <w:sz w:val="16"/>
              </w:rPr>
              <w:t>(Bekkers et al., 2023, 2024; Erlendsson et al., 2022)</w:t>
            </w:r>
          </w:p>
        </w:tc>
      </w:tr>
      <w:tr w:rsidR="003248D2" w:rsidRPr="003248D2" w14:paraId="216F65B8" w14:textId="77777777">
        <w:trPr>
          <w:cantSplit/>
        </w:trPr>
        <w:tc>
          <w:tcPr>
            <w:tcW w:w="1829" w:type="dxa"/>
            <w:tcMar>
              <w:top w:w="115" w:type="dxa"/>
              <w:left w:w="120" w:type="dxa"/>
              <w:bottom w:w="115" w:type="dxa"/>
              <w:right w:w="120" w:type="dxa"/>
            </w:tcMar>
            <w:vAlign w:val="center"/>
          </w:tcPr>
          <w:p w14:paraId="4119BA53" w14:textId="77777777" w:rsidR="00271861" w:rsidRPr="003248D2" w:rsidRDefault="00000000">
            <w:pPr>
              <w:spacing w:after="0" w:line="264" w:lineRule="auto"/>
              <w:jc w:val="left"/>
              <w:rPr>
                <w:color w:val="auto"/>
              </w:rPr>
            </w:pPr>
            <w:r w:rsidRPr="003248D2">
              <w:rPr>
                <w:color w:val="auto"/>
                <w:sz w:val="17"/>
              </w:rPr>
              <w:t>Microjet or fragile therapeutic payload</w:t>
            </w:r>
          </w:p>
        </w:tc>
        <w:tc>
          <w:tcPr>
            <w:tcW w:w="3168" w:type="dxa"/>
            <w:tcMar>
              <w:top w:w="115" w:type="dxa"/>
              <w:left w:w="120" w:type="dxa"/>
              <w:bottom w:w="115" w:type="dxa"/>
              <w:right w:w="120" w:type="dxa"/>
            </w:tcMar>
            <w:vAlign w:val="center"/>
          </w:tcPr>
          <w:p w14:paraId="130DD567" w14:textId="77777777" w:rsidR="00271861" w:rsidRPr="003248D2" w:rsidRDefault="00000000">
            <w:pPr>
              <w:spacing w:after="0" w:line="264" w:lineRule="auto"/>
              <w:jc w:val="left"/>
              <w:rPr>
                <w:color w:val="auto"/>
              </w:rPr>
            </w:pPr>
            <w:r w:rsidRPr="003248D2">
              <w:rPr>
                <w:color w:val="auto"/>
                <w:sz w:val="17"/>
              </w:rPr>
              <w:t>Biochemical potency and structural stability after ejection; human pharmacology when appropriate.</w:t>
            </w:r>
          </w:p>
        </w:tc>
        <w:tc>
          <w:tcPr>
            <w:tcW w:w="3082" w:type="dxa"/>
            <w:tcMar>
              <w:top w:w="115" w:type="dxa"/>
              <w:left w:w="120" w:type="dxa"/>
              <w:bottom w:w="115" w:type="dxa"/>
              <w:right w:w="120" w:type="dxa"/>
            </w:tcMar>
            <w:vAlign w:val="center"/>
          </w:tcPr>
          <w:p w14:paraId="14C07C54" w14:textId="77777777" w:rsidR="00271861" w:rsidRPr="003248D2" w:rsidRDefault="00000000">
            <w:pPr>
              <w:spacing w:after="0" w:line="264" w:lineRule="auto"/>
              <w:jc w:val="left"/>
              <w:rPr>
                <w:color w:val="auto"/>
              </w:rPr>
            </w:pPr>
            <w:r w:rsidRPr="003248D2">
              <w:rPr>
                <w:color w:val="auto"/>
                <w:sz w:val="17"/>
              </w:rPr>
              <w:t>Shear, heat, incompatibility and insufficient tissue-distributed dose.</w:t>
            </w:r>
          </w:p>
        </w:tc>
        <w:tc>
          <w:tcPr>
            <w:tcW w:w="1541" w:type="dxa"/>
            <w:tcMar>
              <w:top w:w="115" w:type="dxa"/>
              <w:left w:w="120" w:type="dxa"/>
              <w:bottom w:w="115" w:type="dxa"/>
              <w:right w:w="120" w:type="dxa"/>
            </w:tcMar>
            <w:vAlign w:val="center"/>
          </w:tcPr>
          <w:p w14:paraId="376E66ED" w14:textId="77777777" w:rsidR="00271861" w:rsidRPr="003248D2" w:rsidRDefault="00000000">
            <w:pPr>
              <w:spacing w:after="0" w:line="264" w:lineRule="auto"/>
              <w:jc w:val="left"/>
              <w:rPr>
                <w:color w:val="auto"/>
              </w:rPr>
            </w:pPr>
            <w:r w:rsidRPr="003248D2">
              <w:rPr>
                <w:color w:val="auto"/>
                <w:sz w:val="16"/>
              </w:rPr>
              <w:t>(McKeage et al., 2024; van der Ven et al., 2026)</w:t>
            </w:r>
          </w:p>
        </w:tc>
      </w:tr>
      <w:tr w:rsidR="003248D2" w:rsidRPr="003248D2" w14:paraId="78BF70F4" w14:textId="77777777">
        <w:trPr>
          <w:cantSplit/>
        </w:trPr>
        <w:tc>
          <w:tcPr>
            <w:tcW w:w="1829" w:type="dxa"/>
            <w:tcMar>
              <w:top w:w="115" w:type="dxa"/>
              <w:left w:w="120" w:type="dxa"/>
              <w:bottom w:w="115" w:type="dxa"/>
              <w:right w:w="120" w:type="dxa"/>
            </w:tcMar>
            <w:vAlign w:val="center"/>
          </w:tcPr>
          <w:p w14:paraId="499E1298" w14:textId="77777777" w:rsidR="00271861" w:rsidRPr="003248D2" w:rsidRDefault="00000000">
            <w:pPr>
              <w:spacing w:after="0" w:line="264" w:lineRule="auto"/>
              <w:jc w:val="left"/>
              <w:rPr>
                <w:color w:val="auto"/>
              </w:rPr>
            </w:pPr>
            <w:r w:rsidRPr="003248D2">
              <w:rPr>
                <w:color w:val="auto"/>
                <w:sz w:val="17"/>
              </w:rPr>
              <w:t>Low-resource delivery service</w:t>
            </w:r>
          </w:p>
        </w:tc>
        <w:tc>
          <w:tcPr>
            <w:tcW w:w="3168" w:type="dxa"/>
            <w:tcMar>
              <w:top w:w="115" w:type="dxa"/>
              <w:left w:w="120" w:type="dxa"/>
              <w:bottom w:w="115" w:type="dxa"/>
              <w:right w:w="120" w:type="dxa"/>
            </w:tcMar>
            <w:vAlign w:val="center"/>
          </w:tcPr>
          <w:p w14:paraId="503C2763" w14:textId="77777777" w:rsidR="00271861" w:rsidRPr="003248D2" w:rsidRDefault="00000000">
            <w:pPr>
              <w:spacing w:after="0" w:line="264" w:lineRule="auto"/>
              <w:jc w:val="left"/>
              <w:rPr>
                <w:color w:val="auto"/>
              </w:rPr>
            </w:pPr>
            <w:r w:rsidRPr="003248D2">
              <w:rPr>
                <w:color w:val="auto"/>
                <w:sz w:val="17"/>
              </w:rPr>
              <w:t>Field workflow, independent infection-safety testing, consumable access and comparative costs.</w:t>
            </w:r>
          </w:p>
        </w:tc>
        <w:tc>
          <w:tcPr>
            <w:tcW w:w="3082" w:type="dxa"/>
            <w:tcMar>
              <w:top w:w="115" w:type="dxa"/>
              <w:left w:w="120" w:type="dxa"/>
              <w:bottom w:w="115" w:type="dxa"/>
              <w:right w:w="120" w:type="dxa"/>
            </w:tcMar>
            <w:vAlign w:val="center"/>
          </w:tcPr>
          <w:p w14:paraId="2EBFD676" w14:textId="77777777" w:rsidR="00271861" w:rsidRPr="003248D2" w:rsidRDefault="00000000">
            <w:pPr>
              <w:spacing w:after="0" w:line="264" w:lineRule="auto"/>
              <w:jc w:val="left"/>
              <w:rPr>
                <w:color w:val="auto"/>
              </w:rPr>
            </w:pPr>
            <w:r w:rsidRPr="003248D2">
              <w:rPr>
                <w:color w:val="auto"/>
                <w:sz w:val="17"/>
              </w:rPr>
              <w:t>Proprietary cartridges, interrupted supply and support infrastructure.</w:t>
            </w:r>
          </w:p>
        </w:tc>
        <w:tc>
          <w:tcPr>
            <w:tcW w:w="1541" w:type="dxa"/>
            <w:tcMar>
              <w:top w:w="115" w:type="dxa"/>
              <w:left w:w="120" w:type="dxa"/>
              <w:bottom w:w="115" w:type="dxa"/>
              <w:right w:w="120" w:type="dxa"/>
            </w:tcMar>
            <w:vAlign w:val="center"/>
          </w:tcPr>
          <w:p w14:paraId="10932A03" w14:textId="77777777" w:rsidR="00271861" w:rsidRPr="003248D2" w:rsidRDefault="00000000">
            <w:pPr>
              <w:spacing w:after="0" w:line="264" w:lineRule="auto"/>
              <w:jc w:val="left"/>
              <w:rPr>
                <w:color w:val="auto"/>
              </w:rPr>
            </w:pPr>
            <w:r w:rsidRPr="003248D2">
              <w:rPr>
                <w:color w:val="auto"/>
                <w:sz w:val="16"/>
              </w:rPr>
              <w:t>(Bashorun et al., 2022; Ikechukwu &amp; Agu, 2026; Kelly et al., 2008)</w:t>
            </w:r>
          </w:p>
        </w:tc>
      </w:tr>
    </w:tbl>
    <w:p w14:paraId="635D45DC" w14:textId="77777777" w:rsidR="00271861" w:rsidRPr="003248D2" w:rsidRDefault="00000000">
      <w:pPr>
        <w:pStyle w:val="ReviewTableNote"/>
        <w:rPr>
          <w:color w:val="auto"/>
        </w:rPr>
      </w:pPr>
      <w:r w:rsidRPr="003248D2">
        <w:rPr>
          <w:i/>
          <w:color w:val="auto"/>
        </w:rPr>
        <w:t xml:space="preserve">Note. </w:t>
      </w:r>
      <w:r w:rsidRPr="003248D2">
        <w:rPr>
          <w:color w:val="auto"/>
        </w:rPr>
        <w:t>Selected evidence is illustrative rather than exhaustive; findings are conditional on the tested device and formulation.</w:t>
      </w:r>
    </w:p>
    <w:p w14:paraId="0C4E07A1" w14:textId="77777777" w:rsidR="00271861" w:rsidRPr="003248D2" w:rsidRDefault="00000000">
      <w:pPr>
        <w:pStyle w:val="Heading1"/>
        <w:rPr>
          <w:color w:val="auto"/>
        </w:rPr>
      </w:pPr>
      <w:r w:rsidRPr="003248D2">
        <w:rPr>
          <w:color w:val="auto"/>
        </w:rPr>
        <w:t>9. Integrated Critical Synthesis: Why Promising Devices Do Not Always Translate</w:t>
      </w:r>
    </w:p>
    <w:p w14:paraId="288764E3" w14:textId="77777777" w:rsidR="00271861" w:rsidRPr="003248D2" w:rsidRDefault="00000000">
      <w:pPr>
        <w:pStyle w:val="Heading2"/>
        <w:rPr>
          <w:color w:val="auto"/>
        </w:rPr>
      </w:pPr>
      <w:r w:rsidRPr="003248D2">
        <w:rPr>
          <w:color w:val="auto"/>
        </w:rPr>
        <w:t>9.1 A coupled-system interpretation</w:t>
      </w:r>
    </w:p>
    <w:p w14:paraId="6D36112F" w14:textId="77777777" w:rsidR="00271861" w:rsidRPr="003248D2" w:rsidRDefault="00000000">
      <w:pPr>
        <w:rPr>
          <w:color w:val="auto"/>
        </w:rPr>
      </w:pPr>
      <w:r w:rsidRPr="003248D2">
        <w:rPr>
          <w:color w:val="auto"/>
        </w:rPr>
        <w:t>The reviewed evidence is best understood through a coupled-system model comprising propulsion architecture, formulation, tissue, operator and setting. Engineering experiments isolate relationships within this system: higher jet power, tailored pressure pulses or better contact can alter penetration. Human studies ask whether those changes matter biologically, while field research evaluates whether operators can reproduce an effective intervention at scale. Translation fails when a finding from one layer is presumed to establish another. A precisely ejected laboratory microjet is not evidence of complete patient dosing, a positive antibody response is not proof of freedom from contamination, and an initial patient preference is not proof of sustained adherence. This conceptual separation explains much of the apparent disagreement between optimistic engineering reports and more cautious clinical syntheses (Bekkers et al., 2023; McAllister et al., 2014; Stachowiak et al., 2009).</w:t>
      </w:r>
    </w:p>
    <w:p w14:paraId="4E3E252B" w14:textId="77777777" w:rsidR="00271861" w:rsidRPr="003248D2" w:rsidRDefault="00000000">
      <w:pPr>
        <w:rPr>
          <w:color w:val="auto"/>
        </w:rPr>
      </w:pPr>
      <w:r w:rsidRPr="003248D2">
        <w:rPr>
          <w:color w:val="auto"/>
        </w:rPr>
        <w:t xml:space="preserve">The central comparison should match the causal question. If the question concerns nozzle or actuator performance, the formulation and target tissue should be held constant while mechanical settings vary. If the question concerns route-related vaccine dose-sparing, administration method and dose need to be separated as far as feasible. If the question concerns overall clinical value, the complete intervention should be compared under the same clinical workflow as the standard of care. A study that changes all three elements </w:t>
      </w:r>
      <w:r w:rsidRPr="003248D2">
        <w:rPr>
          <w:color w:val="auto"/>
        </w:rPr>
        <w:lastRenderedPageBreak/>
        <w:t>may still support a pragmatic decision about the combined regimen, but it cannot reliably identify the mechanism of benefit. The distinction is methodological rather than semantic and should be made explicit in claims about efficacy or superiority.</w:t>
      </w:r>
    </w:p>
    <w:p w14:paraId="4124CE71" w14:textId="77777777" w:rsidR="00271861" w:rsidRPr="003248D2" w:rsidRDefault="00000000">
      <w:pPr>
        <w:pStyle w:val="Heading2"/>
        <w:rPr>
          <w:color w:val="auto"/>
        </w:rPr>
      </w:pPr>
      <w:r w:rsidRPr="003248D2">
        <w:rPr>
          <w:color w:val="auto"/>
        </w:rPr>
        <w:t>9.2 Contradictions, heterogeneity and inferential confidence</w:t>
      </w:r>
    </w:p>
    <w:p w14:paraId="3C10AD80" w14:textId="77777777" w:rsidR="00271861" w:rsidRPr="003248D2" w:rsidRDefault="00000000">
      <w:pPr>
        <w:rPr>
          <w:color w:val="auto"/>
        </w:rPr>
      </w:pPr>
      <w:r w:rsidRPr="003248D2">
        <w:rPr>
          <w:color w:val="auto"/>
        </w:rPr>
        <w:t>Several recurring contrasts require explanation rather than averaging. First, jet delivery can accelerate insulin action yet fail to show large improvements over longer postprandial periods because its principal effect is on timing rather than necessarily on total dose or exposure (de Wit et al., 2015; Engwerda et al., 2013). Second, a vaccine can achieve immune non-inferiority while causing more local reactions because effective antigen delivery and transient tissue injury are different outcomes (McAllister et al., 2014). Third, clinicians may observe scar improvement despite marked local leakage because a therapy can have a pharmacological effect below its nominal dose, although leakage compromises prediction of exposure and toxicity (Bekkers et al., 2024). These contrasts show that benefit and reliability must be evaluated together, not collapsed into a binary claim that an injector “works”.</w:t>
      </w:r>
    </w:p>
    <w:p w14:paraId="66DCE948" w14:textId="77777777" w:rsidR="00271861" w:rsidRPr="003248D2" w:rsidRDefault="00000000">
      <w:pPr>
        <w:rPr>
          <w:color w:val="auto"/>
        </w:rPr>
      </w:pPr>
      <w:r w:rsidRPr="003248D2">
        <w:rPr>
          <w:color w:val="auto"/>
        </w:rPr>
        <w:t>There is also an important difference between the strength of physical and clinical inference. Bench studies often exert strong control over the experimental conditions but use surrogates that limit external validity. Human randomised comparisons provide greater direct relevance but are sometimes small, short or restricted to particular formulations. Observational adherence studies can reflect real practice while remaining confounded by product, support and patient selection. Evidence from early vaccine trials offers greater confidence in safety and immunogenicity for tested schedules than in disease prevention or broad platform substitution. The current evidence supports conditional decisions about specific applications rather than a single technology-wide clinical verdict (Bashorun et al., 2022; Paulsen et al., 2024; Spoudeas et al., 2014).</w:t>
      </w:r>
    </w:p>
    <w:p w14:paraId="43EE4A92" w14:textId="77777777" w:rsidR="00271861" w:rsidRPr="003248D2" w:rsidRDefault="00000000">
      <w:pPr>
        <w:rPr>
          <w:color w:val="auto"/>
        </w:rPr>
      </w:pPr>
      <w:r w:rsidRPr="003248D2">
        <w:rPr>
          <w:color w:val="auto"/>
        </w:rPr>
        <w:t>A further limitation arises from the tendency to report technology success using favourable endpoints. Mechanical studies may emphasise depth or dye distribution, drug delivery studies may emphasise earlier peak concentrations, and patient studies may report immediate preference. Each is legitimate when prespecified and interpreted narrowly; the problem occurs when the same finding is promoted as proof of better adherence, reduced infection, greater efficacy and lower costs. Future publication should favour integrated protocols that report delivered-dose fraction, chemical integrity, clinical benefit, local harm and implementation cost together. Negative or incomplete injections are especially informative because they clarify the conditions in which a system fails, but such outcomes can be overlooked if investigators focus on successful demonstrations alone.</w:t>
      </w:r>
    </w:p>
    <w:p w14:paraId="27AF8D98" w14:textId="77777777" w:rsidR="00271861" w:rsidRPr="003248D2" w:rsidRDefault="00000000">
      <w:pPr>
        <w:pStyle w:val="Heading2"/>
        <w:rPr>
          <w:color w:val="auto"/>
        </w:rPr>
      </w:pPr>
      <w:r w:rsidRPr="003248D2">
        <w:rPr>
          <w:color w:val="auto"/>
        </w:rPr>
        <w:t>9.3 Conditions for a defensible adoption decision</w:t>
      </w:r>
    </w:p>
    <w:p w14:paraId="14D7CFCC" w14:textId="77777777" w:rsidR="00271861" w:rsidRPr="003248D2" w:rsidRDefault="00000000">
      <w:pPr>
        <w:rPr>
          <w:color w:val="auto"/>
        </w:rPr>
      </w:pPr>
      <w:r w:rsidRPr="003248D2">
        <w:rPr>
          <w:color w:val="auto"/>
        </w:rPr>
        <w:t>Adoption is most defensible when a device can specify the exact therapeutic product, delivery route, target population and clinical objective; demonstrate robust sterile administration and dose consistency; meet an agreed clinical comparator endpoint; and offer an advantage that matters to users or services. These conditions can be achieved for one application without proving general utility. A vaccination programme may accept slightly more local reaction in exchange for reliable immunogenicity and reduced sharps burden, whereas a self-administered insulin device must make a stronger case about everyday glycaemic control and operational simplicity. A lesion-treatment device may justify further trials on the basis of promising scar responses but still require dose mapping and independent comparisons against optimal needle infiltration.</w:t>
      </w:r>
    </w:p>
    <w:p w14:paraId="364B74D7" w14:textId="77777777" w:rsidR="00271861" w:rsidRPr="003248D2" w:rsidRDefault="00000000">
      <w:pPr>
        <w:rPr>
          <w:color w:val="auto"/>
        </w:rPr>
      </w:pPr>
      <w:r w:rsidRPr="003248D2">
        <w:rPr>
          <w:color w:val="auto"/>
        </w:rPr>
        <w:lastRenderedPageBreak/>
        <w:t>This contextual perspective also reduces the incentive for inflated claims. Needle-free technology does not need to be universally painless, cheaper or more effective to be clinically valuable. It needs a well-supported role in circumstances where conventional delivery creates a meaningful barrier or where altered deposition has demonstrable therapeutic benefit. The most promising future devices may therefore be specialised rather than universal, with each injector–formulation pairing validated for an explicit anatomical target and user population.</w:t>
      </w:r>
    </w:p>
    <w:p w14:paraId="07CE2AA2" w14:textId="77777777" w:rsidR="00271861" w:rsidRPr="003248D2" w:rsidRDefault="00000000">
      <w:pPr>
        <w:pStyle w:val="Heading1"/>
        <w:rPr>
          <w:color w:val="auto"/>
        </w:rPr>
      </w:pPr>
      <w:r w:rsidRPr="003248D2">
        <w:rPr>
          <w:color w:val="auto"/>
        </w:rPr>
        <w:t>10. Future Directions</w:t>
      </w:r>
    </w:p>
    <w:p w14:paraId="0B464A1E" w14:textId="77777777" w:rsidR="00271861" w:rsidRPr="003248D2" w:rsidRDefault="00000000">
      <w:pPr>
        <w:pStyle w:val="Heading2"/>
        <w:rPr>
          <w:color w:val="auto"/>
        </w:rPr>
      </w:pPr>
      <w:r w:rsidRPr="003248D2">
        <w:rPr>
          <w:color w:val="auto"/>
        </w:rPr>
        <w:t>10.1 Immediate priority: define reproducible dose delivery</w:t>
      </w:r>
    </w:p>
    <w:p w14:paraId="22961C65" w14:textId="77777777" w:rsidR="00271861" w:rsidRPr="003248D2" w:rsidRDefault="00000000">
      <w:pPr>
        <w:rPr>
          <w:color w:val="auto"/>
        </w:rPr>
      </w:pPr>
      <w:r w:rsidRPr="003248D2">
        <w:rPr>
          <w:color w:val="auto"/>
        </w:rPr>
        <w:t>The first research priority is reproducible quantification of the dose delivered into the intended tissue, including leakage, retained cartridge volume, surface splash and tissue deposition. Investigators should predefine material-balance methods and, where feasible, link imaging or chemical recovery with pharmacokinetic or biological outcomes. Multicentre bench and ex vivo studies should test multiple skin types, anatomical sites, ages and environmental conditions using identical reference formulations. The result should be a validated operating envelope and clearly stated failure conditions, rather than a single headline efficiency value. This work would improve both clinical study design and the ability of manufacturers to set meaningful release criteria (McKeage et al., 2024; Rohilla et al., 2020; van der Ven et al., 2026).</w:t>
      </w:r>
    </w:p>
    <w:p w14:paraId="73CC0AB5" w14:textId="77777777" w:rsidR="00271861" w:rsidRPr="003248D2" w:rsidRDefault="00000000">
      <w:pPr>
        <w:pStyle w:val="Heading2"/>
        <w:rPr>
          <w:color w:val="auto"/>
        </w:rPr>
      </w:pPr>
      <w:r w:rsidRPr="003248D2">
        <w:rPr>
          <w:color w:val="auto"/>
        </w:rPr>
        <w:t>10.2 Clinical priority: separate device from route and formulation</w:t>
      </w:r>
    </w:p>
    <w:p w14:paraId="75C3AE8C" w14:textId="77777777" w:rsidR="00271861" w:rsidRPr="003248D2" w:rsidRDefault="00000000">
      <w:pPr>
        <w:rPr>
          <w:color w:val="auto"/>
        </w:rPr>
      </w:pPr>
      <w:r w:rsidRPr="003248D2">
        <w:rPr>
          <w:color w:val="auto"/>
        </w:rPr>
        <w:t>Comparative clinical trials should distinguish the contribution of the injector from that of the drug and delivery route wherever scientifically possible. For vaccines, factorial or carefully linked trials could compare the same formulation and dose across methods, with separate evaluations of dose-sparing. Endpoints should include prespecified immunogenicity margins, local and systemic adverse events, actual injection failures and performance among intended age groups. For insulin, pragmatic randomised studies should move beyond short clamps and meal challenges to sustained glucose monitoring, clinically important hypoglycaemia, patient experience and treatment cost. For scar treatment, active-comparator studies should use the same medicine and evaluate lesion volume, recurrence, procedure burden and off-target effects (Bekkers et al., 2023; Engwerda et al., 2013; McAllister et al., 2014).</w:t>
      </w:r>
    </w:p>
    <w:p w14:paraId="6F0C272B" w14:textId="77777777" w:rsidR="00271861" w:rsidRPr="003248D2" w:rsidRDefault="00000000">
      <w:pPr>
        <w:pStyle w:val="Heading2"/>
        <w:rPr>
          <w:color w:val="auto"/>
        </w:rPr>
      </w:pPr>
      <w:r w:rsidRPr="003248D2">
        <w:rPr>
          <w:color w:val="auto"/>
        </w:rPr>
        <w:t>10.3 Pharmaceutical priority: protect emerging biologics</w:t>
      </w:r>
    </w:p>
    <w:p w14:paraId="404795A1" w14:textId="77777777" w:rsidR="00271861" w:rsidRPr="003248D2" w:rsidRDefault="00000000">
      <w:pPr>
        <w:rPr>
          <w:color w:val="auto"/>
        </w:rPr>
      </w:pPr>
      <w:r w:rsidRPr="003248D2">
        <w:rPr>
          <w:color w:val="auto"/>
        </w:rPr>
        <w:t>The increasing interest in nucleic acids, proteins and concentrated therapies requires formulation-specific studies of the stresses imposed by injection. Standard analytical panels should examine potency, aggregation, particle morphology, nucleic-acid integrity and any changes caused by actuation or storage in the fluid path. Early evidence for needle-free DNA vaccination in humans and mRNA delivery in mice is a strong rationale for further work, not evidence that every modern vaccine platform can be transferred without reformulation. The most useful translational studies will compare ejected and recovered product with material delivered through a validated conventional route while holding formulation as constant as possible (Hooper et al., 2024; Kisakov et al., 2025; Paulsen et al., 2024).</w:t>
      </w:r>
    </w:p>
    <w:p w14:paraId="154428D1" w14:textId="77777777" w:rsidR="00271861" w:rsidRPr="003248D2" w:rsidRDefault="00000000">
      <w:pPr>
        <w:pStyle w:val="Heading2"/>
        <w:rPr>
          <w:color w:val="auto"/>
        </w:rPr>
      </w:pPr>
      <w:r w:rsidRPr="003248D2">
        <w:rPr>
          <w:color w:val="auto"/>
        </w:rPr>
        <w:t>10.4 Engineering priority: useful sensing rather than complexity for its own sake</w:t>
      </w:r>
    </w:p>
    <w:p w14:paraId="72DE9FE8" w14:textId="77777777" w:rsidR="00271861" w:rsidRPr="003248D2" w:rsidRDefault="00000000">
      <w:pPr>
        <w:rPr>
          <w:color w:val="auto"/>
        </w:rPr>
      </w:pPr>
      <w:r w:rsidRPr="003248D2">
        <w:rPr>
          <w:color w:val="auto"/>
        </w:rPr>
        <w:t xml:space="preserve">Feedback control should be evaluated by the clinical failures it prevents. Sensors capable of recognising cartridge obstruction, abnormal contact or incomplete ejection may add value if they reduce clinically </w:t>
      </w:r>
      <w:r w:rsidRPr="003248D2">
        <w:rPr>
          <w:color w:val="auto"/>
        </w:rPr>
        <w:lastRenderedPageBreak/>
        <w:t>relevant dose errors under realistic conditions. Engineering comparisons should report fault-detection sensitivity, false alarms, maintenance demands and performance after ageing, not simply better nominal velocity control. Mechanical injectors and digitally controlled systems should be tested against the same dose and tissue targets wherever appropriate. This would reveal when the incremental complexity of an electromagnetic or laser platform produces enough clinical benefit to justify its cost and operational burden (Stachowiak et al., 2009; Taberner et al., 2012).</w:t>
      </w:r>
    </w:p>
    <w:p w14:paraId="61A97A25" w14:textId="77777777" w:rsidR="00271861" w:rsidRPr="003248D2" w:rsidRDefault="00000000">
      <w:pPr>
        <w:pStyle w:val="Heading2"/>
        <w:rPr>
          <w:color w:val="auto"/>
        </w:rPr>
      </w:pPr>
      <w:r w:rsidRPr="003248D2">
        <w:rPr>
          <w:color w:val="auto"/>
        </w:rPr>
        <w:t>10.5 Implementation priority: equity, infection control and whole-system impact</w:t>
      </w:r>
    </w:p>
    <w:p w14:paraId="3DBFC8D0" w14:textId="77777777" w:rsidR="00271861" w:rsidRPr="003248D2" w:rsidRDefault="00000000">
      <w:pPr>
        <w:rPr>
          <w:color w:val="auto"/>
        </w:rPr>
      </w:pPr>
      <w:r w:rsidRPr="003248D2">
        <w:rPr>
          <w:color w:val="auto"/>
        </w:rPr>
        <w:t>Longer-term research should evaluate vaccination completion, sustained adherence, occupational exposure, device failure management, repairability and access under ordinary service conditions. Comparative economic and environmental analyses should measure the full delivery pathway, including cartridges, packaging, preparation, disposal and any medicine saved through validated dose-sparing. Research in lower-resource services must account for interrupted supply, limited repair capacity and differences in training rather than extrapolating from tightly controlled trials. Independent contamination challenge testing and surveillance for uncommon harms remain essential. These studies would determine whether the theoretical advantage of removing a penetrating needle is converted into measurable, equitable healthcare benefit (Bashorun et al., 2022; Kelly et al., 2008; Spoudeas et al., 2014).</w:t>
      </w:r>
    </w:p>
    <w:p w14:paraId="0187B892" w14:textId="77777777" w:rsidR="00271861" w:rsidRPr="003248D2" w:rsidRDefault="00000000">
      <w:pPr>
        <w:pStyle w:val="Heading1"/>
        <w:rPr>
          <w:color w:val="auto"/>
        </w:rPr>
      </w:pPr>
      <w:r w:rsidRPr="003248D2">
        <w:rPr>
          <w:color w:val="auto"/>
        </w:rPr>
        <w:t>11. Conclusions</w:t>
      </w:r>
    </w:p>
    <w:p w14:paraId="4EC066D2" w14:textId="77777777" w:rsidR="00271861" w:rsidRPr="003248D2" w:rsidRDefault="00000000">
      <w:pPr>
        <w:rPr>
          <w:color w:val="auto"/>
        </w:rPr>
      </w:pPr>
      <w:r w:rsidRPr="003248D2">
        <w:rPr>
          <w:color w:val="auto"/>
        </w:rPr>
        <w:t>Needle-free injection is a family of distinct drug-delivery technologies rather than a single clinically uniform intervention. Liquid-jet systems have the strongest clinical foundation, with controlled studies demonstrating acceptable immunogenicity for certain vaccine combinations and accelerated early action for selected insulin preparations. Emerging microfluidic, electromagnetic, laser and particle-based approaches extend the engineering possibilities but generally require more direct human validation. Clinical evidence for intralesional dermatological treatment is encouraging in defined indications but does not yet establish broadly reproducible superiority over optimised needle delivery. Infection prevention is a fundamental design requirement, not an automatic consequence of needle elimination.</w:t>
      </w:r>
    </w:p>
    <w:p w14:paraId="46355F74" w14:textId="77777777" w:rsidR="00271861" w:rsidRPr="003248D2" w:rsidRDefault="00000000">
      <w:pPr>
        <w:rPr>
          <w:color w:val="auto"/>
        </w:rPr>
      </w:pPr>
      <w:r w:rsidRPr="003248D2">
        <w:rPr>
          <w:color w:val="auto"/>
        </w:rPr>
        <w:t>The governing principle is to evaluate the complete device–formulation–tissue–setting combination. Performance must be judged by biologically received dose, drug integrity, the appropriate clinical endpoint, local and systemic safety, usability and overall service cost. Under this framework, needle-free injection can be a meaningful alternative where a well-defined benefit has been demonstrated. Its future depends less on achieving ever-higher jet speed than on converting controllable physical delivery into reliable, safe and accessible treatment.</w:t>
      </w:r>
    </w:p>
    <w:p w14:paraId="089BD04B" w14:textId="77777777" w:rsidR="00271861" w:rsidRPr="003248D2" w:rsidRDefault="00000000">
      <w:pPr>
        <w:pStyle w:val="Heading1"/>
        <w:rPr>
          <w:color w:val="auto"/>
        </w:rPr>
      </w:pPr>
      <w:r w:rsidRPr="003248D2">
        <w:rPr>
          <w:color w:val="auto"/>
        </w:rPr>
        <w:t>12. Limitations</w:t>
      </w:r>
    </w:p>
    <w:p w14:paraId="5C9276FB" w14:textId="77777777" w:rsidR="00271861" w:rsidRPr="003248D2" w:rsidRDefault="00000000">
      <w:pPr>
        <w:rPr>
          <w:color w:val="auto"/>
        </w:rPr>
      </w:pPr>
      <w:r w:rsidRPr="003248D2">
        <w:rPr>
          <w:color w:val="auto"/>
        </w:rPr>
        <w:t>This critical narrative review is intrinsically susceptible to selection and interpretive bias, despite a transparent thematic search and explicit consideration of conflicting evidence. It was not a systematic review, did not preserve prospective screening counts, and did not undertake formal pooled effect estimation or independent risk-of-bias scoring. Accessible English-language sources and uneven availability of full texts may have limited coverage of technical studies or regional clinical experience.</w:t>
      </w:r>
    </w:p>
    <w:p w14:paraId="79EB5BB0" w14:textId="77777777" w:rsidR="00271861" w:rsidRDefault="00000000">
      <w:pPr>
        <w:rPr>
          <w:color w:val="auto"/>
        </w:rPr>
      </w:pPr>
      <w:r w:rsidRPr="003248D2">
        <w:rPr>
          <w:color w:val="auto"/>
        </w:rPr>
        <w:lastRenderedPageBreak/>
        <w:t>The body of evidence also contains heterogeneous propulsion methods, anatomical targets, formulations, endpoint definitions and trial comparators, restricting direct quantitative comparison. Several experimental findings derive from skin substitutes or excised tissue rather than living patients, while many therapeutic studies are small or short. Long-term adherence, uncommon harms, comparative economic outcomes and full life-cycle environmental effects remain insufficiently established. As device development continues rapidly, conclusions concerning novel microjet platforms should be regarded as provisional and restricted to the specific evidence considered.</w:t>
      </w:r>
    </w:p>
    <w:p w14:paraId="55296D57" w14:textId="77777777" w:rsidR="00313F48" w:rsidRPr="00313F48" w:rsidRDefault="00313F48" w:rsidP="00313F48">
      <w:pPr>
        <w:spacing w:after="0" w:line="240" w:lineRule="auto"/>
        <w:jc w:val="left"/>
        <w:rPr>
          <w:rFonts w:ascii="Arial" w:eastAsia="Calibri" w:hAnsi="Arial" w:cs="Arial"/>
          <w:b/>
          <w:color w:val="auto"/>
          <w:sz w:val="20"/>
          <w:szCs w:val="20"/>
        </w:rPr>
      </w:pPr>
      <w:bookmarkStart w:id="0" w:name="_Hlk238550938"/>
      <w:bookmarkStart w:id="1" w:name="_Hlk237856463"/>
      <w:r w:rsidRPr="00313F48">
        <w:rPr>
          <w:rFonts w:ascii="Arial" w:eastAsia="Calibri" w:hAnsi="Arial" w:cs="Arial"/>
          <w:b/>
          <w:color w:val="auto"/>
          <w:sz w:val="20"/>
          <w:szCs w:val="20"/>
        </w:rPr>
        <w:t>Declaration of AI Use</w:t>
      </w:r>
    </w:p>
    <w:p w14:paraId="31548CEE" w14:textId="77777777" w:rsidR="00313F48" w:rsidRPr="00313F48" w:rsidRDefault="00313F48" w:rsidP="00313F48">
      <w:pPr>
        <w:spacing w:after="0" w:line="240" w:lineRule="auto"/>
        <w:jc w:val="left"/>
        <w:rPr>
          <w:rFonts w:ascii="Arial" w:eastAsia="Calibri" w:hAnsi="Arial" w:cs="Arial"/>
          <w:color w:val="auto"/>
          <w:sz w:val="20"/>
          <w:szCs w:val="20"/>
        </w:rPr>
      </w:pPr>
      <w:bookmarkStart w:id="2" w:name="_Hlk239068730"/>
    </w:p>
    <w:p w14:paraId="13AF56A3" w14:textId="77777777" w:rsidR="00313F48" w:rsidRPr="00313F48" w:rsidRDefault="00313F48" w:rsidP="00313F48">
      <w:pPr>
        <w:spacing w:after="0" w:line="240" w:lineRule="auto"/>
        <w:jc w:val="left"/>
        <w:rPr>
          <w:rFonts w:ascii="Arial" w:eastAsia="Calibri" w:hAnsi="Arial" w:cs="Arial"/>
          <w:color w:val="auto"/>
          <w:sz w:val="20"/>
          <w:szCs w:val="20"/>
        </w:rPr>
      </w:pPr>
      <w:bookmarkStart w:id="3" w:name="_Hlk237862032"/>
      <w:r w:rsidRPr="00313F48">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313F48">
        <w:rPr>
          <w:rFonts w:ascii="Arial" w:eastAsia="Calibri" w:hAnsi="Arial" w:cs="Arial"/>
          <w:color w:val="auto"/>
          <w:sz w:val="20"/>
          <w:szCs w:val="20"/>
        </w:rPr>
        <w:t>.</w:t>
      </w:r>
    </w:p>
    <w:bookmarkEnd w:id="1"/>
    <w:bookmarkEnd w:id="2"/>
    <w:bookmarkEnd w:id="3"/>
    <w:p w14:paraId="489B6C54" w14:textId="77777777" w:rsidR="00313F48" w:rsidRPr="003248D2" w:rsidRDefault="00313F48">
      <w:pPr>
        <w:rPr>
          <w:color w:val="auto"/>
        </w:rPr>
      </w:pPr>
    </w:p>
    <w:p w14:paraId="0D97A670" w14:textId="77777777" w:rsidR="00271861" w:rsidRDefault="00000000">
      <w:pPr>
        <w:pStyle w:val="Heading1"/>
        <w:rPr>
          <w:color w:val="auto"/>
        </w:rPr>
      </w:pPr>
      <w:r w:rsidRPr="003248D2">
        <w:rPr>
          <w:color w:val="auto"/>
        </w:rPr>
        <w:t>References</w:t>
      </w:r>
    </w:p>
    <w:p w14:paraId="21210FF9" w14:textId="77777777" w:rsidR="006C124B" w:rsidRDefault="006C124B" w:rsidP="006C124B">
      <w:pPr>
        <w:spacing w:before="100" w:beforeAutospacing="1" w:after="100" w:afterAutospacing="1" w:line="240" w:lineRule="auto"/>
        <w:jc w:val="left"/>
        <w:rPr>
          <w:rFonts w:eastAsia="Times New Roman" w:cs="Times New Roman"/>
          <w:color w:val="auto"/>
          <w:sz w:val="24"/>
          <w:szCs w:val="24"/>
        </w:rPr>
      </w:pPr>
    </w:p>
    <w:p w14:paraId="3011AE09" w14:textId="02C02A3D"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proofErr w:type="spellStart"/>
      <w:r w:rsidRPr="006C124B">
        <w:rPr>
          <w:rFonts w:eastAsia="Times New Roman" w:cs="Times New Roman"/>
          <w:color w:val="auto"/>
          <w:sz w:val="24"/>
          <w:szCs w:val="24"/>
        </w:rPr>
        <w:t>Baethge</w:t>
      </w:r>
      <w:proofErr w:type="spellEnd"/>
      <w:r w:rsidRPr="006C124B">
        <w:rPr>
          <w:rFonts w:eastAsia="Times New Roman" w:cs="Times New Roman"/>
          <w:color w:val="auto"/>
          <w:sz w:val="24"/>
          <w:szCs w:val="24"/>
        </w:rPr>
        <w:t xml:space="preserve">, C., Goldbeck-Wood, S., &amp; Mertens, S. (2019). SANRA—a scale for the quality assessment of narrative review articles. </w:t>
      </w:r>
      <w:r w:rsidRPr="006C124B">
        <w:rPr>
          <w:rFonts w:eastAsia="Times New Roman" w:cs="Times New Roman"/>
          <w:i/>
          <w:iCs/>
          <w:color w:val="auto"/>
          <w:sz w:val="24"/>
          <w:szCs w:val="24"/>
        </w:rPr>
        <w:t>Research Integrity and Peer Review, 4</w:t>
      </w:r>
      <w:r w:rsidRPr="006C124B">
        <w:rPr>
          <w:rFonts w:eastAsia="Times New Roman" w:cs="Times New Roman"/>
          <w:color w:val="auto"/>
          <w:sz w:val="24"/>
          <w:szCs w:val="24"/>
        </w:rPr>
        <w:t xml:space="preserve">, Article 5. </w:t>
      </w:r>
      <w:hyperlink r:id="rId8" w:history="1">
        <w:r w:rsidRPr="006C124B">
          <w:rPr>
            <w:rFonts w:eastAsia="Times New Roman" w:cs="Times New Roman"/>
            <w:color w:val="0000FF"/>
            <w:sz w:val="24"/>
            <w:szCs w:val="24"/>
            <w:u w:val="single"/>
          </w:rPr>
          <w:t>https://doi.org/10.1186/s41073-019-0064-8</w:t>
        </w:r>
      </w:hyperlink>
    </w:p>
    <w:p w14:paraId="314E5F5E"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proofErr w:type="spellStart"/>
      <w:r w:rsidRPr="006C124B">
        <w:rPr>
          <w:rFonts w:eastAsia="Times New Roman" w:cs="Times New Roman"/>
          <w:color w:val="auto"/>
          <w:sz w:val="24"/>
          <w:szCs w:val="24"/>
        </w:rPr>
        <w:t>Barolet</w:t>
      </w:r>
      <w:proofErr w:type="spellEnd"/>
      <w:r w:rsidRPr="006C124B">
        <w:rPr>
          <w:rFonts w:eastAsia="Times New Roman" w:cs="Times New Roman"/>
          <w:color w:val="auto"/>
          <w:sz w:val="24"/>
          <w:szCs w:val="24"/>
        </w:rPr>
        <w:t xml:space="preserve">, D., &amp; </w:t>
      </w:r>
      <w:proofErr w:type="spellStart"/>
      <w:r w:rsidRPr="006C124B">
        <w:rPr>
          <w:rFonts w:eastAsia="Times New Roman" w:cs="Times New Roman"/>
          <w:color w:val="auto"/>
          <w:sz w:val="24"/>
          <w:szCs w:val="24"/>
        </w:rPr>
        <w:t>Benohanian</w:t>
      </w:r>
      <w:proofErr w:type="spellEnd"/>
      <w:r w:rsidRPr="006C124B">
        <w:rPr>
          <w:rFonts w:eastAsia="Times New Roman" w:cs="Times New Roman"/>
          <w:color w:val="auto"/>
          <w:sz w:val="24"/>
          <w:szCs w:val="24"/>
        </w:rPr>
        <w:t xml:space="preserve">, A. (2018). Current trends in needle-free jet injection: An update. </w:t>
      </w:r>
      <w:r w:rsidRPr="006C124B">
        <w:rPr>
          <w:rFonts w:eastAsia="Times New Roman" w:cs="Times New Roman"/>
          <w:i/>
          <w:iCs/>
          <w:color w:val="auto"/>
          <w:sz w:val="24"/>
          <w:szCs w:val="24"/>
        </w:rPr>
        <w:t>Clinical, Cosmetic and Investigational Dermatology, 11</w:t>
      </w:r>
      <w:r w:rsidRPr="006C124B">
        <w:rPr>
          <w:rFonts w:eastAsia="Times New Roman" w:cs="Times New Roman"/>
          <w:color w:val="auto"/>
          <w:sz w:val="24"/>
          <w:szCs w:val="24"/>
        </w:rPr>
        <w:t xml:space="preserve">, 231–238. </w:t>
      </w:r>
      <w:hyperlink r:id="rId9" w:history="1">
        <w:r w:rsidRPr="006C124B">
          <w:rPr>
            <w:rFonts w:eastAsia="Times New Roman" w:cs="Times New Roman"/>
            <w:color w:val="0000FF"/>
            <w:sz w:val="24"/>
            <w:szCs w:val="24"/>
            <w:u w:val="single"/>
          </w:rPr>
          <w:t>https://doi.org/10.2147/CCID.S162724</w:t>
        </w:r>
      </w:hyperlink>
    </w:p>
    <w:p w14:paraId="26AD79A8"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Bashorun, A. O., Badjie Hydara, M., </w:t>
      </w:r>
      <w:proofErr w:type="spellStart"/>
      <w:r w:rsidRPr="006C124B">
        <w:rPr>
          <w:rFonts w:eastAsia="Times New Roman" w:cs="Times New Roman"/>
          <w:color w:val="auto"/>
          <w:sz w:val="24"/>
          <w:szCs w:val="24"/>
        </w:rPr>
        <w:t>Adigweme</w:t>
      </w:r>
      <w:proofErr w:type="spellEnd"/>
      <w:r w:rsidRPr="006C124B">
        <w:rPr>
          <w:rFonts w:eastAsia="Times New Roman" w:cs="Times New Roman"/>
          <w:color w:val="auto"/>
          <w:sz w:val="24"/>
          <w:szCs w:val="24"/>
        </w:rPr>
        <w:t xml:space="preserve">, I., </w:t>
      </w:r>
      <w:proofErr w:type="spellStart"/>
      <w:r w:rsidRPr="006C124B">
        <w:rPr>
          <w:rFonts w:eastAsia="Times New Roman" w:cs="Times New Roman"/>
          <w:color w:val="auto"/>
          <w:sz w:val="24"/>
          <w:szCs w:val="24"/>
        </w:rPr>
        <w:t>Umesi</w:t>
      </w:r>
      <w:proofErr w:type="spellEnd"/>
      <w:r w:rsidRPr="006C124B">
        <w:rPr>
          <w:rFonts w:eastAsia="Times New Roman" w:cs="Times New Roman"/>
          <w:color w:val="auto"/>
          <w:sz w:val="24"/>
          <w:szCs w:val="24"/>
        </w:rPr>
        <w:t xml:space="preserve">, A., Danso, B., Johnson, N., Sambou, N. A., Fofana, S., Kanu, F. J., Jeyaseelan, V., Verma, H., Weldon, W. C., Oberste, M. S., Sutter, R. W., Jeffries, D., </w:t>
      </w:r>
      <w:proofErr w:type="spellStart"/>
      <w:r w:rsidRPr="006C124B">
        <w:rPr>
          <w:rFonts w:eastAsia="Times New Roman" w:cs="Times New Roman"/>
          <w:color w:val="auto"/>
          <w:sz w:val="24"/>
          <w:szCs w:val="24"/>
        </w:rPr>
        <w:t>Wathuo</w:t>
      </w:r>
      <w:proofErr w:type="spellEnd"/>
      <w:r w:rsidRPr="006C124B">
        <w:rPr>
          <w:rFonts w:eastAsia="Times New Roman" w:cs="Times New Roman"/>
          <w:color w:val="auto"/>
          <w:sz w:val="24"/>
          <w:szCs w:val="24"/>
        </w:rPr>
        <w:t xml:space="preserve">, M., Mach, O., &amp; Clarke, E. (2022). Intradermal administration of fractional doses of the inactivated poliovirus vaccine in a campaign: A pragmatic, open-label, non-inferiority trial in The Gambia. </w:t>
      </w:r>
      <w:r w:rsidRPr="006C124B">
        <w:rPr>
          <w:rFonts w:eastAsia="Times New Roman" w:cs="Times New Roman"/>
          <w:i/>
          <w:iCs/>
          <w:color w:val="auto"/>
          <w:sz w:val="24"/>
          <w:szCs w:val="24"/>
        </w:rPr>
        <w:t>The Lancet Global Health, 10</w:t>
      </w:r>
      <w:r w:rsidRPr="006C124B">
        <w:rPr>
          <w:rFonts w:eastAsia="Times New Roman" w:cs="Times New Roman"/>
          <w:color w:val="auto"/>
          <w:sz w:val="24"/>
          <w:szCs w:val="24"/>
        </w:rPr>
        <w:t xml:space="preserve">(2), e257–e268. </w:t>
      </w:r>
      <w:hyperlink r:id="rId10" w:history="1">
        <w:r w:rsidRPr="006C124B">
          <w:rPr>
            <w:rFonts w:eastAsia="Times New Roman" w:cs="Times New Roman"/>
            <w:color w:val="0000FF"/>
            <w:sz w:val="24"/>
            <w:szCs w:val="24"/>
            <w:u w:val="single"/>
          </w:rPr>
          <w:t>https://doi.org/10.1016/S2214-109X(21)00497-6</w:t>
        </w:r>
      </w:hyperlink>
    </w:p>
    <w:p w14:paraId="6820FA12"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Baxter, J., &amp; Mitragotri, S. (2006). Needle-free liquid jet injections: Mechanisms and applications. </w:t>
      </w:r>
      <w:r w:rsidRPr="006C124B">
        <w:rPr>
          <w:rFonts w:eastAsia="Times New Roman" w:cs="Times New Roman"/>
          <w:i/>
          <w:iCs/>
          <w:color w:val="auto"/>
          <w:sz w:val="24"/>
          <w:szCs w:val="24"/>
        </w:rPr>
        <w:t>Expert Review of Medical Devices, 3</w:t>
      </w:r>
      <w:r w:rsidRPr="006C124B">
        <w:rPr>
          <w:rFonts w:eastAsia="Times New Roman" w:cs="Times New Roman"/>
          <w:color w:val="auto"/>
          <w:sz w:val="24"/>
          <w:szCs w:val="24"/>
        </w:rPr>
        <w:t xml:space="preserve">(5), 565–574. </w:t>
      </w:r>
      <w:hyperlink r:id="rId11" w:history="1">
        <w:r w:rsidRPr="006C124B">
          <w:rPr>
            <w:rFonts w:eastAsia="Times New Roman" w:cs="Times New Roman"/>
            <w:color w:val="0000FF"/>
            <w:sz w:val="24"/>
            <w:szCs w:val="24"/>
            <w:u w:val="single"/>
          </w:rPr>
          <w:t>https://doi.org/10.1586/17434440.3.5.565</w:t>
        </w:r>
      </w:hyperlink>
    </w:p>
    <w:p w14:paraId="54266EC9"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Bekkers, V. Z., Bik, L., van </w:t>
      </w:r>
      <w:proofErr w:type="spellStart"/>
      <w:r w:rsidRPr="006C124B">
        <w:rPr>
          <w:rFonts w:eastAsia="Times New Roman" w:cs="Times New Roman"/>
          <w:color w:val="auto"/>
          <w:sz w:val="24"/>
          <w:szCs w:val="24"/>
        </w:rPr>
        <w:t>Huijstee</w:t>
      </w:r>
      <w:proofErr w:type="spellEnd"/>
      <w:r w:rsidRPr="006C124B">
        <w:rPr>
          <w:rFonts w:eastAsia="Times New Roman" w:cs="Times New Roman"/>
          <w:color w:val="auto"/>
          <w:sz w:val="24"/>
          <w:szCs w:val="24"/>
        </w:rPr>
        <w:t xml:space="preserve">, J. C., </w:t>
      </w:r>
      <w:proofErr w:type="spellStart"/>
      <w:r w:rsidRPr="006C124B">
        <w:rPr>
          <w:rFonts w:eastAsia="Times New Roman" w:cs="Times New Roman"/>
          <w:color w:val="auto"/>
          <w:sz w:val="24"/>
          <w:szCs w:val="24"/>
        </w:rPr>
        <w:t>Wolkerstorfer</w:t>
      </w:r>
      <w:proofErr w:type="spellEnd"/>
      <w:r w:rsidRPr="006C124B">
        <w:rPr>
          <w:rFonts w:eastAsia="Times New Roman" w:cs="Times New Roman"/>
          <w:color w:val="auto"/>
          <w:sz w:val="24"/>
          <w:szCs w:val="24"/>
        </w:rPr>
        <w:t xml:space="preserve">, A., </w:t>
      </w:r>
      <w:proofErr w:type="spellStart"/>
      <w:r w:rsidRPr="006C124B">
        <w:rPr>
          <w:rFonts w:eastAsia="Times New Roman" w:cs="Times New Roman"/>
          <w:color w:val="auto"/>
          <w:sz w:val="24"/>
          <w:szCs w:val="24"/>
        </w:rPr>
        <w:t>Prens</w:t>
      </w:r>
      <w:proofErr w:type="spellEnd"/>
      <w:r w:rsidRPr="006C124B">
        <w:rPr>
          <w:rFonts w:eastAsia="Times New Roman" w:cs="Times New Roman"/>
          <w:color w:val="auto"/>
          <w:sz w:val="24"/>
          <w:szCs w:val="24"/>
        </w:rPr>
        <w:t xml:space="preserve">, E. P., &amp; van Doorn, M. B. A. (2023). Efficacy and safety of needle-free jet injector-assisted intralesional treatments in dermatology—a systematic review. </w:t>
      </w:r>
      <w:r w:rsidRPr="006C124B">
        <w:rPr>
          <w:rFonts w:eastAsia="Times New Roman" w:cs="Times New Roman"/>
          <w:i/>
          <w:iCs/>
          <w:color w:val="auto"/>
          <w:sz w:val="24"/>
          <w:szCs w:val="24"/>
        </w:rPr>
        <w:t>Drug Delivery and Translational Research, 13</w:t>
      </w:r>
      <w:r w:rsidRPr="006C124B">
        <w:rPr>
          <w:rFonts w:eastAsia="Times New Roman" w:cs="Times New Roman"/>
          <w:color w:val="auto"/>
          <w:sz w:val="24"/>
          <w:szCs w:val="24"/>
        </w:rPr>
        <w:t xml:space="preserve">(6), 1584–1599. </w:t>
      </w:r>
      <w:hyperlink r:id="rId12" w:history="1">
        <w:r w:rsidRPr="006C124B">
          <w:rPr>
            <w:rFonts w:eastAsia="Times New Roman" w:cs="Times New Roman"/>
            <w:color w:val="0000FF"/>
            <w:sz w:val="24"/>
            <w:szCs w:val="24"/>
            <w:u w:val="single"/>
          </w:rPr>
          <w:t>https://doi.org/10.1007/s13346-023-01295-x</w:t>
        </w:r>
      </w:hyperlink>
    </w:p>
    <w:p w14:paraId="61750496"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Bekkers, V. Z., Zdunczyk, K. M., Bik, L., Ten </w:t>
      </w:r>
      <w:proofErr w:type="spellStart"/>
      <w:r w:rsidRPr="006C124B">
        <w:rPr>
          <w:rFonts w:eastAsia="Times New Roman" w:cs="Times New Roman"/>
          <w:color w:val="auto"/>
          <w:sz w:val="24"/>
          <w:szCs w:val="24"/>
        </w:rPr>
        <w:t>Voorde</w:t>
      </w:r>
      <w:proofErr w:type="spellEnd"/>
      <w:r w:rsidRPr="006C124B">
        <w:rPr>
          <w:rFonts w:eastAsia="Times New Roman" w:cs="Times New Roman"/>
          <w:color w:val="auto"/>
          <w:sz w:val="24"/>
          <w:szCs w:val="24"/>
        </w:rPr>
        <w:t xml:space="preserve">, W., Aarts, P., Oerlemans, F., Bohoslavsky, R., </w:t>
      </w:r>
      <w:proofErr w:type="spellStart"/>
      <w:r w:rsidRPr="006C124B">
        <w:rPr>
          <w:rFonts w:eastAsia="Times New Roman" w:cs="Times New Roman"/>
          <w:color w:val="auto"/>
          <w:sz w:val="24"/>
          <w:szCs w:val="24"/>
        </w:rPr>
        <w:t>Haedersdal</w:t>
      </w:r>
      <w:proofErr w:type="spellEnd"/>
      <w:r w:rsidRPr="006C124B">
        <w:rPr>
          <w:rFonts w:eastAsia="Times New Roman" w:cs="Times New Roman"/>
          <w:color w:val="auto"/>
          <w:sz w:val="24"/>
          <w:szCs w:val="24"/>
        </w:rPr>
        <w:t xml:space="preserve">, M., </w:t>
      </w:r>
      <w:proofErr w:type="spellStart"/>
      <w:r w:rsidRPr="006C124B">
        <w:rPr>
          <w:rFonts w:eastAsia="Times New Roman" w:cs="Times New Roman"/>
          <w:color w:val="auto"/>
          <w:sz w:val="24"/>
          <w:szCs w:val="24"/>
        </w:rPr>
        <w:t>Prens</w:t>
      </w:r>
      <w:proofErr w:type="spellEnd"/>
      <w:r w:rsidRPr="006C124B">
        <w:rPr>
          <w:rFonts w:eastAsia="Times New Roman" w:cs="Times New Roman"/>
          <w:color w:val="auto"/>
          <w:sz w:val="24"/>
          <w:szCs w:val="24"/>
        </w:rPr>
        <w:t xml:space="preserve">, E. P., Rissmann, R., &amp; van Doorn, M. B. A. (2024). Needle-free jet injector treatment with bleomycin is efficacious in patients with severe keloids: A randomized, double-blind, placebo-controlled trial. </w:t>
      </w:r>
      <w:r w:rsidRPr="006C124B">
        <w:rPr>
          <w:rFonts w:eastAsia="Times New Roman" w:cs="Times New Roman"/>
          <w:i/>
          <w:iCs/>
          <w:color w:val="auto"/>
          <w:sz w:val="24"/>
          <w:szCs w:val="24"/>
        </w:rPr>
        <w:t>Clinical and Experimental Dermatology, 49</w:t>
      </w:r>
      <w:r w:rsidRPr="006C124B">
        <w:rPr>
          <w:rFonts w:eastAsia="Times New Roman" w:cs="Times New Roman"/>
          <w:color w:val="auto"/>
          <w:sz w:val="24"/>
          <w:szCs w:val="24"/>
        </w:rPr>
        <w:t xml:space="preserve">(12), 1668–1675. </w:t>
      </w:r>
      <w:hyperlink r:id="rId13" w:history="1">
        <w:r w:rsidRPr="006C124B">
          <w:rPr>
            <w:rFonts w:eastAsia="Times New Roman" w:cs="Times New Roman"/>
            <w:color w:val="0000FF"/>
            <w:sz w:val="24"/>
            <w:szCs w:val="24"/>
            <w:u w:val="single"/>
          </w:rPr>
          <w:t>https://doi.org/10.1093/ced/llae254</w:t>
        </w:r>
      </w:hyperlink>
    </w:p>
    <w:p w14:paraId="613DDA16"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lastRenderedPageBreak/>
        <w:t xml:space="preserve">Chen, D., Maa, Y.-F., &amp; Haynes, J. R. (2002). Needle-free epidermal powder immunization. </w:t>
      </w:r>
      <w:r w:rsidRPr="006C124B">
        <w:rPr>
          <w:rFonts w:eastAsia="Times New Roman" w:cs="Times New Roman"/>
          <w:i/>
          <w:iCs/>
          <w:color w:val="auto"/>
          <w:sz w:val="24"/>
          <w:szCs w:val="24"/>
        </w:rPr>
        <w:t>Expert Review of Vaccines, 1</w:t>
      </w:r>
      <w:r w:rsidRPr="006C124B">
        <w:rPr>
          <w:rFonts w:eastAsia="Times New Roman" w:cs="Times New Roman"/>
          <w:color w:val="auto"/>
          <w:sz w:val="24"/>
          <w:szCs w:val="24"/>
        </w:rPr>
        <w:t xml:space="preserve">(3), 265–276. </w:t>
      </w:r>
      <w:hyperlink r:id="rId14" w:history="1">
        <w:r w:rsidRPr="006C124B">
          <w:rPr>
            <w:rFonts w:eastAsia="Times New Roman" w:cs="Times New Roman"/>
            <w:color w:val="0000FF"/>
            <w:sz w:val="24"/>
            <w:szCs w:val="24"/>
            <w:u w:val="single"/>
          </w:rPr>
          <w:t>https://doi.org/10.1586/14760584.1.3.265</w:t>
        </w:r>
      </w:hyperlink>
    </w:p>
    <w:p w14:paraId="1CE477E7"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Cu, K., Bansal, R., Mitragotri, S., &amp; Fernandez Rivas, D. (2020). Delivery strategies for skin: Comparison of nanoliter jets, needles and topical solutions. </w:t>
      </w:r>
      <w:r w:rsidRPr="006C124B">
        <w:rPr>
          <w:rFonts w:eastAsia="Times New Roman" w:cs="Times New Roman"/>
          <w:i/>
          <w:iCs/>
          <w:color w:val="auto"/>
          <w:sz w:val="24"/>
          <w:szCs w:val="24"/>
        </w:rPr>
        <w:t>Annals of Biomedical Engineering, 48</w:t>
      </w:r>
      <w:r w:rsidRPr="006C124B">
        <w:rPr>
          <w:rFonts w:eastAsia="Times New Roman" w:cs="Times New Roman"/>
          <w:color w:val="auto"/>
          <w:sz w:val="24"/>
          <w:szCs w:val="24"/>
        </w:rPr>
        <w:t xml:space="preserve">(7), 2028–2039. </w:t>
      </w:r>
      <w:hyperlink r:id="rId15" w:history="1">
        <w:r w:rsidRPr="006C124B">
          <w:rPr>
            <w:rFonts w:eastAsia="Times New Roman" w:cs="Times New Roman"/>
            <w:color w:val="0000FF"/>
            <w:sz w:val="24"/>
            <w:szCs w:val="24"/>
            <w:u w:val="single"/>
          </w:rPr>
          <w:t>https://doi.org/10.1007/s10439-019-02383-1</w:t>
        </w:r>
      </w:hyperlink>
    </w:p>
    <w:p w14:paraId="03D8A0B4"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Dean, H. J., Fuller, D., &amp; Osorio, J. E. (2003). Powder and particle-mediated approaches for delivery of DNA and protein vaccines into the epidermis. </w:t>
      </w:r>
      <w:r w:rsidRPr="006C124B">
        <w:rPr>
          <w:rFonts w:eastAsia="Times New Roman" w:cs="Times New Roman"/>
          <w:i/>
          <w:iCs/>
          <w:color w:val="auto"/>
          <w:sz w:val="24"/>
          <w:szCs w:val="24"/>
        </w:rPr>
        <w:t>Comparative Immunology, Microbiology and Infectious Diseases, 26</w:t>
      </w:r>
      <w:r w:rsidRPr="006C124B">
        <w:rPr>
          <w:rFonts w:eastAsia="Times New Roman" w:cs="Times New Roman"/>
          <w:color w:val="auto"/>
          <w:sz w:val="24"/>
          <w:szCs w:val="24"/>
        </w:rPr>
        <w:t xml:space="preserve">(5–6), 373–388. </w:t>
      </w:r>
      <w:hyperlink r:id="rId16" w:history="1">
        <w:r w:rsidRPr="006C124B">
          <w:rPr>
            <w:rFonts w:eastAsia="Times New Roman" w:cs="Times New Roman"/>
            <w:color w:val="0000FF"/>
            <w:sz w:val="24"/>
            <w:szCs w:val="24"/>
            <w:u w:val="single"/>
          </w:rPr>
          <w:t>https://doi.org/10.1016/S0147-9571(03)00021-3</w:t>
        </w:r>
      </w:hyperlink>
    </w:p>
    <w:p w14:paraId="2899CD51"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de Wit, H. M., </w:t>
      </w:r>
      <w:proofErr w:type="spellStart"/>
      <w:r w:rsidRPr="006C124B">
        <w:rPr>
          <w:rFonts w:eastAsia="Times New Roman" w:cs="Times New Roman"/>
          <w:color w:val="auto"/>
          <w:sz w:val="24"/>
          <w:szCs w:val="24"/>
        </w:rPr>
        <w:t>Engwerda</w:t>
      </w:r>
      <w:proofErr w:type="spellEnd"/>
      <w:r w:rsidRPr="006C124B">
        <w:rPr>
          <w:rFonts w:eastAsia="Times New Roman" w:cs="Times New Roman"/>
          <w:color w:val="auto"/>
          <w:sz w:val="24"/>
          <w:szCs w:val="24"/>
        </w:rPr>
        <w:t xml:space="preserve">, E. E. C., Tack, C. J., &amp; de Galan, B. E. (2015). Insulin administered by needle-free jet injection corrects marked </w:t>
      </w:r>
      <w:proofErr w:type="spellStart"/>
      <w:r w:rsidRPr="006C124B">
        <w:rPr>
          <w:rFonts w:eastAsia="Times New Roman" w:cs="Times New Roman"/>
          <w:color w:val="auto"/>
          <w:sz w:val="24"/>
          <w:szCs w:val="24"/>
        </w:rPr>
        <w:t>hyperglycaemia</w:t>
      </w:r>
      <w:proofErr w:type="spellEnd"/>
      <w:r w:rsidRPr="006C124B">
        <w:rPr>
          <w:rFonts w:eastAsia="Times New Roman" w:cs="Times New Roman"/>
          <w:color w:val="auto"/>
          <w:sz w:val="24"/>
          <w:szCs w:val="24"/>
        </w:rPr>
        <w:t xml:space="preserve"> faster in overweight or obese patients with diabetes. </w:t>
      </w:r>
      <w:r w:rsidRPr="006C124B">
        <w:rPr>
          <w:rFonts w:eastAsia="Times New Roman" w:cs="Times New Roman"/>
          <w:i/>
          <w:iCs/>
          <w:color w:val="auto"/>
          <w:sz w:val="24"/>
          <w:szCs w:val="24"/>
        </w:rPr>
        <w:t>Diabetes, Obesity and Metabolism, 17</w:t>
      </w:r>
      <w:r w:rsidRPr="006C124B">
        <w:rPr>
          <w:rFonts w:eastAsia="Times New Roman" w:cs="Times New Roman"/>
          <w:color w:val="auto"/>
          <w:sz w:val="24"/>
          <w:szCs w:val="24"/>
        </w:rPr>
        <w:t xml:space="preserve">(11), 1093–1099. </w:t>
      </w:r>
      <w:hyperlink r:id="rId17" w:history="1">
        <w:r w:rsidRPr="006C124B">
          <w:rPr>
            <w:rFonts w:eastAsia="Times New Roman" w:cs="Times New Roman"/>
            <w:color w:val="0000FF"/>
            <w:sz w:val="24"/>
            <w:szCs w:val="24"/>
            <w:u w:val="single"/>
          </w:rPr>
          <w:t>https://doi.org/10.1111/dom.12550</w:t>
        </w:r>
      </w:hyperlink>
    </w:p>
    <w:p w14:paraId="2F66718C"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proofErr w:type="spellStart"/>
      <w:r w:rsidRPr="006C124B">
        <w:rPr>
          <w:rFonts w:eastAsia="Times New Roman" w:cs="Times New Roman"/>
          <w:color w:val="auto"/>
          <w:sz w:val="24"/>
          <w:szCs w:val="24"/>
        </w:rPr>
        <w:t>Engwerda</w:t>
      </w:r>
      <w:proofErr w:type="spellEnd"/>
      <w:r w:rsidRPr="006C124B">
        <w:rPr>
          <w:rFonts w:eastAsia="Times New Roman" w:cs="Times New Roman"/>
          <w:color w:val="auto"/>
          <w:sz w:val="24"/>
          <w:szCs w:val="24"/>
        </w:rPr>
        <w:t xml:space="preserve">, E. E. C., Abbink, E. J., Tack, C. J., &amp; de Galan, B. E. (2011). Improved pharmacokinetic and pharmacodynamic profile of rapid-acting insulin using needle-free jet injection technology. </w:t>
      </w:r>
      <w:r w:rsidRPr="006C124B">
        <w:rPr>
          <w:rFonts w:eastAsia="Times New Roman" w:cs="Times New Roman"/>
          <w:i/>
          <w:iCs/>
          <w:color w:val="auto"/>
          <w:sz w:val="24"/>
          <w:szCs w:val="24"/>
        </w:rPr>
        <w:t>Diabetes Care, 34</w:t>
      </w:r>
      <w:r w:rsidRPr="006C124B">
        <w:rPr>
          <w:rFonts w:eastAsia="Times New Roman" w:cs="Times New Roman"/>
          <w:color w:val="auto"/>
          <w:sz w:val="24"/>
          <w:szCs w:val="24"/>
        </w:rPr>
        <w:t xml:space="preserve">(8), 1804–1808. </w:t>
      </w:r>
      <w:hyperlink r:id="rId18" w:history="1">
        <w:r w:rsidRPr="006C124B">
          <w:rPr>
            <w:rFonts w:eastAsia="Times New Roman" w:cs="Times New Roman"/>
            <w:color w:val="0000FF"/>
            <w:sz w:val="24"/>
            <w:szCs w:val="24"/>
            <w:u w:val="single"/>
          </w:rPr>
          <w:t>https://doi.org/10.2337/dc11-0182</w:t>
        </w:r>
      </w:hyperlink>
    </w:p>
    <w:p w14:paraId="081EC887"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proofErr w:type="spellStart"/>
      <w:r w:rsidRPr="006C124B">
        <w:rPr>
          <w:rFonts w:eastAsia="Times New Roman" w:cs="Times New Roman"/>
          <w:color w:val="auto"/>
          <w:sz w:val="24"/>
          <w:szCs w:val="24"/>
        </w:rPr>
        <w:t>Engwerda</w:t>
      </w:r>
      <w:proofErr w:type="spellEnd"/>
      <w:r w:rsidRPr="006C124B">
        <w:rPr>
          <w:rFonts w:eastAsia="Times New Roman" w:cs="Times New Roman"/>
          <w:color w:val="auto"/>
          <w:sz w:val="24"/>
          <w:szCs w:val="24"/>
        </w:rPr>
        <w:t xml:space="preserve">, E. E. C., Tack, C. J., &amp; de Galan, B. E. (2013). Needle-free jet injection of rapid-acting insulin improves early postprandial glucose control in patients with diabetes. </w:t>
      </w:r>
      <w:r w:rsidRPr="006C124B">
        <w:rPr>
          <w:rFonts w:eastAsia="Times New Roman" w:cs="Times New Roman"/>
          <w:i/>
          <w:iCs/>
          <w:color w:val="auto"/>
          <w:sz w:val="24"/>
          <w:szCs w:val="24"/>
        </w:rPr>
        <w:t>Diabetes Care, 36</w:t>
      </w:r>
      <w:r w:rsidRPr="006C124B">
        <w:rPr>
          <w:rFonts w:eastAsia="Times New Roman" w:cs="Times New Roman"/>
          <w:color w:val="auto"/>
          <w:sz w:val="24"/>
          <w:szCs w:val="24"/>
        </w:rPr>
        <w:t xml:space="preserve">(11), 3436–3441. </w:t>
      </w:r>
      <w:hyperlink r:id="rId19" w:history="1">
        <w:r w:rsidRPr="006C124B">
          <w:rPr>
            <w:rFonts w:eastAsia="Times New Roman" w:cs="Times New Roman"/>
            <w:color w:val="0000FF"/>
            <w:sz w:val="24"/>
            <w:szCs w:val="24"/>
            <w:u w:val="single"/>
          </w:rPr>
          <w:t>https://doi.org/10.2337/dc13-0492</w:t>
        </w:r>
      </w:hyperlink>
    </w:p>
    <w:p w14:paraId="1FFF8D28"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Erlendsson, A. M., Rosenberg, L. K., Lerche, C. M., Togsverd-Bo, K., Wiegell, S. R., Karmisholt, K., Philipsen, P. A., Hansen, A. C. N., Janfelt, C., Holmes, J., Rossi, A., &amp; </w:t>
      </w:r>
      <w:proofErr w:type="spellStart"/>
      <w:r w:rsidRPr="006C124B">
        <w:rPr>
          <w:rFonts w:eastAsia="Times New Roman" w:cs="Times New Roman"/>
          <w:color w:val="auto"/>
          <w:sz w:val="24"/>
          <w:szCs w:val="24"/>
        </w:rPr>
        <w:t>Haedersdal</w:t>
      </w:r>
      <w:proofErr w:type="spellEnd"/>
      <w:r w:rsidRPr="006C124B">
        <w:rPr>
          <w:rFonts w:eastAsia="Times New Roman" w:cs="Times New Roman"/>
          <w:color w:val="auto"/>
          <w:sz w:val="24"/>
          <w:szCs w:val="24"/>
        </w:rPr>
        <w:t xml:space="preserve">, M. (2022). A one-time pneumatic jet-injection of 5-fluorouracil and triamcinolone acetonide for treatment of hypertrophic scars—A blinded randomized controlled trial. </w:t>
      </w:r>
      <w:r w:rsidRPr="006C124B">
        <w:rPr>
          <w:rFonts w:eastAsia="Times New Roman" w:cs="Times New Roman"/>
          <w:i/>
          <w:iCs/>
          <w:color w:val="auto"/>
          <w:sz w:val="24"/>
          <w:szCs w:val="24"/>
        </w:rPr>
        <w:t>Lasers in Surgery and Medicine, 54</w:t>
      </w:r>
      <w:r w:rsidRPr="006C124B">
        <w:rPr>
          <w:rFonts w:eastAsia="Times New Roman" w:cs="Times New Roman"/>
          <w:color w:val="auto"/>
          <w:sz w:val="24"/>
          <w:szCs w:val="24"/>
        </w:rPr>
        <w:t xml:space="preserve">(5), 663–671. </w:t>
      </w:r>
      <w:hyperlink r:id="rId20" w:history="1">
        <w:r w:rsidRPr="006C124B">
          <w:rPr>
            <w:rFonts w:eastAsia="Times New Roman" w:cs="Times New Roman"/>
            <w:color w:val="0000FF"/>
            <w:sz w:val="24"/>
            <w:szCs w:val="24"/>
            <w:u w:val="single"/>
          </w:rPr>
          <w:t>https://doi.org/10.1002/lsm.23529</w:t>
        </w:r>
      </w:hyperlink>
    </w:p>
    <w:p w14:paraId="29D6EE28"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Han, H. S., Hong, J. Y., Kwon, T. R., Lee, S. E., Yoo, K. H., Choi, S. Y., &amp; Kim, B. J. (2021). Mechanism and clinical applications of needle-free injectors in dermatology: Literature review. </w:t>
      </w:r>
      <w:r w:rsidRPr="006C124B">
        <w:rPr>
          <w:rFonts w:eastAsia="Times New Roman" w:cs="Times New Roman"/>
          <w:i/>
          <w:iCs/>
          <w:color w:val="auto"/>
          <w:sz w:val="24"/>
          <w:szCs w:val="24"/>
        </w:rPr>
        <w:t>Journal of Cosmetic Dermatology, 20</w:t>
      </w:r>
      <w:r w:rsidRPr="006C124B">
        <w:rPr>
          <w:rFonts w:eastAsia="Times New Roman" w:cs="Times New Roman"/>
          <w:color w:val="auto"/>
          <w:sz w:val="24"/>
          <w:szCs w:val="24"/>
        </w:rPr>
        <w:t xml:space="preserve">(12), 3793–3801. </w:t>
      </w:r>
      <w:hyperlink r:id="rId21" w:history="1">
        <w:r w:rsidRPr="006C124B">
          <w:rPr>
            <w:rFonts w:eastAsia="Times New Roman" w:cs="Times New Roman"/>
            <w:color w:val="0000FF"/>
            <w:sz w:val="24"/>
            <w:szCs w:val="24"/>
            <w:u w:val="single"/>
          </w:rPr>
          <w:t>https://doi.org/10.1111/jocd.14047</w:t>
        </w:r>
      </w:hyperlink>
    </w:p>
    <w:p w14:paraId="357B37F8"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Han, H. S., Kim, B. R., Kim, M., Na, J.-I., Seo, S. B., Huh, C.-H., &amp; Shin, J.-W. (2023). Needleless laser injector versus needle injection for skin enhancement and rejuvenation effect of dermal filler. </w:t>
      </w:r>
      <w:r w:rsidRPr="006C124B">
        <w:rPr>
          <w:rFonts w:eastAsia="Times New Roman" w:cs="Times New Roman"/>
          <w:i/>
          <w:iCs/>
          <w:color w:val="auto"/>
          <w:sz w:val="24"/>
          <w:szCs w:val="24"/>
        </w:rPr>
        <w:t>Lasers in Surgery and Medicine, 55</w:t>
      </w:r>
      <w:r w:rsidRPr="006C124B">
        <w:rPr>
          <w:rFonts w:eastAsia="Times New Roman" w:cs="Times New Roman"/>
          <w:color w:val="auto"/>
          <w:sz w:val="24"/>
          <w:szCs w:val="24"/>
        </w:rPr>
        <w:t xml:space="preserve">(9), 809–816. </w:t>
      </w:r>
      <w:hyperlink r:id="rId22" w:history="1">
        <w:r w:rsidRPr="006C124B">
          <w:rPr>
            <w:rFonts w:eastAsia="Times New Roman" w:cs="Times New Roman"/>
            <w:color w:val="0000FF"/>
            <w:sz w:val="24"/>
            <w:szCs w:val="24"/>
            <w:u w:val="single"/>
          </w:rPr>
          <w:t>https://doi.org/10.1002/lsm.23719</w:t>
        </w:r>
      </w:hyperlink>
    </w:p>
    <w:p w14:paraId="531EEADA"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Hong, J. Y., Lee, Y. H., Kim, H.-J., &amp; Park, K. Y. (2025). Therapeutic performance of needle injection versus needle-free jet injector system for polynucleotide filler in skin rejuvenation. </w:t>
      </w:r>
      <w:r w:rsidRPr="006C124B">
        <w:rPr>
          <w:rFonts w:eastAsia="Times New Roman" w:cs="Times New Roman"/>
          <w:i/>
          <w:iCs/>
          <w:color w:val="auto"/>
          <w:sz w:val="24"/>
          <w:szCs w:val="24"/>
        </w:rPr>
        <w:t>Journal of Cosmetic Dermatology, 24</w:t>
      </w:r>
      <w:r w:rsidRPr="006C124B">
        <w:rPr>
          <w:rFonts w:eastAsia="Times New Roman" w:cs="Times New Roman"/>
          <w:color w:val="auto"/>
          <w:sz w:val="24"/>
          <w:szCs w:val="24"/>
        </w:rPr>
        <w:t xml:space="preserve">(1), Article e16595. </w:t>
      </w:r>
      <w:hyperlink r:id="rId23" w:history="1">
        <w:r w:rsidRPr="006C124B">
          <w:rPr>
            <w:rFonts w:eastAsia="Times New Roman" w:cs="Times New Roman"/>
            <w:color w:val="0000FF"/>
            <w:sz w:val="24"/>
            <w:szCs w:val="24"/>
            <w:u w:val="single"/>
          </w:rPr>
          <w:t>https://doi.org/10.1111/jocd.16595</w:t>
        </w:r>
      </w:hyperlink>
    </w:p>
    <w:p w14:paraId="64248B27"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Hooper, J. W., </w:t>
      </w:r>
      <w:proofErr w:type="spellStart"/>
      <w:r w:rsidRPr="006C124B">
        <w:rPr>
          <w:rFonts w:eastAsia="Times New Roman" w:cs="Times New Roman"/>
          <w:color w:val="auto"/>
          <w:sz w:val="24"/>
          <w:szCs w:val="24"/>
        </w:rPr>
        <w:t>Kwilas</w:t>
      </w:r>
      <w:proofErr w:type="spellEnd"/>
      <w:r w:rsidRPr="006C124B">
        <w:rPr>
          <w:rFonts w:eastAsia="Times New Roman" w:cs="Times New Roman"/>
          <w:color w:val="auto"/>
          <w:sz w:val="24"/>
          <w:szCs w:val="24"/>
        </w:rPr>
        <w:t xml:space="preserve">, S. A., Josleyn, M., Norris, S., Hutter, J. N., Hamer, M., Livezey, J., Paolino, K., Twomey, P., Koren, M., Keiser, P., Moon, J. E., Nwaeze, U., Koontz, J., Ledesma-Feliciano, C., Landry, N., &amp; Wellington, T. (2024). Phase 1 clinical trial of </w:t>
      </w:r>
      <w:proofErr w:type="spellStart"/>
      <w:r w:rsidRPr="006C124B">
        <w:rPr>
          <w:rFonts w:eastAsia="Times New Roman" w:cs="Times New Roman"/>
          <w:color w:val="auto"/>
          <w:sz w:val="24"/>
          <w:szCs w:val="24"/>
        </w:rPr>
        <w:t>Hantaan</w:t>
      </w:r>
      <w:proofErr w:type="spellEnd"/>
      <w:r w:rsidRPr="006C124B">
        <w:rPr>
          <w:rFonts w:eastAsia="Times New Roman" w:cs="Times New Roman"/>
          <w:color w:val="auto"/>
          <w:sz w:val="24"/>
          <w:szCs w:val="24"/>
        </w:rPr>
        <w:t xml:space="preserve"> and </w:t>
      </w:r>
      <w:proofErr w:type="spellStart"/>
      <w:r w:rsidRPr="006C124B">
        <w:rPr>
          <w:rFonts w:eastAsia="Times New Roman" w:cs="Times New Roman"/>
          <w:color w:val="auto"/>
          <w:sz w:val="24"/>
          <w:szCs w:val="24"/>
        </w:rPr>
        <w:t>Puumala</w:t>
      </w:r>
      <w:proofErr w:type="spellEnd"/>
      <w:r w:rsidRPr="006C124B">
        <w:rPr>
          <w:rFonts w:eastAsia="Times New Roman" w:cs="Times New Roman"/>
          <w:color w:val="auto"/>
          <w:sz w:val="24"/>
          <w:szCs w:val="24"/>
        </w:rPr>
        <w:t xml:space="preserve"> virus DNA vaccines delivered by needle-free injection. </w:t>
      </w:r>
      <w:proofErr w:type="spellStart"/>
      <w:r w:rsidRPr="006C124B">
        <w:rPr>
          <w:rFonts w:eastAsia="Times New Roman" w:cs="Times New Roman"/>
          <w:i/>
          <w:iCs/>
          <w:color w:val="auto"/>
          <w:sz w:val="24"/>
          <w:szCs w:val="24"/>
        </w:rPr>
        <w:t>npj</w:t>
      </w:r>
      <w:proofErr w:type="spellEnd"/>
      <w:r w:rsidRPr="006C124B">
        <w:rPr>
          <w:rFonts w:eastAsia="Times New Roman" w:cs="Times New Roman"/>
          <w:i/>
          <w:iCs/>
          <w:color w:val="auto"/>
          <w:sz w:val="24"/>
          <w:szCs w:val="24"/>
        </w:rPr>
        <w:t xml:space="preserve"> Vaccines, 9</w:t>
      </w:r>
      <w:r w:rsidRPr="006C124B">
        <w:rPr>
          <w:rFonts w:eastAsia="Times New Roman" w:cs="Times New Roman"/>
          <w:color w:val="auto"/>
          <w:sz w:val="24"/>
          <w:szCs w:val="24"/>
        </w:rPr>
        <w:t xml:space="preserve">(1), Article 221. </w:t>
      </w:r>
      <w:hyperlink r:id="rId24" w:history="1">
        <w:r w:rsidRPr="006C124B">
          <w:rPr>
            <w:rFonts w:eastAsia="Times New Roman" w:cs="Times New Roman"/>
            <w:color w:val="0000FF"/>
            <w:sz w:val="24"/>
            <w:szCs w:val="24"/>
            <w:u w:val="single"/>
          </w:rPr>
          <w:t>https://doi.org/10.1038/s41541-024-00998-7</w:t>
        </w:r>
      </w:hyperlink>
    </w:p>
    <w:p w14:paraId="68FB4ED4"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lastRenderedPageBreak/>
        <w:t xml:space="preserve">Ikechukwu, P., &amp; Agu, R. (2026). Advancing needle-free jet injectors for global vaccine delivery. </w:t>
      </w:r>
      <w:r w:rsidRPr="006C124B">
        <w:rPr>
          <w:rFonts w:eastAsia="Times New Roman" w:cs="Times New Roman"/>
          <w:i/>
          <w:iCs/>
          <w:color w:val="auto"/>
          <w:sz w:val="24"/>
          <w:szCs w:val="24"/>
        </w:rPr>
        <w:t>Pharmaceutics, 18</w:t>
      </w:r>
      <w:r w:rsidRPr="006C124B">
        <w:rPr>
          <w:rFonts w:eastAsia="Times New Roman" w:cs="Times New Roman"/>
          <w:color w:val="auto"/>
          <w:sz w:val="24"/>
          <w:szCs w:val="24"/>
        </w:rPr>
        <w:t xml:space="preserve">(4), Article 417. </w:t>
      </w:r>
      <w:hyperlink r:id="rId25" w:history="1">
        <w:r w:rsidRPr="006C124B">
          <w:rPr>
            <w:rFonts w:eastAsia="Times New Roman" w:cs="Times New Roman"/>
            <w:color w:val="0000FF"/>
            <w:sz w:val="24"/>
            <w:szCs w:val="24"/>
            <w:u w:val="single"/>
          </w:rPr>
          <w:t>https://doi.org/10.3390/pharmaceutics18040417</w:t>
        </w:r>
      </w:hyperlink>
    </w:p>
    <w:p w14:paraId="0C0BF7EE"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Kelly, K., Loskutov, A., Zehrung, D., Puaa, K., LaBarre, P., Muller, N., Wang, G., Ding, H.-G., Hu, D., &amp; Blackwelder, W. C. (2008). Preventing contamination between injections with multiple-use nozzle needle-free injectors: A safety trial. </w:t>
      </w:r>
      <w:r w:rsidRPr="006C124B">
        <w:rPr>
          <w:rFonts w:eastAsia="Times New Roman" w:cs="Times New Roman"/>
          <w:i/>
          <w:iCs/>
          <w:color w:val="auto"/>
          <w:sz w:val="24"/>
          <w:szCs w:val="24"/>
        </w:rPr>
        <w:t>Vaccine, 26</w:t>
      </w:r>
      <w:r w:rsidRPr="006C124B">
        <w:rPr>
          <w:rFonts w:eastAsia="Times New Roman" w:cs="Times New Roman"/>
          <w:color w:val="auto"/>
          <w:sz w:val="24"/>
          <w:szCs w:val="24"/>
        </w:rPr>
        <w:t xml:space="preserve">(10), 1344–1352. </w:t>
      </w:r>
      <w:hyperlink r:id="rId26" w:history="1">
        <w:r w:rsidRPr="006C124B">
          <w:rPr>
            <w:rFonts w:eastAsia="Times New Roman" w:cs="Times New Roman"/>
            <w:color w:val="0000FF"/>
            <w:sz w:val="24"/>
            <w:szCs w:val="24"/>
            <w:u w:val="single"/>
          </w:rPr>
          <w:t>https://doi.org/10.1016/j.vaccine.2007.12.041</w:t>
        </w:r>
      </w:hyperlink>
    </w:p>
    <w:p w14:paraId="423321EE"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Kisakov, D. N., Karpenko, L. I., </w:t>
      </w:r>
      <w:proofErr w:type="spellStart"/>
      <w:r w:rsidRPr="006C124B">
        <w:rPr>
          <w:rFonts w:eastAsia="Times New Roman" w:cs="Times New Roman"/>
          <w:color w:val="auto"/>
          <w:sz w:val="24"/>
          <w:szCs w:val="24"/>
        </w:rPr>
        <w:t>Kisakova</w:t>
      </w:r>
      <w:proofErr w:type="spellEnd"/>
      <w:r w:rsidRPr="006C124B">
        <w:rPr>
          <w:rFonts w:eastAsia="Times New Roman" w:cs="Times New Roman"/>
          <w:color w:val="auto"/>
          <w:sz w:val="24"/>
          <w:szCs w:val="24"/>
        </w:rPr>
        <w:t xml:space="preserve">, L. A., </w:t>
      </w:r>
      <w:proofErr w:type="spellStart"/>
      <w:r w:rsidRPr="006C124B">
        <w:rPr>
          <w:rFonts w:eastAsia="Times New Roman" w:cs="Times New Roman"/>
          <w:color w:val="auto"/>
          <w:sz w:val="24"/>
          <w:szCs w:val="24"/>
        </w:rPr>
        <w:t>Sharabrin</w:t>
      </w:r>
      <w:proofErr w:type="spellEnd"/>
      <w:r w:rsidRPr="006C124B">
        <w:rPr>
          <w:rFonts w:eastAsia="Times New Roman" w:cs="Times New Roman"/>
          <w:color w:val="auto"/>
          <w:sz w:val="24"/>
          <w:szCs w:val="24"/>
        </w:rPr>
        <w:t xml:space="preserve">, S. V., Borgoyakova, M. B., </w:t>
      </w:r>
      <w:proofErr w:type="spellStart"/>
      <w:r w:rsidRPr="006C124B">
        <w:rPr>
          <w:rFonts w:eastAsia="Times New Roman" w:cs="Times New Roman"/>
          <w:color w:val="auto"/>
          <w:sz w:val="24"/>
          <w:szCs w:val="24"/>
        </w:rPr>
        <w:t>Starostina</w:t>
      </w:r>
      <w:proofErr w:type="spellEnd"/>
      <w:r w:rsidRPr="006C124B">
        <w:rPr>
          <w:rFonts w:eastAsia="Times New Roman" w:cs="Times New Roman"/>
          <w:color w:val="auto"/>
          <w:sz w:val="24"/>
          <w:szCs w:val="24"/>
        </w:rPr>
        <w:t xml:space="preserve">, E. V., Taranov, O. S., Ivleva, E. K., Pyankov, O. V., Zaykovskaya, A. V., Dmitrienko, E. V., Yakovlev, V. A., </w:t>
      </w:r>
      <w:proofErr w:type="spellStart"/>
      <w:r w:rsidRPr="006C124B">
        <w:rPr>
          <w:rFonts w:eastAsia="Times New Roman" w:cs="Times New Roman"/>
          <w:color w:val="auto"/>
          <w:sz w:val="24"/>
          <w:szCs w:val="24"/>
        </w:rPr>
        <w:t>Tigeeva</w:t>
      </w:r>
      <w:proofErr w:type="spellEnd"/>
      <w:r w:rsidRPr="006C124B">
        <w:rPr>
          <w:rFonts w:eastAsia="Times New Roman" w:cs="Times New Roman"/>
          <w:color w:val="auto"/>
          <w:sz w:val="24"/>
          <w:szCs w:val="24"/>
        </w:rPr>
        <w:t xml:space="preserve">, E. V., Bauer, I. A., Krasnikova, S. I., </w:t>
      </w:r>
      <w:proofErr w:type="spellStart"/>
      <w:r w:rsidRPr="006C124B">
        <w:rPr>
          <w:rFonts w:eastAsia="Times New Roman" w:cs="Times New Roman"/>
          <w:color w:val="auto"/>
          <w:sz w:val="24"/>
          <w:szCs w:val="24"/>
        </w:rPr>
        <w:t>Rudometova</w:t>
      </w:r>
      <w:proofErr w:type="spellEnd"/>
      <w:r w:rsidRPr="006C124B">
        <w:rPr>
          <w:rFonts w:eastAsia="Times New Roman" w:cs="Times New Roman"/>
          <w:color w:val="auto"/>
          <w:sz w:val="24"/>
          <w:szCs w:val="24"/>
        </w:rPr>
        <w:t xml:space="preserve">, N. B., Rudometov, A. P., Sergeev, A. A., &amp; Ilyichev, A. A. (2025). Jet injection of naked mRNA encoding the RBD of the SARS-CoV-2 spike protein induces a high level of a specific immune response in mice. </w:t>
      </w:r>
      <w:r w:rsidRPr="006C124B">
        <w:rPr>
          <w:rFonts w:eastAsia="Times New Roman" w:cs="Times New Roman"/>
          <w:i/>
          <w:iCs/>
          <w:color w:val="auto"/>
          <w:sz w:val="24"/>
          <w:szCs w:val="24"/>
        </w:rPr>
        <w:t>Vaccines, 13</w:t>
      </w:r>
      <w:r w:rsidRPr="006C124B">
        <w:rPr>
          <w:rFonts w:eastAsia="Times New Roman" w:cs="Times New Roman"/>
          <w:color w:val="auto"/>
          <w:sz w:val="24"/>
          <w:szCs w:val="24"/>
        </w:rPr>
        <w:t xml:space="preserve">(1), Article 65. </w:t>
      </w:r>
      <w:hyperlink r:id="rId27" w:history="1">
        <w:r w:rsidRPr="006C124B">
          <w:rPr>
            <w:rFonts w:eastAsia="Times New Roman" w:cs="Times New Roman"/>
            <w:color w:val="0000FF"/>
            <w:sz w:val="24"/>
            <w:szCs w:val="24"/>
            <w:u w:val="single"/>
          </w:rPr>
          <w:t>https://doi.org/10.3390/vaccines13010065</w:t>
        </w:r>
      </w:hyperlink>
    </w:p>
    <w:p w14:paraId="3EA97157"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Lysakowski, C., Dumont, L., </w:t>
      </w:r>
      <w:proofErr w:type="spellStart"/>
      <w:r w:rsidRPr="006C124B">
        <w:rPr>
          <w:rFonts w:eastAsia="Times New Roman" w:cs="Times New Roman"/>
          <w:color w:val="auto"/>
          <w:sz w:val="24"/>
          <w:szCs w:val="24"/>
        </w:rPr>
        <w:t>Tramèr</w:t>
      </w:r>
      <w:proofErr w:type="spellEnd"/>
      <w:r w:rsidRPr="006C124B">
        <w:rPr>
          <w:rFonts w:eastAsia="Times New Roman" w:cs="Times New Roman"/>
          <w:color w:val="auto"/>
          <w:sz w:val="24"/>
          <w:szCs w:val="24"/>
        </w:rPr>
        <w:t xml:space="preserve">, M. R., &amp; </w:t>
      </w:r>
      <w:proofErr w:type="spellStart"/>
      <w:r w:rsidRPr="006C124B">
        <w:rPr>
          <w:rFonts w:eastAsia="Times New Roman" w:cs="Times New Roman"/>
          <w:color w:val="auto"/>
          <w:sz w:val="24"/>
          <w:szCs w:val="24"/>
        </w:rPr>
        <w:t>Tassonyi</w:t>
      </w:r>
      <w:proofErr w:type="spellEnd"/>
      <w:r w:rsidRPr="006C124B">
        <w:rPr>
          <w:rFonts w:eastAsia="Times New Roman" w:cs="Times New Roman"/>
          <w:color w:val="auto"/>
          <w:sz w:val="24"/>
          <w:szCs w:val="24"/>
        </w:rPr>
        <w:t xml:space="preserve">, E. (2003). A needle-free jet-injection system with lidocaine for peripheral intravenous cannula insertion: A randomized controlled trial with cost-effectiveness analysis. </w:t>
      </w:r>
      <w:r w:rsidRPr="006C124B">
        <w:rPr>
          <w:rFonts w:eastAsia="Times New Roman" w:cs="Times New Roman"/>
          <w:i/>
          <w:iCs/>
          <w:color w:val="auto"/>
          <w:sz w:val="24"/>
          <w:szCs w:val="24"/>
        </w:rPr>
        <w:t>Anesthesia &amp; Analgesia, 96</w:t>
      </w:r>
      <w:r w:rsidRPr="006C124B">
        <w:rPr>
          <w:rFonts w:eastAsia="Times New Roman" w:cs="Times New Roman"/>
          <w:color w:val="auto"/>
          <w:sz w:val="24"/>
          <w:szCs w:val="24"/>
        </w:rPr>
        <w:t xml:space="preserve">(1), 215–219. </w:t>
      </w:r>
      <w:hyperlink r:id="rId28" w:history="1">
        <w:r w:rsidRPr="006C124B">
          <w:rPr>
            <w:rFonts w:eastAsia="Times New Roman" w:cs="Times New Roman"/>
            <w:color w:val="0000FF"/>
            <w:sz w:val="24"/>
            <w:szCs w:val="24"/>
            <w:u w:val="single"/>
          </w:rPr>
          <w:t>https://doi.org/10.1097/00000539-200301000-00044</w:t>
        </w:r>
      </w:hyperlink>
    </w:p>
    <w:p w14:paraId="056DF432"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McAllister, L., Anderson, J., Werth, K., Cho, I., Copeland, K., Le Cam </w:t>
      </w:r>
      <w:proofErr w:type="spellStart"/>
      <w:r w:rsidRPr="006C124B">
        <w:rPr>
          <w:rFonts w:eastAsia="Times New Roman" w:cs="Times New Roman"/>
          <w:color w:val="auto"/>
          <w:sz w:val="24"/>
          <w:szCs w:val="24"/>
        </w:rPr>
        <w:t>Bouveret</w:t>
      </w:r>
      <w:proofErr w:type="spellEnd"/>
      <w:r w:rsidRPr="006C124B">
        <w:rPr>
          <w:rFonts w:eastAsia="Times New Roman" w:cs="Times New Roman"/>
          <w:color w:val="auto"/>
          <w:sz w:val="24"/>
          <w:szCs w:val="24"/>
        </w:rPr>
        <w:t xml:space="preserve">, N., Plant, D., </w:t>
      </w:r>
      <w:proofErr w:type="spellStart"/>
      <w:r w:rsidRPr="006C124B">
        <w:rPr>
          <w:rFonts w:eastAsia="Times New Roman" w:cs="Times New Roman"/>
          <w:color w:val="auto"/>
          <w:sz w:val="24"/>
          <w:szCs w:val="24"/>
        </w:rPr>
        <w:t>Mendelman</w:t>
      </w:r>
      <w:proofErr w:type="spellEnd"/>
      <w:r w:rsidRPr="006C124B">
        <w:rPr>
          <w:rFonts w:eastAsia="Times New Roman" w:cs="Times New Roman"/>
          <w:color w:val="auto"/>
          <w:sz w:val="24"/>
          <w:szCs w:val="24"/>
        </w:rPr>
        <w:t xml:space="preserve">, P. M., &amp; Cobb, D. K. (2014). Needle-free jet injection for administration of influenza vaccine: A </w:t>
      </w:r>
      <w:proofErr w:type="spellStart"/>
      <w:r w:rsidRPr="006C124B">
        <w:rPr>
          <w:rFonts w:eastAsia="Times New Roman" w:cs="Times New Roman"/>
          <w:color w:val="auto"/>
          <w:sz w:val="24"/>
          <w:szCs w:val="24"/>
        </w:rPr>
        <w:t>randomised</w:t>
      </w:r>
      <w:proofErr w:type="spellEnd"/>
      <w:r w:rsidRPr="006C124B">
        <w:rPr>
          <w:rFonts w:eastAsia="Times New Roman" w:cs="Times New Roman"/>
          <w:color w:val="auto"/>
          <w:sz w:val="24"/>
          <w:szCs w:val="24"/>
        </w:rPr>
        <w:t xml:space="preserve"> non-inferiority trial. </w:t>
      </w:r>
      <w:r w:rsidRPr="006C124B">
        <w:rPr>
          <w:rFonts w:eastAsia="Times New Roman" w:cs="Times New Roman"/>
          <w:i/>
          <w:iCs/>
          <w:color w:val="auto"/>
          <w:sz w:val="24"/>
          <w:szCs w:val="24"/>
        </w:rPr>
        <w:t>The Lancet, 384</w:t>
      </w:r>
      <w:r w:rsidRPr="006C124B">
        <w:rPr>
          <w:rFonts w:eastAsia="Times New Roman" w:cs="Times New Roman"/>
          <w:color w:val="auto"/>
          <w:sz w:val="24"/>
          <w:szCs w:val="24"/>
        </w:rPr>
        <w:t xml:space="preserve">(9944), 674–681. </w:t>
      </w:r>
      <w:hyperlink r:id="rId29" w:history="1">
        <w:r w:rsidRPr="006C124B">
          <w:rPr>
            <w:rFonts w:eastAsia="Times New Roman" w:cs="Times New Roman"/>
            <w:color w:val="0000FF"/>
            <w:sz w:val="24"/>
            <w:szCs w:val="24"/>
            <w:u w:val="single"/>
          </w:rPr>
          <w:t>https://doi.org/10.1016/S0140-6736(14)60524-9</w:t>
        </w:r>
      </w:hyperlink>
    </w:p>
    <w:p w14:paraId="663DD09E"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McKeage, J. W., Full, H. J., Tan, A. Z. H., &amp; Taberner, A. J. (2024). The effect of temperature-dependent drug viscosity on needle-free jet injection. </w:t>
      </w:r>
      <w:r w:rsidRPr="006C124B">
        <w:rPr>
          <w:rFonts w:eastAsia="Times New Roman" w:cs="Times New Roman"/>
          <w:i/>
          <w:iCs/>
          <w:color w:val="auto"/>
          <w:sz w:val="24"/>
          <w:szCs w:val="24"/>
        </w:rPr>
        <w:t>International Journal of Pharmaceutics, 666</w:t>
      </w:r>
      <w:r w:rsidRPr="006C124B">
        <w:rPr>
          <w:rFonts w:eastAsia="Times New Roman" w:cs="Times New Roman"/>
          <w:color w:val="auto"/>
          <w:sz w:val="24"/>
          <w:szCs w:val="24"/>
        </w:rPr>
        <w:t xml:space="preserve">, Article 124777. </w:t>
      </w:r>
      <w:hyperlink r:id="rId30" w:history="1">
        <w:r w:rsidRPr="006C124B">
          <w:rPr>
            <w:rFonts w:eastAsia="Times New Roman" w:cs="Times New Roman"/>
            <w:color w:val="0000FF"/>
            <w:sz w:val="24"/>
            <w:szCs w:val="24"/>
            <w:u w:val="single"/>
          </w:rPr>
          <w:t>https://doi.org/10.1016/j.ijpharm.2024.124777</w:t>
        </w:r>
      </w:hyperlink>
    </w:p>
    <w:p w14:paraId="6C792EEA"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McKeage, J. W., Tan, A. Z. H., &amp; Taberner, A. J. (2024). Large volume subcutaneous delivery using multi-orifice jet injection. </w:t>
      </w:r>
      <w:r w:rsidRPr="006C124B">
        <w:rPr>
          <w:rFonts w:eastAsia="Times New Roman" w:cs="Times New Roman"/>
          <w:i/>
          <w:iCs/>
          <w:color w:val="auto"/>
          <w:sz w:val="24"/>
          <w:szCs w:val="24"/>
        </w:rPr>
        <w:t>International Journal of Pharmaceutics, 649</w:t>
      </w:r>
      <w:r w:rsidRPr="006C124B">
        <w:rPr>
          <w:rFonts w:eastAsia="Times New Roman" w:cs="Times New Roman"/>
          <w:color w:val="auto"/>
          <w:sz w:val="24"/>
          <w:szCs w:val="24"/>
        </w:rPr>
        <w:t xml:space="preserve">, Article 123605. </w:t>
      </w:r>
      <w:hyperlink r:id="rId31" w:history="1">
        <w:r w:rsidRPr="006C124B">
          <w:rPr>
            <w:rFonts w:eastAsia="Times New Roman" w:cs="Times New Roman"/>
            <w:color w:val="0000FF"/>
            <w:sz w:val="24"/>
            <w:szCs w:val="24"/>
            <w:u w:val="single"/>
          </w:rPr>
          <w:t>https://doi.org/10.1016/j.ijpharm.2023.123605</w:t>
        </w:r>
      </w:hyperlink>
    </w:p>
    <w:p w14:paraId="0009A7F8"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Mitragotri, S. (2006). Current status and future prospects of needle-free liquid jet injectors. </w:t>
      </w:r>
      <w:r w:rsidRPr="006C124B">
        <w:rPr>
          <w:rFonts w:eastAsia="Times New Roman" w:cs="Times New Roman"/>
          <w:i/>
          <w:iCs/>
          <w:color w:val="auto"/>
          <w:sz w:val="24"/>
          <w:szCs w:val="24"/>
        </w:rPr>
        <w:t>Nature Reviews Drug Discovery, 5</w:t>
      </w:r>
      <w:r w:rsidRPr="006C124B">
        <w:rPr>
          <w:rFonts w:eastAsia="Times New Roman" w:cs="Times New Roman"/>
          <w:color w:val="auto"/>
          <w:sz w:val="24"/>
          <w:szCs w:val="24"/>
        </w:rPr>
        <w:t xml:space="preserve">(7), 543–548. </w:t>
      </w:r>
      <w:hyperlink r:id="rId32" w:history="1">
        <w:r w:rsidRPr="006C124B">
          <w:rPr>
            <w:rFonts w:eastAsia="Times New Roman" w:cs="Times New Roman"/>
            <w:color w:val="0000FF"/>
            <w:sz w:val="24"/>
            <w:szCs w:val="24"/>
            <w:u w:val="single"/>
          </w:rPr>
          <w:t>https://doi.org/10.1038/nrd2076</w:t>
        </w:r>
      </w:hyperlink>
    </w:p>
    <w:p w14:paraId="0D7D8A5F"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Miyazaki, Y., </w:t>
      </w:r>
      <w:proofErr w:type="spellStart"/>
      <w:r w:rsidRPr="006C124B">
        <w:rPr>
          <w:rFonts w:eastAsia="Times New Roman" w:cs="Times New Roman"/>
          <w:color w:val="auto"/>
          <w:sz w:val="24"/>
          <w:szCs w:val="24"/>
        </w:rPr>
        <w:t>Usawa</w:t>
      </w:r>
      <w:proofErr w:type="spellEnd"/>
      <w:r w:rsidRPr="006C124B">
        <w:rPr>
          <w:rFonts w:eastAsia="Times New Roman" w:cs="Times New Roman"/>
          <w:color w:val="auto"/>
          <w:sz w:val="24"/>
          <w:szCs w:val="24"/>
        </w:rPr>
        <w:t xml:space="preserve">, M., Kawai, S., Yee, J., Muto, M., &amp; Tagawa, Y. (2021). Dynamic mechanical interaction between injection liquid and human tissue simulant induced by needle-free injection of a highly focused microjet. </w:t>
      </w:r>
      <w:r w:rsidRPr="006C124B">
        <w:rPr>
          <w:rFonts w:eastAsia="Times New Roman" w:cs="Times New Roman"/>
          <w:i/>
          <w:iCs/>
          <w:color w:val="auto"/>
          <w:sz w:val="24"/>
          <w:szCs w:val="24"/>
        </w:rPr>
        <w:t>Scientific Reports, 11</w:t>
      </w:r>
      <w:r w:rsidRPr="006C124B">
        <w:rPr>
          <w:rFonts w:eastAsia="Times New Roman" w:cs="Times New Roman"/>
          <w:color w:val="auto"/>
          <w:sz w:val="24"/>
          <w:szCs w:val="24"/>
        </w:rPr>
        <w:t xml:space="preserve">(1), Article 14544. </w:t>
      </w:r>
      <w:hyperlink r:id="rId33" w:history="1">
        <w:r w:rsidRPr="006C124B">
          <w:rPr>
            <w:rFonts w:eastAsia="Times New Roman" w:cs="Times New Roman"/>
            <w:color w:val="0000FF"/>
            <w:sz w:val="24"/>
            <w:szCs w:val="24"/>
            <w:u w:val="single"/>
          </w:rPr>
          <w:t>https://doi.org/10.1038/s41598-021-94018-6</w:t>
        </w:r>
      </w:hyperlink>
    </w:p>
    <w:p w14:paraId="2432179C"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Mohammed, A. J., </w:t>
      </w:r>
      <w:proofErr w:type="spellStart"/>
      <w:r w:rsidRPr="006C124B">
        <w:rPr>
          <w:rFonts w:eastAsia="Times New Roman" w:cs="Times New Roman"/>
          <w:color w:val="auto"/>
          <w:sz w:val="24"/>
          <w:szCs w:val="24"/>
        </w:rPr>
        <w:t>AlAwaidy</w:t>
      </w:r>
      <w:proofErr w:type="spellEnd"/>
      <w:r w:rsidRPr="006C124B">
        <w:rPr>
          <w:rFonts w:eastAsia="Times New Roman" w:cs="Times New Roman"/>
          <w:color w:val="auto"/>
          <w:sz w:val="24"/>
          <w:szCs w:val="24"/>
        </w:rPr>
        <w:t xml:space="preserve">, S., </w:t>
      </w:r>
      <w:proofErr w:type="spellStart"/>
      <w:r w:rsidRPr="006C124B">
        <w:rPr>
          <w:rFonts w:eastAsia="Times New Roman" w:cs="Times New Roman"/>
          <w:color w:val="auto"/>
          <w:sz w:val="24"/>
          <w:szCs w:val="24"/>
        </w:rPr>
        <w:t>Bawikar</w:t>
      </w:r>
      <w:proofErr w:type="spellEnd"/>
      <w:r w:rsidRPr="006C124B">
        <w:rPr>
          <w:rFonts w:eastAsia="Times New Roman" w:cs="Times New Roman"/>
          <w:color w:val="auto"/>
          <w:sz w:val="24"/>
          <w:szCs w:val="24"/>
        </w:rPr>
        <w:t xml:space="preserve">, S., Kurup, P. J., Elamir, E., Shaban, M. M. A., Sharif, S. M., van der </w:t>
      </w:r>
      <w:proofErr w:type="spellStart"/>
      <w:r w:rsidRPr="006C124B">
        <w:rPr>
          <w:rFonts w:eastAsia="Times New Roman" w:cs="Times New Roman"/>
          <w:color w:val="auto"/>
          <w:sz w:val="24"/>
          <w:szCs w:val="24"/>
        </w:rPr>
        <w:t>Avoort</w:t>
      </w:r>
      <w:proofErr w:type="spellEnd"/>
      <w:r w:rsidRPr="006C124B">
        <w:rPr>
          <w:rFonts w:eastAsia="Times New Roman" w:cs="Times New Roman"/>
          <w:color w:val="auto"/>
          <w:sz w:val="24"/>
          <w:szCs w:val="24"/>
        </w:rPr>
        <w:t xml:space="preserve">, H. G. A. M., Pallansch, M. A., </w:t>
      </w:r>
      <w:proofErr w:type="spellStart"/>
      <w:r w:rsidRPr="006C124B">
        <w:rPr>
          <w:rFonts w:eastAsia="Times New Roman" w:cs="Times New Roman"/>
          <w:color w:val="auto"/>
          <w:sz w:val="24"/>
          <w:szCs w:val="24"/>
        </w:rPr>
        <w:t>Malankar</w:t>
      </w:r>
      <w:proofErr w:type="spellEnd"/>
      <w:r w:rsidRPr="006C124B">
        <w:rPr>
          <w:rFonts w:eastAsia="Times New Roman" w:cs="Times New Roman"/>
          <w:color w:val="auto"/>
          <w:sz w:val="24"/>
          <w:szCs w:val="24"/>
        </w:rPr>
        <w:t xml:space="preserve">, P., Burton, A., </w:t>
      </w:r>
      <w:proofErr w:type="spellStart"/>
      <w:r w:rsidRPr="006C124B">
        <w:rPr>
          <w:rFonts w:eastAsia="Times New Roman" w:cs="Times New Roman"/>
          <w:color w:val="auto"/>
          <w:sz w:val="24"/>
          <w:szCs w:val="24"/>
        </w:rPr>
        <w:t>Sreevatsava</w:t>
      </w:r>
      <w:proofErr w:type="spellEnd"/>
      <w:r w:rsidRPr="006C124B">
        <w:rPr>
          <w:rFonts w:eastAsia="Times New Roman" w:cs="Times New Roman"/>
          <w:color w:val="auto"/>
          <w:sz w:val="24"/>
          <w:szCs w:val="24"/>
        </w:rPr>
        <w:t xml:space="preserve">, M., &amp; Sutter, R. W. (2010). Fractional doses of inactivated poliovirus vaccine in Oman. </w:t>
      </w:r>
      <w:r w:rsidRPr="006C124B">
        <w:rPr>
          <w:rFonts w:eastAsia="Times New Roman" w:cs="Times New Roman"/>
          <w:i/>
          <w:iCs/>
          <w:color w:val="auto"/>
          <w:sz w:val="24"/>
          <w:szCs w:val="24"/>
        </w:rPr>
        <w:t>The New England Journal of Medicine, 362</w:t>
      </w:r>
      <w:r w:rsidRPr="006C124B">
        <w:rPr>
          <w:rFonts w:eastAsia="Times New Roman" w:cs="Times New Roman"/>
          <w:color w:val="auto"/>
          <w:sz w:val="24"/>
          <w:szCs w:val="24"/>
        </w:rPr>
        <w:t xml:space="preserve">(25), 2351–2359. </w:t>
      </w:r>
      <w:hyperlink r:id="rId34" w:history="1">
        <w:r w:rsidRPr="006C124B">
          <w:rPr>
            <w:rFonts w:eastAsia="Times New Roman" w:cs="Times New Roman"/>
            <w:color w:val="0000FF"/>
            <w:sz w:val="24"/>
            <w:szCs w:val="24"/>
            <w:u w:val="single"/>
          </w:rPr>
          <w:t>https://doi.org/10.1056/NEJMoa0909383</w:t>
        </w:r>
      </w:hyperlink>
    </w:p>
    <w:p w14:paraId="30C08C8A"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Nelson, E. A. S., Lam, H. S., Choi, K. C., Ho, W. C. S., Fung, L. W. E., Cheng, F. W. T., Sung, R. Y. T., Royals, M., &amp; Chan, P. K. S. (2013). A pilot randomized study to assess immunogenicity, </w:t>
      </w:r>
      <w:r w:rsidRPr="006C124B">
        <w:rPr>
          <w:rFonts w:eastAsia="Times New Roman" w:cs="Times New Roman"/>
          <w:color w:val="auto"/>
          <w:sz w:val="24"/>
          <w:szCs w:val="24"/>
        </w:rPr>
        <w:lastRenderedPageBreak/>
        <w:t xml:space="preserve">reactogenicity, safety and tolerability of two human papillomavirus vaccines administered intramuscularly and intradermally to females aged 18–26 years. </w:t>
      </w:r>
      <w:r w:rsidRPr="006C124B">
        <w:rPr>
          <w:rFonts w:eastAsia="Times New Roman" w:cs="Times New Roman"/>
          <w:i/>
          <w:iCs/>
          <w:color w:val="auto"/>
          <w:sz w:val="24"/>
          <w:szCs w:val="24"/>
        </w:rPr>
        <w:t>Vaccine, 31</w:t>
      </w:r>
      <w:r w:rsidRPr="006C124B">
        <w:rPr>
          <w:rFonts w:eastAsia="Times New Roman" w:cs="Times New Roman"/>
          <w:color w:val="auto"/>
          <w:sz w:val="24"/>
          <w:szCs w:val="24"/>
        </w:rPr>
        <w:t xml:space="preserve">(34), 3452–3460. </w:t>
      </w:r>
      <w:hyperlink r:id="rId35" w:history="1">
        <w:r w:rsidRPr="006C124B">
          <w:rPr>
            <w:rFonts w:eastAsia="Times New Roman" w:cs="Times New Roman"/>
            <w:color w:val="0000FF"/>
            <w:sz w:val="24"/>
            <w:szCs w:val="24"/>
            <w:u w:val="single"/>
          </w:rPr>
          <w:t>https://doi.org/10.1016/j.vaccine.2013.06.034</w:t>
        </w:r>
      </w:hyperlink>
    </w:p>
    <w:p w14:paraId="65DC5BBA"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Paulsen, G. C., Frenck, R., Jr., Tomashek, K. M., Alarcon, R. M., Hensel, E., Lowe, A., Brocato, R. L., </w:t>
      </w:r>
      <w:proofErr w:type="spellStart"/>
      <w:r w:rsidRPr="006C124B">
        <w:rPr>
          <w:rFonts w:eastAsia="Times New Roman" w:cs="Times New Roman"/>
          <w:color w:val="auto"/>
          <w:sz w:val="24"/>
          <w:szCs w:val="24"/>
        </w:rPr>
        <w:t>Kwilas</w:t>
      </w:r>
      <w:proofErr w:type="spellEnd"/>
      <w:r w:rsidRPr="006C124B">
        <w:rPr>
          <w:rFonts w:eastAsia="Times New Roman" w:cs="Times New Roman"/>
          <w:color w:val="auto"/>
          <w:sz w:val="24"/>
          <w:szCs w:val="24"/>
        </w:rPr>
        <w:t xml:space="preserve">, S. A., Josleyn, M. D., &amp; Hooper, J. W. (2024). Safety and immunogenicity of an Andes virus DNA vaccine by needle-free injection: A randomized, controlled phase 1 study. </w:t>
      </w:r>
      <w:r w:rsidRPr="006C124B">
        <w:rPr>
          <w:rFonts w:eastAsia="Times New Roman" w:cs="Times New Roman"/>
          <w:i/>
          <w:iCs/>
          <w:color w:val="auto"/>
          <w:sz w:val="24"/>
          <w:szCs w:val="24"/>
        </w:rPr>
        <w:t>The Journal of Infectious Diseases, 229</w:t>
      </w:r>
      <w:r w:rsidRPr="006C124B">
        <w:rPr>
          <w:rFonts w:eastAsia="Times New Roman" w:cs="Times New Roman"/>
          <w:color w:val="auto"/>
          <w:sz w:val="24"/>
          <w:szCs w:val="24"/>
        </w:rPr>
        <w:t xml:space="preserve">(1), 30–38. </w:t>
      </w:r>
      <w:hyperlink r:id="rId36" w:history="1">
        <w:r w:rsidRPr="006C124B">
          <w:rPr>
            <w:rFonts w:eastAsia="Times New Roman" w:cs="Times New Roman"/>
            <w:color w:val="0000FF"/>
            <w:sz w:val="24"/>
            <w:szCs w:val="24"/>
            <w:u w:val="single"/>
          </w:rPr>
          <w:t>https://doi.org/10.1093/infdis/jiad235</w:t>
        </w:r>
      </w:hyperlink>
    </w:p>
    <w:p w14:paraId="51B7E75B"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Ratta, B. S., Naik, A., &amp; Mutha, S. (2025). Comparative immunogenicity and safety of measles-mumps-rubella vaccine when administered using needle free injection system to that with conventional needle-syringe in India: A randomized, parallel group study. </w:t>
      </w:r>
      <w:r w:rsidRPr="006C124B">
        <w:rPr>
          <w:rFonts w:eastAsia="Times New Roman" w:cs="Times New Roman"/>
          <w:i/>
          <w:iCs/>
          <w:color w:val="auto"/>
          <w:sz w:val="24"/>
          <w:szCs w:val="24"/>
        </w:rPr>
        <w:t>Medical Devices: Evidence and Research, 18</w:t>
      </w:r>
      <w:r w:rsidRPr="006C124B">
        <w:rPr>
          <w:rFonts w:eastAsia="Times New Roman" w:cs="Times New Roman"/>
          <w:color w:val="auto"/>
          <w:sz w:val="24"/>
          <w:szCs w:val="24"/>
        </w:rPr>
        <w:t xml:space="preserve">, 537–543. </w:t>
      </w:r>
      <w:hyperlink r:id="rId37" w:history="1">
        <w:r w:rsidRPr="006C124B">
          <w:rPr>
            <w:rFonts w:eastAsia="Times New Roman" w:cs="Times New Roman"/>
            <w:color w:val="0000FF"/>
            <w:sz w:val="24"/>
            <w:szCs w:val="24"/>
            <w:u w:val="single"/>
          </w:rPr>
          <w:t>https://doi.org/10.2147/MDER.S549379</w:t>
        </w:r>
      </w:hyperlink>
    </w:p>
    <w:p w14:paraId="17336068"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Resik, S., Tejeda, A., Mach, O., Sein, C., Molodecky, N., </w:t>
      </w:r>
      <w:proofErr w:type="spellStart"/>
      <w:r w:rsidRPr="006C124B">
        <w:rPr>
          <w:rFonts w:eastAsia="Times New Roman" w:cs="Times New Roman"/>
          <w:color w:val="auto"/>
          <w:sz w:val="24"/>
          <w:szCs w:val="24"/>
        </w:rPr>
        <w:t>Jarrahian</w:t>
      </w:r>
      <w:proofErr w:type="spellEnd"/>
      <w:r w:rsidRPr="006C124B">
        <w:rPr>
          <w:rFonts w:eastAsia="Times New Roman" w:cs="Times New Roman"/>
          <w:color w:val="auto"/>
          <w:sz w:val="24"/>
          <w:szCs w:val="24"/>
        </w:rPr>
        <w:t xml:space="preserve">, C., </w:t>
      </w:r>
      <w:proofErr w:type="spellStart"/>
      <w:r w:rsidRPr="006C124B">
        <w:rPr>
          <w:rFonts w:eastAsia="Times New Roman" w:cs="Times New Roman"/>
          <w:color w:val="auto"/>
          <w:sz w:val="24"/>
          <w:szCs w:val="24"/>
        </w:rPr>
        <w:t>Saganic</w:t>
      </w:r>
      <w:proofErr w:type="spellEnd"/>
      <w:r w:rsidRPr="006C124B">
        <w:rPr>
          <w:rFonts w:eastAsia="Times New Roman" w:cs="Times New Roman"/>
          <w:color w:val="auto"/>
          <w:sz w:val="24"/>
          <w:szCs w:val="24"/>
        </w:rPr>
        <w:t xml:space="preserve">, L., Zehrung, D., Fonseca, M., Diaz, M., Alemany, N., Garcia, G., Hung, L. H., Martinez, Y., &amp; Sutter, R. W. (2015). Needle-free jet injector intradermal delivery of fractional dose inactivated poliovirus vaccine: Association between injection quality and immunogenicity. </w:t>
      </w:r>
      <w:r w:rsidRPr="006C124B">
        <w:rPr>
          <w:rFonts w:eastAsia="Times New Roman" w:cs="Times New Roman"/>
          <w:i/>
          <w:iCs/>
          <w:color w:val="auto"/>
          <w:sz w:val="24"/>
          <w:szCs w:val="24"/>
        </w:rPr>
        <w:t>Vaccine, 33</w:t>
      </w:r>
      <w:r w:rsidRPr="006C124B">
        <w:rPr>
          <w:rFonts w:eastAsia="Times New Roman" w:cs="Times New Roman"/>
          <w:color w:val="auto"/>
          <w:sz w:val="24"/>
          <w:szCs w:val="24"/>
        </w:rPr>
        <w:t xml:space="preserve">(43), 5873–5877. </w:t>
      </w:r>
      <w:hyperlink r:id="rId38" w:history="1">
        <w:r w:rsidRPr="006C124B">
          <w:rPr>
            <w:rFonts w:eastAsia="Times New Roman" w:cs="Times New Roman"/>
            <w:color w:val="0000FF"/>
            <w:sz w:val="24"/>
            <w:szCs w:val="24"/>
            <w:u w:val="single"/>
          </w:rPr>
          <w:t>https://doi.org/10.1016/j.vaccine.2015.06.071</w:t>
        </w:r>
      </w:hyperlink>
    </w:p>
    <w:p w14:paraId="29064129"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proofErr w:type="spellStart"/>
      <w:r w:rsidRPr="006C124B">
        <w:rPr>
          <w:rFonts w:eastAsia="Times New Roman" w:cs="Times New Roman"/>
          <w:color w:val="auto"/>
          <w:sz w:val="24"/>
          <w:szCs w:val="24"/>
        </w:rPr>
        <w:t>Rohilla</w:t>
      </w:r>
      <w:proofErr w:type="spellEnd"/>
      <w:r w:rsidRPr="006C124B">
        <w:rPr>
          <w:rFonts w:eastAsia="Times New Roman" w:cs="Times New Roman"/>
          <w:color w:val="auto"/>
          <w:sz w:val="24"/>
          <w:szCs w:val="24"/>
        </w:rPr>
        <w:t xml:space="preserve">, P., Lawal, I., Le Blanc, A., O’Brien, V., Weeks, C., Tran, W., Rane, Y., Khusnatdinov, E., &amp; Marston, J. (2020). Loading effects on the performance of needle-free jet injections in different skin models. </w:t>
      </w:r>
      <w:r w:rsidRPr="006C124B">
        <w:rPr>
          <w:rFonts w:eastAsia="Times New Roman" w:cs="Times New Roman"/>
          <w:i/>
          <w:iCs/>
          <w:color w:val="auto"/>
          <w:sz w:val="24"/>
          <w:szCs w:val="24"/>
        </w:rPr>
        <w:t>Journal of Drug Delivery Science and Technology, 60</w:t>
      </w:r>
      <w:r w:rsidRPr="006C124B">
        <w:rPr>
          <w:rFonts w:eastAsia="Times New Roman" w:cs="Times New Roman"/>
          <w:color w:val="auto"/>
          <w:sz w:val="24"/>
          <w:szCs w:val="24"/>
        </w:rPr>
        <w:t xml:space="preserve">, Article 102043. </w:t>
      </w:r>
      <w:hyperlink r:id="rId39" w:history="1">
        <w:r w:rsidRPr="006C124B">
          <w:rPr>
            <w:rFonts w:eastAsia="Times New Roman" w:cs="Times New Roman"/>
            <w:color w:val="0000FF"/>
            <w:sz w:val="24"/>
            <w:szCs w:val="24"/>
            <w:u w:val="single"/>
          </w:rPr>
          <w:t>https://doi.org/10.1016/j.jddst.2020.102043</w:t>
        </w:r>
      </w:hyperlink>
    </w:p>
    <w:p w14:paraId="6FFE9164"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proofErr w:type="spellStart"/>
      <w:r w:rsidRPr="006C124B">
        <w:rPr>
          <w:rFonts w:eastAsia="Times New Roman" w:cs="Times New Roman"/>
          <w:color w:val="auto"/>
          <w:sz w:val="24"/>
          <w:szCs w:val="24"/>
        </w:rPr>
        <w:t>Rohilla</w:t>
      </w:r>
      <w:proofErr w:type="spellEnd"/>
      <w:r w:rsidRPr="006C124B">
        <w:rPr>
          <w:rFonts w:eastAsia="Times New Roman" w:cs="Times New Roman"/>
          <w:color w:val="auto"/>
          <w:sz w:val="24"/>
          <w:szCs w:val="24"/>
        </w:rPr>
        <w:t xml:space="preserve">, P., &amp; Marston, J. (2020). Feasibility of laser induced jets in needle free jet injections. </w:t>
      </w:r>
      <w:r w:rsidRPr="006C124B">
        <w:rPr>
          <w:rFonts w:eastAsia="Times New Roman" w:cs="Times New Roman"/>
          <w:i/>
          <w:iCs/>
          <w:color w:val="auto"/>
          <w:sz w:val="24"/>
          <w:szCs w:val="24"/>
        </w:rPr>
        <w:t>International Journal of Pharmaceutics, 589</w:t>
      </w:r>
      <w:r w:rsidRPr="006C124B">
        <w:rPr>
          <w:rFonts w:eastAsia="Times New Roman" w:cs="Times New Roman"/>
          <w:color w:val="auto"/>
          <w:sz w:val="24"/>
          <w:szCs w:val="24"/>
        </w:rPr>
        <w:t xml:space="preserve">, Article 119714. </w:t>
      </w:r>
      <w:hyperlink r:id="rId40" w:history="1">
        <w:r w:rsidRPr="006C124B">
          <w:rPr>
            <w:rFonts w:eastAsia="Times New Roman" w:cs="Times New Roman"/>
            <w:color w:val="0000FF"/>
            <w:sz w:val="24"/>
            <w:szCs w:val="24"/>
            <w:u w:val="single"/>
          </w:rPr>
          <w:t>https://doi.org/10.1016/j.ijpharm.2020.119714</w:t>
        </w:r>
      </w:hyperlink>
    </w:p>
    <w:p w14:paraId="141C9ED2"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Saravanan, D. I., Kanagarajan, A., &amp; Chandrasekaran, S. (2026). Needle-free jet injector versus conventional needle infiltration for local anesthesia in minor dermatologic procedures: A prospective split-body comparative study. </w:t>
      </w:r>
      <w:r w:rsidRPr="006C124B">
        <w:rPr>
          <w:rFonts w:eastAsia="Times New Roman" w:cs="Times New Roman"/>
          <w:i/>
          <w:iCs/>
          <w:color w:val="auto"/>
          <w:sz w:val="24"/>
          <w:szCs w:val="24"/>
        </w:rPr>
        <w:t>Dermatologic Surgery</w:t>
      </w:r>
      <w:r w:rsidRPr="006C124B">
        <w:rPr>
          <w:rFonts w:eastAsia="Times New Roman" w:cs="Times New Roman"/>
          <w:color w:val="auto"/>
          <w:sz w:val="24"/>
          <w:szCs w:val="24"/>
        </w:rPr>
        <w:t xml:space="preserve">. Advance online publication. </w:t>
      </w:r>
      <w:hyperlink r:id="rId41" w:history="1">
        <w:r w:rsidRPr="006C124B">
          <w:rPr>
            <w:rFonts w:eastAsia="Times New Roman" w:cs="Times New Roman"/>
            <w:color w:val="0000FF"/>
            <w:sz w:val="24"/>
            <w:szCs w:val="24"/>
            <w:u w:val="single"/>
          </w:rPr>
          <w:t>https://doi.org/10.1097/DSS.0000000000005283</w:t>
        </w:r>
      </w:hyperlink>
    </w:p>
    <w:p w14:paraId="29058A93"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proofErr w:type="spellStart"/>
      <w:r w:rsidRPr="006C124B">
        <w:rPr>
          <w:rFonts w:eastAsia="Times New Roman" w:cs="Times New Roman"/>
          <w:color w:val="auto"/>
          <w:sz w:val="24"/>
          <w:szCs w:val="24"/>
        </w:rPr>
        <w:t>Schoppink</w:t>
      </w:r>
      <w:proofErr w:type="spellEnd"/>
      <w:r w:rsidRPr="006C124B">
        <w:rPr>
          <w:rFonts w:eastAsia="Times New Roman" w:cs="Times New Roman"/>
          <w:color w:val="auto"/>
          <w:sz w:val="24"/>
          <w:szCs w:val="24"/>
        </w:rPr>
        <w:t xml:space="preserve">, J. J., &amp; Fernandez Rivas, D. (2022). Jet injectors: Perspectives for small volume delivery with lasers. </w:t>
      </w:r>
      <w:r w:rsidRPr="006C124B">
        <w:rPr>
          <w:rFonts w:eastAsia="Times New Roman" w:cs="Times New Roman"/>
          <w:i/>
          <w:iCs/>
          <w:color w:val="auto"/>
          <w:sz w:val="24"/>
          <w:szCs w:val="24"/>
        </w:rPr>
        <w:t>Advanced Drug Delivery Reviews, 182</w:t>
      </w:r>
      <w:r w:rsidRPr="006C124B">
        <w:rPr>
          <w:rFonts w:eastAsia="Times New Roman" w:cs="Times New Roman"/>
          <w:color w:val="auto"/>
          <w:sz w:val="24"/>
          <w:szCs w:val="24"/>
        </w:rPr>
        <w:t xml:space="preserve">, Article 114109. </w:t>
      </w:r>
      <w:hyperlink r:id="rId42" w:history="1">
        <w:r w:rsidRPr="006C124B">
          <w:rPr>
            <w:rFonts w:eastAsia="Times New Roman" w:cs="Times New Roman"/>
            <w:color w:val="0000FF"/>
            <w:sz w:val="24"/>
            <w:szCs w:val="24"/>
            <w:u w:val="single"/>
          </w:rPr>
          <w:t>https://doi.org/10.1016/j.addr.2021.114109</w:t>
        </w:r>
      </w:hyperlink>
    </w:p>
    <w:p w14:paraId="54A1EA4A"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Schramm-Baxter, J., &amp; Mitragotri, S. (2004). Needle-free jet injections: Dependence of jet penetration and dispersion in the skin on jet power. </w:t>
      </w:r>
      <w:r w:rsidRPr="006C124B">
        <w:rPr>
          <w:rFonts w:eastAsia="Times New Roman" w:cs="Times New Roman"/>
          <w:i/>
          <w:iCs/>
          <w:color w:val="auto"/>
          <w:sz w:val="24"/>
          <w:szCs w:val="24"/>
        </w:rPr>
        <w:t>Journal of Controlled Release, 97</w:t>
      </w:r>
      <w:r w:rsidRPr="006C124B">
        <w:rPr>
          <w:rFonts w:eastAsia="Times New Roman" w:cs="Times New Roman"/>
          <w:color w:val="auto"/>
          <w:sz w:val="24"/>
          <w:szCs w:val="24"/>
        </w:rPr>
        <w:t xml:space="preserve">(3), 527–535. </w:t>
      </w:r>
      <w:hyperlink r:id="rId43" w:history="1">
        <w:r w:rsidRPr="006C124B">
          <w:rPr>
            <w:rFonts w:eastAsia="Times New Roman" w:cs="Times New Roman"/>
            <w:color w:val="0000FF"/>
            <w:sz w:val="24"/>
            <w:szCs w:val="24"/>
            <w:u w:val="single"/>
          </w:rPr>
          <w:t>https://doi.org/10.1016/j.jconrel.2004.04.006</w:t>
        </w:r>
      </w:hyperlink>
    </w:p>
    <w:p w14:paraId="62A5FE42"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proofErr w:type="spellStart"/>
      <w:r w:rsidRPr="006C124B">
        <w:rPr>
          <w:rFonts w:eastAsia="Times New Roman" w:cs="Times New Roman"/>
          <w:color w:val="auto"/>
          <w:sz w:val="24"/>
          <w:szCs w:val="24"/>
        </w:rPr>
        <w:t>Shergold</w:t>
      </w:r>
      <w:proofErr w:type="spellEnd"/>
      <w:r w:rsidRPr="006C124B">
        <w:rPr>
          <w:rFonts w:eastAsia="Times New Roman" w:cs="Times New Roman"/>
          <w:color w:val="auto"/>
          <w:sz w:val="24"/>
          <w:szCs w:val="24"/>
        </w:rPr>
        <w:t xml:space="preserve">, O. A., Fleck, N. A., &amp; King, T. S. (2006). The penetration of a soft solid by a liquid jet, with application to the administration of a needle-free injection. </w:t>
      </w:r>
      <w:r w:rsidRPr="006C124B">
        <w:rPr>
          <w:rFonts w:eastAsia="Times New Roman" w:cs="Times New Roman"/>
          <w:i/>
          <w:iCs/>
          <w:color w:val="auto"/>
          <w:sz w:val="24"/>
          <w:szCs w:val="24"/>
        </w:rPr>
        <w:t>Journal of Biomechanics, 39</w:t>
      </w:r>
      <w:r w:rsidRPr="006C124B">
        <w:rPr>
          <w:rFonts w:eastAsia="Times New Roman" w:cs="Times New Roman"/>
          <w:color w:val="auto"/>
          <w:sz w:val="24"/>
          <w:szCs w:val="24"/>
        </w:rPr>
        <w:t xml:space="preserve">(14), 2593–2602. </w:t>
      </w:r>
      <w:hyperlink r:id="rId44" w:history="1">
        <w:r w:rsidRPr="006C124B">
          <w:rPr>
            <w:rFonts w:eastAsia="Times New Roman" w:cs="Times New Roman"/>
            <w:color w:val="0000FF"/>
            <w:sz w:val="24"/>
            <w:szCs w:val="24"/>
            <w:u w:val="single"/>
          </w:rPr>
          <w:t>https://doi.org/10.1016/j.jbiomech.2005.08.028</w:t>
        </w:r>
      </w:hyperlink>
    </w:p>
    <w:p w14:paraId="151820F7"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proofErr w:type="spellStart"/>
      <w:r w:rsidRPr="006C124B">
        <w:rPr>
          <w:rFonts w:eastAsia="Times New Roman" w:cs="Times New Roman"/>
          <w:color w:val="auto"/>
          <w:sz w:val="24"/>
          <w:szCs w:val="24"/>
        </w:rPr>
        <w:lastRenderedPageBreak/>
        <w:t>Spoudeas</w:t>
      </w:r>
      <w:proofErr w:type="spellEnd"/>
      <w:r w:rsidRPr="006C124B">
        <w:rPr>
          <w:rFonts w:eastAsia="Times New Roman" w:cs="Times New Roman"/>
          <w:color w:val="auto"/>
          <w:sz w:val="24"/>
          <w:szCs w:val="24"/>
        </w:rPr>
        <w:t xml:space="preserve">, H. A., Bajaj, P., &amp; Sommerford, N. (2014). Maintaining persistence and adherence with subcutaneous growth-hormone therapy in children: Comparing jet-delivery and needle-based devices. </w:t>
      </w:r>
      <w:r w:rsidRPr="006C124B">
        <w:rPr>
          <w:rFonts w:eastAsia="Times New Roman" w:cs="Times New Roman"/>
          <w:i/>
          <w:iCs/>
          <w:color w:val="auto"/>
          <w:sz w:val="24"/>
          <w:szCs w:val="24"/>
        </w:rPr>
        <w:t>Patient Preference and Adherence, 8</w:t>
      </w:r>
      <w:r w:rsidRPr="006C124B">
        <w:rPr>
          <w:rFonts w:eastAsia="Times New Roman" w:cs="Times New Roman"/>
          <w:color w:val="auto"/>
          <w:sz w:val="24"/>
          <w:szCs w:val="24"/>
        </w:rPr>
        <w:t xml:space="preserve">, 1255–1263. </w:t>
      </w:r>
      <w:hyperlink r:id="rId45" w:history="1">
        <w:r w:rsidRPr="006C124B">
          <w:rPr>
            <w:rFonts w:eastAsia="Times New Roman" w:cs="Times New Roman"/>
            <w:color w:val="0000FF"/>
            <w:sz w:val="24"/>
            <w:szCs w:val="24"/>
            <w:u w:val="single"/>
          </w:rPr>
          <w:t>https://doi.org/10.2147/PPA.S70019</w:t>
        </w:r>
      </w:hyperlink>
    </w:p>
    <w:p w14:paraId="59B5684A"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Srivastava, A., Kundu, A., &amp; Paul, A. R. (2025). A detailed review of the recent development of needle-free drug delivery devices. </w:t>
      </w:r>
      <w:r w:rsidRPr="006C124B">
        <w:rPr>
          <w:rFonts w:eastAsia="Times New Roman" w:cs="Times New Roman"/>
          <w:i/>
          <w:iCs/>
          <w:color w:val="auto"/>
          <w:sz w:val="24"/>
          <w:szCs w:val="24"/>
        </w:rPr>
        <w:t>Journal of Medical Engineering &amp; Technology, 49</w:t>
      </w:r>
      <w:r w:rsidRPr="006C124B">
        <w:rPr>
          <w:rFonts w:eastAsia="Times New Roman" w:cs="Times New Roman"/>
          <w:color w:val="auto"/>
          <w:sz w:val="24"/>
          <w:szCs w:val="24"/>
        </w:rPr>
        <w:t xml:space="preserve">(6), 187–206. </w:t>
      </w:r>
      <w:hyperlink r:id="rId46" w:history="1">
        <w:r w:rsidRPr="006C124B">
          <w:rPr>
            <w:rFonts w:eastAsia="Times New Roman" w:cs="Times New Roman"/>
            <w:color w:val="0000FF"/>
            <w:sz w:val="24"/>
            <w:szCs w:val="24"/>
            <w:u w:val="single"/>
          </w:rPr>
          <w:t>https://doi.org/10.1080/03091902.2025.2508893</w:t>
        </w:r>
      </w:hyperlink>
    </w:p>
    <w:p w14:paraId="1F6EC071"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Stachowiak, J. C., Li, T. H., Arora, A., Mitragotri, S., &amp; Fletcher, D. A. (2009). Dynamic control of needle-free jet injection. </w:t>
      </w:r>
      <w:r w:rsidRPr="006C124B">
        <w:rPr>
          <w:rFonts w:eastAsia="Times New Roman" w:cs="Times New Roman"/>
          <w:i/>
          <w:iCs/>
          <w:color w:val="auto"/>
          <w:sz w:val="24"/>
          <w:szCs w:val="24"/>
        </w:rPr>
        <w:t>Journal of Controlled Release, 135</w:t>
      </w:r>
      <w:r w:rsidRPr="006C124B">
        <w:rPr>
          <w:rFonts w:eastAsia="Times New Roman" w:cs="Times New Roman"/>
          <w:color w:val="auto"/>
          <w:sz w:val="24"/>
          <w:szCs w:val="24"/>
        </w:rPr>
        <w:t xml:space="preserve">(2), 104–112. </w:t>
      </w:r>
      <w:hyperlink r:id="rId47" w:history="1">
        <w:r w:rsidRPr="006C124B">
          <w:rPr>
            <w:rFonts w:eastAsia="Times New Roman" w:cs="Times New Roman"/>
            <w:color w:val="0000FF"/>
            <w:sz w:val="24"/>
            <w:szCs w:val="24"/>
            <w:u w:val="single"/>
          </w:rPr>
          <w:t>https://doi.org/10.1016/j.jconrel.2009.01.003</w:t>
        </w:r>
      </w:hyperlink>
    </w:p>
    <w:p w14:paraId="76D9758E"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Taberner, A., Hogan, N. C., &amp; Hunter, I. W. (2012). Needle-free jet injection using real-time controlled linear Lorentz-force actuators. </w:t>
      </w:r>
      <w:r w:rsidRPr="006C124B">
        <w:rPr>
          <w:rFonts w:eastAsia="Times New Roman" w:cs="Times New Roman"/>
          <w:i/>
          <w:iCs/>
          <w:color w:val="auto"/>
          <w:sz w:val="24"/>
          <w:szCs w:val="24"/>
        </w:rPr>
        <w:t>Medical Engineering &amp; Physics, 34</w:t>
      </w:r>
      <w:r w:rsidRPr="006C124B">
        <w:rPr>
          <w:rFonts w:eastAsia="Times New Roman" w:cs="Times New Roman"/>
          <w:color w:val="auto"/>
          <w:sz w:val="24"/>
          <w:szCs w:val="24"/>
        </w:rPr>
        <w:t xml:space="preserve">(9), 1228–1235. </w:t>
      </w:r>
      <w:hyperlink r:id="rId48" w:history="1">
        <w:r w:rsidRPr="006C124B">
          <w:rPr>
            <w:rFonts w:eastAsia="Times New Roman" w:cs="Times New Roman"/>
            <w:color w:val="0000FF"/>
            <w:sz w:val="24"/>
            <w:szCs w:val="24"/>
            <w:u w:val="single"/>
          </w:rPr>
          <w:t>https://doi.org/10.1016/j.medengphy.2011.12.010</w:t>
        </w:r>
      </w:hyperlink>
    </w:p>
    <w:p w14:paraId="0F7FC5DF"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Tagawa, Y., </w:t>
      </w:r>
      <w:proofErr w:type="spellStart"/>
      <w:r w:rsidRPr="006C124B">
        <w:rPr>
          <w:rFonts w:eastAsia="Times New Roman" w:cs="Times New Roman"/>
          <w:color w:val="auto"/>
          <w:sz w:val="24"/>
          <w:szCs w:val="24"/>
        </w:rPr>
        <w:t>Oudalov</w:t>
      </w:r>
      <w:proofErr w:type="spellEnd"/>
      <w:r w:rsidRPr="006C124B">
        <w:rPr>
          <w:rFonts w:eastAsia="Times New Roman" w:cs="Times New Roman"/>
          <w:color w:val="auto"/>
          <w:sz w:val="24"/>
          <w:szCs w:val="24"/>
        </w:rPr>
        <w:t xml:space="preserve">, N., El </w:t>
      </w:r>
      <w:proofErr w:type="spellStart"/>
      <w:r w:rsidRPr="006C124B">
        <w:rPr>
          <w:rFonts w:eastAsia="Times New Roman" w:cs="Times New Roman"/>
          <w:color w:val="auto"/>
          <w:sz w:val="24"/>
          <w:szCs w:val="24"/>
        </w:rPr>
        <w:t>Ghalbzouri</w:t>
      </w:r>
      <w:proofErr w:type="spellEnd"/>
      <w:r w:rsidRPr="006C124B">
        <w:rPr>
          <w:rFonts w:eastAsia="Times New Roman" w:cs="Times New Roman"/>
          <w:color w:val="auto"/>
          <w:sz w:val="24"/>
          <w:szCs w:val="24"/>
        </w:rPr>
        <w:t xml:space="preserve">, A., Sun, C., &amp; Lohse, D. (2013). Needle-free injection into skin and soft matter with highly focused microjets. </w:t>
      </w:r>
      <w:r w:rsidRPr="006C124B">
        <w:rPr>
          <w:rFonts w:eastAsia="Times New Roman" w:cs="Times New Roman"/>
          <w:i/>
          <w:iCs/>
          <w:color w:val="auto"/>
          <w:sz w:val="24"/>
          <w:szCs w:val="24"/>
        </w:rPr>
        <w:t>Lab on a Chip, 13</w:t>
      </w:r>
      <w:r w:rsidRPr="006C124B">
        <w:rPr>
          <w:rFonts w:eastAsia="Times New Roman" w:cs="Times New Roman"/>
          <w:color w:val="auto"/>
          <w:sz w:val="24"/>
          <w:szCs w:val="24"/>
        </w:rPr>
        <w:t xml:space="preserve">(7), 1357–1363. </w:t>
      </w:r>
      <w:hyperlink r:id="rId49" w:history="1">
        <w:r w:rsidRPr="006C124B">
          <w:rPr>
            <w:rFonts w:eastAsia="Times New Roman" w:cs="Times New Roman"/>
            <w:color w:val="0000FF"/>
            <w:sz w:val="24"/>
            <w:szCs w:val="24"/>
            <w:u w:val="single"/>
          </w:rPr>
          <w:t>https://doi.org/10.1039/c2lc41204g</w:t>
        </w:r>
      </w:hyperlink>
    </w:p>
    <w:p w14:paraId="33D6A419"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r w:rsidRPr="006C124B">
        <w:rPr>
          <w:rFonts w:eastAsia="Times New Roman" w:cs="Times New Roman"/>
          <w:color w:val="auto"/>
          <w:sz w:val="24"/>
          <w:szCs w:val="24"/>
        </w:rPr>
        <w:t xml:space="preserve">van der Ven, D. L., Cuartas Velez, C. A., Lins, L., </w:t>
      </w:r>
      <w:proofErr w:type="spellStart"/>
      <w:r w:rsidRPr="006C124B">
        <w:rPr>
          <w:rFonts w:eastAsia="Times New Roman" w:cs="Times New Roman"/>
          <w:color w:val="auto"/>
          <w:sz w:val="24"/>
          <w:szCs w:val="24"/>
        </w:rPr>
        <w:t>Schoppink</w:t>
      </w:r>
      <w:proofErr w:type="spellEnd"/>
      <w:r w:rsidRPr="006C124B">
        <w:rPr>
          <w:rFonts w:eastAsia="Times New Roman" w:cs="Times New Roman"/>
          <w:color w:val="auto"/>
          <w:sz w:val="24"/>
          <w:szCs w:val="24"/>
        </w:rPr>
        <w:t xml:space="preserve">, J. J., </w:t>
      </w:r>
      <w:proofErr w:type="spellStart"/>
      <w:r w:rsidRPr="006C124B">
        <w:rPr>
          <w:rFonts w:eastAsia="Times New Roman" w:cs="Times New Roman"/>
          <w:color w:val="auto"/>
          <w:sz w:val="24"/>
          <w:szCs w:val="24"/>
        </w:rPr>
        <w:t>Bosschaart</w:t>
      </w:r>
      <w:proofErr w:type="spellEnd"/>
      <w:r w:rsidRPr="006C124B">
        <w:rPr>
          <w:rFonts w:eastAsia="Times New Roman" w:cs="Times New Roman"/>
          <w:color w:val="auto"/>
          <w:sz w:val="24"/>
          <w:szCs w:val="24"/>
        </w:rPr>
        <w:t xml:space="preserve">, N., Bansal, R., &amp; Fernandez Rivas, D. (2026). Microfluidic jet injections enable precise needle-free delivery of insulin and liposomes into human ex vivo skin. </w:t>
      </w:r>
      <w:r w:rsidRPr="006C124B">
        <w:rPr>
          <w:rFonts w:eastAsia="Times New Roman" w:cs="Times New Roman"/>
          <w:i/>
          <w:iCs/>
          <w:color w:val="auto"/>
          <w:sz w:val="24"/>
          <w:szCs w:val="24"/>
        </w:rPr>
        <w:t>International Journal of Pharmaceutics, 697</w:t>
      </w:r>
      <w:r w:rsidRPr="006C124B">
        <w:rPr>
          <w:rFonts w:eastAsia="Times New Roman" w:cs="Times New Roman"/>
          <w:color w:val="auto"/>
          <w:sz w:val="24"/>
          <w:szCs w:val="24"/>
        </w:rPr>
        <w:t xml:space="preserve">, Article 126899. </w:t>
      </w:r>
      <w:hyperlink r:id="rId50" w:history="1">
        <w:r w:rsidRPr="006C124B">
          <w:rPr>
            <w:rFonts w:eastAsia="Times New Roman" w:cs="Times New Roman"/>
            <w:color w:val="0000FF"/>
            <w:sz w:val="24"/>
            <w:szCs w:val="24"/>
            <w:u w:val="single"/>
          </w:rPr>
          <w:t>https://doi.org/10.1016/j.ijpharm.2026.126899</w:t>
        </w:r>
      </w:hyperlink>
    </w:p>
    <w:p w14:paraId="4C6233BD" w14:textId="77777777" w:rsidR="006C124B" w:rsidRPr="006C124B" w:rsidRDefault="006C124B" w:rsidP="006C124B">
      <w:pPr>
        <w:spacing w:before="100" w:beforeAutospacing="1" w:after="100" w:afterAutospacing="1" w:line="240" w:lineRule="auto"/>
        <w:jc w:val="left"/>
        <w:rPr>
          <w:rFonts w:eastAsia="Times New Roman" w:cs="Times New Roman"/>
          <w:color w:val="auto"/>
          <w:sz w:val="24"/>
          <w:szCs w:val="24"/>
        </w:rPr>
      </w:pPr>
      <w:proofErr w:type="spellStart"/>
      <w:r w:rsidRPr="006C124B">
        <w:rPr>
          <w:rFonts w:eastAsia="Times New Roman" w:cs="Times New Roman"/>
          <w:color w:val="auto"/>
          <w:sz w:val="24"/>
          <w:szCs w:val="24"/>
        </w:rPr>
        <w:t>Vranis</w:t>
      </w:r>
      <w:proofErr w:type="spellEnd"/>
      <w:r w:rsidRPr="006C124B">
        <w:rPr>
          <w:rFonts w:eastAsia="Times New Roman" w:cs="Times New Roman"/>
          <w:color w:val="auto"/>
          <w:sz w:val="24"/>
          <w:szCs w:val="24"/>
        </w:rPr>
        <w:t xml:space="preserve">, N. M., &amp; Theodorou, S. (2025). Needle-free jet injectors and their potential applications in plastic surgery: A review. </w:t>
      </w:r>
      <w:r w:rsidRPr="006C124B">
        <w:rPr>
          <w:rFonts w:eastAsia="Times New Roman" w:cs="Times New Roman"/>
          <w:i/>
          <w:iCs/>
          <w:color w:val="auto"/>
          <w:sz w:val="24"/>
          <w:szCs w:val="24"/>
        </w:rPr>
        <w:t>Aesthetic Surgery Journal Open Forum, 7</w:t>
      </w:r>
      <w:r w:rsidRPr="006C124B">
        <w:rPr>
          <w:rFonts w:eastAsia="Times New Roman" w:cs="Times New Roman"/>
          <w:color w:val="auto"/>
          <w:sz w:val="24"/>
          <w:szCs w:val="24"/>
        </w:rPr>
        <w:t xml:space="preserve">, Article ojaf019. </w:t>
      </w:r>
      <w:hyperlink r:id="rId51" w:history="1">
        <w:r w:rsidRPr="006C124B">
          <w:rPr>
            <w:rFonts w:eastAsia="Times New Roman" w:cs="Times New Roman"/>
            <w:color w:val="0000FF"/>
            <w:sz w:val="24"/>
            <w:szCs w:val="24"/>
            <w:u w:val="single"/>
          </w:rPr>
          <w:t>https://doi.org/10.1093/asjof/ojaf019</w:t>
        </w:r>
      </w:hyperlink>
    </w:p>
    <w:p w14:paraId="1CE1474E" w14:textId="77777777" w:rsidR="006C124B" w:rsidRPr="006C124B" w:rsidRDefault="006C124B" w:rsidP="006C124B"/>
    <w:sectPr w:rsidR="006C124B" w:rsidRPr="006C124B" w:rsidSect="00034616">
      <w:headerReference w:type="even" r:id="rId52"/>
      <w:headerReference w:type="default" r:id="rId53"/>
      <w:footerReference w:type="even" r:id="rId54"/>
      <w:footerReference w:type="default" r:id="rId55"/>
      <w:headerReference w:type="first" r:id="rId56"/>
      <w:footerReference w:type="first" r:id="rId57"/>
      <w:pgSz w:w="12240" w:h="15840"/>
      <w:pgMar w:top="1267" w:right="1310" w:bottom="1181" w:left="1310" w:header="576" w:footer="6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EC437" w14:textId="77777777" w:rsidR="00737D78" w:rsidRDefault="00737D78">
      <w:pPr>
        <w:spacing w:after="0" w:line="240" w:lineRule="auto"/>
      </w:pPr>
      <w:r>
        <w:separator/>
      </w:r>
    </w:p>
  </w:endnote>
  <w:endnote w:type="continuationSeparator" w:id="0">
    <w:p w14:paraId="2A143F48" w14:textId="77777777" w:rsidR="00737D78" w:rsidRDefault="00737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E2AE4" w14:textId="77777777" w:rsidR="00045C94" w:rsidRDefault="00045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BB79" w14:textId="77777777" w:rsidR="00271861" w:rsidRDefault="00000000">
    <w:pPr>
      <w:jc w:val="center"/>
    </w:pPr>
    <w:r>
      <w:rPr>
        <w:sz w:val="16"/>
      </w:rPr>
      <w:fldChar w:fldCharType="begin"/>
    </w:r>
    <w:r>
      <w:rPr>
        <w:sz w:val="16"/>
      </w:rPr>
      <w:instrText>PAGE</w:instrText>
    </w:r>
    <w:r>
      <w:rPr>
        <w:sz w:val="16"/>
      </w:rPr>
      <w:fldChar w:fldCharType="separate"/>
    </w:r>
    <w:r w:rsidR="003248D2">
      <w:rPr>
        <w:noProof/>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1076A" w14:textId="77777777" w:rsidR="00045C94" w:rsidRDefault="00045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3392F" w14:textId="77777777" w:rsidR="00737D78" w:rsidRDefault="00737D78">
      <w:pPr>
        <w:spacing w:after="0" w:line="240" w:lineRule="auto"/>
      </w:pPr>
      <w:r>
        <w:separator/>
      </w:r>
    </w:p>
  </w:footnote>
  <w:footnote w:type="continuationSeparator" w:id="0">
    <w:p w14:paraId="19C9D1CE" w14:textId="77777777" w:rsidR="00737D78" w:rsidRDefault="00737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2F648" w14:textId="77777777" w:rsidR="00045C94" w:rsidRDefault="00000000">
    <w:pPr>
      <w:pStyle w:val="Header"/>
    </w:pPr>
    <w:r>
      <w:rPr>
        <w:noProof/>
      </w:rPr>
      <w:pict w14:anchorId="4C7A2C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3856235" o:spid="_x0000_s1026" type="#_x0000_t136" style="position:absolute;left:0;text-align:left;margin-left:0;margin-top:0;width:610.3pt;height:67.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DC5A4" w14:textId="77777777" w:rsidR="00045C94" w:rsidRDefault="00000000">
    <w:pPr>
      <w:pStyle w:val="Header"/>
    </w:pPr>
    <w:r>
      <w:rPr>
        <w:noProof/>
      </w:rPr>
      <w:pict w14:anchorId="315993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3856236" o:spid="_x0000_s1027" type="#_x0000_t136" style="position:absolute;left:0;text-align:left;margin-left:0;margin-top:0;width:610.3pt;height:67.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A298B" w14:textId="77777777" w:rsidR="00045C94" w:rsidRDefault="00000000">
    <w:pPr>
      <w:pStyle w:val="Header"/>
    </w:pPr>
    <w:r>
      <w:rPr>
        <w:noProof/>
      </w:rPr>
      <w:pict w14:anchorId="400D02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3856234" o:spid="_x0000_s1025" type="#_x0000_t136" style="position:absolute;left:0;text-align:left;margin-left:0;margin-top:0;width:610.3pt;height:67.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8285945">
    <w:abstractNumId w:val="8"/>
  </w:num>
  <w:num w:numId="2" w16cid:durableId="277177602">
    <w:abstractNumId w:val="6"/>
  </w:num>
  <w:num w:numId="3" w16cid:durableId="40986137">
    <w:abstractNumId w:val="5"/>
  </w:num>
  <w:num w:numId="4" w16cid:durableId="2129354671">
    <w:abstractNumId w:val="4"/>
  </w:num>
  <w:num w:numId="5" w16cid:durableId="1520972251">
    <w:abstractNumId w:val="7"/>
  </w:num>
  <w:num w:numId="6" w16cid:durableId="53621063">
    <w:abstractNumId w:val="3"/>
  </w:num>
  <w:num w:numId="7" w16cid:durableId="901283723">
    <w:abstractNumId w:val="2"/>
  </w:num>
  <w:num w:numId="8" w16cid:durableId="1863516759">
    <w:abstractNumId w:val="1"/>
  </w:num>
  <w:num w:numId="9" w16cid:durableId="1374690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C94"/>
    <w:rsid w:val="0006063C"/>
    <w:rsid w:val="0015074B"/>
    <w:rsid w:val="001D0D1E"/>
    <w:rsid w:val="00271861"/>
    <w:rsid w:val="0029639D"/>
    <w:rsid w:val="00313F48"/>
    <w:rsid w:val="00320545"/>
    <w:rsid w:val="003248D2"/>
    <w:rsid w:val="00326F90"/>
    <w:rsid w:val="004366E7"/>
    <w:rsid w:val="006C124B"/>
    <w:rsid w:val="00737D78"/>
    <w:rsid w:val="007A5A64"/>
    <w:rsid w:val="00AA1D8D"/>
    <w:rsid w:val="00AC79DB"/>
    <w:rsid w:val="00B47730"/>
    <w:rsid w:val="00B80905"/>
    <w:rsid w:val="00CB0664"/>
    <w:rsid w:val="00D67586"/>
    <w:rsid w:val="00F314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FF3131"/>
  <w14:defaultImageDpi w14:val="300"/>
  <w15:docId w15:val="{A13DB856-ED94-473E-907B-0A724B9BA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95" w:lineRule="auto"/>
      <w:jc w:val="both"/>
    </w:pPr>
    <w:rPr>
      <w:rFonts w:ascii="Times New Roman" w:hAnsi="Times New Roman"/>
      <w:color w:val="1D2025"/>
    </w:rPr>
  </w:style>
  <w:style w:type="paragraph" w:styleId="Heading1">
    <w:name w:val="heading 1"/>
    <w:basedOn w:val="Normal"/>
    <w:next w:val="Normal"/>
    <w:link w:val="Heading1Char"/>
    <w:uiPriority w:val="9"/>
    <w:qFormat/>
    <w:rsid w:val="00FC693F"/>
    <w:pPr>
      <w:keepNext/>
      <w:keepLines/>
      <w:spacing w:before="260"/>
      <w:jc w:val="left"/>
      <w:outlineLvl w:val="0"/>
    </w:pPr>
    <w:rPr>
      <w:rFonts w:asciiTheme="majorHAnsi" w:eastAsiaTheme="majorEastAsia" w:hAnsiTheme="majorHAnsi" w:cstheme="majorBidi"/>
      <w:b/>
      <w:bCs/>
      <w:color w:val="1B2A3C"/>
      <w:sz w:val="26"/>
      <w:szCs w:val="28"/>
    </w:rPr>
  </w:style>
  <w:style w:type="paragraph" w:styleId="Heading2">
    <w:name w:val="heading 2"/>
    <w:basedOn w:val="Normal"/>
    <w:next w:val="Normal"/>
    <w:link w:val="Heading2Char"/>
    <w:uiPriority w:val="9"/>
    <w:unhideWhenUsed/>
    <w:qFormat/>
    <w:rsid w:val="00FC693F"/>
    <w:pPr>
      <w:keepNext/>
      <w:keepLines/>
      <w:spacing w:before="200" w:after="80"/>
      <w:jc w:val="left"/>
      <w:outlineLvl w:val="1"/>
    </w:pPr>
    <w:rPr>
      <w:rFonts w:asciiTheme="majorHAnsi" w:eastAsiaTheme="majorEastAsia" w:hAnsiTheme="majorHAnsi" w:cstheme="majorBidi"/>
      <w:b/>
      <w:bCs/>
      <w:color w:val="1B2A3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viewTitle">
    <w:name w:val="Review Title"/>
    <w:pPr>
      <w:keepNext/>
      <w:spacing w:after="280"/>
    </w:pPr>
    <w:rPr>
      <w:rFonts w:ascii="Times New Roman" w:hAnsi="Times New Roman"/>
      <w:b/>
      <w:color w:val="142131"/>
      <w:sz w:val="34"/>
    </w:rPr>
  </w:style>
  <w:style w:type="paragraph" w:customStyle="1" w:styleId="ReviewTableTitle">
    <w:name w:val="Review Table Title"/>
    <w:pPr>
      <w:keepNext/>
      <w:spacing w:before="140" w:after="120"/>
    </w:pPr>
    <w:rPr>
      <w:rFonts w:ascii="Times New Roman" w:hAnsi="Times New Roman"/>
      <w:color w:val="282D37"/>
      <w:sz w:val="19"/>
    </w:rPr>
  </w:style>
  <w:style w:type="paragraph" w:customStyle="1" w:styleId="ReviewTableNote">
    <w:name w:val="Review Table Note"/>
    <w:pPr>
      <w:spacing w:before="140" w:after="120"/>
    </w:pPr>
    <w:rPr>
      <w:rFonts w:ascii="Times New Roman" w:hAnsi="Times New Roman"/>
      <w:color w:val="282D37"/>
      <w:sz w:val="17"/>
    </w:rPr>
  </w:style>
  <w:style w:type="paragraph" w:customStyle="1" w:styleId="APAReference">
    <w:name w:val="APA Reference"/>
    <w:pPr>
      <w:spacing w:after="80" w:line="274" w:lineRule="auto"/>
      <w:ind w:left="360" w:hanging="360"/>
    </w:pPr>
    <w:rPr>
      <w:rFonts w:ascii="Times New Roman" w:hAnsi="Times New Roman"/>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3/ced/llae254" TargetMode="External"/><Relationship Id="rId18" Type="http://schemas.openxmlformats.org/officeDocument/2006/relationships/hyperlink" Target="https://doi.org/10.2337/dc11-0182" TargetMode="External"/><Relationship Id="rId26" Type="http://schemas.openxmlformats.org/officeDocument/2006/relationships/hyperlink" Target="https://doi.org/10.1016/j.vaccine.2007.12.041" TargetMode="External"/><Relationship Id="rId39" Type="http://schemas.openxmlformats.org/officeDocument/2006/relationships/hyperlink" Target="https://doi.org/10.1016/j.jddst.2020.102043" TargetMode="External"/><Relationship Id="rId21" Type="http://schemas.openxmlformats.org/officeDocument/2006/relationships/hyperlink" Target="https://doi.org/10.1111/jocd.14047" TargetMode="External"/><Relationship Id="rId34" Type="http://schemas.openxmlformats.org/officeDocument/2006/relationships/hyperlink" Target="https://doi.org/10.1056/NEJMoa0909383" TargetMode="External"/><Relationship Id="rId42" Type="http://schemas.openxmlformats.org/officeDocument/2006/relationships/hyperlink" Target="https://doi.org/10.1016/j.addr.2021.114109" TargetMode="External"/><Relationship Id="rId47" Type="http://schemas.openxmlformats.org/officeDocument/2006/relationships/hyperlink" Target="https://doi.org/10.1016/j.jconrel.2009.01.003" TargetMode="External"/><Relationship Id="rId50" Type="http://schemas.openxmlformats.org/officeDocument/2006/relationships/hyperlink" Target="https://doi.org/10.1016/j.ijpharm.2026.126899"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S0147-9571(03)00021-3" TargetMode="External"/><Relationship Id="rId29" Type="http://schemas.openxmlformats.org/officeDocument/2006/relationships/hyperlink" Target="https://doi.org/10.1016/S0140-6736(14)60524-9" TargetMode="External"/><Relationship Id="rId11" Type="http://schemas.openxmlformats.org/officeDocument/2006/relationships/hyperlink" Target="https://doi.org/10.1586/17434440.3.5.565" TargetMode="External"/><Relationship Id="rId24" Type="http://schemas.openxmlformats.org/officeDocument/2006/relationships/hyperlink" Target="https://doi.org/10.1038/s41541-024-00998-7" TargetMode="External"/><Relationship Id="rId32" Type="http://schemas.openxmlformats.org/officeDocument/2006/relationships/hyperlink" Target="https://doi.org/10.1038/nrd2076" TargetMode="External"/><Relationship Id="rId37" Type="http://schemas.openxmlformats.org/officeDocument/2006/relationships/hyperlink" Target="https://doi.org/10.2147/MDER.S549379" TargetMode="External"/><Relationship Id="rId40" Type="http://schemas.openxmlformats.org/officeDocument/2006/relationships/hyperlink" Target="https://doi.org/10.1016/j.ijpharm.2020.119714" TargetMode="External"/><Relationship Id="rId45" Type="http://schemas.openxmlformats.org/officeDocument/2006/relationships/hyperlink" Target="https://doi.org/10.2147/PPA.S70019"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doi.org/10.2337/dc13-0492" TargetMode="External"/><Relationship Id="rId4" Type="http://schemas.openxmlformats.org/officeDocument/2006/relationships/settings" Target="settings.xml"/><Relationship Id="rId9" Type="http://schemas.openxmlformats.org/officeDocument/2006/relationships/hyperlink" Target="https://doi.org/10.2147/CCID.S162724" TargetMode="External"/><Relationship Id="rId14" Type="http://schemas.openxmlformats.org/officeDocument/2006/relationships/hyperlink" Target="https://doi.org/10.1586/14760584.1.3.265" TargetMode="External"/><Relationship Id="rId22" Type="http://schemas.openxmlformats.org/officeDocument/2006/relationships/hyperlink" Target="https://doi.org/10.1002/lsm.23719" TargetMode="External"/><Relationship Id="rId27" Type="http://schemas.openxmlformats.org/officeDocument/2006/relationships/hyperlink" Target="https://doi.org/10.3390/vaccines13010065" TargetMode="External"/><Relationship Id="rId30" Type="http://schemas.openxmlformats.org/officeDocument/2006/relationships/hyperlink" Target="https://doi.org/10.1016/j.ijpharm.2024.124777" TargetMode="External"/><Relationship Id="rId35" Type="http://schemas.openxmlformats.org/officeDocument/2006/relationships/hyperlink" Target="https://doi.org/10.1016/j.vaccine.2013.06.034" TargetMode="External"/><Relationship Id="rId43" Type="http://schemas.openxmlformats.org/officeDocument/2006/relationships/hyperlink" Target="https://doi.org/10.1016/j.jconrel.2004.04.006" TargetMode="External"/><Relationship Id="rId48" Type="http://schemas.openxmlformats.org/officeDocument/2006/relationships/hyperlink" Target="https://doi.org/10.1016/j.medengphy.2011.12.010" TargetMode="External"/><Relationship Id="rId56" Type="http://schemas.openxmlformats.org/officeDocument/2006/relationships/header" Target="header3.xml"/><Relationship Id="rId8" Type="http://schemas.openxmlformats.org/officeDocument/2006/relationships/hyperlink" Target="https://doi.org/10.1186/s41073-019-0064-8" TargetMode="External"/><Relationship Id="rId51" Type="http://schemas.openxmlformats.org/officeDocument/2006/relationships/hyperlink" Target="https://doi.org/10.1093/asjof/ojaf019" TargetMode="External"/><Relationship Id="rId3" Type="http://schemas.openxmlformats.org/officeDocument/2006/relationships/styles" Target="styles.xml"/><Relationship Id="rId12" Type="http://schemas.openxmlformats.org/officeDocument/2006/relationships/hyperlink" Target="https://doi.org/10.1007/s13346-023-01295-x" TargetMode="External"/><Relationship Id="rId17" Type="http://schemas.openxmlformats.org/officeDocument/2006/relationships/hyperlink" Target="https://doi.org/10.1111/dom.12550" TargetMode="External"/><Relationship Id="rId25" Type="http://schemas.openxmlformats.org/officeDocument/2006/relationships/hyperlink" Target="https://doi.org/10.3390/pharmaceutics18040417" TargetMode="External"/><Relationship Id="rId33" Type="http://schemas.openxmlformats.org/officeDocument/2006/relationships/hyperlink" Target="https://doi.org/10.1038/s41598-021-94018-6" TargetMode="External"/><Relationship Id="rId38" Type="http://schemas.openxmlformats.org/officeDocument/2006/relationships/hyperlink" Target="https://doi.org/10.1016/j.vaccine.2015.06.071" TargetMode="External"/><Relationship Id="rId46" Type="http://schemas.openxmlformats.org/officeDocument/2006/relationships/hyperlink" Target="https://doi.org/10.1080/03091902.2025.2508893" TargetMode="External"/><Relationship Id="rId59" Type="http://schemas.openxmlformats.org/officeDocument/2006/relationships/theme" Target="theme/theme1.xml"/><Relationship Id="rId20" Type="http://schemas.openxmlformats.org/officeDocument/2006/relationships/hyperlink" Target="https://doi.org/10.1002/lsm.23529" TargetMode="External"/><Relationship Id="rId41" Type="http://schemas.openxmlformats.org/officeDocument/2006/relationships/hyperlink" Target="https://doi.org/10.1097/DSS.0000000000005283"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10439-019-02383-1" TargetMode="External"/><Relationship Id="rId23" Type="http://schemas.openxmlformats.org/officeDocument/2006/relationships/hyperlink" Target="https://doi.org/10.1111/jocd.16595" TargetMode="External"/><Relationship Id="rId28" Type="http://schemas.openxmlformats.org/officeDocument/2006/relationships/hyperlink" Target="https://doi.org/10.1097/00000539-200301000-00044" TargetMode="External"/><Relationship Id="rId36" Type="http://schemas.openxmlformats.org/officeDocument/2006/relationships/hyperlink" Target="https://doi.org/10.1093/infdis/jiad235" TargetMode="External"/><Relationship Id="rId49" Type="http://schemas.openxmlformats.org/officeDocument/2006/relationships/hyperlink" Target="https://doi.org/10.1039/c2lc41204g" TargetMode="External"/><Relationship Id="rId57" Type="http://schemas.openxmlformats.org/officeDocument/2006/relationships/footer" Target="footer3.xml"/><Relationship Id="rId10" Type="http://schemas.openxmlformats.org/officeDocument/2006/relationships/hyperlink" Target="https://doi.org/10.1016/S2214-109X(21)00497-6" TargetMode="External"/><Relationship Id="rId31" Type="http://schemas.openxmlformats.org/officeDocument/2006/relationships/hyperlink" Target="https://doi.org/10.1016/j.ijpharm.2023.123605" TargetMode="External"/><Relationship Id="rId44" Type="http://schemas.openxmlformats.org/officeDocument/2006/relationships/hyperlink" Target="https://doi.org/10.1016/j.jbiomech.2005.08.028" TargetMode="External"/><Relationship Id="rId5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16799</Words>
  <Characters>95755</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Needle-Free Injection Technology: A Critical Narrative Review of Physical Mechanisms, Clinical Evidence, Safety and Translational Prospects</dc:title>
  <dc:subject>Critical narrative review of needle-free jet injection mechanisms, clinical applications and implementation</dc:subject>
  <dc:creator/>
  <cp:keywords>needle-free injection; jet injector; vaccine; insulin; dermatology</cp:keywords>
  <dc:description/>
  <cp:lastModifiedBy>SDI 1087</cp:lastModifiedBy>
  <cp:revision>5</cp:revision>
  <dcterms:created xsi:type="dcterms:W3CDTF">2013-12-23T23:15:00Z</dcterms:created>
  <dcterms:modified xsi:type="dcterms:W3CDTF">2026-10-14T09:00:00Z</dcterms:modified>
  <cp:category/>
</cp:coreProperties>
</file>