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B915B" w14:textId="77777777" w:rsidR="00975452" w:rsidRDefault="00000000" w:rsidP="00BD7066">
      <w:pPr>
        <w:pStyle w:val="Title"/>
        <w:jc w:val="both"/>
      </w:pPr>
      <w:r>
        <w:t>The Role of Economic Evidence in Shaping Medicaid-Supported Health and Social Care Integration Policies in the United States: A Review of Policy Evaluation Frameworks</w:t>
      </w:r>
    </w:p>
    <w:p w14:paraId="4BA9B6BD" w14:textId="77777777" w:rsidR="00975452" w:rsidRDefault="00000000" w:rsidP="00BD7066">
      <w:pPr>
        <w:pStyle w:val="Heading1"/>
        <w:jc w:val="both"/>
      </w:pPr>
      <w:r>
        <w:t>Abstract</w:t>
      </w:r>
    </w:p>
    <w:p w14:paraId="48D45956" w14:textId="77777777" w:rsidR="00975452" w:rsidRDefault="00000000" w:rsidP="00BD7066">
      <w:pPr>
        <w:jc w:val="both"/>
      </w:pPr>
      <w:r>
        <w:t xml:space="preserve">Health and social care integration has become an important policy strategy within U.S. Medicaid as states and health systems respond to fragmented care, persistent health-related social needs, and pressure to demonstrate value from public spending. This narrative review examines how economic evidence has informed Medicaid-supported health and social care integration in the United States from January 2020 through May 2026. A structured search of PubMed, Scopus, Web of Science, Google Scholar, and JSTOR was used to identify peer-reviewed literature on Medicaid, integrated care, health-related social needs, economic evaluation, implementation, value-based financing, and health equity; authoritative policy documents and selected foundational studies were used only for context. The evidence indicates that Medicaid-supported integration can improve social-needs identification, referral processes, care coordination, and access to community resources, but effects on health care </w:t>
      </w:r>
      <w:r>
        <w:rPr>
          <w:highlight w:val="yellow"/>
        </w:rPr>
        <w:t>utilisation</w:t>
      </w:r>
      <w:r>
        <w:t xml:space="preserve"> and costs are heterogeneous. Empirical Medicaid studies show both </w:t>
      </w:r>
      <w:r>
        <w:rPr>
          <w:highlight w:val="yellow"/>
        </w:rPr>
        <w:t>favourable</w:t>
      </w:r>
      <w:r>
        <w:t xml:space="preserve"> </w:t>
      </w:r>
      <w:r>
        <w:rPr>
          <w:highlight w:val="yellow"/>
        </w:rPr>
        <w:t>utilisation</w:t>
      </w:r>
      <w:r>
        <w:t xml:space="preserve"> shifts and null short-term effects, while implementation studies consistently identify administrative burden, workforce capacity, data interoperability, referral completion, and the stability of community partnerships as major determinants of program performance. Economic evaluation remains limited by short time horizons, inconsistent costing methods, narrow health-system perspectives, and incomplete treatment of equity and implementation costs. The March 2025 rescission of prior federal guidance on health-related social needs also illustrates that policy pathways can change while the underlying evidence base continues to evolve. Future evaluations should combine conventional cost and </w:t>
      </w:r>
      <w:r>
        <w:rPr>
          <w:highlight w:val="yellow"/>
        </w:rPr>
        <w:t>utilisation</w:t>
      </w:r>
      <w:r>
        <w:t xml:space="preserve"> measures with implementation costs, longer-term outcomes, explicit uncertainty analysis, and equity-sensitive measures. Economic evidence is therefore most useful when interpreted as one component of a broader policy decision framework rather than as a simple test of short-term cost savings.</w:t>
      </w:r>
    </w:p>
    <w:p w14:paraId="15740891" w14:textId="77777777" w:rsidR="00975452" w:rsidRDefault="00000000" w:rsidP="00BD7066">
      <w:pPr>
        <w:spacing w:after="160"/>
        <w:jc w:val="both"/>
      </w:pPr>
      <w:r>
        <w:rPr>
          <w:b/>
        </w:rPr>
        <w:t xml:space="preserve">Keywords: </w:t>
      </w:r>
      <w:r>
        <w:t>Medicaid; integrated care; economic evaluation; health-related social needs; social determinants of health; health equity; value-based care</w:t>
      </w:r>
    </w:p>
    <w:p w14:paraId="1F7971BA" w14:textId="77777777" w:rsidR="00975452" w:rsidRDefault="00000000" w:rsidP="00BD7066">
      <w:pPr>
        <w:pStyle w:val="Heading1"/>
        <w:jc w:val="both"/>
      </w:pPr>
      <w:r>
        <w:t>1. Introduction</w:t>
      </w:r>
    </w:p>
    <w:p w14:paraId="110CB840" w14:textId="77777777" w:rsidR="00975452" w:rsidRDefault="00000000" w:rsidP="00BD7066">
      <w:pPr>
        <w:ind w:firstLine="360"/>
        <w:jc w:val="both"/>
      </w:pPr>
      <w:r>
        <w:t xml:space="preserve">Health outcomes are shaped by clinical care and by the social and economic conditions in which people live. Housing stability, food security, transportation, employment, education, and social support can influence access to care, treatment adherence, health care </w:t>
      </w:r>
      <w:r>
        <w:rPr>
          <w:highlight w:val="yellow"/>
        </w:rPr>
        <w:t>utilisation</w:t>
      </w:r>
      <w:r>
        <w:t xml:space="preserve">, and population health inequities (World Health </w:t>
      </w:r>
      <w:r>
        <w:rPr>
          <w:highlight w:val="yellow"/>
        </w:rPr>
        <w:t>Organisation</w:t>
      </w:r>
      <w:r>
        <w:t xml:space="preserve"> [WHO], 2024). Health systems have therefore increasingly considered interventions that identify and respond to health-related social needs alongside conventional medical services (Gottlieb et al., 2017; Chuang &amp; Safaeinili, 2024).</w:t>
      </w:r>
    </w:p>
    <w:p w14:paraId="30053443" w14:textId="77777777" w:rsidR="00975452" w:rsidRDefault="00000000" w:rsidP="00BD7066">
      <w:pPr>
        <w:ind w:firstLine="360"/>
        <w:jc w:val="both"/>
      </w:pPr>
      <w:r>
        <w:t xml:space="preserve">Medicaid is a particularly important setting for this integration because it serves populations with substantial medical and social vulnerability and because state Medicaid programs can combine payment reform, managed care, accountable care arrangements, and waiver-based delivery reforms. During the past decade, U.S. policy initiatives have expanded the use of social-needs screening, care navigation, community partnerships, and value-based delivery models within Medicaid and related public programs (Sandhu et al., 2021). These approaches are intended to improve coordination and access while reducing avoidable </w:t>
      </w:r>
      <w:r>
        <w:rPr>
          <w:highlight w:val="yellow"/>
        </w:rPr>
        <w:lastRenderedPageBreak/>
        <w:t>utilisation</w:t>
      </w:r>
      <w:r>
        <w:t>, but their effects depend on implementation quality, local service capacity, and the design of financing arrangements (Chuang &amp; Safaeinili, 2024; McCurley et al., 2023).</w:t>
      </w:r>
    </w:p>
    <w:p w14:paraId="52B2ACFB" w14:textId="77777777" w:rsidR="00975452" w:rsidRDefault="00000000" w:rsidP="00BD7066">
      <w:pPr>
        <w:ind w:firstLine="360"/>
        <w:jc w:val="both"/>
      </w:pPr>
      <w:r>
        <w:t xml:space="preserve">Economic evidence is central to decisions about whether integrated-care programs should be adopted, financed, scaled, modified, or sustained. Traditional economic evaluation methods include cost-effectiveness analysis, cost-benefit analysis, cost-utility analysis, budget-impact analysis, and return-on-investment assessment. Integrated care, however, creates methodological challenges because intervention costs and benefits may occur in different sectors, implementation requires </w:t>
      </w:r>
      <w:r>
        <w:rPr>
          <w:highlight w:val="yellow"/>
        </w:rPr>
        <w:t>organisational</w:t>
      </w:r>
      <w:r>
        <w:t xml:space="preserve"> change, and important outcomes may emerge beyond short-term health care spending (Vondeling, 2004; Dopp et al., 2021; O'Leary et al., 2022).</w:t>
      </w:r>
    </w:p>
    <w:p w14:paraId="2BA2ED54" w14:textId="77777777" w:rsidR="00975452" w:rsidRDefault="00000000" w:rsidP="00BD7066">
      <w:pPr>
        <w:ind w:firstLine="360"/>
        <w:jc w:val="both"/>
      </w:pPr>
      <w:r>
        <w:t xml:space="preserve">The policy question is therefore broader than whether a program immediately lowers medical expenditures. </w:t>
      </w:r>
      <w:r>
        <w:rPr>
          <w:highlight w:val="yellow"/>
        </w:rPr>
        <w:t>Decision-makers</w:t>
      </w:r>
      <w:r>
        <w:t xml:space="preserve"> also need evidence about implementation cost, affordability, service access, referral completion, </w:t>
      </w:r>
      <w:r>
        <w:rPr>
          <w:highlight w:val="yellow"/>
        </w:rPr>
        <w:t>organisational</w:t>
      </w:r>
      <w:r>
        <w:t xml:space="preserve"> capacity, equity, and the time required for benefits to emerge. This broader perspective is especially important for Medicaid, where social-needs interventions often depend on partnerships with community-based </w:t>
      </w:r>
      <w:r>
        <w:rPr>
          <w:highlight w:val="yellow"/>
        </w:rPr>
        <w:t>organisations</w:t>
      </w:r>
      <w:r>
        <w:t xml:space="preserve"> and where program design varies across states and delivery systems (Sandhu et al., 2021; Rangachari et al., 2024).</w:t>
      </w:r>
    </w:p>
    <w:p w14:paraId="247788AF" w14:textId="77777777" w:rsidR="00975452" w:rsidRDefault="00000000" w:rsidP="00BD7066">
      <w:pPr>
        <w:ind w:firstLine="360"/>
        <w:jc w:val="both"/>
      </w:pPr>
      <w:r>
        <w:rPr>
          <w:highlight w:val="yellow"/>
        </w:rPr>
        <w:t>Despite growing policy activity, the literature remains fragmented across economic evaluation, implementation science, utilisation studies, financing, and equity, making it difficult to determine how these evidence streams collectively inform Medicaid-supported integration. In particular, limited synthesis has examined how methodological choices, such as analytic perspective, time horizon, implementation-cost measurement, and equity treatment, shape the policy interpretation of economic evidence. Addressing this gap is necessary to clarify what existing evaluations can and cannot support for Medicaid policy decisions.</w:t>
      </w:r>
    </w:p>
    <w:p w14:paraId="18C35AE6" w14:textId="77777777" w:rsidR="00975452" w:rsidRDefault="00000000" w:rsidP="00BD7066">
      <w:pPr>
        <w:ind w:firstLine="360"/>
        <w:jc w:val="both"/>
      </w:pPr>
      <w:r>
        <w:t xml:space="preserve">This review examines the role of economic evidence in shaping Medicaid-supported health and social care integration policies in the United States </w:t>
      </w:r>
      <w:r>
        <w:rPr>
          <w:highlight w:val="yellow"/>
        </w:rPr>
        <w:t>between January 2020 and May 2026</w:t>
      </w:r>
      <w:r>
        <w:t xml:space="preserve">. It </w:t>
      </w:r>
      <w:r>
        <w:rPr>
          <w:highlight w:val="yellow"/>
        </w:rPr>
        <w:t>synthesises</w:t>
      </w:r>
      <w:r>
        <w:t xml:space="preserve"> evidence on integrated-care implementation, economic evaluation frameworks, </w:t>
      </w:r>
      <w:r>
        <w:rPr>
          <w:highlight w:val="yellow"/>
        </w:rPr>
        <w:t>utilisation</w:t>
      </w:r>
      <w:r>
        <w:t xml:space="preserve"> and cost outcomes, financing considerations, and health equity, with particular attention to the methodological limitations that affect policy interpretation.</w:t>
      </w:r>
    </w:p>
    <w:p w14:paraId="1982DB4F" w14:textId="77777777" w:rsidR="00975452" w:rsidRDefault="00000000" w:rsidP="00BD7066">
      <w:pPr>
        <w:pStyle w:val="Heading1"/>
        <w:jc w:val="both"/>
      </w:pPr>
      <w:r>
        <w:t>2. Conceptual Framework</w:t>
      </w:r>
    </w:p>
    <w:p w14:paraId="4C24308D" w14:textId="77777777" w:rsidR="00975452" w:rsidRDefault="00000000" w:rsidP="00BD7066">
      <w:pPr>
        <w:ind w:firstLine="360"/>
        <w:jc w:val="both"/>
      </w:pPr>
      <w:r>
        <w:t xml:space="preserve">The review uses an integrated conceptual framework that links social determinants of health, Medicaid-supported integrated care, economic evidence, implementation conditions, policy decisions, and population outcomes. The framework treats social-needs screening, community health worker programs, care navigation, </w:t>
      </w:r>
      <w:r>
        <w:rPr>
          <w:highlight w:val="yellow"/>
        </w:rPr>
        <w:t>behavioural</w:t>
      </w:r>
      <w:r>
        <w:t xml:space="preserve"> health integration, food-based interventions, and cross-sector referral systems as delivery strategies whose value cannot be separated from the context in which they are implemented (Knowles et al., 2023; Chuang &amp; Safaeinili, 2024).</w:t>
      </w:r>
    </w:p>
    <w:p w14:paraId="23677CAC" w14:textId="77777777" w:rsidR="00975452" w:rsidRDefault="00000000" w:rsidP="00BD7066">
      <w:pPr>
        <w:ind w:firstLine="360"/>
        <w:jc w:val="both"/>
      </w:pPr>
      <w:r>
        <w:t xml:space="preserve">Economic evidence enters this framework through estimates of costs, resource requirements, cost-effectiveness, return on investment, affordability, and distributional consequences. </w:t>
      </w:r>
      <w:r>
        <w:rPr>
          <w:highlight w:val="yellow"/>
        </w:rPr>
        <w:t>Implementation conditions, including</w:t>
      </w:r>
      <w:r>
        <w:t xml:space="preserve"> workforce readiness, reimbursement, data infrastructure, </w:t>
      </w:r>
      <w:r>
        <w:rPr>
          <w:highlight w:val="yellow"/>
        </w:rPr>
        <w:t>organisational</w:t>
      </w:r>
      <w:r>
        <w:t xml:space="preserve"> capacity, and </w:t>
      </w:r>
      <w:r>
        <w:rPr>
          <w:highlight w:val="yellow"/>
        </w:rPr>
        <w:t>community partnerships, influence</w:t>
      </w:r>
      <w:r>
        <w:t xml:space="preserve"> whether economic results observed in one setting can be reproduced elsewhere (Bowser et al., 2021; Dopp et al., 2021; O'Leary et al., 2022). Equity is treated as an explicit dimension of value because average performance measures can obscure whether benefits are distributed across populations with different levels of social risk (Agniel et al., 2023).</w:t>
      </w:r>
    </w:p>
    <w:p w14:paraId="54269818" w14:textId="77777777" w:rsidR="00975452" w:rsidRDefault="00000000" w:rsidP="00BD7066">
      <w:pPr>
        <w:ind w:firstLine="360"/>
        <w:jc w:val="both"/>
      </w:pPr>
      <w:r>
        <w:t xml:space="preserve">As shown in Figure 1, the relationship is iterative rather than linear. Economic evidence can inform program adoption and financing, but implementation and outcome data subsequently feed back into future </w:t>
      </w:r>
      <w:r>
        <w:lastRenderedPageBreak/>
        <w:t>policy decisions. This feedback structure is important in Medicaid because policy authority, payment rules, and service availability can change during the life of an intervention.</w:t>
      </w:r>
    </w:p>
    <w:p w14:paraId="67A5A0BD" w14:textId="77777777" w:rsidR="00975452" w:rsidRDefault="00000000" w:rsidP="00BD7066">
      <w:pPr>
        <w:spacing w:after="40"/>
        <w:jc w:val="both"/>
      </w:pPr>
      <w:r>
        <w:rPr>
          <w:noProof/>
        </w:rPr>
        <w:drawing>
          <wp:inline distT="0" distB="0" distL="0" distR="0" wp14:anchorId="1D76895D" wp14:editId="67806C74">
            <wp:extent cx="5989320" cy="37449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a:fillRect/>
                    </a:stretch>
                  </pic:blipFill>
                  <pic:spPr>
                    <a:xfrm>
                      <a:off x="0" y="0"/>
                      <a:ext cx="5989320" cy="3744921"/>
                    </a:xfrm>
                    <a:prstGeom prst="rect">
                      <a:avLst/>
                    </a:prstGeom>
                  </pic:spPr>
                </pic:pic>
              </a:graphicData>
            </a:graphic>
          </wp:inline>
        </w:drawing>
      </w:r>
    </w:p>
    <w:p w14:paraId="58147290" w14:textId="77777777" w:rsidR="00975452" w:rsidRDefault="00000000" w:rsidP="00BD7066">
      <w:pPr>
        <w:pStyle w:val="CaptionClean"/>
        <w:jc w:val="both"/>
      </w:pPr>
      <w:r>
        <w:rPr>
          <w:b/>
        </w:rPr>
        <w:t>Figure 1. Conceptual framework showing how economic evidence informs Medicaid-supported health and social care integration policies.</w:t>
      </w:r>
    </w:p>
    <w:p w14:paraId="237BDA7A" w14:textId="77777777" w:rsidR="00975452" w:rsidRDefault="00000000" w:rsidP="00BD7066">
      <w:pPr>
        <w:pStyle w:val="Heading1"/>
        <w:jc w:val="both"/>
      </w:pPr>
      <w:r>
        <w:t>3. Methodology</w:t>
      </w:r>
    </w:p>
    <w:p w14:paraId="61793DD4" w14:textId="77777777" w:rsidR="00975452" w:rsidRDefault="00000000" w:rsidP="00BD7066">
      <w:pPr>
        <w:pStyle w:val="Heading2"/>
        <w:jc w:val="both"/>
      </w:pPr>
      <w:r>
        <w:t>3.1 Review design and scope</w:t>
      </w:r>
    </w:p>
    <w:p w14:paraId="0345E11C" w14:textId="77777777" w:rsidR="00975452" w:rsidRDefault="00000000" w:rsidP="00BD7066">
      <w:pPr>
        <w:ind w:firstLine="360"/>
        <w:jc w:val="both"/>
      </w:pPr>
      <w:r>
        <w:t>A structured narrative review was conducted to examine how economic evidence has been used to evaluate and inform Medicaid-supported integration of health and social care in the United States. The review period for the core evidence base was January 2020 through May 2026. A narrative design was selected because the literature includes heterogeneous intervention types, study designs, economic methods, policy arrangements, and outcome measures that are not suitable for a single pooled effect estimate.</w:t>
      </w:r>
    </w:p>
    <w:p w14:paraId="2AD9A2A6" w14:textId="77777777" w:rsidR="00975452" w:rsidRDefault="00000000" w:rsidP="00BD7066">
      <w:pPr>
        <w:ind w:firstLine="360"/>
        <w:jc w:val="both"/>
      </w:pPr>
      <w:r>
        <w:t>The review distinguishes between the core peer-reviewed evidence base and contextual sources. Peer-reviewed empirical studies, economic evaluations, implementation studies, and rigorous reviews published during the review period were used for the principal synthesis. Authoritative policy documents and selected pre-2020 foundational publications were used only to define concepts, describe policy changes, or explain established economic-evaluation principles.</w:t>
      </w:r>
    </w:p>
    <w:p w14:paraId="7A418BFA" w14:textId="77777777" w:rsidR="00975452" w:rsidRDefault="00000000" w:rsidP="00BD7066">
      <w:pPr>
        <w:pStyle w:val="Heading2"/>
        <w:jc w:val="both"/>
      </w:pPr>
      <w:r>
        <w:t>3.2 Search strategy and eligibility</w:t>
      </w:r>
    </w:p>
    <w:p w14:paraId="3FA3E637" w14:textId="77777777" w:rsidR="00975452" w:rsidRDefault="00000000" w:rsidP="00BD7066">
      <w:pPr>
        <w:ind w:firstLine="360"/>
        <w:jc w:val="both"/>
      </w:pPr>
      <w:r>
        <w:t xml:space="preserve">Literature searches were conducted in PubMed, Scopus, Web of Science, Google Scholar, and JSTOR. Search concepts combined Medicaid with terms relating to integrated care and social needs, including integrated care, health and social care integration, social determinants of health, health-related social needs, </w:t>
      </w:r>
      <w:r>
        <w:rPr>
          <w:highlight w:val="yellow"/>
        </w:rPr>
        <w:t>behavioural</w:t>
      </w:r>
      <w:r>
        <w:t xml:space="preserve"> health integration, community health workers, food-based health interventions, social care referrals, economic evaluation, cost-effectiveness, cost-benefit, return on investment, value-based care, </w:t>
      </w:r>
      <w:r>
        <w:lastRenderedPageBreak/>
        <w:t>financing, implementation cost, and health equity. Database-specific syntax and controlled vocabulary were adapted as appropriate. A representative concept structure was: Medicaid AND (integrated care OR social care OR social needs OR social determinants of health) AND (economic evaluation OR cost OR financing OR value-based OR implementation) AND (United States OR U.S.).</w:t>
      </w:r>
    </w:p>
    <w:p w14:paraId="0DC39125" w14:textId="77777777" w:rsidR="00975452" w:rsidRDefault="00000000" w:rsidP="00BD7066">
      <w:pPr>
        <w:ind w:firstLine="360"/>
        <w:jc w:val="both"/>
      </w:pPr>
      <w:r>
        <w:t xml:space="preserve">Records were screened for relevance to the review question using the criteria </w:t>
      </w:r>
      <w:r>
        <w:rPr>
          <w:highlight w:val="yellow"/>
        </w:rPr>
        <w:t>summarised</w:t>
      </w:r>
      <w:r>
        <w:t xml:space="preserve"> in Table 1. Priority was given to studies that directly examined Medicaid populations, Medicaid accountable care </w:t>
      </w:r>
      <w:r>
        <w:rPr>
          <w:highlight w:val="yellow"/>
        </w:rPr>
        <w:t>organisations</w:t>
      </w:r>
      <w:r>
        <w:t>, Medicaid-supported social-needs interventions, or policy and financing mechanisms that affect integrated care. Studies from broader U.S. health-system settings were retained when they provided directly relevant evidence on economic methods, implementation costs, referral systems, or equity measurement that could inform Medicaid decision making.</w:t>
      </w:r>
    </w:p>
    <w:p w14:paraId="22A3DEA8" w14:textId="77777777" w:rsidR="00975452" w:rsidRDefault="00000000" w:rsidP="00BD7066">
      <w:pPr>
        <w:ind w:firstLine="360"/>
        <w:jc w:val="both"/>
      </w:pPr>
      <w:r>
        <w:t xml:space="preserve">Studies outside the United States, publications without a meaningful connection to integrated health and social care, and sources lacking an economic, implementation, policy, </w:t>
      </w:r>
      <w:r>
        <w:rPr>
          <w:highlight w:val="yellow"/>
        </w:rPr>
        <w:t>utilisation</w:t>
      </w:r>
      <w:r>
        <w:t>, or equity contribution were excluded from the core synthesis. Non-peer-reviewed sources were not used as evidence of intervention effectiveness; however, primary federal policy documents were used when necessary to describe current Medicaid policy.</w:t>
      </w:r>
    </w:p>
    <w:p w14:paraId="03A19EF0" w14:textId="77777777" w:rsidR="00975452" w:rsidRDefault="00000000" w:rsidP="00BD7066">
      <w:pPr>
        <w:pStyle w:val="CaptionClean"/>
        <w:jc w:val="both"/>
      </w:pPr>
      <w:r>
        <w:rPr>
          <w:b/>
        </w:rPr>
        <w:t>Table 1. Inclusion and exclusion criteria</w:t>
      </w:r>
    </w:p>
    <w:tbl>
      <w:tblPr>
        <w:tblStyle w:val="TableGrid"/>
        <w:tblW w:w="0" w:type="auto"/>
        <w:jc w:val="center"/>
        <w:tblLook w:val="04A0" w:firstRow="1" w:lastRow="0" w:firstColumn="1" w:lastColumn="0" w:noHBand="0" w:noVBand="1"/>
      </w:tblPr>
      <w:tblGrid>
        <w:gridCol w:w="575"/>
        <w:gridCol w:w="1582"/>
        <w:gridCol w:w="3849"/>
        <w:gridCol w:w="3858"/>
      </w:tblGrid>
      <w:tr w:rsidR="00975452" w14:paraId="794226DA" w14:textId="77777777">
        <w:trPr>
          <w:tblHeader/>
          <w:jc w:val="center"/>
        </w:trPr>
        <w:tc>
          <w:tcPr>
            <w:tcW w:w="576" w:type="dxa"/>
            <w:shd w:val="clear" w:color="auto" w:fill="D9E2F3"/>
            <w:vAlign w:val="center"/>
          </w:tcPr>
          <w:p w14:paraId="6A5B10BC" w14:textId="77777777" w:rsidR="00975452" w:rsidRDefault="00000000" w:rsidP="00BD7066">
            <w:pPr>
              <w:spacing w:after="0"/>
              <w:jc w:val="both"/>
            </w:pPr>
            <w:r>
              <w:rPr>
                <w:b/>
                <w:sz w:val="19"/>
              </w:rPr>
              <w:t>No.</w:t>
            </w:r>
          </w:p>
        </w:tc>
        <w:tc>
          <w:tcPr>
            <w:tcW w:w="1584" w:type="dxa"/>
            <w:shd w:val="clear" w:color="auto" w:fill="D9E2F3"/>
            <w:vAlign w:val="center"/>
          </w:tcPr>
          <w:p w14:paraId="429DFB4D" w14:textId="77777777" w:rsidR="00975452" w:rsidRDefault="00000000" w:rsidP="00BD7066">
            <w:pPr>
              <w:spacing w:after="0"/>
              <w:jc w:val="both"/>
            </w:pPr>
            <w:r>
              <w:rPr>
                <w:b/>
                <w:sz w:val="19"/>
              </w:rPr>
              <w:t>Criterion</w:t>
            </w:r>
          </w:p>
        </w:tc>
        <w:tc>
          <w:tcPr>
            <w:tcW w:w="3888" w:type="dxa"/>
            <w:shd w:val="clear" w:color="auto" w:fill="D9E2F3"/>
            <w:vAlign w:val="center"/>
          </w:tcPr>
          <w:p w14:paraId="41BE8E3E" w14:textId="77777777" w:rsidR="00975452" w:rsidRDefault="00000000" w:rsidP="00BD7066">
            <w:pPr>
              <w:spacing w:after="0"/>
              <w:jc w:val="both"/>
            </w:pPr>
            <w:r>
              <w:rPr>
                <w:b/>
                <w:sz w:val="19"/>
              </w:rPr>
              <w:t>Inclusion</w:t>
            </w:r>
          </w:p>
        </w:tc>
        <w:tc>
          <w:tcPr>
            <w:tcW w:w="3888" w:type="dxa"/>
            <w:shd w:val="clear" w:color="auto" w:fill="D9E2F3"/>
            <w:vAlign w:val="center"/>
          </w:tcPr>
          <w:p w14:paraId="4663AF20" w14:textId="77777777" w:rsidR="00975452" w:rsidRDefault="00000000" w:rsidP="00BD7066">
            <w:pPr>
              <w:spacing w:after="0"/>
              <w:jc w:val="both"/>
            </w:pPr>
            <w:r>
              <w:rPr>
                <w:b/>
                <w:sz w:val="19"/>
              </w:rPr>
              <w:t>Exclusion</w:t>
            </w:r>
          </w:p>
        </w:tc>
      </w:tr>
      <w:tr w:rsidR="00975452" w14:paraId="54B6EE40" w14:textId="77777777">
        <w:trPr>
          <w:cantSplit/>
          <w:jc w:val="center"/>
        </w:trPr>
        <w:tc>
          <w:tcPr>
            <w:tcW w:w="576" w:type="dxa"/>
            <w:vAlign w:val="center"/>
          </w:tcPr>
          <w:p w14:paraId="79D97D4A" w14:textId="77777777" w:rsidR="00975452" w:rsidRDefault="00000000" w:rsidP="00BD7066">
            <w:pPr>
              <w:spacing w:after="0"/>
              <w:jc w:val="both"/>
            </w:pPr>
            <w:r>
              <w:rPr>
                <w:sz w:val="18"/>
              </w:rPr>
              <w:t>1</w:t>
            </w:r>
          </w:p>
        </w:tc>
        <w:tc>
          <w:tcPr>
            <w:tcW w:w="1584" w:type="dxa"/>
            <w:vAlign w:val="center"/>
          </w:tcPr>
          <w:p w14:paraId="27A88914" w14:textId="77777777" w:rsidR="00975452" w:rsidRDefault="00000000" w:rsidP="00BD7066">
            <w:pPr>
              <w:spacing w:after="0"/>
              <w:jc w:val="both"/>
            </w:pPr>
            <w:r>
              <w:rPr>
                <w:sz w:val="18"/>
              </w:rPr>
              <w:t>Geography</w:t>
            </w:r>
          </w:p>
        </w:tc>
        <w:tc>
          <w:tcPr>
            <w:tcW w:w="3888" w:type="dxa"/>
            <w:vAlign w:val="center"/>
          </w:tcPr>
          <w:p w14:paraId="079F8E39" w14:textId="77777777" w:rsidR="00975452" w:rsidRDefault="00000000" w:rsidP="00BD7066">
            <w:pPr>
              <w:spacing w:after="0"/>
              <w:jc w:val="both"/>
            </w:pPr>
            <w:r>
              <w:rPr>
                <w:sz w:val="18"/>
              </w:rPr>
              <w:t>United States; Medicaid or directly relevant U.S. integrated-care settings</w:t>
            </w:r>
          </w:p>
        </w:tc>
        <w:tc>
          <w:tcPr>
            <w:tcW w:w="3888" w:type="dxa"/>
            <w:vAlign w:val="center"/>
          </w:tcPr>
          <w:p w14:paraId="0F1FDEE7" w14:textId="77777777" w:rsidR="00975452" w:rsidRDefault="00000000" w:rsidP="00BD7066">
            <w:pPr>
              <w:spacing w:after="0"/>
              <w:jc w:val="both"/>
            </w:pPr>
            <w:r>
              <w:rPr>
                <w:sz w:val="18"/>
              </w:rPr>
              <w:t>Non-U.S. evidence unless used only for foundational economic context</w:t>
            </w:r>
          </w:p>
        </w:tc>
      </w:tr>
      <w:tr w:rsidR="00975452" w14:paraId="735D06AA" w14:textId="77777777">
        <w:trPr>
          <w:cantSplit/>
          <w:jc w:val="center"/>
        </w:trPr>
        <w:tc>
          <w:tcPr>
            <w:tcW w:w="576" w:type="dxa"/>
            <w:vAlign w:val="center"/>
          </w:tcPr>
          <w:p w14:paraId="08DEFF25" w14:textId="77777777" w:rsidR="00975452" w:rsidRDefault="00000000" w:rsidP="00BD7066">
            <w:pPr>
              <w:spacing w:after="0"/>
              <w:jc w:val="both"/>
            </w:pPr>
            <w:r>
              <w:rPr>
                <w:sz w:val="18"/>
              </w:rPr>
              <w:t>2</w:t>
            </w:r>
          </w:p>
        </w:tc>
        <w:tc>
          <w:tcPr>
            <w:tcW w:w="1584" w:type="dxa"/>
            <w:vAlign w:val="center"/>
          </w:tcPr>
          <w:p w14:paraId="6DEEE583" w14:textId="77777777" w:rsidR="00975452" w:rsidRDefault="00000000" w:rsidP="00BD7066">
            <w:pPr>
              <w:spacing w:after="0"/>
              <w:jc w:val="both"/>
            </w:pPr>
            <w:r>
              <w:rPr>
                <w:sz w:val="18"/>
              </w:rPr>
              <w:t>Timeframe</w:t>
            </w:r>
          </w:p>
        </w:tc>
        <w:tc>
          <w:tcPr>
            <w:tcW w:w="3888" w:type="dxa"/>
            <w:vAlign w:val="center"/>
          </w:tcPr>
          <w:p w14:paraId="00E7BFD7" w14:textId="77777777" w:rsidR="00975452" w:rsidRDefault="00000000" w:rsidP="00BD7066">
            <w:pPr>
              <w:spacing w:after="0"/>
              <w:jc w:val="both"/>
            </w:pPr>
            <w:r>
              <w:rPr>
                <w:sz w:val="18"/>
              </w:rPr>
              <w:t>January 2020-May 2026 for the core evidence base</w:t>
            </w:r>
          </w:p>
        </w:tc>
        <w:tc>
          <w:tcPr>
            <w:tcW w:w="3888" w:type="dxa"/>
            <w:vAlign w:val="center"/>
          </w:tcPr>
          <w:p w14:paraId="55B74849" w14:textId="77777777" w:rsidR="00975452" w:rsidRDefault="00000000" w:rsidP="00BD7066">
            <w:pPr>
              <w:spacing w:after="0"/>
              <w:jc w:val="both"/>
            </w:pPr>
            <w:r>
              <w:rPr>
                <w:sz w:val="18"/>
              </w:rPr>
              <w:t>Before 2020, except selected foundational/contextual sources</w:t>
            </w:r>
          </w:p>
        </w:tc>
      </w:tr>
      <w:tr w:rsidR="00975452" w14:paraId="23E60FB0" w14:textId="77777777">
        <w:trPr>
          <w:cantSplit/>
          <w:jc w:val="center"/>
        </w:trPr>
        <w:tc>
          <w:tcPr>
            <w:tcW w:w="576" w:type="dxa"/>
            <w:vAlign w:val="center"/>
          </w:tcPr>
          <w:p w14:paraId="52D58D82" w14:textId="77777777" w:rsidR="00975452" w:rsidRDefault="00000000" w:rsidP="00BD7066">
            <w:pPr>
              <w:spacing w:after="0"/>
              <w:jc w:val="both"/>
            </w:pPr>
            <w:r>
              <w:rPr>
                <w:sz w:val="18"/>
              </w:rPr>
              <w:t>3</w:t>
            </w:r>
          </w:p>
        </w:tc>
        <w:tc>
          <w:tcPr>
            <w:tcW w:w="1584" w:type="dxa"/>
            <w:vAlign w:val="center"/>
          </w:tcPr>
          <w:p w14:paraId="65A2A7D7" w14:textId="77777777" w:rsidR="00975452" w:rsidRDefault="00000000" w:rsidP="00BD7066">
            <w:pPr>
              <w:spacing w:after="0"/>
              <w:jc w:val="both"/>
            </w:pPr>
            <w:r>
              <w:rPr>
                <w:sz w:val="18"/>
              </w:rPr>
              <w:t>Publication type</w:t>
            </w:r>
          </w:p>
        </w:tc>
        <w:tc>
          <w:tcPr>
            <w:tcW w:w="3888" w:type="dxa"/>
            <w:vAlign w:val="center"/>
          </w:tcPr>
          <w:p w14:paraId="2C0DC75C" w14:textId="77777777" w:rsidR="00975452" w:rsidRDefault="00000000" w:rsidP="00BD7066">
            <w:pPr>
              <w:spacing w:after="0"/>
              <w:jc w:val="both"/>
            </w:pPr>
            <w:r>
              <w:rPr>
                <w:sz w:val="18"/>
              </w:rPr>
              <w:t>Peer-reviewed empirical studies, economic evaluations, implementation studies, policy analyses, and rigorous reviews</w:t>
            </w:r>
          </w:p>
        </w:tc>
        <w:tc>
          <w:tcPr>
            <w:tcW w:w="3888" w:type="dxa"/>
            <w:vAlign w:val="center"/>
          </w:tcPr>
          <w:p w14:paraId="27A5EF9D" w14:textId="77777777" w:rsidR="00975452" w:rsidRDefault="00000000" w:rsidP="00BD7066">
            <w:pPr>
              <w:spacing w:after="0"/>
              <w:jc w:val="both"/>
            </w:pPr>
            <w:r>
              <w:rPr>
                <w:sz w:val="18"/>
              </w:rPr>
              <w:t>Editorials, opinion pieces, conference abstracts, dissertations, or unverifiable sources as effectiveness evidence</w:t>
            </w:r>
          </w:p>
        </w:tc>
      </w:tr>
      <w:tr w:rsidR="00975452" w14:paraId="30E51F84" w14:textId="77777777">
        <w:trPr>
          <w:cantSplit/>
          <w:jc w:val="center"/>
        </w:trPr>
        <w:tc>
          <w:tcPr>
            <w:tcW w:w="576" w:type="dxa"/>
            <w:vAlign w:val="center"/>
          </w:tcPr>
          <w:p w14:paraId="4BF48883" w14:textId="77777777" w:rsidR="00975452" w:rsidRDefault="00000000" w:rsidP="00BD7066">
            <w:pPr>
              <w:spacing w:after="0"/>
              <w:jc w:val="both"/>
            </w:pPr>
            <w:r>
              <w:rPr>
                <w:sz w:val="18"/>
              </w:rPr>
              <w:t>4</w:t>
            </w:r>
          </w:p>
        </w:tc>
        <w:tc>
          <w:tcPr>
            <w:tcW w:w="1584" w:type="dxa"/>
            <w:vAlign w:val="center"/>
          </w:tcPr>
          <w:p w14:paraId="7F25DE8E" w14:textId="77777777" w:rsidR="00975452" w:rsidRDefault="00000000" w:rsidP="00BD7066">
            <w:pPr>
              <w:spacing w:after="0"/>
              <w:jc w:val="both"/>
            </w:pPr>
            <w:r>
              <w:rPr>
                <w:sz w:val="18"/>
              </w:rPr>
              <w:t>Policy/service focus</w:t>
            </w:r>
          </w:p>
        </w:tc>
        <w:tc>
          <w:tcPr>
            <w:tcW w:w="3888" w:type="dxa"/>
            <w:vAlign w:val="center"/>
          </w:tcPr>
          <w:p w14:paraId="6AD7ED09" w14:textId="77777777" w:rsidR="00975452" w:rsidRDefault="00000000" w:rsidP="00BD7066">
            <w:pPr>
              <w:spacing w:after="0"/>
              <w:jc w:val="both"/>
            </w:pPr>
            <w:r>
              <w:rPr>
                <w:sz w:val="18"/>
              </w:rPr>
              <w:t>Medicaid-supported integrated care, health-related social needs, value-based care, cross-sector care, or directly applicable evaluation methods</w:t>
            </w:r>
          </w:p>
        </w:tc>
        <w:tc>
          <w:tcPr>
            <w:tcW w:w="3888" w:type="dxa"/>
            <w:vAlign w:val="center"/>
          </w:tcPr>
          <w:p w14:paraId="78AD716B" w14:textId="77777777" w:rsidR="00975452" w:rsidRDefault="00000000" w:rsidP="00BD7066">
            <w:pPr>
              <w:spacing w:after="0"/>
              <w:jc w:val="both"/>
            </w:pPr>
            <w:r>
              <w:rPr>
                <w:sz w:val="18"/>
              </w:rPr>
              <w:t>Unrelated clinical care or interventions without an integration or policy connection</w:t>
            </w:r>
          </w:p>
        </w:tc>
      </w:tr>
      <w:tr w:rsidR="00975452" w14:paraId="5A89FE0B" w14:textId="77777777">
        <w:trPr>
          <w:cantSplit/>
          <w:jc w:val="center"/>
        </w:trPr>
        <w:tc>
          <w:tcPr>
            <w:tcW w:w="576" w:type="dxa"/>
            <w:vAlign w:val="center"/>
          </w:tcPr>
          <w:p w14:paraId="60F6D85A" w14:textId="77777777" w:rsidR="00975452" w:rsidRDefault="00000000" w:rsidP="00BD7066">
            <w:pPr>
              <w:spacing w:after="0"/>
              <w:jc w:val="both"/>
            </w:pPr>
            <w:r>
              <w:rPr>
                <w:sz w:val="18"/>
              </w:rPr>
              <w:t>5</w:t>
            </w:r>
          </w:p>
        </w:tc>
        <w:tc>
          <w:tcPr>
            <w:tcW w:w="1584" w:type="dxa"/>
            <w:vAlign w:val="center"/>
          </w:tcPr>
          <w:p w14:paraId="78D6E6E2" w14:textId="77777777" w:rsidR="00975452" w:rsidRDefault="00000000" w:rsidP="00BD7066">
            <w:pPr>
              <w:spacing w:after="0"/>
              <w:jc w:val="both"/>
            </w:pPr>
            <w:r>
              <w:rPr>
                <w:sz w:val="18"/>
              </w:rPr>
              <w:t>Outcome/content</w:t>
            </w:r>
          </w:p>
        </w:tc>
        <w:tc>
          <w:tcPr>
            <w:tcW w:w="3888" w:type="dxa"/>
            <w:vAlign w:val="center"/>
          </w:tcPr>
          <w:p w14:paraId="67646569" w14:textId="77777777" w:rsidR="00975452" w:rsidRDefault="00000000" w:rsidP="00BD7066">
            <w:pPr>
              <w:spacing w:after="0"/>
              <w:jc w:val="both"/>
            </w:pPr>
            <w:r>
              <w:rPr>
                <w:sz w:val="18"/>
              </w:rPr>
              <w:t>Costs, utilization, implementation, financing, access, care coordination, sustainability, or equity</w:t>
            </w:r>
          </w:p>
        </w:tc>
        <w:tc>
          <w:tcPr>
            <w:tcW w:w="3888" w:type="dxa"/>
            <w:vAlign w:val="center"/>
          </w:tcPr>
          <w:p w14:paraId="119349FC" w14:textId="77777777" w:rsidR="00975452" w:rsidRDefault="00000000" w:rsidP="00BD7066">
            <w:pPr>
              <w:spacing w:after="0"/>
              <w:jc w:val="both"/>
            </w:pPr>
            <w:r>
              <w:rPr>
                <w:sz w:val="18"/>
              </w:rPr>
              <w:t>No relevant economic, implementation, policy, utilization, or equity content</w:t>
            </w:r>
          </w:p>
        </w:tc>
      </w:tr>
    </w:tbl>
    <w:p w14:paraId="7AE3E05B" w14:textId="77777777" w:rsidR="00975452" w:rsidRDefault="00000000" w:rsidP="00BD7066">
      <w:pPr>
        <w:pStyle w:val="CaptionClean"/>
        <w:jc w:val="both"/>
      </w:pPr>
      <w:r>
        <w:t>Note. Primary policy documents and selected foundational sources were used for context but were not treated as intervention-effectiveness evidence.</w:t>
      </w:r>
    </w:p>
    <w:p w14:paraId="132306A3" w14:textId="77777777" w:rsidR="00975452" w:rsidRDefault="00000000" w:rsidP="00BD7066">
      <w:pPr>
        <w:pStyle w:val="Heading2"/>
        <w:jc w:val="both"/>
      </w:pPr>
      <w:r>
        <w:t xml:space="preserve">3.3 Evidence </w:t>
      </w:r>
      <w:r>
        <w:rPr>
          <w:highlight w:val="yellow"/>
        </w:rPr>
        <w:t>organisation</w:t>
      </w:r>
      <w:r>
        <w:t xml:space="preserve"> and appraisal</w:t>
      </w:r>
    </w:p>
    <w:p w14:paraId="41C24D31" w14:textId="77777777" w:rsidR="00975452" w:rsidRDefault="00000000" w:rsidP="00BD7066">
      <w:pPr>
        <w:ind w:firstLine="360"/>
        <w:jc w:val="both"/>
      </w:pPr>
      <w:r>
        <w:t xml:space="preserve">For each retained source, the synthesis considered the study design, population and setting, intervention or policy mechanism, economic or financing approach, implementation conditions, </w:t>
      </w:r>
      <w:r>
        <w:rPr>
          <w:highlight w:val="yellow"/>
        </w:rPr>
        <w:t>utilisation</w:t>
      </w:r>
      <w:r>
        <w:t xml:space="preserve"> outcomes, cost outcomes, and equity-related findings. Particular attention was given to whether reported cost or </w:t>
      </w:r>
      <w:r>
        <w:rPr>
          <w:highlight w:val="yellow"/>
        </w:rPr>
        <w:t>utilisation</w:t>
      </w:r>
      <w:r>
        <w:t xml:space="preserve"> changes were directly estimated, inferred from intermediate outcomes, or proposed conceptually.</w:t>
      </w:r>
    </w:p>
    <w:p w14:paraId="5618308F" w14:textId="77777777" w:rsidR="00975452" w:rsidRDefault="00000000" w:rsidP="00BD7066">
      <w:pPr>
        <w:ind w:firstLine="360"/>
        <w:jc w:val="both"/>
      </w:pPr>
      <w:r>
        <w:t xml:space="preserve">Because the evidence base included systematic reviews, observational studies, quasi-experimental studies, implementation evaluations, and methodological papers, no single quantitative risk-of-bias instrument was applied across all sources. Instead, evidence was interpreted qualitatively with attention to comparator quality, follow-up duration, confounding, </w:t>
      </w:r>
      <w:r>
        <w:rPr>
          <w:highlight w:val="yellow"/>
        </w:rPr>
        <w:t>generalisability</w:t>
      </w:r>
      <w:r>
        <w:t>, outcome definition, and whether conclusions exceeded the design. No meta-analysis was undertaken because intervention designs and outcome measures were too heterogeneous for defensible statistical pooling.</w:t>
      </w:r>
    </w:p>
    <w:p w14:paraId="790BBD08" w14:textId="77777777" w:rsidR="00975452" w:rsidRDefault="00000000" w:rsidP="00BD7066">
      <w:pPr>
        <w:pStyle w:val="Heading2"/>
        <w:jc w:val="both"/>
      </w:pPr>
      <w:r>
        <w:t>3.4 Methodological limitations</w:t>
      </w:r>
    </w:p>
    <w:p w14:paraId="525FC900" w14:textId="77777777" w:rsidR="00975452" w:rsidRDefault="00000000" w:rsidP="00BD7066">
      <w:pPr>
        <w:ind w:firstLine="360"/>
        <w:jc w:val="both"/>
      </w:pPr>
      <w:r>
        <w:t xml:space="preserve">The review has several limitations. First, its narrative design </w:t>
      </w:r>
      <w:r>
        <w:rPr>
          <w:highlight w:val="yellow"/>
        </w:rPr>
        <w:t>prioritises</w:t>
      </w:r>
      <w:r>
        <w:t xml:space="preserve"> interpretive synthesis rather than exhaustive effect estimation, and publication bias may </w:t>
      </w:r>
      <w:r>
        <w:rPr>
          <w:highlight w:val="yellow"/>
        </w:rPr>
        <w:t>favour</w:t>
      </w:r>
      <w:r>
        <w:t xml:space="preserve"> programs with positive implementation </w:t>
      </w:r>
      <w:r>
        <w:lastRenderedPageBreak/>
        <w:t xml:space="preserve">experiences. Second, many social-needs and integrated-care studies are observational or quasi-experimental, which limits causal inference. Third, follow-up periods are often short relative to the time required for preventive or social interventions to affect downstream </w:t>
      </w:r>
      <w:r>
        <w:rPr>
          <w:highlight w:val="yellow"/>
        </w:rPr>
        <w:t>utilisation</w:t>
      </w:r>
      <w:r>
        <w:t xml:space="preserve">. Fourth, Medicaid programs differ substantially across states, so results from individual accountable care </w:t>
      </w:r>
      <w:r>
        <w:rPr>
          <w:highlight w:val="yellow"/>
        </w:rPr>
        <w:t>organisations</w:t>
      </w:r>
      <w:r>
        <w:t xml:space="preserve"> or waiver programs may not transfer directly to other jurisdictions. These limitations are considered throughout the interpretation of findings.</w:t>
      </w:r>
    </w:p>
    <w:p w14:paraId="3FAEF0D2" w14:textId="77777777" w:rsidR="00975452" w:rsidRDefault="00000000" w:rsidP="00BD7066">
      <w:pPr>
        <w:pStyle w:val="Heading1"/>
        <w:jc w:val="both"/>
      </w:pPr>
      <w:r>
        <w:t>4. Review of Literature and Findings</w:t>
      </w:r>
    </w:p>
    <w:p w14:paraId="355990BD" w14:textId="77777777" w:rsidR="00975452" w:rsidRDefault="00000000" w:rsidP="00BD7066">
      <w:pPr>
        <w:pStyle w:val="Heading2"/>
        <w:jc w:val="both"/>
      </w:pPr>
      <w:r>
        <w:t>4.1 Medicaid-supported health and social care integration</w:t>
      </w:r>
    </w:p>
    <w:p w14:paraId="48128471" w14:textId="77777777" w:rsidR="00975452" w:rsidRDefault="00000000" w:rsidP="00BD7066">
      <w:pPr>
        <w:ind w:firstLine="360"/>
        <w:jc w:val="both"/>
      </w:pPr>
      <w:r>
        <w:t xml:space="preserve">Medicaid-supported health and social care integration encompasses a range of strategies rather than a single model. Common approaches include health-related social needs screening, referral and navigation, community health workers, </w:t>
      </w:r>
      <w:r>
        <w:rPr>
          <w:highlight w:val="yellow"/>
        </w:rPr>
        <w:t>behavioural</w:t>
      </w:r>
      <w:r>
        <w:t xml:space="preserve"> health integration, accountable care </w:t>
      </w:r>
      <w:r>
        <w:rPr>
          <w:highlight w:val="yellow"/>
        </w:rPr>
        <w:t>organisations</w:t>
      </w:r>
      <w:r>
        <w:t xml:space="preserve">, food and nutrition services, and formal partnerships with community-based </w:t>
      </w:r>
      <w:r>
        <w:rPr>
          <w:highlight w:val="yellow"/>
        </w:rPr>
        <w:t>organisations</w:t>
      </w:r>
      <w:r>
        <w:t>. Policy reviews describe a gradual expansion of these approaches in the United States, often linked to value-based payment and delivery-system reform (Sandhu et al., 2021; Chuang &amp; Safaeinili, 2024).</w:t>
      </w:r>
    </w:p>
    <w:p w14:paraId="096FBE78" w14:textId="77777777" w:rsidR="00975452" w:rsidRDefault="00000000" w:rsidP="00BD7066">
      <w:pPr>
        <w:ind w:firstLine="360"/>
        <w:jc w:val="both"/>
      </w:pPr>
      <w:r>
        <w:t xml:space="preserve">The need for integrated approaches is visible in Medicaid population data. In a Medicaid accountable care </w:t>
      </w:r>
      <w:r>
        <w:rPr>
          <w:highlight w:val="yellow"/>
        </w:rPr>
        <w:t>organisation</w:t>
      </w:r>
      <w:r>
        <w:t xml:space="preserve">, Schiavoni et al. (2022) </w:t>
      </w:r>
      <w:r>
        <w:rPr>
          <w:highlight w:val="yellow"/>
        </w:rPr>
        <w:t>analysed</w:t>
      </w:r>
      <w:r>
        <w:t xml:space="preserve"> 27,413 patients who completed 30,703 social-needs screenings across 114 primary care practices. Among completed screenings, 44.6% were positive for at least one social risk factor and 19.1% were positive for a stated social need, with incomplete overlap between social risk and requests for assistance. This distinction is policy-relevant because screening only for risk does not necessarily identify all patients who want or need resource navigation.</w:t>
      </w:r>
    </w:p>
    <w:p w14:paraId="1EEAA5C9" w14:textId="77777777" w:rsidR="00975452" w:rsidRDefault="00000000" w:rsidP="00BD7066">
      <w:pPr>
        <w:ind w:firstLine="360"/>
        <w:jc w:val="both"/>
      </w:pPr>
      <w:r>
        <w:t xml:space="preserve">Implementation evidence also shows that program reach depends on operational capacity. McCurley et al. (2023) evaluated the Massachusetts Flexible Services program within a Medicaid accountable care </w:t>
      </w:r>
      <w:r>
        <w:rPr>
          <w:highlight w:val="yellow"/>
        </w:rPr>
        <w:t>organisation</w:t>
      </w:r>
      <w:r>
        <w:t xml:space="preserve">. Among 67,098 enrollees, 57.3% completed at least one social-needs screening; 16.0% screened positive for food insecurity and 11.0% for housing insecurity. The study identified administrative burden, data-sharing limitations, coordination with community </w:t>
      </w:r>
      <w:r>
        <w:rPr>
          <w:highlight w:val="yellow"/>
        </w:rPr>
        <w:t>organisations</w:t>
      </w:r>
      <w:r>
        <w:t>, and pandemic-related disruptions as implementation barriers, while administrative funding, bidirectional communication, and adaptive enrollment strategies functioned as facilitators.</w:t>
      </w:r>
    </w:p>
    <w:p w14:paraId="2AE6DF98" w14:textId="77777777" w:rsidR="00975452" w:rsidRDefault="00000000" w:rsidP="00BD7066">
      <w:pPr>
        <w:ind w:firstLine="360"/>
        <w:jc w:val="both"/>
      </w:pPr>
      <w:r>
        <w:t>Community health workers can strengthen navigation, trust, and continuity between health systems and communities, although effectiveness depends on role clarity, integration into care teams, financing, and supervision (Knowles et al., 2023). Cross-sector collaboration similarly requires durable relationships and information-sharing structures rather than referral alone (Anderson et al., 2023). Food-based interventions have expanded as another form of health-social integration; the broader evidence indicates potential benefits for food security and cardiometabolic management, but the economic evidence remains heterogeneous and program-specific (Mozaffarian et al., 2024).</w:t>
      </w:r>
    </w:p>
    <w:p w14:paraId="761CA04F" w14:textId="77777777" w:rsidR="00975452" w:rsidRDefault="00000000" w:rsidP="00BD7066">
      <w:pPr>
        <w:ind w:firstLine="360"/>
        <w:jc w:val="both"/>
      </w:pPr>
      <w:r>
        <w:t>The federal policy environment has also changed during the review period. On March 4, 2025, the Centers for Medicare &amp; Medicaid Services (CMS) rescinded its 2023 and 2024 guidance on health-related social needs and stated that state applications for such services and supports would be evaluated case by case under applicable statutory and regulatory requirements (Centers for Medicare &amp; Medicaid Services [CMS], 2025). This policy change does not resolve questions about intervention effectiveness; rather, it reinforces the need to distinguish empirical evidence on program value from the durability of any particular financing pathway.</w:t>
      </w:r>
    </w:p>
    <w:p w14:paraId="433EEB96" w14:textId="77777777" w:rsidR="00975452" w:rsidRDefault="00000000" w:rsidP="00BD7066">
      <w:pPr>
        <w:ind w:firstLine="360"/>
        <w:jc w:val="both"/>
      </w:pPr>
      <w:r>
        <w:lastRenderedPageBreak/>
        <w:t xml:space="preserve">Overall, Medicaid-supported integration can improve the processes required for whole-person care, but implementation is not automatic. Screening coverage, referral completion, community capacity, workforce availability, data exchange, and payment design shape whether policy </w:t>
      </w:r>
      <w:r>
        <w:rPr>
          <w:highlight w:val="yellow"/>
        </w:rPr>
        <w:t>authorisation</w:t>
      </w:r>
      <w:r>
        <w:t xml:space="preserve"> becomes effective service delivery.</w:t>
      </w:r>
    </w:p>
    <w:p w14:paraId="5FE0C11E" w14:textId="77777777" w:rsidR="00975452" w:rsidRDefault="00000000" w:rsidP="00BD7066">
      <w:pPr>
        <w:pStyle w:val="Heading2"/>
        <w:jc w:val="both"/>
      </w:pPr>
      <w:r>
        <w:t>4.2 Economic evaluation frameworks in Medicaid-supported integrated care</w:t>
      </w:r>
    </w:p>
    <w:p w14:paraId="4C5D7DC1" w14:textId="77777777" w:rsidR="00975452" w:rsidRDefault="00000000" w:rsidP="00BD7066">
      <w:pPr>
        <w:ind w:firstLine="360"/>
        <w:jc w:val="both"/>
      </w:pPr>
      <w:r>
        <w:t xml:space="preserve">Economic evaluation in integrated care has traditionally </w:t>
      </w:r>
      <w:r>
        <w:rPr>
          <w:highlight w:val="yellow"/>
        </w:rPr>
        <w:t>emphasised</w:t>
      </w:r>
      <w:r>
        <w:t xml:space="preserve"> cost-effectiveness, cost-utility, cost-benefit, budget impact, and return on investment. These approaches are useful but can be incomplete when the intervention requires substantial implementation activity or when benefits occur outside the health care sector (Vondeling, 2004). In Medicaid-supported social care, costs may be borne by health systems, states, community </w:t>
      </w:r>
      <w:r>
        <w:rPr>
          <w:highlight w:val="yellow"/>
        </w:rPr>
        <w:t>organisations</w:t>
      </w:r>
      <w:r>
        <w:t xml:space="preserve">, or beneficiaries, while benefits may appear as improved access, social stability, quality of life, reduced </w:t>
      </w:r>
      <w:r>
        <w:rPr>
          <w:highlight w:val="yellow"/>
        </w:rPr>
        <w:t>utilisation</w:t>
      </w:r>
      <w:r>
        <w:t>, or longer-term population outcomes.</w:t>
      </w:r>
    </w:p>
    <w:p w14:paraId="39AE377F" w14:textId="77777777" w:rsidR="00975452" w:rsidRDefault="00000000" w:rsidP="00BD7066">
      <w:pPr>
        <w:ind w:firstLine="360"/>
        <w:jc w:val="both"/>
      </w:pPr>
      <w:r>
        <w:t xml:space="preserve">Dopp et al. (2021) argued that economic evidence can be translated into financing strategies for implementation, drawing attention to the difference between estimating value and creating payment mechanisms that make adoption feasible. This distinction is important for integrated care because an intervention can be cost-effective over time yet remain difficult to implement if upfront costs, cash-flow requirements, or </w:t>
      </w:r>
      <w:r>
        <w:rPr>
          <w:highlight w:val="yellow"/>
        </w:rPr>
        <w:t>organisational</w:t>
      </w:r>
      <w:r>
        <w:t xml:space="preserve"> incentives are misaligned.</w:t>
      </w:r>
    </w:p>
    <w:p w14:paraId="6B93C991" w14:textId="77777777" w:rsidR="00975452" w:rsidRDefault="00000000" w:rsidP="00BD7066">
      <w:pPr>
        <w:ind w:firstLine="360"/>
        <w:jc w:val="both"/>
      </w:pPr>
      <w:r>
        <w:t xml:space="preserve">Implementation-cost evidence is also methodologically inconsistent. Bowser et al. (2021), in a systematic review of implementation studies in mental health and substance use disorders, found substantial variation in costing methods and reporting practices. Such variation limits comparison across programs and makes it difficult for decision makers to determine which resources are required for replication or scale-up. O'Leary et al. (2022) similarly </w:t>
      </w:r>
      <w:r>
        <w:rPr>
          <w:highlight w:val="yellow"/>
        </w:rPr>
        <w:t>emphasised</w:t>
      </w:r>
      <w:r>
        <w:t xml:space="preserve"> the need to extend analytic approaches used in implementation science so that economic evaluation reflects changing implementation intensity, context, and system dynamics rather than treating implementation as a fixed background condition.</w:t>
      </w:r>
    </w:p>
    <w:p w14:paraId="1FA8B5FD" w14:textId="77777777" w:rsidR="00975452" w:rsidRDefault="00000000" w:rsidP="00BD7066">
      <w:pPr>
        <w:ind w:firstLine="360"/>
        <w:jc w:val="both"/>
      </w:pPr>
      <w:r>
        <w:t>Alternative payment models represent one mechanism for aligning financing with prevention and integration. Rosenfeld et al. (2025) developed a conceptual framework for substance use disorder prevention that illustrates how payment structures may be designed around evidence-based interventions whose benefits do not fit traditional fee-for-service incentives. Although conceptual frameworks do not establish effectiveness, they are useful for identifying financing mechanisms that can be tested empirically.</w:t>
      </w:r>
    </w:p>
    <w:p w14:paraId="265A7D8F" w14:textId="77777777" w:rsidR="00975452" w:rsidRDefault="00000000" w:rsidP="00BD7066">
      <w:pPr>
        <w:ind w:firstLine="360"/>
        <w:jc w:val="both"/>
      </w:pPr>
      <w:r>
        <w:t>A second limitation of conventional economic evaluation is the treatment of equity. Average cost and quality measures may obscure distributional differences among population groups. Agniel et al. (2023) demonstrated that equity-sensitive quality measurement requires explicit decisions about how performance across groups should be weighted. For Medicaid, this implies that economic evaluation should report not only average outcomes but also whether gains and burdens are distributed across populations with different levels of social risk.</w:t>
      </w:r>
    </w:p>
    <w:p w14:paraId="788F97D6" w14:textId="77777777" w:rsidR="00975452" w:rsidRDefault="00000000" w:rsidP="00BD7066">
      <w:pPr>
        <w:ind w:firstLine="360"/>
        <w:jc w:val="both"/>
      </w:pPr>
      <w:r>
        <w:t xml:space="preserve">Table 2 </w:t>
      </w:r>
      <w:r>
        <w:rPr>
          <w:highlight w:val="yellow"/>
        </w:rPr>
        <w:t>summarises</w:t>
      </w:r>
      <w:r>
        <w:t xml:space="preserve"> key evidence informing the revised synthesis and highlights why economic conclusions should be interpreted alongside study design and implementation context.</w:t>
      </w:r>
    </w:p>
    <w:p w14:paraId="37C0D21F" w14:textId="77777777" w:rsidR="00975452" w:rsidRDefault="00000000" w:rsidP="00BD7066">
      <w:pPr>
        <w:pStyle w:val="CaptionClean"/>
        <w:jc w:val="both"/>
      </w:pPr>
      <w:r>
        <w:rPr>
          <w:b/>
        </w:rPr>
        <w:t>Table 2. Key evidence informing the narrative synthesis</w:t>
      </w:r>
    </w:p>
    <w:tbl>
      <w:tblPr>
        <w:tblStyle w:val="TableGrid"/>
        <w:tblW w:w="0" w:type="auto"/>
        <w:jc w:val="center"/>
        <w:tblLook w:val="04A0" w:firstRow="1" w:lastRow="0" w:firstColumn="1" w:lastColumn="0" w:noHBand="0" w:noVBand="1"/>
      </w:tblPr>
      <w:tblGrid>
        <w:gridCol w:w="1800"/>
        <w:gridCol w:w="2304"/>
        <w:gridCol w:w="3600"/>
        <w:gridCol w:w="2016"/>
      </w:tblGrid>
      <w:tr w:rsidR="00975452" w14:paraId="6F144FE8" w14:textId="77777777">
        <w:trPr>
          <w:tblHeader/>
          <w:jc w:val="center"/>
        </w:trPr>
        <w:tc>
          <w:tcPr>
            <w:tcW w:w="1800" w:type="dxa"/>
            <w:shd w:val="clear" w:color="auto" w:fill="D9E2F3"/>
            <w:vAlign w:val="center"/>
          </w:tcPr>
          <w:p w14:paraId="7B49BFF5" w14:textId="77777777" w:rsidR="00975452" w:rsidRDefault="00000000" w:rsidP="00BD7066">
            <w:pPr>
              <w:spacing w:after="0"/>
              <w:jc w:val="both"/>
            </w:pPr>
            <w:r>
              <w:rPr>
                <w:b/>
                <w:sz w:val="17"/>
              </w:rPr>
              <w:t>Source</w:t>
            </w:r>
          </w:p>
        </w:tc>
        <w:tc>
          <w:tcPr>
            <w:tcW w:w="2304" w:type="dxa"/>
            <w:shd w:val="clear" w:color="auto" w:fill="D9E2F3"/>
            <w:vAlign w:val="center"/>
          </w:tcPr>
          <w:p w14:paraId="57560BE5" w14:textId="77777777" w:rsidR="00975452" w:rsidRDefault="00000000" w:rsidP="00BD7066">
            <w:pPr>
              <w:spacing w:after="0"/>
              <w:jc w:val="both"/>
            </w:pPr>
            <w:r>
              <w:rPr>
                <w:b/>
                <w:sz w:val="17"/>
              </w:rPr>
              <w:t>Design/setting</w:t>
            </w:r>
          </w:p>
        </w:tc>
        <w:tc>
          <w:tcPr>
            <w:tcW w:w="3600" w:type="dxa"/>
            <w:shd w:val="clear" w:color="auto" w:fill="D9E2F3"/>
            <w:vAlign w:val="center"/>
          </w:tcPr>
          <w:p w14:paraId="1B132DA1" w14:textId="77777777" w:rsidR="00975452" w:rsidRDefault="00000000" w:rsidP="00BD7066">
            <w:pPr>
              <w:spacing w:after="0"/>
              <w:jc w:val="both"/>
            </w:pPr>
            <w:r>
              <w:rPr>
                <w:b/>
                <w:sz w:val="17"/>
              </w:rPr>
              <w:t>Contribution to the review</w:t>
            </w:r>
          </w:p>
        </w:tc>
        <w:tc>
          <w:tcPr>
            <w:tcW w:w="2016" w:type="dxa"/>
            <w:shd w:val="clear" w:color="auto" w:fill="D9E2F3"/>
            <w:vAlign w:val="center"/>
          </w:tcPr>
          <w:p w14:paraId="49CA405F" w14:textId="77777777" w:rsidR="00975452" w:rsidRDefault="00000000" w:rsidP="00BD7066">
            <w:pPr>
              <w:spacing w:after="0"/>
              <w:jc w:val="both"/>
            </w:pPr>
            <w:r>
              <w:rPr>
                <w:b/>
                <w:sz w:val="17"/>
              </w:rPr>
              <w:t>Important limitation</w:t>
            </w:r>
          </w:p>
        </w:tc>
      </w:tr>
      <w:tr w:rsidR="00975452" w14:paraId="49B1EE43" w14:textId="77777777">
        <w:trPr>
          <w:cantSplit/>
          <w:jc w:val="center"/>
        </w:trPr>
        <w:tc>
          <w:tcPr>
            <w:tcW w:w="1800" w:type="dxa"/>
            <w:vAlign w:val="center"/>
          </w:tcPr>
          <w:p w14:paraId="794A577C" w14:textId="77777777" w:rsidR="00975452" w:rsidRDefault="00000000" w:rsidP="00BD7066">
            <w:pPr>
              <w:spacing w:after="0"/>
              <w:jc w:val="both"/>
            </w:pPr>
            <w:r>
              <w:rPr>
                <w:sz w:val="16"/>
              </w:rPr>
              <w:t>Bowser et al. (2021)</w:t>
            </w:r>
          </w:p>
        </w:tc>
        <w:tc>
          <w:tcPr>
            <w:tcW w:w="2304" w:type="dxa"/>
            <w:vAlign w:val="center"/>
          </w:tcPr>
          <w:p w14:paraId="340B38F1" w14:textId="77777777" w:rsidR="00975452" w:rsidRDefault="00000000" w:rsidP="00BD7066">
            <w:pPr>
              <w:spacing w:after="0"/>
              <w:jc w:val="both"/>
            </w:pPr>
            <w:r>
              <w:rPr>
                <w:sz w:val="16"/>
              </w:rPr>
              <w:t>Systematic review of implementation cost analyses in behavioral health</w:t>
            </w:r>
          </w:p>
        </w:tc>
        <w:tc>
          <w:tcPr>
            <w:tcW w:w="3600" w:type="dxa"/>
            <w:vAlign w:val="center"/>
          </w:tcPr>
          <w:p w14:paraId="2D9449FF" w14:textId="77777777" w:rsidR="00975452" w:rsidRDefault="00000000" w:rsidP="00BD7066">
            <w:pPr>
              <w:spacing w:after="0"/>
              <w:jc w:val="both"/>
            </w:pPr>
            <w:r>
              <w:rPr>
                <w:sz w:val="16"/>
              </w:rPr>
              <w:t>Shows heterogeneity in costing methods and the need for standardized implementation-cost reporting.</w:t>
            </w:r>
          </w:p>
        </w:tc>
        <w:tc>
          <w:tcPr>
            <w:tcW w:w="2016" w:type="dxa"/>
            <w:vAlign w:val="center"/>
          </w:tcPr>
          <w:p w14:paraId="2CE78A50" w14:textId="77777777" w:rsidR="00975452" w:rsidRDefault="00000000" w:rsidP="00BD7066">
            <w:pPr>
              <w:spacing w:after="0"/>
              <w:jc w:val="both"/>
            </w:pPr>
            <w:r>
              <w:rPr>
                <w:sz w:val="16"/>
              </w:rPr>
              <w:t>Not specific to Medicaid or integrated social care.</w:t>
            </w:r>
          </w:p>
        </w:tc>
      </w:tr>
      <w:tr w:rsidR="00975452" w14:paraId="7531EA38" w14:textId="77777777">
        <w:trPr>
          <w:cantSplit/>
          <w:jc w:val="center"/>
        </w:trPr>
        <w:tc>
          <w:tcPr>
            <w:tcW w:w="1800" w:type="dxa"/>
            <w:vAlign w:val="center"/>
          </w:tcPr>
          <w:p w14:paraId="4A0E59F4" w14:textId="77777777" w:rsidR="00975452" w:rsidRDefault="00000000" w:rsidP="00BD7066">
            <w:pPr>
              <w:spacing w:after="0"/>
              <w:jc w:val="both"/>
            </w:pPr>
            <w:r>
              <w:rPr>
                <w:sz w:val="16"/>
              </w:rPr>
              <w:t>Dopp et al. (2021)</w:t>
            </w:r>
          </w:p>
        </w:tc>
        <w:tc>
          <w:tcPr>
            <w:tcW w:w="2304" w:type="dxa"/>
            <w:vAlign w:val="center"/>
          </w:tcPr>
          <w:p w14:paraId="239DC8C6" w14:textId="77777777" w:rsidR="00975452" w:rsidRDefault="00000000" w:rsidP="00BD7066">
            <w:pPr>
              <w:spacing w:after="0"/>
              <w:jc w:val="both"/>
            </w:pPr>
            <w:r>
              <w:rPr>
                <w:sz w:val="16"/>
              </w:rPr>
              <w:t>Implementation-science/economic financing framework</w:t>
            </w:r>
          </w:p>
        </w:tc>
        <w:tc>
          <w:tcPr>
            <w:tcW w:w="3600" w:type="dxa"/>
            <w:vAlign w:val="center"/>
          </w:tcPr>
          <w:p w14:paraId="772C1351" w14:textId="77777777" w:rsidR="00975452" w:rsidRDefault="00000000" w:rsidP="00BD7066">
            <w:pPr>
              <w:spacing w:after="0"/>
              <w:jc w:val="both"/>
            </w:pPr>
            <w:r>
              <w:rPr>
                <w:sz w:val="16"/>
              </w:rPr>
              <w:t>Links economic evaluation to practical financing strategies for adoption and scale-up.</w:t>
            </w:r>
          </w:p>
        </w:tc>
        <w:tc>
          <w:tcPr>
            <w:tcW w:w="2016" w:type="dxa"/>
            <w:vAlign w:val="center"/>
          </w:tcPr>
          <w:p w14:paraId="70EDFDE3" w14:textId="77777777" w:rsidR="00975452" w:rsidRDefault="00000000" w:rsidP="00BD7066">
            <w:pPr>
              <w:spacing w:after="0"/>
              <w:jc w:val="both"/>
            </w:pPr>
            <w:r>
              <w:rPr>
                <w:sz w:val="16"/>
              </w:rPr>
              <w:t>Primarily methodological; does not estimate a single Medicaid program effect.</w:t>
            </w:r>
          </w:p>
        </w:tc>
      </w:tr>
      <w:tr w:rsidR="00975452" w14:paraId="03E5B231" w14:textId="77777777">
        <w:trPr>
          <w:cantSplit/>
          <w:jc w:val="center"/>
        </w:trPr>
        <w:tc>
          <w:tcPr>
            <w:tcW w:w="1800" w:type="dxa"/>
            <w:vAlign w:val="center"/>
          </w:tcPr>
          <w:p w14:paraId="16F350D2" w14:textId="77777777" w:rsidR="00975452" w:rsidRDefault="00000000" w:rsidP="00BD7066">
            <w:pPr>
              <w:spacing w:after="0"/>
              <w:jc w:val="both"/>
            </w:pPr>
            <w:r>
              <w:rPr>
                <w:sz w:val="16"/>
              </w:rPr>
              <w:lastRenderedPageBreak/>
              <w:t>Yan et al. (2022)</w:t>
            </w:r>
          </w:p>
        </w:tc>
        <w:tc>
          <w:tcPr>
            <w:tcW w:w="2304" w:type="dxa"/>
            <w:vAlign w:val="center"/>
          </w:tcPr>
          <w:p w14:paraId="0F70401D" w14:textId="77777777" w:rsidR="00975452" w:rsidRDefault="00000000" w:rsidP="00BD7066">
            <w:pPr>
              <w:spacing w:after="0"/>
              <w:jc w:val="both"/>
            </w:pPr>
            <w:r>
              <w:rPr>
                <w:sz w:val="16"/>
              </w:rPr>
              <w:t>Systematic review of social-needs screening/interventions in U.S. clinical settings</w:t>
            </w:r>
          </w:p>
        </w:tc>
        <w:tc>
          <w:tcPr>
            <w:tcW w:w="3600" w:type="dxa"/>
            <w:vAlign w:val="center"/>
          </w:tcPr>
          <w:p w14:paraId="6058585F" w14:textId="77777777" w:rsidR="00975452" w:rsidRDefault="00000000" w:rsidP="00BD7066">
            <w:pPr>
              <w:spacing w:after="0"/>
              <w:jc w:val="both"/>
            </w:pPr>
            <w:r>
              <w:rPr>
                <w:sz w:val="16"/>
              </w:rPr>
              <w:t>Finds improved resource access in many studies but mixed utilization and cost effects.</w:t>
            </w:r>
          </w:p>
        </w:tc>
        <w:tc>
          <w:tcPr>
            <w:tcW w:w="2016" w:type="dxa"/>
            <w:vAlign w:val="center"/>
          </w:tcPr>
          <w:p w14:paraId="38432B6C" w14:textId="77777777" w:rsidR="00975452" w:rsidRDefault="00000000" w:rsidP="00BD7066">
            <w:pPr>
              <w:spacing w:after="0"/>
              <w:jc w:val="both"/>
            </w:pPr>
            <w:r>
              <w:rPr>
                <w:sz w:val="16"/>
              </w:rPr>
              <w:t>Heterogeneous interventions and designs; not limited to Medicaid.</w:t>
            </w:r>
          </w:p>
        </w:tc>
      </w:tr>
      <w:tr w:rsidR="00975452" w14:paraId="5E3DCB1D" w14:textId="77777777">
        <w:trPr>
          <w:cantSplit/>
          <w:jc w:val="center"/>
        </w:trPr>
        <w:tc>
          <w:tcPr>
            <w:tcW w:w="1800" w:type="dxa"/>
            <w:vAlign w:val="center"/>
          </w:tcPr>
          <w:p w14:paraId="1DF1C11E" w14:textId="77777777" w:rsidR="00975452" w:rsidRDefault="00000000" w:rsidP="00BD7066">
            <w:pPr>
              <w:spacing w:after="0"/>
              <w:jc w:val="both"/>
            </w:pPr>
            <w:r>
              <w:rPr>
                <w:sz w:val="16"/>
              </w:rPr>
              <w:t>Schiavoni et al. (2022)</w:t>
            </w:r>
          </w:p>
        </w:tc>
        <w:tc>
          <w:tcPr>
            <w:tcW w:w="2304" w:type="dxa"/>
            <w:vAlign w:val="center"/>
          </w:tcPr>
          <w:p w14:paraId="5E8A6208" w14:textId="77777777" w:rsidR="00975452" w:rsidRDefault="00000000" w:rsidP="00BD7066">
            <w:pPr>
              <w:spacing w:after="0"/>
              <w:jc w:val="both"/>
            </w:pPr>
            <w:r>
              <w:rPr>
                <w:sz w:val="16"/>
              </w:rPr>
              <w:t>Cross-sectional study in a Medicaid ACO; 27,413 patients</w:t>
            </w:r>
          </w:p>
        </w:tc>
        <w:tc>
          <w:tcPr>
            <w:tcW w:w="3600" w:type="dxa"/>
            <w:vAlign w:val="center"/>
          </w:tcPr>
          <w:p w14:paraId="7DDFA757" w14:textId="77777777" w:rsidR="00975452" w:rsidRDefault="00000000" w:rsidP="00BD7066">
            <w:pPr>
              <w:spacing w:after="0"/>
              <w:jc w:val="both"/>
            </w:pPr>
            <w:r>
              <w:rPr>
                <w:sz w:val="16"/>
              </w:rPr>
              <w:t>Demonstrates high prevalence of social risk and incomplete overlap between risk and requests for assistance.</w:t>
            </w:r>
          </w:p>
        </w:tc>
        <w:tc>
          <w:tcPr>
            <w:tcW w:w="2016" w:type="dxa"/>
            <w:vAlign w:val="center"/>
          </w:tcPr>
          <w:p w14:paraId="0823BE07" w14:textId="77777777" w:rsidR="00975452" w:rsidRDefault="00000000" w:rsidP="00BD7066">
            <w:pPr>
              <w:spacing w:after="0"/>
              <w:jc w:val="both"/>
            </w:pPr>
            <w:r>
              <w:rPr>
                <w:sz w:val="16"/>
              </w:rPr>
              <w:t>Descriptive; does not estimate causal effects on costs or utilization.</w:t>
            </w:r>
          </w:p>
        </w:tc>
      </w:tr>
      <w:tr w:rsidR="00975452" w14:paraId="1187B946" w14:textId="77777777">
        <w:trPr>
          <w:cantSplit/>
          <w:jc w:val="center"/>
        </w:trPr>
        <w:tc>
          <w:tcPr>
            <w:tcW w:w="1800" w:type="dxa"/>
            <w:vAlign w:val="center"/>
          </w:tcPr>
          <w:p w14:paraId="03A5F6B3" w14:textId="77777777" w:rsidR="00975452" w:rsidRDefault="00000000" w:rsidP="00BD7066">
            <w:pPr>
              <w:spacing w:after="0"/>
              <w:jc w:val="both"/>
            </w:pPr>
            <w:r w:rsidRPr="0095171C">
              <w:rPr>
                <w:sz w:val="16"/>
                <w:lang w:val="nl-BE"/>
              </w:rPr>
              <w:t xml:space="preserve">Buitron de la Vega et al. </w:t>
            </w:r>
            <w:r>
              <w:rPr>
                <w:sz w:val="16"/>
              </w:rPr>
              <w:t>(2023)</w:t>
            </w:r>
          </w:p>
        </w:tc>
        <w:tc>
          <w:tcPr>
            <w:tcW w:w="2304" w:type="dxa"/>
            <w:vAlign w:val="center"/>
          </w:tcPr>
          <w:p w14:paraId="10F5D85E" w14:textId="77777777" w:rsidR="00975452" w:rsidRDefault="00000000" w:rsidP="00BD7066">
            <w:pPr>
              <w:spacing w:after="0"/>
              <w:jc w:val="both"/>
            </w:pPr>
            <w:r>
              <w:rPr>
                <w:sz w:val="16"/>
              </w:rPr>
              <w:t>Nonrandomized controlled trial in a Medicaid ACO; 364 adults</w:t>
            </w:r>
          </w:p>
        </w:tc>
        <w:tc>
          <w:tcPr>
            <w:tcW w:w="3600" w:type="dxa"/>
            <w:vAlign w:val="center"/>
          </w:tcPr>
          <w:p w14:paraId="427A4F7C" w14:textId="77777777" w:rsidR="00975452" w:rsidRDefault="00000000" w:rsidP="00BD7066">
            <w:pPr>
              <w:spacing w:after="0"/>
              <w:jc w:val="both"/>
            </w:pPr>
            <w:r>
              <w:rPr>
                <w:sz w:val="16"/>
              </w:rPr>
              <w:t>Tests intensive screening/navigation; no significant 12-month reduction in hospital/ED utilization.</w:t>
            </w:r>
          </w:p>
        </w:tc>
        <w:tc>
          <w:tcPr>
            <w:tcW w:w="2016" w:type="dxa"/>
            <w:vAlign w:val="center"/>
          </w:tcPr>
          <w:p w14:paraId="694830DF" w14:textId="77777777" w:rsidR="00975452" w:rsidRDefault="00000000" w:rsidP="00BD7066">
            <w:pPr>
              <w:spacing w:after="0"/>
              <w:jc w:val="both"/>
            </w:pPr>
            <w:r>
              <w:rPr>
                <w:sz w:val="16"/>
              </w:rPr>
              <w:t>Single safety-net setting and nonrandom allocation.</w:t>
            </w:r>
          </w:p>
        </w:tc>
      </w:tr>
      <w:tr w:rsidR="00975452" w14:paraId="368BE64E" w14:textId="77777777">
        <w:trPr>
          <w:cantSplit/>
          <w:jc w:val="center"/>
        </w:trPr>
        <w:tc>
          <w:tcPr>
            <w:tcW w:w="1800" w:type="dxa"/>
            <w:vAlign w:val="center"/>
          </w:tcPr>
          <w:p w14:paraId="1EDB793D" w14:textId="77777777" w:rsidR="00975452" w:rsidRDefault="00000000" w:rsidP="00BD7066">
            <w:pPr>
              <w:spacing w:after="0"/>
              <w:jc w:val="both"/>
            </w:pPr>
            <w:r>
              <w:rPr>
                <w:sz w:val="16"/>
              </w:rPr>
              <w:t>McCurley et al. (2023)</w:t>
            </w:r>
          </w:p>
        </w:tc>
        <w:tc>
          <w:tcPr>
            <w:tcW w:w="2304" w:type="dxa"/>
            <w:vAlign w:val="center"/>
          </w:tcPr>
          <w:p w14:paraId="64C6E596" w14:textId="77777777" w:rsidR="00975452" w:rsidRDefault="00000000" w:rsidP="00BD7066">
            <w:pPr>
              <w:spacing w:after="0"/>
              <w:jc w:val="both"/>
            </w:pPr>
            <w:r>
              <w:rPr>
                <w:sz w:val="16"/>
              </w:rPr>
              <w:t>Mixed-methods implementation evaluation of MassHealth Flexible Services</w:t>
            </w:r>
          </w:p>
        </w:tc>
        <w:tc>
          <w:tcPr>
            <w:tcW w:w="3600" w:type="dxa"/>
            <w:vAlign w:val="center"/>
          </w:tcPr>
          <w:p w14:paraId="3D628FD2" w14:textId="77777777" w:rsidR="00975452" w:rsidRDefault="00000000" w:rsidP="00BD7066">
            <w:pPr>
              <w:spacing w:after="0"/>
              <w:jc w:val="both"/>
            </w:pPr>
            <w:r>
              <w:rPr>
                <w:sz w:val="16"/>
              </w:rPr>
              <w:t>Identifies screening reach, administrative burden, data-sharing needs, and community-partnership requirements.</w:t>
            </w:r>
          </w:p>
        </w:tc>
        <w:tc>
          <w:tcPr>
            <w:tcW w:w="2016" w:type="dxa"/>
            <w:vAlign w:val="center"/>
          </w:tcPr>
          <w:p w14:paraId="09344D73" w14:textId="77777777" w:rsidR="00975452" w:rsidRDefault="00000000" w:rsidP="00BD7066">
            <w:pPr>
              <w:spacing w:after="0"/>
              <w:jc w:val="both"/>
            </w:pPr>
            <w:r>
              <w:rPr>
                <w:sz w:val="16"/>
              </w:rPr>
              <w:t>Implementation evaluation in one ACO; not designed to estimate long-term cost savings.</w:t>
            </w:r>
          </w:p>
        </w:tc>
      </w:tr>
      <w:tr w:rsidR="00975452" w14:paraId="1E3CE99E" w14:textId="77777777">
        <w:trPr>
          <w:cantSplit/>
          <w:jc w:val="center"/>
        </w:trPr>
        <w:tc>
          <w:tcPr>
            <w:tcW w:w="1800" w:type="dxa"/>
            <w:vAlign w:val="center"/>
          </w:tcPr>
          <w:p w14:paraId="300F1AA6" w14:textId="77777777" w:rsidR="00975452" w:rsidRDefault="00000000" w:rsidP="00BD7066">
            <w:pPr>
              <w:spacing w:after="0"/>
              <w:jc w:val="both"/>
            </w:pPr>
            <w:r>
              <w:rPr>
                <w:sz w:val="16"/>
              </w:rPr>
              <w:t>Sabatino et al. (2023)</w:t>
            </w:r>
          </w:p>
        </w:tc>
        <w:tc>
          <w:tcPr>
            <w:tcW w:w="2304" w:type="dxa"/>
            <w:vAlign w:val="center"/>
          </w:tcPr>
          <w:p w14:paraId="4E7E23C0" w14:textId="77777777" w:rsidR="00975452" w:rsidRDefault="00000000" w:rsidP="00BD7066">
            <w:pPr>
              <w:spacing w:after="0"/>
              <w:jc w:val="both"/>
            </w:pPr>
            <w:r>
              <w:rPr>
                <w:sz w:val="16"/>
              </w:rPr>
              <w:t>Repeated cross-sectional MassHealth ACO utilization study</w:t>
            </w:r>
          </w:p>
        </w:tc>
        <w:tc>
          <w:tcPr>
            <w:tcW w:w="3600" w:type="dxa"/>
            <w:vAlign w:val="center"/>
          </w:tcPr>
          <w:p w14:paraId="582E6799" w14:textId="77777777" w:rsidR="00975452" w:rsidRDefault="00000000" w:rsidP="00BD7066">
            <w:pPr>
              <w:spacing w:after="0"/>
              <w:jc w:val="both"/>
            </w:pPr>
            <w:r>
              <w:rPr>
                <w:sz w:val="16"/>
              </w:rPr>
              <w:t>Shows increased primary care and selected declines in hospitalization/unplanned use after ACO implementation.</w:t>
            </w:r>
          </w:p>
        </w:tc>
        <w:tc>
          <w:tcPr>
            <w:tcW w:w="2016" w:type="dxa"/>
            <w:vAlign w:val="center"/>
          </w:tcPr>
          <w:p w14:paraId="0749332D" w14:textId="77777777" w:rsidR="00975452" w:rsidRDefault="00000000" w:rsidP="00BD7066">
            <w:pPr>
              <w:spacing w:after="0"/>
              <w:jc w:val="both"/>
            </w:pPr>
            <w:r>
              <w:rPr>
                <w:sz w:val="16"/>
              </w:rPr>
              <w:t>Descriptive pre/post comparison without a contemporaneous causal control group.</w:t>
            </w:r>
          </w:p>
        </w:tc>
      </w:tr>
      <w:tr w:rsidR="00975452" w14:paraId="6BDC3656" w14:textId="77777777">
        <w:trPr>
          <w:cantSplit/>
          <w:jc w:val="center"/>
        </w:trPr>
        <w:tc>
          <w:tcPr>
            <w:tcW w:w="1800" w:type="dxa"/>
            <w:vAlign w:val="center"/>
          </w:tcPr>
          <w:p w14:paraId="21DB0294" w14:textId="77777777" w:rsidR="00975452" w:rsidRDefault="00000000" w:rsidP="00BD7066">
            <w:pPr>
              <w:spacing w:after="0"/>
              <w:jc w:val="both"/>
            </w:pPr>
            <w:r>
              <w:rPr>
                <w:sz w:val="16"/>
              </w:rPr>
              <w:t>De Marchis et al. (2023)</w:t>
            </w:r>
          </w:p>
        </w:tc>
        <w:tc>
          <w:tcPr>
            <w:tcW w:w="2304" w:type="dxa"/>
            <w:vAlign w:val="center"/>
          </w:tcPr>
          <w:p w14:paraId="69FEB9BC" w14:textId="77777777" w:rsidR="00975452" w:rsidRDefault="00000000" w:rsidP="00BD7066">
            <w:pPr>
              <w:spacing w:after="0"/>
              <w:jc w:val="both"/>
            </w:pPr>
            <w:r>
              <w:rPr>
                <w:sz w:val="16"/>
              </w:rPr>
              <w:t>Systematic scoping review of social screening implementation</w:t>
            </w:r>
          </w:p>
        </w:tc>
        <w:tc>
          <w:tcPr>
            <w:tcW w:w="3600" w:type="dxa"/>
            <w:vAlign w:val="center"/>
          </w:tcPr>
          <w:p w14:paraId="6C28568F" w14:textId="77777777" w:rsidR="00975452" w:rsidRDefault="00000000" w:rsidP="00BD7066">
            <w:pPr>
              <w:spacing w:after="0"/>
              <w:jc w:val="both"/>
            </w:pPr>
            <w:r>
              <w:rPr>
                <w:sz w:val="16"/>
              </w:rPr>
              <w:t>Shows wide variation in reach, adoption, implementation, and maintenance reporting.</w:t>
            </w:r>
          </w:p>
        </w:tc>
        <w:tc>
          <w:tcPr>
            <w:tcW w:w="2016" w:type="dxa"/>
            <w:vAlign w:val="center"/>
          </w:tcPr>
          <w:p w14:paraId="628D900D" w14:textId="77777777" w:rsidR="00975452" w:rsidRDefault="00000000" w:rsidP="00BD7066">
            <w:pPr>
              <w:spacing w:after="0"/>
              <w:jc w:val="both"/>
            </w:pPr>
            <w:r>
              <w:rPr>
                <w:sz w:val="16"/>
              </w:rPr>
              <w:t>Focuses on screening implementation rather than economic outcomes.</w:t>
            </w:r>
          </w:p>
        </w:tc>
      </w:tr>
      <w:tr w:rsidR="00975452" w14:paraId="1545186F" w14:textId="77777777">
        <w:trPr>
          <w:cantSplit/>
          <w:jc w:val="center"/>
        </w:trPr>
        <w:tc>
          <w:tcPr>
            <w:tcW w:w="1800" w:type="dxa"/>
            <w:vAlign w:val="center"/>
          </w:tcPr>
          <w:p w14:paraId="7A1D657E" w14:textId="77777777" w:rsidR="00975452" w:rsidRDefault="00000000" w:rsidP="00BD7066">
            <w:pPr>
              <w:spacing w:after="0"/>
              <w:jc w:val="both"/>
            </w:pPr>
            <w:r>
              <w:rPr>
                <w:sz w:val="16"/>
              </w:rPr>
              <w:t>Knowles et al. (2023)</w:t>
            </w:r>
          </w:p>
        </w:tc>
        <w:tc>
          <w:tcPr>
            <w:tcW w:w="2304" w:type="dxa"/>
            <w:vAlign w:val="center"/>
          </w:tcPr>
          <w:p w14:paraId="54CB9479" w14:textId="77777777" w:rsidR="00975452" w:rsidRDefault="00000000" w:rsidP="00BD7066">
            <w:pPr>
              <w:spacing w:after="0"/>
              <w:jc w:val="both"/>
            </w:pPr>
            <w:r>
              <w:rPr>
                <w:sz w:val="16"/>
              </w:rPr>
              <w:t>Review of U.S. community health worker integration</w:t>
            </w:r>
          </w:p>
        </w:tc>
        <w:tc>
          <w:tcPr>
            <w:tcW w:w="3600" w:type="dxa"/>
            <w:vAlign w:val="center"/>
          </w:tcPr>
          <w:p w14:paraId="210BCFFC" w14:textId="77777777" w:rsidR="00975452" w:rsidRDefault="00000000" w:rsidP="00BD7066">
            <w:pPr>
              <w:spacing w:after="0"/>
              <w:jc w:val="both"/>
            </w:pPr>
            <w:r>
              <w:rPr>
                <w:sz w:val="16"/>
              </w:rPr>
              <w:t>Supports CHW roles in navigation, chronic disease management, and community linkage.</w:t>
            </w:r>
          </w:p>
        </w:tc>
        <w:tc>
          <w:tcPr>
            <w:tcW w:w="2016" w:type="dxa"/>
            <w:vAlign w:val="center"/>
          </w:tcPr>
          <w:p w14:paraId="5D36AAD8" w14:textId="77777777" w:rsidR="00975452" w:rsidRDefault="00000000" w:rsidP="00BD7066">
            <w:pPr>
              <w:spacing w:after="0"/>
              <w:jc w:val="both"/>
            </w:pPr>
            <w:r>
              <w:rPr>
                <w:sz w:val="16"/>
              </w:rPr>
              <w:t>Program designs and financing models vary substantially.</w:t>
            </w:r>
          </w:p>
        </w:tc>
      </w:tr>
      <w:tr w:rsidR="00975452" w14:paraId="17568446" w14:textId="77777777">
        <w:trPr>
          <w:cantSplit/>
          <w:jc w:val="center"/>
        </w:trPr>
        <w:tc>
          <w:tcPr>
            <w:tcW w:w="1800" w:type="dxa"/>
            <w:vAlign w:val="center"/>
          </w:tcPr>
          <w:p w14:paraId="16C70663" w14:textId="77777777" w:rsidR="00975452" w:rsidRDefault="00000000" w:rsidP="00BD7066">
            <w:pPr>
              <w:spacing w:after="0"/>
              <w:jc w:val="both"/>
            </w:pPr>
            <w:r>
              <w:rPr>
                <w:sz w:val="16"/>
              </w:rPr>
              <w:t>Agniel et al. (2023)</w:t>
            </w:r>
          </w:p>
        </w:tc>
        <w:tc>
          <w:tcPr>
            <w:tcW w:w="2304" w:type="dxa"/>
            <w:vAlign w:val="center"/>
          </w:tcPr>
          <w:p w14:paraId="6C4CAFF2" w14:textId="77777777" w:rsidR="00975452" w:rsidRDefault="00000000" w:rsidP="00BD7066">
            <w:pPr>
              <w:spacing w:after="0"/>
              <w:jc w:val="both"/>
            </w:pPr>
            <w:r>
              <w:rPr>
                <w:sz w:val="16"/>
              </w:rPr>
              <w:t>Health Affairs research article on equity-sensitive quality measurement</w:t>
            </w:r>
          </w:p>
        </w:tc>
        <w:tc>
          <w:tcPr>
            <w:tcW w:w="3600" w:type="dxa"/>
            <w:vAlign w:val="center"/>
          </w:tcPr>
          <w:p w14:paraId="5506C8A7" w14:textId="77777777" w:rsidR="00975452" w:rsidRDefault="00000000" w:rsidP="00BD7066">
            <w:pPr>
              <w:spacing w:after="0"/>
              <w:jc w:val="both"/>
            </w:pPr>
            <w:r>
              <w:rPr>
                <w:sz w:val="16"/>
              </w:rPr>
              <w:t>Provides an explicit framework for incorporating equity into performance measurement.</w:t>
            </w:r>
          </w:p>
        </w:tc>
        <w:tc>
          <w:tcPr>
            <w:tcW w:w="2016" w:type="dxa"/>
            <w:vAlign w:val="center"/>
          </w:tcPr>
          <w:p w14:paraId="004CA4AF" w14:textId="77777777" w:rsidR="00975452" w:rsidRDefault="00000000" w:rsidP="00BD7066">
            <w:pPr>
              <w:spacing w:after="0"/>
              <w:jc w:val="both"/>
            </w:pPr>
            <w:r>
              <w:rPr>
                <w:sz w:val="16"/>
              </w:rPr>
              <w:t>Illustrative Medicare-based application; not a Medicaid intervention evaluation.</w:t>
            </w:r>
          </w:p>
        </w:tc>
      </w:tr>
      <w:tr w:rsidR="00975452" w14:paraId="0E7B4E44" w14:textId="77777777">
        <w:trPr>
          <w:cantSplit/>
          <w:jc w:val="center"/>
        </w:trPr>
        <w:tc>
          <w:tcPr>
            <w:tcW w:w="1800" w:type="dxa"/>
            <w:vAlign w:val="center"/>
          </w:tcPr>
          <w:p w14:paraId="6D1D3BD5" w14:textId="77777777" w:rsidR="00975452" w:rsidRDefault="00000000" w:rsidP="00BD7066">
            <w:pPr>
              <w:spacing w:after="0"/>
              <w:jc w:val="both"/>
            </w:pPr>
            <w:r>
              <w:rPr>
                <w:sz w:val="16"/>
              </w:rPr>
              <w:t>Chuang &amp; Safaeinili (2024)</w:t>
            </w:r>
          </w:p>
        </w:tc>
        <w:tc>
          <w:tcPr>
            <w:tcW w:w="2304" w:type="dxa"/>
            <w:vAlign w:val="center"/>
          </w:tcPr>
          <w:p w14:paraId="158D50C0" w14:textId="77777777" w:rsidR="00975452" w:rsidRDefault="00000000" w:rsidP="00BD7066">
            <w:pPr>
              <w:spacing w:after="0"/>
              <w:jc w:val="both"/>
            </w:pPr>
            <w:r>
              <w:rPr>
                <w:sz w:val="16"/>
              </w:rPr>
              <w:t>Annual Review of Public Health review of social-needs interventions</w:t>
            </w:r>
          </w:p>
        </w:tc>
        <w:tc>
          <w:tcPr>
            <w:tcW w:w="3600" w:type="dxa"/>
            <w:vAlign w:val="center"/>
          </w:tcPr>
          <w:p w14:paraId="695F90DE" w14:textId="77777777" w:rsidR="00975452" w:rsidRDefault="00000000" w:rsidP="00BD7066">
            <w:pPr>
              <w:spacing w:after="0"/>
              <w:jc w:val="both"/>
            </w:pPr>
            <w:r>
              <w:rPr>
                <w:sz w:val="16"/>
              </w:rPr>
              <w:t>Synthesizes implementation and evidence on utilization, cost, and integration; concludes impact evidence is limited and mixed.</w:t>
            </w:r>
          </w:p>
        </w:tc>
        <w:tc>
          <w:tcPr>
            <w:tcW w:w="2016" w:type="dxa"/>
            <w:vAlign w:val="center"/>
          </w:tcPr>
          <w:p w14:paraId="12457A8E" w14:textId="77777777" w:rsidR="00975452" w:rsidRDefault="00000000" w:rsidP="00BD7066">
            <w:pPr>
              <w:spacing w:after="0"/>
              <w:jc w:val="both"/>
            </w:pPr>
            <w:r>
              <w:rPr>
                <w:sz w:val="16"/>
              </w:rPr>
              <w:t>Broad U.S. review across payers and program types.</w:t>
            </w:r>
          </w:p>
        </w:tc>
      </w:tr>
      <w:tr w:rsidR="00975452" w14:paraId="495E3B65" w14:textId="77777777">
        <w:trPr>
          <w:cantSplit/>
          <w:jc w:val="center"/>
        </w:trPr>
        <w:tc>
          <w:tcPr>
            <w:tcW w:w="1800" w:type="dxa"/>
            <w:vAlign w:val="center"/>
          </w:tcPr>
          <w:p w14:paraId="2B762E6B" w14:textId="77777777" w:rsidR="00975452" w:rsidRDefault="00000000" w:rsidP="00BD7066">
            <w:pPr>
              <w:spacing w:after="0"/>
              <w:jc w:val="both"/>
            </w:pPr>
            <w:r>
              <w:rPr>
                <w:sz w:val="16"/>
              </w:rPr>
              <w:t>Mozaffarian et al. (2024)</w:t>
            </w:r>
          </w:p>
        </w:tc>
        <w:tc>
          <w:tcPr>
            <w:tcW w:w="2304" w:type="dxa"/>
            <w:vAlign w:val="center"/>
          </w:tcPr>
          <w:p w14:paraId="6FDF7CAF" w14:textId="77777777" w:rsidR="00975452" w:rsidRDefault="00000000" w:rsidP="00BD7066">
            <w:pPr>
              <w:spacing w:after="0"/>
              <w:jc w:val="both"/>
            </w:pPr>
            <w:r>
              <w:rPr>
                <w:sz w:val="16"/>
              </w:rPr>
              <w:t>JACC state-of-the-art review of Food Is Medicine</w:t>
            </w:r>
          </w:p>
        </w:tc>
        <w:tc>
          <w:tcPr>
            <w:tcW w:w="3600" w:type="dxa"/>
            <w:vAlign w:val="center"/>
          </w:tcPr>
          <w:p w14:paraId="6BBF4028" w14:textId="77777777" w:rsidR="00975452" w:rsidRDefault="00000000" w:rsidP="00BD7066">
            <w:pPr>
              <w:spacing w:after="0"/>
              <w:jc w:val="both"/>
            </w:pPr>
            <w:r>
              <w:rPr>
                <w:sz w:val="16"/>
              </w:rPr>
              <w:t>Summarizes food-based intervention models and policy/payment considerations.</w:t>
            </w:r>
          </w:p>
        </w:tc>
        <w:tc>
          <w:tcPr>
            <w:tcW w:w="2016" w:type="dxa"/>
            <w:vAlign w:val="center"/>
          </w:tcPr>
          <w:p w14:paraId="230D1EAB" w14:textId="77777777" w:rsidR="00975452" w:rsidRDefault="00000000" w:rsidP="00BD7066">
            <w:pPr>
              <w:spacing w:after="0"/>
              <w:jc w:val="both"/>
            </w:pPr>
            <w:r>
              <w:rPr>
                <w:sz w:val="16"/>
              </w:rPr>
              <w:t>Evidence quality and economic methods vary across programs.</w:t>
            </w:r>
          </w:p>
        </w:tc>
      </w:tr>
      <w:tr w:rsidR="00975452" w14:paraId="4477E967" w14:textId="77777777">
        <w:trPr>
          <w:cantSplit/>
          <w:jc w:val="center"/>
        </w:trPr>
        <w:tc>
          <w:tcPr>
            <w:tcW w:w="1800" w:type="dxa"/>
            <w:vAlign w:val="center"/>
          </w:tcPr>
          <w:p w14:paraId="3F197127" w14:textId="77777777" w:rsidR="00975452" w:rsidRDefault="00000000" w:rsidP="00BD7066">
            <w:pPr>
              <w:spacing w:after="0"/>
              <w:jc w:val="both"/>
            </w:pPr>
            <w:r>
              <w:rPr>
                <w:sz w:val="16"/>
              </w:rPr>
              <w:t>Thorndike et al. (2025)</w:t>
            </w:r>
          </w:p>
        </w:tc>
        <w:tc>
          <w:tcPr>
            <w:tcW w:w="2304" w:type="dxa"/>
            <w:vAlign w:val="center"/>
          </w:tcPr>
          <w:p w14:paraId="4E16A861" w14:textId="77777777" w:rsidR="00975452" w:rsidRDefault="00000000" w:rsidP="00BD7066">
            <w:pPr>
              <w:spacing w:after="0"/>
              <w:jc w:val="both"/>
            </w:pPr>
            <w:r>
              <w:rPr>
                <w:sz w:val="16"/>
              </w:rPr>
              <w:t>Prospective cohort study of Medicaid Flexible Services participants</w:t>
            </w:r>
          </w:p>
        </w:tc>
        <w:tc>
          <w:tcPr>
            <w:tcW w:w="3600" w:type="dxa"/>
            <w:vAlign w:val="center"/>
          </w:tcPr>
          <w:p w14:paraId="56466874" w14:textId="77777777" w:rsidR="00975452" w:rsidRDefault="00000000" w:rsidP="00BD7066">
            <w:pPr>
              <w:spacing w:after="0"/>
              <w:jc w:val="both"/>
            </w:pPr>
            <w:r>
              <w:rPr>
                <w:sz w:val="16"/>
              </w:rPr>
              <w:t>Found no significant short-term improvement in food/housing insecurity, diet, stress, or acute utilization relative to comparison participants.</w:t>
            </w:r>
          </w:p>
        </w:tc>
        <w:tc>
          <w:tcPr>
            <w:tcW w:w="2016" w:type="dxa"/>
            <w:vAlign w:val="center"/>
          </w:tcPr>
          <w:p w14:paraId="66221476" w14:textId="77777777" w:rsidR="00975452" w:rsidRDefault="00000000" w:rsidP="00BD7066">
            <w:pPr>
              <w:spacing w:after="0"/>
              <w:jc w:val="both"/>
            </w:pPr>
            <w:r>
              <w:rPr>
                <w:sz w:val="16"/>
              </w:rPr>
              <w:t>Nonrandomized participation and one ACO setting.</w:t>
            </w:r>
          </w:p>
        </w:tc>
      </w:tr>
      <w:tr w:rsidR="00975452" w14:paraId="239D7DBD" w14:textId="77777777">
        <w:trPr>
          <w:cantSplit/>
          <w:jc w:val="center"/>
        </w:trPr>
        <w:tc>
          <w:tcPr>
            <w:tcW w:w="1800" w:type="dxa"/>
            <w:vAlign w:val="center"/>
          </w:tcPr>
          <w:p w14:paraId="4741FBE5" w14:textId="77777777" w:rsidR="00975452" w:rsidRDefault="00000000" w:rsidP="00BD7066">
            <w:pPr>
              <w:spacing w:after="0"/>
              <w:jc w:val="both"/>
            </w:pPr>
            <w:r>
              <w:rPr>
                <w:sz w:val="16"/>
              </w:rPr>
              <w:t>Rosenfeld et al. (2025)</w:t>
            </w:r>
          </w:p>
        </w:tc>
        <w:tc>
          <w:tcPr>
            <w:tcW w:w="2304" w:type="dxa"/>
            <w:vAlign w:val="center"/>
          </w:tcPr>
          <w:p w14:paraId="4969541C" w14:textId="77777777" w:rsidR="00975452" w:rsidRDefault="00000000" w:rsidP="00BD7066">
            <w:pPr>
              <w:spacing w:after="0"/>
              <w:jc w:val="both"/>
            </w:pPr>
            <w:r>
              <w:rPr>
                <w:sz w:val="16"/>
              </w:rPr>
              <w:t>Conceptual framework for alternative payment models in SUD prevention</w:t>
            </w:r>
          </w:p>
        </w:tc>
        <w:tc>
          <w:tcPr>
            <w:tcW w:w="3600" w:type="dxa"/>
            <w:vAlign w:val="center"/>
          </w:tcPr>
          <w:p w14:paraId="68CCA0CB" w14:textId="77777777" w:rsidR="00975452" w:rsidRDefault="00000000" w:rsidP="00BD7066">
            <w:pPr>
              <w:spacing w:after="0"/>
              <w:jc w:val="both"/>
            </w:pPr>
            <w:r>
              <w:rPr>
                <w:sz w:val="16"/>
              </w:rPr>
              <w:t>Illustrates how financing structures can support preventive and cross-sector interventions.</w:t>
            </w:r>
          </w:p>
        </w:tc>
        <w:tc>
          <w:tcPr>
            <w:tcW w:w="2016" w:type="dxa"/>
            <w:vAlign w:val="center"/>
          </w:tcPr>
          <w:p w14:paraId="0D4177CC" w14:textId="77777777" w:rsidR="00975452" w:rsidRDefault="00000000" w:rsidP="00BD7066">
            <w:pPr>
              <w:spacing w:after="0"/>
              <w:jc w:val="both"/>
            </w:pPr>
            <w:r>
              <w:rPr>
                <w:sz w:val="16"/>
              </w:rPr>
              <w:t>Conceptual; requires empirical testing in specific Medicaid settings.</w:t>
            </w:r>
          </w:p>
        </w:tc>
      </w:tr>
    </w:tbl>
    <w:p w14:paraId="6BED9113" w14:textId="77777777" w:rsidR="00975452" w:rsidRDefault="00000000" w:rsidP="00BD7066">
      <w:pPr>
        <w:pStyle w:val="Heading2"/>
        <w:jc w:val="both"/>
      </w:pPr>
      <w:r>
        <w:t xml:space="preserve">4.3 Health care costs, </w:t>
      </w:r>
      <w:r>
        <w:rPr>
          <w:highlight w:val="yellow"/>
        </w:rPr>
        <w:t>utilisation</w:t>
      </w:r>
      <w:r>
        <w:t xml:space="preserve"> outcomes, and health equity</w:t>
      </w:r>
    </w:p>
    <w:p w14:paraId="13E388CE" w14:textId="77777777" w:rsidR="00975452" w:rsidRDefault="00000000" w:rsidP="00BD7066">
      <w:pPr>
        <w:ind w:firstLine="360"/>
        <w:jc w:val="both"/>
      </w:pPr>
      <w:r>
        <w:t xml:space="preserve">Evidence on cost and </w:t>
      </w:r>
      <w:r>
        <w:rPr>
          <w:highlight w:val="yellow"/>
        </w:rPr>
        <w:t>utilisation</w:t>
      </w:r>
      <w:r>
        <w:t xml:space="preserve"> outcomes is mixed, and this heterogeneity is one of the most consistent findings across the literature. Yan et al. (2022) found that social-needs screening and intervention studies often improved access to resources, but effects on health care </w:t>
      </w:r>
      <w:r>
        <w:rPr>
          <w:highlight w:val="yellow"/>
        </w:rPr>
        <w:t>utilisation</w:t>
      </w:r>
      <w:r>
        <w:t xml:space="preserve">, costs, and clinical outcomes varied across settings and intervention types. Chuang and Safaeinili (2024) reached a similar conclusion: implementation is expanding faster than high-certainty evidence about downstream </w:t>
      </w:r>
      <w:r>
        <w:rPr>
          <w:highlight w:val="yellow"/>
        </w:rPr>
        <w:t>utilisation</w:t>
      </w:r>
      <w:r>
        <w:t xml:space="preserve"> and financial effects.</w:t>
      </w:r>
    </w:p>
    <w:p w14:paraId="1B0406E7" w14:textId="77777777" w:rsidR="00975452" w:rsidRDefault="00000000" w:rsidP="00BD7066">
      <w:pPr>
        <w:ind w:firstLine="360"/>
        <w:jc w:val="both"/>
      </w:pPr>
      <w:r>
        <w:t xml:space="preserve">Medicaid-specific studies illustrate why simple cost-saving claims are not justified. Buitron de la Vega et al. (2023) evaluated enhanced pharmacy care that incorporated repeated social-needs screening and navigation for 364 adults in a Medicaid accountable care </w:t>
      </w:r>
      <w:r>
        <w:rPr>
          <w:highlight w:val="yellow"/>
        </w:rPr>
        <w:t>organisation</w:t>
      </w:r>
      <w:r>
        <w:t xml:space="preserve">. At 12 months, the intervention was not associated with significantly lower odds of any hospital admission or emergency department visit (adjusted odds ratio = 0.62, 95% CI 0.23-1.62; p = .32) or lower visit rates among participants with any visit (adjusted rate ratio = 0.93, 95% CI 0.71-1.22; p = .62). The study is important because it demonstrates that greater screening and navigation intensity does not necessarily translate into short-term </w:t>
      </w:r>
      <w:r>
        <w:rPr>
          <w:highlight w:val="yellow"/>
        </w:rPr>
        <w:t>utilisation</w:t>
      </w:r>
      <w:r>
        <w:t xml:space="preserve"> reductions.</w:t>
      </w:r>
    </w:p>
    <w:p w14:paraId="04898B03" w14:textId="77777777" w:rsidR="00975452" w:rsidRDefault="00000000" w:rsidP="00BD7066">
      <w:pPr>
        <w:ind w:firstLine="360"/>
        <w:jc w:val="both"/>
      </w:pPr>
      <w:r>
        <w:t xml:space="preserve">At the delivery-system level, Sabatino et al. (2023) described </w:t>
      </w:r>
      <w:r>
        <w:rPr>
          <w:highlight w:val="yellow"/>
        </w:rPr>
        <w:t>utilisation</w:t>
      </w:r>
      <w:r>
        <w:t xml:space="preserve"> changes during the first two years of the Massachusetts Medicaid accountable care </w:t>
      </w:r>
      <w:r>
        <w:rPr>
          <w:highlight w:val="yellow"/>
        </w:rPr>
        <w:t>organisation</w:t>
      </w:r>
      <w:r>
        <w:t xml:space="preserve"> program. Primary care use increased, observed </w:t>
      </w:r>
      <w:r>
        <w:rPr>
          <w:highlight w:val="yellow"/>
        </w:rPr>
        <w:t>hospitalisation</w:t>
      </w:r>
      <w:r>
        <w:t xml:space="preserve"> rates were lower than expected in several groups, and some condition-specific unplanned use declined, while all-cause emergency department use increased slightly. Because the study used repeated cross-sectional administrative data rather than a contemporaneous controlled design, these </w:t>
      </w:r>
      <w:r>
        <w:lastRenderedPageBreak/>
        <w:t xml:space="preserve">findings are best interpreted as evidence of </w:t>
      </w:r>
      <w:r>
        <w:rPr>
          <w:highlight w:val="yellow"/>
        </w:rPr>
        <w:t>utilisation</w:t>
      </w:r>
      <w:r>
        <w:t xml:space="preserve"> shifts rather than proof that the ACO model caused the changes.</w:t>
      </w:r>
    </w:p>
    <w:p w14:paraId="2BA6A352" w14:textId="77777777" w:rsidR="00975452" w:rsidRDefault="00000000" w:rsidP="00BD7066">
      <w:pPr>
        <w:ind w:firstLine="360"/>
        <w:jc w:val="both"/>
      </w:pPr>
      <w:r>
        <w:t xml:space="preserve">The Massachusetts Flexible Services experience also demonstrates the gap between program implementation and measurable short-term outcomes. McCurley et al. (2023) documented substantial screening activity and successful delivery of nutrition and housing services among enrolled participants, while also identifying administrative and cross-sector implementation barriers. In a later prospective cohort evaluation, Thorndike et al. (2025) found no significant between-group improvement over one year in food insecurity, housing insecurity, diet quality, stress, or acute health care use among Flexible Services participants compared with eligible nonparticipants. Together, these studies suggest that implementation success should not be equated automatically with rapid improvements in medical </w:t>
      </w:r>
      <w:r>
        <w:rPr>
          <w:highlight w:val="yellow"/>
        </w:rPr>
        <w:t>utilisation</w:t>
      </w:r>
      <w:r>
        <w:t xml:space="preserve"> or social conditions.</w:t>
      </w:r>
    </w:p>
    <w:p w14:paraId="32D4413B" w14:textId="77777777" w:rsidR="00975452" w:rsidRDefault="00000000" w:rsidP="00BD7066">
      <w:pPr>
        <w:ind w:firstLine="360"/>
        <w:jc w:val="both"/>
      </w:pPr>
      <w:r>
        <w:t xml:space="preserve">The time horizon of evaluation is therefore critical. Many integrated-care interventions require upfront investment in staff, data systems, referral infrastructure, and community partnerships. Short follow-up may capture implementation costs before downstream benefits can plausibly occur. Conversely, a long time horizon can overstate confidence if assumptions about persistence, uptake, or counterfactual </w:t>
      </w:r>
      <w:r>
        <w:rPr>
          <w:highlight w:val="yellow"/>
        </w:rPr>
        <w:t>utilisation</w:t>
      </w:r>
      <w:r>
        <w:t xml:space="preserve"> are not tested. Sensitivity analysis and transparent reporting of perspective, time horizon, discounting, and uncertainty are consequently important for policy interpretation (Vondeling, 2004; O'Leary et al., 2022).</w:t>
      </w:r>
    </w:p>
    <w:p w14:paraId="13D73001" w14:textId="77777777" w:rsidR="00975452" w:rsidRDefault="00000000" w:rsidP="00BD7066">
      <w:pPr>
        <w:ind w:firstLine="360"/>
        <w:jc w:val="both"/>
      </w:pPr>
      <w:r>
        <w:t>Health equity further complicates economic interpretation. Integrated care may create value through improved access, trust, navigation, and social stability even when short-term medical spending does not fall. However, equity claims should also be measured rather than assumed. Stratified outcomes, access measures, patient-reported outcomes, and explicit equity-oriented performance metrics can help determine whether integrated-care benefits reach groups experiencing greater social risk (Agniel et al., 2023).</w:t>
      </w:r>
    </w:p>
    <w:p w14:paraId="41595959" w14:textId="77777777" w:rsidR="00975452" w:rsidRDefault="00000000" w:rsidP="00BD7066">
      <w:pPr>
        <w:pStyle w:val="Heading1"/>
        <w:jc w:val="both"/>
      </w:pPr>
      <w:r>
        <w:t>5. Discussion</w:t>
      </w:r>
    </w:p>
    <w:p w14:paraId="1BC59402" w14:textId="77777777" w:rsidR="00975452" w:rsidRDefault="00000000" w:rsidP="00BD7066">
      <w:pPr>
        <w:ind w:firstLine="360"/>
        <w:jc w:val="both"/>
      </w:pPr>
      <w:r>
        <w:t xml:space="preserve">The reviewed evidence indicates that economic evidence has become an important component of Medicaid-supported health and social care integration, but its role should be </w:t>
      </w:r>
      <w:r>
        <w:rPr>
          <w:highlight w:val="yellow"/>
        </w:rPr>
        <w:t>characterised</w:t>
      </w:r>
      <w:r>
        <w:t xml:space="preserve"> carefully. The literature does not show that economic evaluation uniformly determines policy decisions or that integrated care consistently produces net cost savings. Instead, economic evidence interacts with program goals, statutory authority, </w:t>
      </w:r>
      <w:r>
        <w:rPr>
          <w:highlight w:val="yellow"/>
        </w:rPr>
        <w:t>organisational</w:t>
      </w:r>
      <w:r>
        <w:t xml:space="preserve"> capacity, service availability, and political-administrative context. The most defensible conclusion is that economic evidence increasingly informs decisions about design, financing, implementation, and sustainability, while its influence varies across settings.</w:t>
      </w:r>
    </w:p>
    <w:p w14:paraId="05CBE10E" w14:textId="77777777" w:rsidR="00975452" w:rsidRDefault="00000000" w:rsidP="00BD7066">
      <w:pPr>
        <w:ind w:firstLine="360"/>
        <w:jc w:val="both"/>
      </w:pPr>
      <w:r>
        <w:t xml:space="preserve">Three findings are especially consistent. First, implementation conditions strongly influence outcomes. Social-needs screening has limited value if referral systems are incomplete, community resources are unavailable, or data cannot be exchanged across </w:t>
      </w:r>
      <w:r>
        <w:rPr>
          <w:highlight w:val="yellow"/>
        </w:rPr>
        <w:t>organisations</w:t>
      </w:r>
      <w:r>
        <w:t xml:space="preserve">. The Medicaid Flexible Services evaluation demonstrates that administrative funding, staffing, communication, and bidirectional information systems can be as important to implementation as the nominal intervention itself (McCurley et al., 2023). Reviews of community health workers and cross-sector collaboration similarly </w:t>
      </w:r>
      <w:r>
        <w:rPr>
          <w:highlight w:val="yellow"/>
        </w:rPr>
        <w:t>emphasise</w:t>
      </w:r>
      <w:r>
        <w:t xml:space="preserve"> integration into </w:t>
      </w:r>
      <w:r>
        <w:rPr>
          <w:highlight w:val="yellow"/>
        </w:rPr>
        <w:t>organisational</w:t>
      </w:r>
      <w:r>
        <w:t xml:space="preserve"> workflows and sustained relationships (Knowles et al., 2023; Anderson et al., 2023).</w:t>
      </w:r>
    </w:p>
    <w:p w14:paraId="79857EC5" w14:textId="77777777" w:rsidR="00975452" w:rsidRDefault="00000000" w:rsidP="00BD7066">
      <w:pPr>
        <w:ind w:firstLine="360"/>
        <w:jc w:val="both"/>
      </w:pPr>
      <w:r>
        <w:t xml:space="preserve">Second, </w:t>
      </w:r>
      <w:r>
        <w:rPr>
          <w:highlight w:val="yellow"/>
        </w:rPr>
        <w:t>utilisation</w:t>
      </w:r>
      <w:r>
        <w:t xml:space="preserve"> and cost outcomes are not uniformly </w:t>
      </w:r>
      <w:r>
        <w:rPr>
          <w:highlight w:val="yellow"/>
        </w:rPr>
        <w:t>favourable</w:t>
      </w:r>
      <w:r>
        <w:t xml:space="preserve">. Controlled and observational Medicaid studies include both null and potentially </w:t>
      </w:r>
      <w:r>
        <w:rPr>
          <w:highlight w:val="yellow"/>
        </w:rPr>
        <w:t>favourable</w:t>
      </w:r>
      <w:r>
        <w:t xml:space="preserve"> findings. The </w:t>
      </w:r>
      <w:r>
        <w:rPr>
          <w:highlight w:val="yellow"/>
        </w:rPr>
        <w:t>non-randomised</w:t>
      </w:r>
      <w:r>
        <w:t xml:space="preserve"> controlled trial by Buitron de la Vega et al. (2023) did not demonstrate a significant reduction in hospital or emergency department use, whereas system-level MassHealth data reported by Sabatino et al. (2023) suggested selected shifts toward primary care and lower </w:t>
      </w:r>
      <w:r>
        <w:rPr>
          <w:highlight w:val="yellow"/>
        </w:rPr>
        <w:t>hospitalisation</w:t>
      </w:r>
      <w:r>
        <w:t xml:space="preserve"> in some groups. Thorndike et al. (2025) likewise found </w:t>
      </w:r>
      <w:r>
        <w:lastRenderedPageBreak/>
        <w:t xml:space="preserve">no short-term </w:t>
      </w:r>
      <w:r>
        <w:rPr>
          <w:highlight w:val="yellow"/>
        </w:rPr>
        <w:t>favourable</w:t>
      </w:r>
      <w:r>
        <w:t xml:space="preserve"> changes in several social and </w:t>
      </w:r>
      <w:r>
        <w:rPr>
          <w:highlight w:val="yellow"/>
        </w:rPr>
        <w:t>utilisation</w:t>
      </w:r>
      <w:r>
        <w:t xml:space="preserve"> outcomes in a Medicaid Flexible Services cohort. This pattern supports cautious interpretation and argues against using short-term cost reduction as the sole criterion for continuation or scale-up.</w:t>
      </w:r>
    </w:p>
    <w:p w14:paraId="115D3D9C" w14:textId="77777777" w:rsidR="00975452" w:rsidRDefault="00000000" w:rsidP="00BD7066">
      <w:pPr>
        <w:ind w:firstLine="360"/>
        <w:jc w:val="both"/>
      </w:pPr>
      <w:r>
        <w:t xml:space="preserve">Third, current economic frameworks often underrepresent implementation and distributional effects. Conventional analyses can identify whether an intervention produces health gains relative to cost, but integrated care also involves </w:t>
      </w:r>
      <w:r>
        <w:rPr>
          <w:highlight w:val="yellow"/>
        </w:rPr>
        <w:t>organisational</w:t>
      </w:r>
      <w:r>
        <w:t xml:space="preserve"> adaptation, community capacity, and benefits that may accrue outside the health system. Implementation science therefore offers useful extensions to standard economic analysis by treating context and implementation intensity as variables rather than background assumptions (Bowser et al., 2021; O'Leary et al., 2022). Equity-sensitive measurement similarly makes the distribution of performance explicit rather than relying only on population averages (Agniel et al., 2023).</w:t>
      </w:r>
    </w:p>
    <w:p w14:paraId="41114ED5" w14:textId="77777777" w:rsidR="00975452" w:rsidRDefault="00000000" w:rsidP="00BD7066">
      <w:pPr>
        <w:ind w:firstLine="360"/>
        <w:jc w:val="both"/>
      </w:pPr>
      <w:r>
        <w:t>The policy environment itself is a source of uncertainty. CMS's March 2025 rescission of previous HRSN guidance illustrates that federal policy parameters can change during evaluation and implementation (CMS, 2025). Economic analyses intended for policy use should therefore specify the payment authority and regulatory assumptions under which costs and benefits are estimated. A program that is operationally feasible under one financing pathway may require redesign under another even if its clinical or social value is unchanged.</w:t>
      </w:r>
    </w:p>
    <w:p w14:paraId="500A0DF4" w14:textId="77777777" w:rsidR="00975452" w:rsidRDefault="00000000" w:rsidP="00BD7066">
      <w:pPr>
        <w:ind w:firstLine="360"/>
        <w:jc w:val="both"/>
      </w:pPr>
      <w:r>
        <w:t xml:space="preserve">The review also supports a distinction between downstream and upstream action. Health-system programs can identify social risks, provide navigation, and finance selected services, but they cannot by themselves eliminate broader structural determinants such as the supply of affordable housing or local </w:t>
      </w:r>
      <w:r>
        <w:rPr>
          <w:highlight w:val="yellow"/>
        </w:rPr>
        <w:t>labour-market</w:t>
      </w:r>
      <w:r>
        <w:t xml:space="preserve"> conditions. Reviews of U.S. health-system initiatives show substantial activity focused on individual social needs, with less direct capacity to alter structural conditions (Rangachari et al., 2024). The appropriate interpretation is not that screening and referral are unimportant, but that their expected effect should be aligned with the level at which the intervention operates.</w:t>
      </w:r>
    </w:p>
    <w:p w14:paraId="2CC63BE8" w14:textId="77777777" w:rsidR="00975452" w:rsidRDefault="00000000" w:rsidP="00BD7066">
      <w:pPr>
        <w:pStyle w:val="Heading1"/>
        <w:jc w:val="both"/>
      </w:pPr>
      <w:r>
        <w:t>6. Policy Implications and Future Research</w:t>
      </w:r>
    </w:p>
    <w:p w14:paraId="4BF50D32" w14:textId="77777777" w:rsidR="00975452" w:rsidRDefault="00000000" w:rsidP="00BD7066">
      <w:pPr>
        <w:ind w:firstLine="360"/>
        <w:jc w:val="both"/>
      </w:pPr>
      <w:r>
        <w:t xml:space="preserve">Future Medicaid economic evaluations should use a multi-dimensional concept of value. Cost and </w:t>
      </w:r>
      <w:r>
        <w:rPr>
          <w:highlight w:val="yellow"/>
        </w:rPr>
        <w:t>utilisation</w:t>
      </w:r>
      <w:r>
        <w:t xml:space="preserve"> remain important, but decision-grade evaluation should also report implementation cost, reach, referral completion, access, patient-reported outcomes, and equity. These domains should be linked explicitly to the intended mechanism of the intervention. For example, a social-needs screening program should first be judged on screening coverage, identification, referral completion, and service receipt before attributing downstream </w:t>
      </w:r>
      <w:r>
        <w:rPr>
          <w:highlight w:val="yellow"/>
        </w:rPr>
        <w:t>utilisation</w:t>
      </w:r>
      <w:r>
        <w:t xml:space="preserve"> changes to the program.</w:t>
      </w:r>
    </w:p>
    <w:p w14:paraId="13080FCF" w14:textId="77777777" w:rsidR="00975452" w:rsidRDefault="00000000" w:rsidP="00BD7066">
      <w:pPr>
        <w:ind w:firstLine="360"/>
        <w:jc w:val="both"/>
      </w:pPr>
      <w:r>
        <w:t xml:space="preserve">Time horizon and analytic perspective should be specified prospectively. A health-system perspective may miss costs shifted to community </w:t>
      </w:r>
      <w:r>
        <w:rPr>
          <w:highlight w:val="yellow"/>
        </w:rPr>
        <w:t>organisations</w:t>
      </w:r>
      <w:r>
        <w:t xml:space="preserve"> or benefits </w:t>
      </w:r>
      <w:r>
        <w:rPr>
          <w:highlight w:val="yellow"/>
        </w:rPr>
        <w:t>realised</w:t>
      </w:r>
      <w:r>
        <w:t xml:space="preserve"> by other public programs, while a broad societal perspective can introduce substantial uncertainty. Reporting both payer or health-system results and a broader sensitivity analysis can make trade-offs visible without assuming that all social benefits can be converted into immediate medical savings.</w:t>
      </w:r>
    </w:p>
    <w:p w14:paraId="3753271B" w14:textId="77777777" w:rsidR="00975452" w:rsidRDefault="00000000" w:rsidP="00BD7066">
      <w:pPr>
        <w:ind w:firstLine="360"/>
        <w:jc w:val="both"/>
      </w:pPr>
      <w:r>
        <w:t xml:space="preserve">Implementation costs should be measured alongside intervention costs. Staffing, training, information technology, community contracting, data governance, and evaluation infrastructure can determine whether an apparently effective model is scalable. </w:t>
      </w:r>
      <w:r>
        <w:rPr>
          <w:highlight w:val="yellow"/>
        </w:rPr>
        <w:t>Standardised</w:t>
      </w:r>
      <w:r>
        <w:t xml:space="preserve"> resource categories would improve comparability across studies and help policymakers distinguish one-time start-up costs from recurring operating costs (Bowser et al., 2021; Dopp et al., 2021).</w:t>
      </w:r>
    </w:p>
    <w:p w14:paraId="0C100569" w14:textId="77777777" w:rsidR="00975452" w:rsidRDefault="00000000" w:rsidP="00BD7066">
      <w:pPr>
        <w:ind w:firstLine="360"/>
        <w:jc w:val="both"/>
      </w:pPr>
      <w:r>
        <w:t xml:space="preserve">Future research should also strengthen causal inference. Comparative state studies, controlled interrupted time series, difference-in-differences designs, and prospective cohorts with longer follow-up can help </w:t>
      </w:r>
      <w:r>
        <w:lastRenderedPageBreak/>
        <w:t xml:space="preserve">separate program effects from secular trends. Linkage of Medicaid claims, electronic health records, screening data, and community-service data can improve measurement of referral completion and downstream </w:t>
      </w:r>
      <w:r>
        <w:rPr>
          <w:highlight w:val="yellow"/>
        </w:rPr>
        <w:t>utilisation</w:t>
      </w:r>
      <w:r>
        <w:t xml:space="preserve">, provided privacy and governance requirements are met. Qualitative implementation research should accompany quantitative evaluation so that null or </w:t>
      </w:r>
      <w:r>
        <w:rPr>
          <w:highlight w:val="yellow"/>
        </w:rPr>
        <w:t>favourable</w:t>
      </w:r>
      <w:r>
        <w:t xml:space="preserve"> outcomes can be interpreted in relation to program fidelity and local capacity.</w:t>
      </w:r>
    </w:p>
    <w:p w14:paraId="5DAC5560" w14:textId="77777777" w:rsidR="00975452" w:rsidRDefault="00000000" w:rsidP="00BD7066">
      <w:pPr>
        <w:ind w:firstLine="360"/>
        <w:jc w:val="both"/>
      </w:pPr>
      <w:r>
        <w:t>Finally, equity should be specified as an evaluative objective rather than treated only as a narrative aspiration. Stratified estimates, equity-sensitive quality measures, and transparent weighting approaches can reveal whether average improvements conceal persistent disparities (Agniel et al., 2023). These methods are particularly relevant to Medicaid because population-level averages can mask differences by geography, disability, language, socioeconomic position, and other dimensions of social risk.</w:t>
      </w:r>
    </w:p>
    <w:p w14:paraId="3754219C" w14:textId="77777777" w:rsidR="00975452" w:rsidRDefault="00000000" w:rsidP="00BD7066">
      <w:pPr>
        <w:pStyle w:val="Heading1"/>
        <w:jc w:val="both"/>
      </w:pPr>
      <w:r>
        <w:t>7. Conclusion</w:t>
      </w:r>
    </w:p>
    <w:p w14:paraId="319A406E" w14:textId="77777777" w:rsidR="00975452" w:rsidRDefault="00000000" w:rsidP="00BD7066">
      <w:pPr>
        <w:ind w:firstLine="360"/>
        <w:jc w:val="both"/>
      </w:pPr>
      <w:r>
        <w:t xml:space="preserve">Economic evidence is increasingly relevant to Medicaid-supported integration of health and social care, but the available literature does not support a simple conclusion that integrated-care programs consistently reduce short-term health care costs. The strongest evidence shows that program effects depend on implementation quality, </w:t>
      </w:r>
      <w:r>
        <w:rPr>
          <w:highlight w:val="yellow"/>
        </w:rPr>
        <w:t>organisational</w:t>
      </w:r>
      <w:r>
        <w:t xml:space="preserve"> capacity, financing, referral completion, community resources, and the time horizon of evaluation. Medicaid-specific studies report both </w:t>
      </w:r>
      <w:r>
        <w:rPr>
          <w:highlight w:val="yellow"/>
        </w:rPr>
        <w:t>favourable</w:t>
      </w:r>
      <w:r>
        <w:t xml:space="preserve"> </w:t>
      </w:r>
      <w:r>
        <w:rPr>
          <w:highlight w:val="yellow"/>
        </w:rPr>
        <w:t>utilisation</w:t>
      </w:r>
      <w:r>
        <w:t xml:space="preserve"> shifts and null short-term effects, underscoring the need for cautious causal interpretation.</w:t>
      </w:r>
    </w:p>
    <w:p w14:paraId="05A67EE0" w14:textId="77777777" w:rsidR="00975452" w:rsidRDefault="00000000" w:rsidP="00BD7066">
      <w:pPr>
        <w:ind w:firstLine="360"/>
        <w:jc w:val="both"/>
      </w:pPr>
      <w:r>
        <w:t>Future policy evaluation should combine conventional economic outcomes with implementation costs, longer-term measures, explicit uncertainty analysis, and equity-sensitive indicators. Such an approach can provide a more complete assessment of value and can better support decisions about whether programs should be adopted, adapted, financed, scaled, or discontinued within changing Medicaid policy environments.</w:t>
      </w:r>
    </w:p>
    <w:p w14:paraId="6C3B9FBA" w14:textId="77777777" w:rsidR="00660A5B" w:rsidRPr="00D76828" w:rsidRDefault="00660A5B" w:rsidP="00660A5B">
      <w:pPr>
        <w:spacing w:after="160" w:line="278" w:lineRule="auto"/>
        <w:rPr>
          <w:rFonts w:ascii="Calibri" w:eastAsia="Calibri" w:hAnsi="Calibri" w:cs="Times New Roman"/>
          <w:b/>
          <w:bCs/>
          <w:sz w:val="24"/>
          <w:szCs w:val="24"/>
        </w:rPr>
      </w:pPr>
      <w:r w:rsidRPr="00D76828">
        <w:rPr>
          <w:rFonts w:ascii="Calibri" w:eastAsia="Calibri" w:hAnsi="Calibri" w:cs="Times New Roman"/>
          <w:b/>
          <w:bCs/>
          <w:sz w:val="24"/>
          <w:szCs w:val="24"/>
        </w:rPr>
        <w:t>Declaration of AI Use</w:t>
      </w:r>
    </w:p>
    <w:p w14:paraId="466B8EFE" w14:textId="77777777" w:rsidR="00660A5B" w:rsidRDefault="00660A5B" w:rsidP="00660A5B">
      <w:pPr>
        <w:jc w:val="both"/>
      </w:pPr>
      <w: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1985683" w14:textId="77777777" w:rsidR="00660A5B" w:rsidRDefault="00660A5B" w:rsidP="00BD7066">
      <w:pPr>
        <w:ind w:firstLine="360"/>
        <w:jc w:val="both"/>
      </w:pPr>
    </w:p>
    <w:p w14:paraId="5F5E12B7" w14:textId="77777777" w:rsidR="00975452" w:rsidRDefault="00000000" w:rsidP="00BD7066">
      <w:pPr>
        <w:pStyle w:val="Heading1"/>
        <w:jc w:val="both"/>
      </w:pPr>
      <w:r>
        <w:t>References</w:t>
      </w:r>
    </w:p>
    <w:p w14:paraId="1D3FF6FE" w14:textId="4FA284B4" w:rsidR="0095171C" w:rsidRDefault="0095171C" w:rsidP="0095171C">
      <w:pPr>
        <w:pStyle w:val="NormalWeb"/>
        <w:ind w:left="540" w:hanging="540"/>
        <w:jc w:val="both"/>
      </w:pPr>
      <w:r>
        <w:t xml:space="preserve">Agniel, D., Cabreros, I., Damberg, C. L., Elliott, M. N., &amp; Rogers, R. (2023). A formal framework for incorporating equity into health care quality measurement. </w:t>
      </w:r>
      <w:r>
        <w:rPr>
          <w:rStyle w:val="Emphasis"/>
        </w:rPr>
        <w:t>Health Affairs, 42</w:t>
      </w:r>
      <w:r>
        <w:t xml:space="preserve">(10), 1383–1391. </w:t>
      </w:r>
      <w:hyperlink r:id="rId9" w:history="1">
        <w:r>
          <w:rPr>
            <w:rStyle w:val="Hyperlink"/>
          </w:rPr>
          <w:t>https://doi.org/10.1377/hlthaff.2022.01483</w:t>
        </w:r>
      </w:hyperlink>
    </w:p>
    <w:p w14:paraId="39F33143" w14:textId="28C9D192" w:rsidR="0095171C" w:rsidRDefault="0095171C" w:rsidP="0095171C">
      <w:pPr>
        <w:pStyle w:val="NormalWeb"/>
        <w:ind w:left="540" w:hanging="540"/>
        <w:jc w:val="both"/>
      </w:pPr>
      <w:r>
        <w:t xml:space="preserve">Anderson, A. J., Noyes, K., &amp; Hewner, S. (2023). Expanding the evidence for cross-sector collaboration in implementation science: Creating a collaborative, cross-sector, interagency, multidisciplinary team to serve patients experiencing homelessness and medical complexity at hospital discharge. </w:t>
      </w:r>
      <w:r>
        <w:rPr>
          <w:rStyle w:val="Emphasis"/>
        </w:rPr>
        <w:t>Frontiers in Health Services, 3</w:t>
      </w:r>
      <w:r>
        <w:t xml:space="preserve">, 1124054. </w:t>
      </w:r>
      <w:hyperlink r:id="rId10" w:history="1">
        <w:r>
          <w:rPr>
            <w:rStyle w:val="Hyperlink"/>
          </w:rPr>
          <w:t>https://doi.org/10.3389/frhs.2023.1124054</w:t>
        </w:r>
      </w:hyperlink>
    </w:p>
    <w:p w14:paraId="41B599A7" w14:textId="6179A242" w:rsidR="0095171C" w:rsidRDefault="0095171C" w:rsidP="0095171C">
      <w:pPr>
        <w:pStyle w:val="NormalWeb"/>
        <w:ind w:left="540" w:hanging="540"/>
        <w:jc w:val="both"/>
      </w:pPr>
      <w:r>
        <w:lastRenderedPageBreak/>
        <w:t xml:space="preserve">Bowser, D. M., Henry, B. F., &amp; McCollister, K. E. (2021). Cost analysis in implementation studies of evidence-based practices for mental health and substance use disorders: A systematic review. </w:t>
      </w:r>
      <w:r>
        <w:rPr>
          <w:rStyle w:val="Emphasis"/>
        </w:rPr>
        <w:t>Implementation Science, 16</w:t>
      </w:r>
      <w:r>
        <w:t xml:space="preserve">, 26. </w:t>
      </w:r>
      <w:hyperlink r:id="rId11" w:history="1">
        <w:r>
          <w:rPr>
            <w:rStyle w:val="Hyperlink"/>
          </w:rPr>
          <w:t>https://doi.org/10.1186/s13012-021-01094-3</w:t>
        </w:r>
      </w:hyperlink>
    </w:p>
    <w:p w14:paraId="6ED46BFD" w14:textId="3BCCCBCA" w:rsidR="0095171C" w:rsidRDefault="0095171C" w:rsidP="0095171C">
      <w:pPr>
        <w:pStyle w:val="NormalWeb"/>
        <w:ind w:left="540" w:hanging="540"/>
        <w:jc w:val="both"/>
      </w:pPr>
      <w:r>
        <w:t xml:space="preserve">Buitron de la Vega, P., Ashe, E. M., Xuan, Z., Gast, V., Saint-Phard, T., Brody-Fialkin, J., Okonkwo, F., Power, J., Wang, N., Lyons, C., Silverstein, M., &amp; Lasser, K. E. (2023). A pharmacy liaison–patient navigation intervention to reduce inpatient and emergency department utilization among primary care patients in a Medicaid accountable care organization: A nonrandomized controlled trial. </w:t>
      </w:r>
      <w:r>
        <w:rPr>
          <w:rStyle w:val="Emphasis"/>
        </w:rPr>
        <w:t>JAMA Network Open, 6</w:t>
      </w:r>
      <w:r>
        <w:t xml:space="preserve">(1), e2250004. </w:t>
      </w:r>
      <w:hyperlink r:id="rId12" w:history="1">
        <w:r>
          <w:rPr>
            <w:rStyle w:val="Hyperlink"/>
          </w:rPr>
          <w:t>https://doi.org/10.1001/jamanetworkopen.2022.50004</w:t>
        </w:r>
      </w:hyperlink>
    </w:p>
    <w:p w14:paraId="663FBE52" w14:textId="068873BD" w:rsidR="0095171C" w:rsidRDefault="0095171C" w:rsidP="0095171C">
      <w:pPr>
        <w:pStyle w:val="NormalWeb"/>
        <w:ind w:left="540" w:hanging="540"/>
        <w:jc w:val="both"/>
      </w:pPr>
      <w:r>
        <w:t xml:space="preserve">Centers for Medicare &amp; Medicaid Services. (2025, March 4). </w:t>
      </w:r>
      <w:r>
        <w:rPr>
          <w:rStyle w:val="Emphasis"/>
        </w:rPr>
        <w:t>Rescission of guidance on health-related social needs</w:t>
      </w:r>
      <w:r>
        <w:t xml:space="preserve"> [CMCS informational bulletin]. </w:t>
      </w:r>
      <w:hyperlink r:id="rId13" w:history="1">
        <w:r>
          <w:rPr>
            <w:rStyle w:val="Hyperlink"/>
          </w:rPr>
          <w:t>https://www.medicaid.gov/federal-policy-guidance/downloads/cib03042025.pdf</w:t>
        </w:r>
      </w:hyperlink>
    </w:p>
    <w:p w14:paraId="367541E8" w14:textId="3AB2CBB7" w:rsidR="0095171C" w:rsidRDefault="0095171C" w:rsidP="0095171C">
      <w:pPr>
        <w:pStyle w:val="NormalWeb"/>
        <w:ind w:left="540" w:hanging="540"/>
        <w:jc w:val="both"/>
      </w:pPr>
      <w:r>
        <w:t xml:space="preserve">Chuang, E., &amp; Safaeinili, N. (2024). Addressing social needs in clinical settings: Implementation and impact on health care utilization, costs, and integration of care. </w:t>
      </w:r>
      <w:r>
        <w:rPr>
          <w:rStyle w:val="Emphasis"/>
        </w:rPr>
        <w:t>Annual Review of Public Health, 45</w:t>
      </w:r>
      <w:r>
        <w:t xml:space="preserve">, 443–464. </w:t>
      </w:r>
      <w:hyperlink r:id="rId14" w:history="1">
        <w:r>
          <w:rPr>
            <w:rStyle w:val="Hyperlink"/>
          </w:rPr>
          <w:t>https://doi.org/10.1146/annurev-publhealth-061022-050026</w:t>
        </w:r>
      </w:hyperlink>
    </w:p>
    <w:p w14:paraId="4B6E2D42" w14:textId="783E0252" w:rsidR="0095171C" w:rsidRDefault="0095171C" w:rsidP="0095171C">
      <w:pPr>
        <w:pStyle w:val="NormalWeb"/>
        <w:ind w:left="540" w:hanging="540"/>
        <w:jc w:val="both"/>
      </w:pPr>
      <w:r>
        <w:t xml:space="preserve">De Marchis, E. H., Aceves, B. A., Brown, E. M., Loomba, V., Molina, M. F., &amp; Gottlieb, L. M. (2023). Assessing implementation of social screening within US health care settings: A systematic scoping review. </w:t>
      </w:r>
      <w:r>
        <w:rPr>
          <w:rStyle w:val="Emphasis"/>
        </w:rPr>
        <w:t>The Journal of the American Board of Family Medicine, 36</w:t>
      </w:r>
      <w:r>
        <w:t xml:space="preserve">(4), 626–649. </w:t>
      </w:r>
      <w:hyperlink r:id="rId15" w:history="1">
        <w:r>
          <w:rPr>
            <w:rStyle w:val="Hyperlink"/>
          </w:rPr>
          <w:t>https://doi.org/10.3122/jabfm.2022.220401R1</w:t>
        </w:r>
      </w:hyperlink>
    </w:p>
    <w:p w14:paraId="5CCB1DDB" w14:textId="7DEBF1A1" w:rsidR="0095171C" w:rsidRDefault="0095171C" w:rsidP="0095171C">
      <w:pPr>
        <w:pStyle w:val="NormalWeb"/>
        <w:ind w:left="540" w:hanging="540"/>
        <w:jc w:val="both"/>
      </w:pPr>
      <w:r>
        <w:t xml:space="preserve">Dopp, A. R., Kerns, S. E. U., Panattoni, L., Ringel, J. S., Eisenberg, D., Powell, B. J., Low, R., &amp; Raghavan, R. (2021). Translating economic evaluations into financing strategies for implementing evidence-based practices. </w:t>
      </w:r>
      <w:r>
        <w:rPr>
          <w:rStyle w:val="Emphasis"/>
        </w:rPr>
        <w:t>Implementation Science, 16</w:t>
      </w:r>
      <w:r>
        <w:t xml:space="preserve">, 66. </w:t>
      </w:r>
      <w:hyperlink r:id="rId16" w:history="1">
        <w:r>
          <w:rPr>
            <w:rStyle w:val="Hyperlink"/>
          </w:rPr>
          <w:t>https://doi.org/10.1186/s13012-021-01137-9</w:t>
        </w:r>
      </w:hyperlink>
    </w:p>
    <w:p w14:paraId="77455570" w14:textId="5FA1B8C7" w:rsidR="0095171C" w:rsidRDefault="0095171C" w:rsidP="0095171C">
      <w:pPr>
        <w:pStyle w:val="NormalWeb"/>
        <w:ind w:left="540" w:hanging="540"/>
        <w:jc w:val="both"/>
      </w:pPr>
      <w:r>
        <w:t xml:space="preserve">Gottlieb, L. M., Wing, H., &amp; Adler, N. E. (2017). A systematic review of interventions on patients’ social and economic needs. </w:t>
      </w:r>
      <w:r>
        <w:rPr>
          <w:rStyle w:val="Emphasis"/>
        </w:rPr>
        <w:t>American Journal of Preventive Medicine, 53</w:t>
      </w:r>
      <w:r>
        <w:t xml:space="preserve">(5), 719–729. </w:t>
      </w:r>
      <w:hyperlink r:id="rId17" w:history="1">
        <w:r>
          <w:rPr>
            <w:rStyle w:val="Hyperlink"/>
          </w:rPr>
          <w:t>https://doi.org/10.1016/j.amepre.2017.05.011</w:t>
        </w:r>
      </w:hyperlink>
    </w:p>
    <w:p w14:paraId="39EBA5B2" w14:textId="5A3A9DE8" w:rsidR="0095171C" w:rsidRDefault="0095171C" w:rsidP="0095171C">
      <w:pPr>
        <w:pStyle w:val="NormalWeb"/>
        <w:ind w:left="540" w:hanging="540"/>
        <w:jc w:val="both"/>
      </w:pPr>
      <w:r>
        <w:t xml:space="preserve">Knowles, M., Crowley, A. P., Vasan, A., &amp; Kangovi, S. (2023). Community health worker integration with and effectiveness in health care and public health in the United States. </w:t>
      </w:r>
      <w:r>
        <w:rPr>
          <w:rStyle w:val="Emphasis"/>
        </w:rPr>
        <w:t>Annual Review of Public Health, 44</w:t>
      </w:r>
      <w:r>
        <w:t xml:space="preserve">, 363–381. </w:t>
      </w:r>
      <w:hyperlink r:id="rId18" w:history="1">
        <w:r>
          <w:rPr>
            <w:rStyle w:val="Hyperlink"/>
          </w:rPr>
          <w:t>https://doi.org/10.1146/annurev-publhealth-071521-031648</w:t>
        </w:r>
      </w:hyperlink>
    </w:p>
    <w:p w14:paraId="204068D2" w14:textId="15C8B18A" w:rsidR="0095171C" w:rsidRDefault="0095171C" w:rsidP="0095171C">
      <w:pPr>
        <w:pStyle w:val="NormalWeb"/>
        <w:ind w:left="540" w:hanging="540"/>
        <w:jc w:val="both"/>
      </w:pPr>
      <w:r>
        <w:t xml:space="preserve">McCurley, J. L., Fung, V., Levy, D. E., McGovern, S., Vogeli, C., Clark, C. R., Bartels, S., &amp; Thorndike, A. N. (2023). Assessment of the Massachusetts Flexible Services Program to address food and housing insecurity in a Medicaid accountable care organization. </w:t>
      </w:r>
      <w:r>
        <w:rPr>
          <w:rStyle w:val="Emphasis"/>
        </w:rPr>
        <w:t>JAMA Health Forum, 4</w:t>
      </w:r>
      <w:r>
        <w:t xml:space="preserve">(6), e231191. </w:t>
      </w:r>
      <w:hyperlink r:id="rId19" w:history="1">
        <w:r>
          <w:rPr>
            <w:rStyle w:val="Hyperlink"/>
          </w:rPr>
          <w:t>https://doi.org/10.1001/jamahealthforum.2023.1191</w:t>
        </w:r>
      </w:hyperlink>
    </w:p>
    <w:p w14:paraId="6201FAE2" w14:textId="4F4FAFF5" w:rsidR="0095171C" w:rsidRDefault="0095171C" w:rsidP="0095171C">
      <w:pPr>
        <w:pStyle w:val="NormalWeb"/>
        <w:ind w:left="540" w:hanging="540"/>
        <w:jc w:val="both"/>
      </w:pPr>
      <w:r>
        <w:t xml:space="preserve">Mozaffarian, D., Aspry, K. E., Garfield, K., Kris-Etherton, P., Seligman, H., Velarde, G. P., Williams, K., &amp; Yang, E. (2024). “Food is medicine” strategies for nutrition security and cardiometabolic health equity: JACC state-of-the-art review. </w:t>
      </w:r>
      <w:r>
        <w:rPr>
          <w:rStyle w:val="Emphasis"/>
        </w:rPr>
        <w:t>Journal of the American College of Cardiology, 83</w:t>
      </w:r>
      <w:r>
        <w:t xml:space="preserve">(8), 843–864. </w:t>
      </w:r>
      <w:hyperlink r:id="rId20" w:history="1">
        <w:r>
          <w:rPr>
            <w:rStyle w:val="Hyperlink"/>
          </w:rPr>
          <w:t>https://doi.org/10.1016/j.jacc.2023.12.023</w:t>
        </w:r>
      </w:hyperlink>
    </w:p>
    <w:p w14:paraId="01028B98" w14:textId="3F1E2604" w:rsidR="0095171C" w:rsidRDefault="0095171C" w:rsidP="0095171C">
      <w:pPr>
        <w:pStyle w:val="NormalWeb"/>
        <w:ind w:left="540" w:hanging="540"/>
        <w:jc w:val="both"/>
      </w:pPr>
      <w:r>
        <w:lastRenderedPageBreak/>
        <w:t xml:space="preserve">O’Leary, M. C., Hassmiller Lich, K., Frerichs, L., Leeman, J., Reuland, D. S., &amp; Wheeler, S. B. (2022). Extending analytic methods for economic evaluation in implementation science. </w:t>
      </w:r>
      <w:r>
        <w:rPr>
          <w:rStyle w:val="Emphasis"/>
        </w:rPr>
        <w:t>Implementation Science, 17</w:t>
      </w:r>
      <w:r>
        <w:t xml:space="preserve">, 27. </w:t>
      </w:r>
      <w:hyperlink r:id="rId21" w:history="1">
        <w:r>
          <w:rPr>
            <w:rStyle w:val="Hyperlink"/>
          </w:rPr>
          <w:t>https://doi.org/10.1186/s13012-022-01192-w</w:t>
        </w:r>
      </w:hyperlink>
    </w:p>
    <w:p w14:paraId="59B1F160" w14:textId="02A54365" w:rsidR="0095171C" w:rsidRDefault="0095171C" w:rsidP="0095171C">
      <w:pPr>
        <w:pStyle w:val="NormalWeb"/>
        <w:ind w:left="540" w:hanging="540"/>
        <w:jc w:val="both"/>
      </w:pPr>
      <w:r>
        <w:t xml:space="preserve">Rangachari, P., Thapa, A., Sherpa, D. L., Katukuri, K., Ramadyani, K., Jaidi, H. M., &amp; Goodrum, L. (2024). Characteristics of hospital and health system initiatives to address social determinants of health in the United States: A scoping review of the peer-reviewed literature. </w:t>
      </w:r>
      <w:r>
        <w:rPr>
          <w:rStyle w:val="Emphasis"/>
        </w:rPr>
        <w:t>Frontiers in Public Health, 12</w:t>
      </w:r>
      <w:r>
        <w:t xml:space="preserve">, 1413205. </w:t>
      </w:r>
      <w:hyperlink r:id="rId22" w:history="1">
        <w:r>
          <w:rPr>
            <w:rStyle w:val="Hyperlink"/>
          </w:rPr>
          <w:t>https://doi.org/10.3389/fpubh.2024.1413205</w:t>
        </w:r>
      </w:hyperlink>
    </w:p>
    <w:p w14:paraId="1A85E1B2" w14:textId="1917284D" w:rsidR="0095171C" w:rsidRDefault="0095171C" w:rsidP="0095171C">
      <w:pPr>
        <w:pStyle w:val="NormalWeb"/>
        <w:ind w:left="540" w:hanging="540"/>
        <w:jc w:val="both"/>
      </w:pPr>
      <w:r>
        <w:t xml:space="preserve">Rosenfeld, E., Potter, S., Caputo, J., Ghose, S. S., Nadal, N., Jones, C. M., Kuklinski, M. R., Carlo, A. D., Crowley, D. M., Clemans-Cope, L., &amp; French, M. T. (2025). Use of alternative payment models for substance use disorder prevention in the United States: Development of a conceptual framework. </w:t>
      </w:r>
      <w:r>
        <w:rPr>
          <w:rStyle w:val="Emphasis"/>
        </w:rPr>
        <w:t>Substance Abuse Treatment, Prevention, and Policy, 20</w:t>
      </w:r>
      <w:r>
        <w:t xml:space="preserve">, 4. </w:t>
      </w:r>
      <w:hyperlink r:id="rId23" w:history="1">
        <w:r>
          <w:rPr>
            <w:rStyle w:val="Hyperlink"/>
          </w:rPr>
          <w:t>https://doi.org/10.1186/s13011-025-00635-z</w:t>
        </w:r>
      </w:hyperlink>
    </w:p>
    <w:p w14:paraId="1D30253C" w14:textId="2871C4B4" w:rsidR="0095171C" w:rsidRDefault="0095171C" w:rsidP="0095171C">
      <w:pPr>
        <w:pStyle w:val="NormalWeb"/>
        <w:ind w:left="540" w:hanging="540"/>
        <w:jc w:val="both"/>
      </w:pPr>
      <w:r>
        <w:t xml:space="preserve">Sabatino, M. J., Mick, E. O., Ash, A. S., Himmelstein, J., &amp; Alcusky, M. J. (2023). Changes in health care utilization during the first 2 years of Massachusetts Medicaid accountable care organizations. </w:t>
      </w:r>
      <w:r>
        <w:rPr>
          <w:rStyle w:val="Emphasis"/>
        </w:rPr>
        <w:t>Population Health Management, 26</w:t>
      </w:r>
      <w:r>
        <w:t xml:space="preserve">(6), 420–429. </w:t>
      </w:r>
      <w:hyperlink r:id="rId24" w:history="1">
        <w:r>
          <w:rPr>
            <w:rStyle w:val="Hyperlink"/>
          </w:rPr>
          <w:t>https://doi.org/10.1089/pop.2023.0151</w:t>
        </w:r>
      </w:hyperlink>
    </w:p>
    <w:p w14:paraId="5B1131C8" w14:textId="6A088225" w:rsidR="0095171C" w:rsidRDefault="0095171C" w:rsidP="0095171C">
      <w:pPr>
        <w:pStyle w:val="NormalWeb"/>
        <w:ind w:left="540" w:hanging="540"/>
        <w:jc w:val="both"/>
      </w:pPr>
      <w:r>
        <w:t xml:space="preserve">Sandhu, S., Sharma, A., Cholera, R., &amp; Bettger, J. P. (2021). Integrated health and social care in the United States: A decade of policy progress. </w:t>
      </w:r>
      <w:r>
        <w:rPr>
          <w:rStyle w:val="Emphasis"/>
        </w:rPr>
        <w:t>International Journal of Integrated Care, 21</w:t>
      </w:r>
      <w:r>
        <w:t xml:space="preserve">(4), 9. </w:t>
      </w:r>
      <w:hyperlink r:id="rId25" w:history="1">
        <w:r>
          <w:rPr>
            <w:rStyle w:val="Hyperlink"/>
          </w:rPr>
          <w:t>https://doi.org/10.5334/ijic.5687</w:t>
        </w:r>
      </w:hyperlink>
    </w:p>
    <w:p w14:paraId="3DAFAE55" w14:textId="2F93F6BF" w:rsidR="0095171C" w:rsidRDefault="0095171C" w:rsidP="0095171C">
      <w:pPr>
        <w:pStyle w:val="NormalWeb"/>
        <w:ind w:left="540" w:hanging="540"/>
        <w:jc w:val="both"/>
      </w:pPr>
      <w:r>
        <w:t xml:space="preserve">Schiavoni, K. H., Helscel, K., Vogeli, C., Thorndike, A. N., Cash, R. E., Camargo, C. A., Jr., &amp; Samuels-Kalow, M. E. (2022). Prevalence of social risk factors and social needs in a Medicaid accountable care organization (ACO). </w:t>
      </w:r>
      <w:r>
        <w:rPr>
          <w:rStyle w:val="Emphasis"/>
        </w:rPr>
        <w:t>BMC Health Services Research, 22</w:t>
      </w:r>
      <w:r>
        <w:t xml:space="preserve">, 1375. </w:t>
      </w:r>
      <w:hyperlink r:id="rId26" w:history="1">
        <w:r>
          <w:rPr>
            <w:rStyle w:val="Hyperlink"/>
          </w:rPr>
          <w:t>https://doi.org/10.1186/s12913-022-08721-9</w:t>
        </w:r>
      </w:hyperlink>
    </w:p>
    <w:p w14:paraId="17BFC334" w14:textId="5A6DD08E" w:rsidR="0095171C" w:rsidRPr="0095171C" w:rsidRDefault="0095171C" w:rsidP="0095171C">
      <w:pPr>
        <w:pStyle w:val="NormalWeb"/>
        <w:ind w:left="540" w:hanging="540"/>
        <w:jc w:val="both"/>
        <w:rPr>
          <w:lang w:val="nl-BE"/>
        </w:rPr>
      </w:pPr>
      <w:r>
        <w:t xml:space="preserve">Thorndike, A. N., McCurley, J. L., Chang, Y., Cheng, J., Clark, C. R., Vogeli, C., McGovern, S., Fung, V., &amp; Levy, D. E. (2025). Food and housing insecurity, stress, and health care use after Medicaid expanded services program. </w:t>
      </w:r>
      <w:r w:rsidRPr="0095171C">
        <w:rPr>
          <w:rStyle w:val="Emphasis"/>
          <w:lang w:val="nl-BE"/>
        </w:rPr>
        <w:t>JAMA Network Open, 8</w:t>
      </w:r>
      <w:r w:rsidRPr="0095171C">
        <w:rPr>
          <w:lang w:val="nl-BE"/>
        </w:rPr>
        <w:t xml:space="preserve">(7), e2519507. </w:t>
      </w:r>
      <w:hyperlink r:id="rId27" w:history="1">
        <w:r w:rsidRPr="0095171C">
          <w:rPr>
            <w:rStyle w:val="Hyperlink"/>
            <w:lang w:val="nl-BE"/>
          </w:rPr>
          <w:t>https://doi.org/10.1001/jamanetworkopen.2025.19507</w:t>
        </w:r>
      </w:hyperlink>
    </w:p>
    <w:p w14:paraId="32B070F1" w14:textId="41E6C941" w:rsidR="0095171C" w:rsidRDefault="0095171C" w:rsidP="0095171C">
      <w:pPr>
        <w:pStyle w:val="NormalWeb"/>
        <w:ind w:left="540" w:hanging="540"/>
        <w:jc w:val="both"/>
      </w:pPr>
      <w:r w:rsidRPr="0095171C">
        <w:rPr>
          <w:lang w:val="nl-BE"/>
        </w:rPr>
        <w:t xml:space="preserve">Vondeling, H. (2004). </w:t>
      </w:r>
      <w:r>
        <w:t xml:space="preserve">Economic evaluation of integrated care: An introduction. </w:t>
      </w:r>
      <w:r>
        <w:rPr>
          <w:rStyle w:val="Emphasis"/>
        </w:rPr>
        <w:t>International Journal of Integrated Care, 4</w:t>
      </w:r>
      <w:r>
        <w:t xml:space="preserve">, e20. </w:t>
      </w:r>
      <w:hyperlink r:id="rId28" w:history="1">
        <w:r>
          <w:rPr>
            <w:rStyle w:val="Hyperlink"/>
          </w:rPr>
          <w:t>https://doi.org/10.5334/ijic.95</w:t>
        </w:r>
      </w:hyperlink>
    </w:p>
    <w:p w14:paraId="35E9993B" w14:textId="4DC38B25" w:rsidR="0095171C" w:rsidRDefault="0095171C" w:rsidP="0095171C">
      <w:pPr>
        <w:pStyle w:val="NormalWeb"/>
        <w:ind w:left="540" w:hanging="540"/>
        <w:jc w:val="both"/>
      </w:pPr>
      <w:r>
        <w:t xml:space="preserve">World Health Organization. (2024). </w:t>
      </w:r>
      <w:r>
        <w:rPr>
          <w:rStyle w:val="Emphasis"/>
        </w:rPr>
        <w:t>Operational framework for monitoring social determinants of health equity</w:t>
      </w:r>
      <w:r>
        <w:t xml:space="preserve">. </w:t>
      </w:r>
      <w:hyperlink r:id="rId29" w:history="1">
        <w:r>
          <w:rPr>
            <w:rStyle w:val="Hyperlink"/>
          </w:rPr>
          <w:t>https://www.who.int/publications/b/67490</w:t>
        </w:r>
      </w:hyperlink>
    </w:p>
    <w:p w14:paraId="5DA83171" w14:textId="61BDDDAF" w:rsidR="0095171C" w:rsidRDefault="0095171C" w:rsidP="0095171C">
      <w:pPr>
        <w:pStyle w:val="NormalWeb"/>
        <w:ind w:left="540" w:hanging="540"/>
        <w:jc w:val="both"/>
      </w:pPr>
      <w:r>
        <w:t xml:space="preserve">Yan, A. F., Chen, Z., Wang, Y., Campbell, J. A., Xue, Q.-L., Williams, M. Y., Weinhardt, L. S., &amp; Egede, L. E. (2022). Effectiveness of social needs screening and interventions in clinical settings on utilization, cost, and clinical outcomes: A systematic review. </w:t>
      </w:r>
      <w:r>
        <w:rPr>
          <w:rStyle w:val="Emphasis"/>
        </w:rPr>
        <w:t>Health Equity, 6</w:t>
      </w:r>
      <w:r>
        <w:t xml:space="preserve">(1), 454–475. </w:t>
      </w:r>
      <w:hyperlink r:id="rId30" w:history="1">
        <w:r>
          <w:rPr>
            <w:rStyle w:val="Hyperlink"/>
          </w:rPr>
          <w:t>https://doi.org/10.1089/heq.2022.0010</w:t>
        </w:r>
      </w:hyperlink>
    </w:p>
    <w:p w14:paraId="18981551" w14:textId="13401A5C" w:rsidR="00975452" w:rsidRDefault="00975452" w:rsidP="0095171C">
      <w:pPr>
        <w:pStyle w:val="Reference"/>
        <w:jc w:val="both"/>
      </w:pPr>
    </w:p>
    <w:sectPr w:rsidR="00975452" w:rsidSect="00034616">
      <w:footerReference w:type="default" r:id="rId31"/>
      <w:pgSz w:w="12240" w:h="15840"/>
      <w:pgMar w:top="1224" w:right="1296" w:bottom="122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EEDD6" w14:textId="77777777" w:rsidR="00651C37" w:rsidRDefault="00651C37">
      <w:pPr>
        <w:spacing w:after="0" w:line="240" w:lineRule="auto"/>
      </w:pPr>
      <w:r>
        <w:separator/>
      </w:r>
    </w:p>
  </w:endnote>
  <w:endnote w:type="continuationSeparator" w:id="0">
    <w:p w14:paraId="6412EFAC" w14:textId="77777777" w:rsidR="00651C37" w:rsidRDefault="00651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F6291" w14:textId="77777777" w:rsidR="00975452" w:rsidRDefault="00000000">
    <w:pPr>
      <w:pStyle w:val="Footer"/>
      <w:jc w:val="center"/>
    </w:pPr>
    <w:r>
      <w:fldChar w:fldCharType="begin"/>
    </w:r>
    <w:r>
      <w:instrText xml:space="preserve"> PAGE </w:instrText>
    </w:r>
    <w:r>
      <w:fldChar w:fldCharType="separate"/>
    </w:r>
    <w:r w:rsidR="00BD706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8EE3E" w14:textId="77777777" w:rsidR="00651C37" w:rsidRDefault="00651C37">
      <w:pPr>
        <w:spacing w:after="0" w:line="240" w:lineRule="auto"/>
      </w:pPr>
      <w:r>
        <w:separator/>
      </w:r>
    </w:p>
  </w:footnote>
  <w:footnote w:type="continuationSeparator" w:id="0">
    <w:p w14:paraId="36865830" w14:textId="77777777" w:rsidR="00651C37" w:rsidRDefault="00651C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FF14001"/>
    <w:multiLevelType w:val="hybridMultilevel"/>
    <w:tmpl w:val="6A20B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152D96"/>
    <w:multiLevelType w:val="hybridMultilevel"/>
    <w:tmpl w:val="79B0E91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2561632">
    <w:abstractNumId w:val="8"/>
  </w:num>
  <w:num w:numId="2" w16cid:durableId="1136222085">
    <w:abstractNumId w:val="6"/>
  </w:num>
  <w:num w:numId="3" w16cid:durableId="1084184007">
    <w:abstractNumId w:val="5"/>
  </w:num>
  <w:num w:numId="4" w16cid:durableId="1210872885">
    <w:abstractNumId w:val="4"/>
  </w:num>
  <w:num w:numId="5" w16cid:durableId="2007780994">
    <w:abstractNumId w:val="7"/>
  </w:num>
  <w:num w:numId="6" w16cid:durableId="1589735192">
    <w:abstractNumId w:val="3"/>
  </w:num>
  <w:num w:numId="7" w16cid:durableId="1979996864">
    <w:abstractNumId w:val="2"/>
  </w:num>
  <w:num w:numId="8" w16cid:durableId="1937591403">
    <w:abstractNumId w:val="1"/>
  </w:num>
  <w:num w:numId="9" w16cid:durableId="891621272">
    <w:abstractNumId w:val="0"/>
  </w:num>
  <w:num w:numId="10" w16cid:durableId="1847286942">
    <w:abstractNumId w:val="9"/>
  </w:num>
  <w:num w:numId="11" w16cid:durableId="17002735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EwsDAxNLQwMTA3NjFQ0lEKTi0uzszPAykwrAUA18xhFywAAAA="/>
  </w:docVars>
  <w:rsids>
    <w:rsidRoot w:val="00B47730"/>
    <w:rsid w:val="00034616"/>
    <w:rsid w:val="0006063C"/>
    <w:rsid w:val="0015074B"/>
    <w:rsid w:val="001D094A"/>
    <w:rsid w:val="0029639D"/>
    <w:rsid w:val="00326F90"/>
    <w:rsid w:val="005E0B90"/>
    <w:rsid w:val="00651C37"/>
    <w:rsid w:val="00660A5B"/>
    <w:rsid w:val="0095171C"/>
    <w:rsid w:val="00975452"/>
    <w:rsid w:val="00AA1D8D"/>
    <w:rsid w:val="00B47730"/>
    <w:rsid w:val="00BD7066"/>
    <w:rsid w:val="00CB0664"/>
    <w:rsid w:val="00DA458F"/>
    <w:rsid w:val="00EC19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A309A3"/>
  <w14:defaultImageDpi w14:val="300"/>
  <w15:docId w15:val="{3ECAECFF-52E9-444E-B766-E0FA4DF2F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spacing w:after="80" w:line="240" w:lineRule="auto"/>
      <w:ind w:left="403" w:hanging="403"/>
    </w:pPr>
    <w:rPr>
      <w:rFonts w:ascii="Times New Roman" w:hAnsi="Times New Roman"/>
      <w:sz w:val="21"/>
    </w:rPr>
  </w:style>
  <w:style w:type="paragraph" w:customStyle="1" w:styleId="CaptionClean">
    <w:name w:val="CaptionClean"/>
    <w:pPr>
      <w:spacing w:before="80" w:after="100"/>
    </w:pPr>
    <w:rPr>
      <w:rFonts w:ascii="Times New Roman" w:hAnsi="Times New Roman"/>
      <w:i/>
      <w:sz w:val="20"/>
    </w:rPr>
  </w:style>
  <w:style w:type="paragraph" w:styleId="NormalWeb">
    <w:name w:val="Normal (Web)"/>
    <w:basedOn w:val="Normal"/>
    <w:uiPriority w:val="99"/>
    <w:semiHidden/>
    <w:unhideWhenUsed/>
    <w:rsid w:val="0095171C"/>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9517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dicaid.gov/federal-policy-guidance/downloads/cib03042025.pdf?utm_source=chatgpt.com" TargetMode="External"/><Relationship Id="rId18" Type="http://schemas.openxmlformats.org/officeDocument/2006/relationships/hyperlink" Target="https://doi.org/10.1146/annurev-publhealth-071521-031648?utm_source=chatgpt.com" TargetMode="External"/><Relationship Id="rId26" Type="http://schemas.openxmlformats.org/officeDocument/2006/relationships/hyperlink" Target="https://doi.org/10.1186/s12913-022-08721-9?utm_source=chatgpt.com" TargetMode="External"/><Relationship Id="rId3" Type="http://schemas.openxmlformats.org/officeDocument/2006/relationships/styles" Target="styles.xml"/><Relationship Id="rId21" Type="http://schemas.openxmlformats.org/officeDocument/2006/relationships/hyperlink" Target="https://doi.org/10.1186/s13012-022-01192-w?utm_source=chatgpt.com" TargetMode="External"/><Relationship Id="rId7" Type="http://schemas.openxmlformats.org/officeDocument/2006/relationships/endnotes" Target="endnotes.xml"/><Relationship Id="rId12" Type="http://schemas.openxmlformats.org/officeDocument/2006/relationships/hyperlink" Target="https://doi.org/10.1001/jamanetworkopen.2022.50004?utm_source=chatgpt.com" TargetMode="External"/><Relationship Id="rId17" Type="http://schemas.openxmlformats.org/officeDocument/2006/relationships/hyperlink" Target="https://doi.org/10.1016/j.amepre.2017.05.011?utm_source=chatgpt.com" TargetMode="External"/><Relationship Id="rId25" Type="http://schemas.openxmlformats.org/officeDocument/2006/relationships/hyperlink" Target="https://doi.org/10.5334/ijic.5687?utm_source=chatgpt.co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186/s13012-021-01137-9?utm_source=chatgpt.com" TargetMode="External"/><Relationship Id="rId20" Type="http://schemas.openxmlformats.org/officeDocument/2006/relationships/hyperlink" Target="https://doi.org/10.1016/j.jacc.2023.12.023?utm_source=chatgpt.com" TargetMode="External"/><Relationship Id="rId29" Type="http://schemas.openxmlformats.org/officeDocument/2006/relationships/hyperlink" Target="https://www.who.int/publications/b/67490?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86/s13012-021-01094-3?utm_source=chatgpt.com" TargetMode="External"/><Relationship Id="rId24" Type="http://schemas.openxmlformats.org/officeDocument/2006/relationships/hyperlink" Target="https://doi.org/10.1089/pop.2023.0151?utm_source=chatgpt.co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3122/jabfm.2022.220401R1?utm_source=chatgpt.com" TargetMode="External"/><Relationship Id="rId23" Type="http://schemas.openxmlformats.org/officeDocument/2006/relationships/hyperlink" Target="https://doi.org/10.1186/s13011-025-00635-z?utm_source=chatgpt.com" TargetMode="External"/><Relationship Id="rId28" Type="http://schemas.openxmlformats.org/officeDocument/2006/relationships/hyperlink" Target="https://doi.org/10.5334/ijic.95?utm_source=chatgpt.com" TargetMode="External"/><Relationship Id="rId10" Type="http://schemas.openxmlformats.org/officeDocument/2006/relationships/hyperlink" Target="https://doi.org/10.3389/frhs.2023.1124054?utm_source=chatgpt.com" TargetMode="External"/><Relationship Id="rId19" Type="http://schemas.openxmlformats.org/officeDocument/2006/relationships/hyperlink" Target="https://doi.org/10.1001/jamahealthforum.2023.1191?utm_source=chatgpt.com"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377/hlthaff.2022.01483?utm_source=chatgpt.com" TargetMode="External"/><Relationship Id="rId14" Type="http://schemas.openxmlformats.org/officeDocument/2006/relationships/hyperlink" Target="https://doi.org/10.1146/annurev-publhealth-061022-050026?utm_source=chatgpt.com" TargetMode="External"/><Relationship Id="rId22" Type="http://schemas.openxmlformats.org/officeDocument/2006/relationships/hyperlink" Target="https://doi.org/10.3389/fpubh.2024.1413205?utm_source=chatgpt.com" TargetMode="External"/><Relationship Id="rId27" Type="http://schemas.openxmlformats.org/officeDocument/2006/relationships/hyperlink" Target="https://doi.org/10.1001/jamanetworkopen.2025.19507?utm_source=chatgpt.com" TargetMode="External"/><Relationship Id="rId30" Type="http://schemas.openxmlformats.org/officeDocument/2006/relationships/hyperlink" Target="https://doi.org/10.1089/heq.2022.0010?utm_source=chatgpt.com" TargetMode="Externa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6695</Words>
  <Characters>38168</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44774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Editor-90</cp:lastModifiedBy>
  <cp:revision>5</cp:revision>
  <dcterms:created xsi:type="dcterms:W3CDTF">2013-12-23T23:15:00Z</dcterms:created>
  <dcterms:modified xsi:type="dcterms:W3CDTF">2026-09-29T13:17:00Z</dcterms:modified>
  <cp:category/>
</cp:coreProperties>
</file>