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F34FB" w14:textId="77777777" w:rsidR="00B677BD" w:rsidRDefault="00000000" w:rsidP="00C11AF6">
      <w:pPr>
        <w:spacing w:before="240" w:after="240"/>
        <w:rPr>
          <w:rFonts w:cs="Times New Roman"/>
          <w:b/>
          <w:color w:val="000000" w:themeColor="text1"/>
          <w:sz w:val="34"/>
        </w:rPr>
      </w:pPr>
      <w:r w:rsidRPr="00C11AF6">
        <w:rPr>
          <w:rFonts w:cs="Times New Roman"/>
          <w:b/>
          <w:color w:val="000000" w:themeColor="text1"/>
          <w:sz w:val="34"/>
        </w:rPr>
        <w:t>Severe High-Anion-Gap Metabolic Acidosis and Critical Hypernatremic Dehydration Mimicking an Inborn Error of Metabolism in a 38-Day-Old Infant: A Case Report</w:t>
      </w:r>
    </w:p>
    <w:p w14:paraId="0E105B1A" w14:textId="77777777" w:rsidR="00B677BD" w:rsidRPr="00C11AF6" w:rsidRDefault="00000000">
      <w:pPr>
        <w:spacing w:before="120"/>
        <w:rPr>
          <w:rFonts w:cs="Times New Roman"/>
          <w:color w:val="000000" w:themeColor="text1"/>
        </w:rPr>
      </w:pPr>
      <w:r w:rsidRPr="00C11AF6">
        <w:rPr>
          <w:rFonts w:cs="Times New Roman"/>
          <w:b/>
          <w:color w:val="000000" w:themeColor="text1"/>
          <w:sz w:val="26"/>
        </w:rPr>
        <w:t>ABSTRACT</w:t>
      </w:r>
    </w:p>
    <w:p w14:paraId="77A9FF72" w14:textId="77777777" w:rsidR="00F16439" w:rsidRPr="00F16439" w:rsidRDefault="00F16439" w:rsidP="00F16439">
      <w:pPr>
        <w:spacing w:before="100" w:beforeAutospacing="1" w:after="100" w:afterAutospacing="1" w:line="240" w:lineRule="auto"/>
        <w:rPr>
          <w:rFonts w:eastAsia="Times New Roman" w:cs="Times New Roman"/>
          <w:color w:val="auto"/>
          <w:sz w:val="24"/>
          <w:szCs w:val="24"/>
        </w:rPr>
      </w:pPr>
      <w:r w:rsidRPr="00F16439">
        <w:rPr>
          <w:rFonts w:eastAsia="Times New Roman" w:cs="Times New Roman"/>
          <w:b/>
          <w:bCs/>
          <w:color w:val="auto"/>
          <w:sz w:val="24"/>
          <w:szCs w:val="24"/>
        </w:rPr>
        <w:t>Background:</w:t>
      </w:r>
      <w:r w:rsidRPr="00F16439">
        <w:rPr>
          <w:rFonts w:eastAsia="Times New Roman" w:cs="Times New Roman"/>
          <w:color w:val="auto"/>
          <w:sz w:val="24"/>
          <w:szCs w:val="24"/>
        </w:rPr>
        <w:t xml:space="preserve"> Severe high-anion-gap metabolic acidosis (HAGMA) in early infancy can closely resemble an inborn error of metabolism (IEM), particularly when accompanied by dehydration, shock, respiratory failure, and multisystem biochemical abnormalities. Feeding-related metabolic decompensation should therefore be considered during the differential diagnosis of critically ill young infants.</w:t>
      </w:r>
    </w:p>
    <w:p w14:paraId="4FB9AEBA" w14:textId="77777777" w:rsidR="00F16439" w:rsidRPr="00F16439" w:rsidRDefault="00F16439" w:rsidP="00F16439">
      <w:pPr>
        <w:spacing w:before="100" w:beforeAutospacing="1" w:after="100" w:afterAutospacing="1" w:line="240" w:lineRule="auto"/>
        <w:rPr>
          <w:rFonts w:eastAsia="Times New Roman" w:cs="Times New Roman"/>
          <w:color w:val="auto"/>
          <w:sz w:val="24"/>
          <w:szCs w:val="24"/>
        </w:rPr>
      </w:pPr>
      <w:r w:rsidRPr="00F16439">
        <w:rPr>
          <w:rFonts w:eastAsia="Times New Roman" w:cs="Times New Roman"/>
          <w:b/>
          <w:bCs/>
          <w:color w:val="auto"/>
          <w:sz w:val="24"/>
          <w:szCs w:val="24"/>
        </w:rPr>
        <w:t>Case Presentation:</w:t>
      </w:r>
      <w:r w:rsidRPr="00F16439">
        <w:rPr>
          <w:rFonts w:eastAsia="Times New Roman" w:cs="Times New Roman"/>
          <w:color w:val="auto"/>
          <w:sz w:val="24"/>
          <w:szCs w:val="24"/>
        </w:rPr>
        <w:t xml:space="preserve"> A 38-day-old female infant was admitted with respiratory failure, lethargy, shock, and severe failure to thrive after being fed exclusively with unmodified cow and goat milk from day 15 of life following maternal lactation failure. Her weight declined from 2.70 kg at birth to 2.02 kg. Investigations revealed severe HAGMA (pH 7.22, HCO₃⁻ 6.5 mmol/L, anion gap 20.9 </w:t>
      </w:r>
      <w:proofErr w:type="spellStart"/>
      <w:r w:rsidRPr="00F16439">
        <w:rPr>
          <w:rFonts w:eastAsia="Times New Roman" w:cs="Times New Roman"/>
          <w:color w:val="auto"/>
          <w:sz w:val="24"/>
          <w:szCs w:val="24"/>
        </w:rPr>
        <w:t>mEq</w:t>
      </w:r>
      <w:proofErr w:type="spellEnd"/>
      <w:r w:rsidRPr="00F16439">
        <w:rPr>
          <w:rFonts w:eastAsia="Times New Roman" w:cs="Times New Roman"/>
          <w:color w:val="auto"/>
          <w:sz w:val="24"/>
          <w:szCs w:val="24"/>
        </w:rPr>
        <w:t xml:space="preserve">/L), </w:t>
      </w:r>
      <w:proofErr w:type="spellStart"/>
      <w:r w:rsidRPr="00F16439">
        <w:rPr>
          <w:rFonts w:eastAsia="Times New Roman" w:cs="Times New Roman"/>
          <w:color w:val="auto"/>
          <w:sz w:val="24"/>
          <w:szCs w:val="24"/>
        </w:rPr>
        <w:t>hypernatraemia</w:t>
      </w:r>
      <w:proofErr w:type="spellEnd"/>
      <w:r w:rsidRPr="00F16439">
        <w:rPr>
          <w:rFonts w:eastAsia="Times New Roman" w:cs="Times New Roman"/>
          <w:color w:val="auto"/>
          <w:sz w:val="24"/>
          <w:szCs w:val="24"/>
        </w:rPr>
        <w:t xml:space="preserve"> (165.1 mmol/L), profound </w:t>
      </w:r>
      <w:proofErr w:type="spellStart"/>
      <w:r w:rsidRPr="00F16439">
        <w:rPr>
          <w:rFonts w:eastAsia="Times New Roman" w:cs="Times New Roman"/>
          <w:color w:val="auto"/>
          <w:sz w:val="24"/>
          <w:szCs w:val="24"/>
        </w:rPr>
        <w:t>hypokalaemia</w:t>
      </w:r>
      <w:proofErr w:type="spellEnd"/>
      <w:r w:rsidRPr="00F16439">
        <w:rPr>
          <w:rFonts w:eastAsia="Times New Roman" w:cs="Times New Roman"/>
          <w:color w:val="auto"/>
          <w:sz w:val="24"/>
          <w:szCs w:val="24"/>
        </w:rPr>
        <w:t xml:space="preserve">, prerenal </w:t>
      </w:r>
      <w:proofErr w:type="spellStart"/>
      <w:r w:rsidRPr="00F16439">
        <w:rPr>
          <w:rFonts w:eastAsia="Times New Roman" w:cs="Times New Roman"/>
          <w:color w:val="auto"/>
          <w:sz w:val="24"/>
          <w:szCs w:val="24"/>
        </w:rPr>
        <w:t>azotaemia</w:t>
      </w:r>
      <w:proofErr w:type="spellEnd"/>
      <w:r w:rsidRPr="00F16439">
        <w:rPr>
          <w:rFonts w:eastAsia="Times New Roman" w:cs="Times New Roman"/>
          <w:color w:val="auto"/>
          <w:sz w:val="24"/>
          <w:szCs w:val="24"/>
        </w:rPr>
        <w:t xml:space="preserve">, transaminitis, coagulopathy, and radiographic features consistent with aspiration pneumonitis. Blood ammonia and lactate were within the stated reference ranges, while tandem mass spectrometry showed no metabolic abnormality. Urinary gas chromatography-mass spectrometry was non-diagnostic following resuscitation and </w:t>
      </w:r>
      <w:proofErr w:type="spellStart"/>
      <w:r w:rsidRPr="00F16439">
        <w:rPr>
          <w:rFonts w:eastAsia="Times New Roman" w:cs="Times New Roman"/>
          <w:color w:val="auto"/>
          <w:sz w:val="24"/>
          <w:szCs w:val="24"/>
        </w:rPr>
        <w:t>alkalinisation</w:t>
      </w:r>
      <w:proofErr w:type="spellEnd"/>
      <w:r w:rsidRPr="00F16439">
        <w:rPr>
          <w:rFonts w:eastAsia="Times New Roman" w:cs="Times New Roman"/>
          <w:color w:val="auto"/>
          <w:sz w:val="24"/>
          <w:szCs w:val="24"/>
        </w:rPr>
        <w:t xml:space="preserve">. Management included invasive ventilation, controlled fluid and sodium correction, fractionated bicarbonate replacement, potassium supplementation, </w:t>
      </w:r>
      <w:proofErr w:type="spellStart"/>
      <w:r w:rsidRPr="00F16439">
        <w:rPr>
          <w:rFonts w:eastAsia="Times New Roman" w:cs="Times New Roman"/>
          <w:color w:val="auto"/>
          <w:sz w:val="24"/>
          <w:szCs w:val="24"/>
        </w:rPr>
        <w:t>haemodynamic</w:t>
      </w:r>
      <w:proofErr w:type="spellEnd"/>
      <w:r w:rsidRPr="00F16439">
        <w:rPr>
          <w:rFonts w:eastAsia="Times New Roman" w:cs="Times New Roman"/>
          <w:color w:val="auto"/>
          <w:sz w:val="24"/>
          <w:szCs w:val="24"/>
        </w:rPr>
        <w:t xml:space="preserve"> support, antimicrobial therapy, and progressive nutritional rehabilitation. The infant was extubated on day 4 and discharged weighing 2.33 kg.</w:t>
      </w:r>
    </w:p>
    <w:p w14:paraId="2170E838" w14:textId="77777777" w:rsidR="00F16439" w:rsidRPr="00F16439" w:rsidRDefault="00F16439" w:rsidP="00F16439">
      <w:pPr>
        <w:spacing w:before="100" w:beforeAutospacing="1" w:after="100" w:afterAutospacing="1" w:line="240" w:lineRule="auto"/>
        <w:rPr>
          <w:rFonts w:eastAsia="Times New Roman" w:cs="Times New Roman"/>
          <w:color w:val="auto"/>
          <w:sz w:val="24"/>
          <w:szCs w:val="24"/>
        </w:rPr>
      </w:pPr>
      <w:r w:rsidRPr="00F16439">
        <w:rPr>
          <w:rFonts w:eastAsia="Times New Roman" w:cs="Times New Roman"/>
          <w:b/>
          <w:bCs/>
          <w:color w:val="auto"/>
          <w:sz w:val="24"/>
          <w:szCs w:val="24"/>
        </w:rPr>
        <w:t>Discussion:</w:t>
      </w:r>
      <w:r w:rsidRPr="00F16439">
        <w:rPr>
          <w:rFonts w:eastAsia="Times New Roman" w:cs="Times New Roman"/>
          <w:color w:val="auto"/>
          <w:sz w:val="24"/>
          <w:szCs w:val="24"/>
        </w:rPr>
        <w:t xml:space="preserve"> The clinical and biochemical presentation initially suggested an IEM; however, the rapid correction of metabolic abnormalities with supportive care and appropriate nutrition </w:t>
      </w:r>
      <w:proofErr w:type="spellStart"/>
      <w:r w:rsidRPr="00F16439">
        <w:rPr>
          <w:rFonts w:eastAsia="Times New Roman" w:cs="Times New Roman"/>
          <w:color w:val="auto"/>
          <w:sz w:val="24"/>
          <w:szCs w:val="24"/>
        </w:rPr>
        <w:t>favoured</w:t>
      </w:r>
      <w:proofErr w:type="spellEnd"/>
      <w:r w:rsidRPr="00F16439">
        <w:rPr>
          <w:rFonts w:eastAsia="Times New Roman" w:cs="Times New Roman"/>
          <w:color w:val="auto"/>
          <w:sz w:val="24"/>
          <w:szCs w:val="24"/>
        </w:rPr>
        <w:t xml:space="preserve"> an acquired feeding-related metabolic collapse. </w:t>
      </w:r>
      <w:proofErr w:type="spellStart"/>
      <w:r w:rsidRPr="00F16439">
        <w:rPr>
          <w:rFonts w:eastAsia="Times New Roman" w:cs="Times New Roman"/>
          <w:color w:val="auto"/>
          <w:sz w:val="24"/>
          <w:szCs w:val="24"/>
        </w:rPr>
        <w:t>Hypernatraemic</w:t>
      </w:r>
      <w:proofErr w:type="spellEnd"/>
      <w:r w:rsidRPr="00F16439">
        <w:rPr>
          <w:rFonts w:eastAsia="Times New Roman" w:cs="Times New Roman"/>
          <w:color w:val="auto"/>
          <w:sz w:val="24"/>
          <w:szCs w:val="24"/>
        </w:rPr>
        <w:t xml:space="preserve"> dehydration, nutritional deprivation, and aspiration-related respiratory compromise collectively contributed to the severe presentation.</w:t>
      </w:r>
    </w:p>
    <w:p w14:paraId="03896D3C" w14:textId="77777777" w:rsidR="00F16439" w:rsidRPr="00F16439" w:rsidRDefault="00F16439" w:rsidP="00F16439">
      <w:pPr>
        <w:spacing w:before="100" w:beforeAutospacing="1" w:after="100" w:afterAutospacing="1" w:line="240" w:lineRule="auto"/>
        <w:rPr>
          <w:rFonts w:eastAsia="Times New Roman" w:cs="Times New Roman"/>
          <w:color w:val="auto"/>
          <w:sz w:val="24"/>
          <w:szCs w:val="24"/>
        </w:rPr>
      </w:pPr>
      <w:r w:rsidRPr="00F16439">
        <w:rPr>
          <w:rFonts w:eastAsia="Times New Roman" w:cs="Times New Roman"/>
          <w:b/>
          <w:bCs/>
          <w:color w:val="auto"/>
          <w:sz w:val="24"/>
          <w:szCs w:val="24"/>
        </w:rPr>
        <w:t>Conclusion:</w:t>
      </w:r>
      <w:r w:rsidRPr="00F16439">
        <w:rPr>
          <w:rFonts w:eastAsia="Times New Roman" w:cs="Times New Roman"/>
          <w:color w:val="auto"/>
          <w:sz w:val="24"/>
          <w:szCs w:val="24"/>
        </w:rPr>
        <w:t xml:space="preserve"> Inappropriate animal-milk feeding in early infancy may produce severe </w:t>
      </w:r>
      <w:proofErr w:type="spellStart"/>
      <w:r w:rsidRPr="00F16439">
        <w:rPr>
          <w:rFonts w:eastAsia="Times New Roman" w:cs="Times New Roman"/>
          <w:color w:val="auto"/>
          <w:sz w:val="24"/>
          <w:szCs w:val="24"/>
        </w:rPr>
        <w:t>hypernatraemic</w:t>
      </w:r>
      <w:proofErr w:type="spellEnd"/>
      <w:r w:rsidRPr="00F16439">
        <w:rPr>
          <w:rFonts w:eastAsia="Times New Roman" w:cs="Times New Roman"/>
          <w:color w:val="auto"/>
          <w:sz w:val="24"/>
          <w:szCs w:val="24"/>
        </w:rPr>
        <w:t xml:space="preserve"> dehydration and HAGMA that mimic an IEM. Careful biochemical assessment, gradual electrolyte correction, respiratory support, and nutritional rehabilitation are essential for </w:t>
      </w:r>
      <w:proofErr w:type="spellStart"/>
      <w:r w:rsidRPr="00F16439">
        <w:rPr>
          <w:rFonts w:eastAsia="Times New Roman" w:cs="Times New Roman"/>
          <w:color w:val="auto"/>
          <w:sz w:val="24"/>
          <w:szCs w:val="24"/>
        </w:rPr>
        <w:t>favourable</w:t>
      </w:r>
      <w:proofErr w:type="spellEnd"/>
      <w:r w:rsidRPr="00F16439">
        <w:rPr>
          <w:rFonts w:eastAsia="Times New Roman" w:cs="Times New Roman"/>
          <w:color w:val="auto"/>
          <w:sz w:val="24"/>
          <w:szCs w:val="24"/>
        </w:rPr>
        <w:t xml:space="preserve"> recovery.</w:t>
      </w:r>
    </w:p>
    <w:p w14:paraId="3A0126F9" w14:textId="77777777" w:rsidR="00F16439" w:rsidRDefault="00F16439" w:rsidP="00E258F9">
      <w:pPr>
        <w:spacing w:after="100"/>
        <w:rPr>
          <w:bCs/>
          <w:color w:val="000000" w:themeColor="text1"/>
          <w:sz w:val="20"/>
          <w:lang w:val="en-IN"/>
        </w:rPr>
      </w:pPr>
    </w:p>
    <w:p w14:paraId="11D2E478" w14:textId="77777777" w:rsidR="00B677BD" w:rsidRPr="00E258F9" w:rsidRDefault="00000000" w:rsidP="00E258F9">
      <w:pPr>
        <w:spacing w:after="100"/>
        <w:rPr>
          <w:bCs/>
          <w:color w:val="000000" w:themeColor="text1"/>
          <w:sz w:val="20"/>
          <w:lang w:val="en-IN"/>
        </w:rPr>
      </w:pPr>
      <w:r w:rsidRPr="00C11AF6">
        <w:rPr>
          <w:rFonts w:cs="Times New Roman"/>
          <w:b/>
          <w:color w:val="000000" w:themeColor="text1"/>
          <w:sz w:val="20"/>
        </w:rPr>
        <w:t xml:space="preserve">Keywords: </w:t>
      </w:r>
      <w:r w:rsidRPr="00C11AF6">
        <w:rPr>
          <w:rFonts w:cs="Times New Roman"/>
          <w:color w:val="000000" w:themeColor="text1"/>
          <w:sz w:val="20"/>
        </w:rPr>
        <w:t xml:space="preserve">Severe Metabolic Acidosis; </w:t>
      </w:r>
      <w:proofErr w:type="spellStart"/>
      <w:r w:rsidRPr="00C11AF6">
        <w:rPr>
          <w:rFonts w:cs="Times New Roman"/>
          <w:color w:val="000000" w:themeColor="text1"/>
          <w:sz w:val="20"/>
        </w:rPr>
        <w:t>Hypernatremic</w:t>
      </w:r>
      <w:proofErr w:type="spellEnd"/>
      <w:r w:rsidRPr="00C11AF6">
        <w:rPr>
          <w:rFonts w:cs="Times New Roman"/>
          <w:color w:val="000000" w:themeColor="text1"/>
          <w:sz w:val="20"/>
        </w:rPr>
        <w:t xml:space="preserve"> Dehydration; Inborn Errors of Metabolism (IEM); Aspiration Pneumonia; Failure to Thrive; Unmodified Animal Milk; Potential Renal Solute Load; Pediatric Intensive Care.</w:t>
      </w:r>
    </w:p>
    <w:p w14:paraId="62938BFC"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6"/>
        </w:rPr>
        <w:lastRenderedPageBreak/>
        <w:t>1. INTRODUCTION</w:t>
      </w:r>
    </w:p>
    <w:p w14:paraId="516E2BD2" w14:textId="77777777" w:rsidR="00B677BD" w:rsidRPr="00E258F9" w:rsidRDefault="00000000" w:rsidP="00E258F9">
      <w:pPr>
        <w:rPr>
          <w:color w:val="000000" w:themeColor="text1"/>
          <w:lang w:val="en-IN"/>
        </w:rPr>
      </w:pPr>
      <w:r>
        <w:rPr>
          <w:highlight w:val="yellow"/>
        </w:rPr>
        <w:t>Acute metabolic decompensation with severe high-anion-gap metabolic acidosis (HAGMA) during early infancy is among the most challenging presentations in paediatric intensive care medicine (Kliegman et al., 2020; Saudubray et al., 2016). The differential diagnosis of an infant presenting with severe acidaemia, altered sensorium, tachypnoea, and cardiovascular compromise during the first two months of life is complex and requires clinicians to distinguish primary inborn errors of metabolism (IEMs) from life-threatening acquired systemic decompensation (Ferreira et al., 2019; Saudubray et al., 2016). Rapid preliminary assessment using blood gases, plasma ammonia, electrolytes, glucose, and urine testing can support early triage while definitive investigations proceed (Saleem et al., 2017). Primary IEMs, particularly classical organic acidaemias (methylmalonic, propionic, and isovaleric acidaemia) and mitochondrial fatty acid oxidation disorders such as medium-chain acyl-CoA dehydrogenase deficiency, may cause life-threatening accumulation of intermediary metabolites, hyperammonaemia, ketosis, and secondary encephalopathy (Chapman et al., 2012; Ferreira et al., 2019). In geographical areas with high consanguinity or limited national neonatal screening programmes, clinicians are particularly alert to this diagnostic possibility (Moammar et al., 2010). However, severe acquired metabolic decompensation can be equally life-threatening yet potentially reversible in low- and middle-income settings and transition economies (Moritz &amp; Ayus, 2002; World Health Organization, 2013). Among these acquired conditions, severe hypernatraemic dehydration secondary to inappropriate infant feeding is an important and potentially under-recognised cause (Basnet et al., 2010; Fomon &amp; Ziegler, 1999). Recent systematic and prospective evidence associates neonatal hypernatraemic dehydration with suboptimal feeding, excessive weight loss, and delayed or ineffective breastfeeding, supporting early feeding assessment and close weight monitoring (Arora et al., 2024; Maldonado et al., 2026). When maternal milk supply is insufficient or social, cultural, or maternal health factors interfere with breastfeeding, caregivers may supplement or replace human milk with unmodified animal milk, particularly cow or goat milk (Basnet et al., 2010; Fomon &amp; Ziegler, 1999). Unmodified fresh animal milk contains substantially greater protein and mineral-electrolyte loads than human milk, resulting in a high renal solute load that may exceed the excretory capacity of the immature neonatal kidney (Basnet et al., 2010; Fomon &amp; Ziegler, 1999; Ziegler, 2007).</w:t>
      </w:r>
      <w:r>
        <w:rPr>
          <w:highlight w:val="yellow"/>
        </w:rPr>
        <w:br/>
        <w:t xml:space="preserve">The neonatal kidney has limited urinary concentrating capacity during the first month of life (Moritz &amp; Ayus, 2002; Sulemanji &amp; Vakili, 2013). In this setting, a high obligate solute load from unmodified animal milk, combined with restricted free-water intake, ambient heat, or increased insensible losses, may contribute to severe hyperosmolar dehydration, volume depletion, hypovolaemic shock, and prerenal azotaemia (Bolat et al., 2013; Fomon &amp; Ziegler, 1999; Sulemanji &amp; Vakili, 2013). Starvation and inadequate caloric intake may further promote lipolysis and protein catabolism, worsen tissue perfusion and hypoxia, and increase the accumulation of fixed acids, thereby contributing to metabolic acidosis (Kraut &amp; Madias, 2010; Meoli et al., 2024). The resulting elevation in the anion gap may resemble that seen in a primary IEM (Ferreira et al., 2019; Kraut &amp; Madias, 2010; Meoli et al., 2024). The clinical picture becomes more complex when respiratory compensation is limited or when impaired airway-protective reflexes and swallowing coordination increase the risk of aspiration. Aspiration-related pneumonitis or pneumonia may further increase systemic stress, hypoxia, and multi-organ dysfunction (Marik, 2001; Weir et al., 2007). Inappropriate fluid correction can also be hazardous because rapid osmotic shifts may increase the risk of cerebral oedema, particularly in severe hypernatraemia (Didsbury et al., 2023; Lynch &amp; Wood, 2011). Recent follow-up evidence has associated greater severity of neonatal hypernatraemic dehydration with poorer developmental outcomes, reinforcing the importance of timely </w:t>
      </w:r>
      <w:r>
        <w:rPr>
          <w:highlight w:val="yellow"/>
        </w:rPr>
        <w:lastRenderedPageBreak/>
        <w:t>recognition and carefully controlled correction (Sharma et al., 2024).</w:t>
      </w:r>
      <w:r>
        <w:rPr>
          <w:highlight w:val="yellow"/>
        </w:rPr>
        <w:br/>
        <w:t>A clinically important gap addressed by this report is the difficulty of distinguishing a reversible, feeding-related acquired metabolic collapse from an IEM when severe HAGMA, hypernatraemic dehydration, failure to thrive, and aspiration-related respiratory failure coexist. The aims of this report are: (1) to describe the clinical features of an infant with severe hypernatraemic dehydration and failure to thrive in the context of aspiration pneumonia and HAGMA mimicking an IEM; (2) to describe the principles of gradual correction of electrolyte and acid-base abnormalities to reduce the risk of neurological injury; and (3) to outline a differential diagnostic and follow-up framework when initial metabolic investigations are inconclusive.</w:t>
      </w:r>
    </w:p>
    <w:p w14:paraId="0A93F900"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6"/>
        </w:rPr>
        <w:t>2. CASE PRESENTATION</w:t>
      </w:r>
    </w:p>
    <w:p w14:paraId="69C42314"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2.1 Patient Demographics and Perinatal History</w:t>
      </w:r>
    </w:p>
    <w:p w14:paraId="2482AB4E" w14:textId="77777777" w:rsidR="00E258F9" w:rsidRPr="00E258F9" w:rsidRDefault="00E258F9" w:rsidP="00E258F9">
      <w:pPr>
        <w:rPr>
          <w:lang w:val="en-IN"/>
        </w:rPr>
      </w:pPr>
      <w:r>
        <w:rPr>
          <w:highlight w:val="yellow"/>
        </w:rPr>
        <w:t>A 38-day-old female infant was admitted to the Paediatric Intensive Care Unit (PICU) of S. S. Institute of Medical Sciences &amp; Research Centre (SSIMS &amp; RC), Davangere, Karnataka, India, on 17 August 2026. She was born at term by an uncomplicated lower-segment Caesarean section (LSCS) to a non-consanguineous couple. The antenatal course and routine ultrasound examinations were unremarkable. Her birth weight was 2.70 kg, appropriate for gestational age. Postnatal adaptation was uneventful, no resuscitation was required, and Apgar scores were 8 and 9 at 1 and 5 minutes, respectively. No facial dysmorphism was noted. The infant received the oral polio vaccine zero dose, BCG, and hepatitis B vaccination. The mother and family opted for discharge against medical advice (DAMA) because of nutritional concerns.</w:t>
      </w:r>
    </w:p>
    <w:p w14:paraId="43F29E89"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2.2 Feeding History and Precipitating Dietary Mismanagement</w:t>
      </w:r>
    </w:p>
    <w:p w14:paraId="4DB8C762" w14:textId="77777777" w:rsidR="0098254C" w:rsidRPr="0098254C" w:rsidRDefault="0098254C" w:rsidP="0098254C">
      <w:pPr>
        <w:rPr>
          <w:lang w:val="en-IN"/>
        </w:rPr>
      </w:pPr>
      <w:r>
        <w:rPr>
          <w:highlight w:val="yellow"/>
        </w:rPr>
        <w:t>After discharge, the mother experienced persistent primary lactation failure, and the infant demonstrated non-nutritive superficial sucking. To settle the frequently crying infant, the family initially provided intermittent commercial infant formula. From day 15 of life onwards, however, the infant was fed exclusively with fresh cow and goat milk that was unmodified and undiluted, given at irregular intervals without supplementary boiled water and under unhygienic conditions. On day 15 after birth, an Accredited Social Health Activist (ASHA) conducted a home visit, but the family did not subsequently obtain organised medical consultation or re-lactation counselling. Over the following three weeks, the infant experienced severe progressive weight loss, from 2.70 kg at birth to 2.02 kg at presentation, representing a 25.2% reduction from birth weight and catastrophic failure to thrive.</w:t>
      </w:r>
    </w:p>
    <w:p w14:paraId="44C5DDBB"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2.3 Initial Clinical Presentation and Emergency Resuscitation</w:t>
      </w:r>
    </w:p>
    <w:p w14:paraId="75D834AF" w14:textId="77777777" w:rsidR="00B677BD" w:rsidRPr="0098254C" w:rsidRDefault="0098254C">
      <w:pPr>
        <w:rPr>
          <w:rFonts w:cs="Times New Roman"/>
          <w:color w:val="000000" w:themeColor="text1"/>
          <w:lang w:val="en-IN"/>
        </w:rPr>
      </w:pPr>
      <w:r>
        <w:rPr>
          <w:highlight w:val="yellow"/>
        </w:rPr>
        <w:t xml:space="preserve">Approximately 24-36 hours before hospital presentation, the infant developed low-grade fever, serous rhinorrhoea, mucus-associated upper-airway obstruction, intermittent dry cough, and progressively increased work of breathing with tachypnoea. Respiratory failure worsened rapidly, with deep subcostal, intercostal, and suprasternal retractions, increasing lethargy, hypothermia, cold extremities, and mottled skin. She was brought to a local community hospital in decompensated shock with impending respiratory failure. Initial management included emergency endotracheal intubation, an IV isotonic fluid bolus (normal saline 10 mL/kg), and empirical IV sodium bicarbonate after an initial blood gas demonstrated profound metabolic acidosis. Because the combination of severe acidosis, dehydration, respiratory failure, and hepatomegaly raised concern for an IEM with secondary aspiration pneumonitis, the community </w:t>
      </w:r>
      <w:r>
        <w:rPr>
          <w:highlight w:val="yellow"/>
        </w:rPr>
        <w:lastRenderedPageBreak/>
        <w:t>hospital obtained dried blood spots on filter paper for TMS and a spot urine sample on filter paper for GC-MS. The infant was then rapidly transferred, intubated, to our PICU.</w:t>
      </w:r>
    </w:p>
    <w:p w14:paraId="026A110B"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2.4 Physical Examination and Anthropometric Assessment</w:t>
      </w:r>
    </w:p>
    <w:p w14:paraId="3A1C8307" w14:textId="77777777" w:rsidR="0098254C" w:rsidRDefault="0098254C" w:rsidP="0098254C">
      <w:pPr>
        <w:rPr>
          <w:rFonts w:cs="Times New Roman"/>
          <w:color w:val="000000" w:themeColor="text1"/>
          <w:lang w:val="en-IN"/>
        </w:rPr>
      </w:pPr>
      <w:r>
        <w:rPr>
          <w:highlight w:val="yellow"/>
        </w:rPr>
        <w:t>On presentation to the tertiary PICU, the infant was critically ill, sedated, and being manually ventilated through an endotracheal tube. Examination showed a severely wasted, pale, lethargic, and dehydrated infant with a sunken anterior fontanelle and dry mucous membranes, without icterus, cyanosis, digital clubbing, palpable peripheral lymphadenopathy, or pedal oedema. The pulse was weak and thready at 150-156 beats/min, and blood pressure was borderline low for age at 62/38 mmHg (mean arterial pressure 46 mmHg), with a capillary refill time of 2-3 seconds. Axillary temperature was 36.5°C. Central and peripheral pulses were feeble. SpO2 was 97-98% during manual ventilation with 100% FiO2. The pupils were 3 mm, round, and briskly reactive to light. Glasgow Coma Scale assessment was not possible on arrival because of the infant's clinical state and sedation. Random blood glucose on arrival was 150 mg/dL.</w:t>
      </w:r>
    </w:p>
    <w:p w14:paraId="72DB6794" w14:textId="77777777" w:rsidR="00BB65D3" w:rsidRDefault="00BB65D3" w:rsidP="00BB65D3">
      <w:pPr>
        <w:rPr>
          <w:rFonts w:cs="Times New Roman"/>
          <w:color w:val="000000" w:themeColor="text1"/>
          <w:lang w:val="en-IN"/>
        </w:rPr>
      </w:pPr>
      <w:r>
        <w:rPr>
          <w:highlight w:val="yellow"/>
        </w:rPr>
        <w:t>Anthropometric assessment demonstrated severe growth faltering: admission weight was 2.02 kg (weight-for-age Z-score &lt; -3 SD), length was 47 cm (length-for-age Z-score -2.4 SD), and head circumference was 33 cm (head-circumference-for-age Z-score -2.1 SD). Chest expansion was symmetrical, with diffuse coarse crackles and scattered transmitted sounds bilaterally and no localised wheeze. Cardiac examination showed normal heart sounds without an additional murmur. The abdomen was soft and minimally distended, with smooth, firm, non-tender hepatomegaly 2 cm below the right costal margin, which resolved by the end of admission; the spleen was not palpable. Neurological examination showed generalised hypotonia, reduced primitive reflexes, and markedly reduced spontaneous movement.</w:t>
      </w:r>
    </w:p>
    <w:p w14:paraId="662186E9" w14:textId="77777777" w:rsidR="00BB65D3" w:rsidRDefault="00000000">
      <w:pPr>
        <w:rPr>
          <w:rFonts w:cs="Times New Roman"/>
          <w:color w:val="000000" w:themeColor="text1"/>
          <w:lang w:val="en-IN"/>
        </w:rPr>
      </w:pPr>
      <w:r w:rsidRPr="00C11AF6">
        <w:rPr>
          <w:rFonts w:cs="Times New Roman"/>
          <w:b/>
          <w:color w:val="000000" w:themeColor="text1"/>
          <w:sz w:val="23"/>
        </w:rPr>
        <w:t>2.5 Diagnostic Evaluation and Longitudinal Laboratory Findings</w:t>
      </w:r>
    </w:p>
    <w:p w14:paraId="2F417316" w14:textId="77777777" w:rsidR="00B677BD" w:rsidRPr="00BB65D3" w:rsidRDefault="00000000">
      <w:pPr>
        <w:rPr>
          <w:rFonts w:cs="Times New Roman"/>
          <w:color w:val="000000" w:themeColor="text1"/>
          <w:lang w:val="en-IN"/>
        </w:rPr>
      </w:pPr>
      <w:r>
        <w:rPr>
          <w:highlight w:val="yellow"/>
        </w:rPr>
        <w:t>Baseline arterial blood gas (ABG) analysis performed immediately after admission (17/08/2026, 19:25) confirmed severe high-anion-gap metabolic acidosis with marked compensatory respiratory hyperventilation: pH 7.22, pCO2 16.0 mmHg, pO2 160.0 mmHg, HCO3- 6.5 mmol/L, Base Excess (BE) -21.2 mmol/L, and a calculated anion gap of 20.9 mEq/L (Table 1). Application of Winter's formula (expected pCO2 = 1.5 × [HCO3-] + 8 ± 2 = 1.5 × 6.5 + 8 = 17.75 ± 2 mmHg; range: 15.8-19.8 mmHg) showed that the observed pCO2 of 16.0 mmHg was within the expected physiological compensatory range. The acid-base disturbance was therefore classified as partially compensated metabolic acidaemia rather than uncompensated acidosis.</w:t>
      </w:r>
    </w:p>
    <w:p w14:paraId="7CE8CFAE" w14:textId="77777777" w:rsidR="00B677BD" w:rsidRPr="00C11AF6" w:rsidRDefault="00000000">
      <w:pPr>
        <w:rPr>
          <w:rFonts w:cs="Times New Roman"/>
          <w:color w:val="000000" w:themeColor="text1"/>
        </w:rPr>
      </w:pPr>
      <w:r>
        <w:rPr>
          <w:highlight w:val="yellow"/>
        </w:rPr>
        <w:t>Point-of-care and automated biochemical electrolyte measurements showed critical hypernatraemia (Na+ 165.1 mmol/L), severe hypokalaemia (K+ 1.80 mmol/L on point-of-care ABG; 2.69 mmol/L on automated ion-selective electrode [ISE] biochemistry), marked hyperchloraemia (Cl- 137.60 mmol/L), and ionised hypocalcaemia (ionised calcium 0.47 mmol/L; automated potentiometric serum ionised calcium 4.27 mg/dL). Complete blood count (CBC) showed haemoglobin 10.4 g/dL, haematocrit (PCV) 31.2%, total leucocyte count 15,490 cells/µL (neutrophils 62%, lymphocytes 36%, monocytes 3%, eosinophils 1%), and marked reactive thrombocytosis with a platelet count of 6.81 × 10^5/µL. Coagulation testing showed a prothrombin time (PT) of 25.1 seconds (control: 11.8 seconds), an international normalised ratio (INR) of 2.1, and an activated partial thromboplastin time (APTT) of 28.8 seconds (control: 28.4 seconds).</w:t>
      </w:r>
    </w:p>
    <w:p w14:paraId="0A744B5D" w14:textId="77777777" w:rsidR="00B677BD" w:rsidRPr="00C11AF6" w:rsidRDefault="00000000">
      <w:pPr>
        <w:rPr>
          <w:rFonts w:cs="Times New Roman"/>
          <w:color w:val="000000" w:themeColor="text1"/>
        </w:rPr>
      </w:pPr>
      <w:r>
        <w:rPr>
          <w:highlight w:val="yellow"/>
        </w:rPr>
        <w:lastRenderedPageBreak/>
        <w:t>Renal biochemistry showed acute prerenal azotaemia associated with dehydration, with blood urea 89.9 mg/dL and serum creatinine 0.55 mg/dL, which peaked at 0.80 mg/dL on hospital day 2. Hepatic enzyme testing showed acute ischaemic transaminitis consistent with 'shock liver': AST (SGOT) 121.0 U/L, ALT (SGPT) 308.3 U/L, alkaline phosphatase (ALP) 265.4 U/L, and gamma-glutamyl transpeptidase (GGT) 135.0 U/L. Total serum bilirubin was 0.9 mg/dL (direct bilirubin: 0.4 mg/dL), and total serum protein was 5.7 g/dL (albumin: 3.6 g/dL; globulin: 2.1 g/dL; A/G ratio: 1.71).</w:t>
      </w:r>
    </w:p>
    <w:p w14:paraId="2A7BD9B9" w14:textId="77777777" w:rsidR="00B677BD" w:rsidRPr="00C11AF6" w:rsidRDefault="00000000">
      <w:pPr>
        <w:rPr>
          <w:rFonts w:cs="Times New Roman"/>
          <w:color w:val="000000" w:themeColor="text1"/>
        </w:rPr>
      </w:pPr>
      <w:r>
        <w:rPr>
          <w:highlight w:val="yellow"/>
        </w:rPr>
        <w:t>Sepsis screening showed an elevated C-reactive protein (CRP) concentration of 10.07 mg/L (reference: &lt;5.0 mg/L); however, serial automated peripheral blood cultures remained sterile after 72 hours of incubation. Urinalysis showed clear yellow urine with a specific gravity of 1.020, pH 6.0, dipstick blood 2+, and microscopy demonstrating 8-10 RBCs/HPF, 1-2 WBCs/HPF, and 1-2 epithelial cells/HPF, without cellular casts or crystalluria. Urine dipstick testing for glucose, bilirubin, ketone bodies (acetoacetate), and reducing substances was negative. Venous blood ammonia was within the stated reference range at 87.0 µg/dL (reference range: 31-123 µg/dL), and venous blood lactate was 1.3 mmol/L (Table 2).</w:t>
      </w:r>
    </w:p>
    <w:p w14:paraId="6C5C44C1" w14:textId="77777777" w:rsidR="00B677BD" w:rsidRPr="00C11AF6" w:rsidRDefault="00000000">
      <w:pPr>
        <w:spacing w:before="160" w:after="80"/>
        <w:rPr>
          <w:rFonts w:cs="Times New Roman"/>
          <w:color w:val="000000" w:themeColor="text1"/>
        </w:rPr>
      </w:pPr>
      <w:r w:rsidRPr="00C11AF6">
        <w:rPr>
          <w:rFonts w:cs="Times New Roman"/>
          <w:b/>
          <w:color w:val="000000" w:themeColor="text1"/>
          <w:sz w:val="20"/>
        </w:rPr>
        <w:t>Table 1. Serial Arterial Blood Gas and Point-of-Care Electrolyte Parameters During PICU Hospitalization</w:t>
      </w:r>
    </w:p>
    <w:tbl>
      <w:tblPr>
        <w:tblW w:w="0" w:type="auto"/>
        <w:jc w:val="center"/>
        <w:tblLook w:val="04A0" w:firstRow="1" w:lastRow="0" w:firstColumn="1" w:lastColumn="0" w:noHBand="0" w:noVBand="1"/>
      </w:tblPr>
      <w:tblGrid>
        <w:gridCol w:w="851"/>
        <w:gridCol w:w="851"/>
        <w:gridCol w:w="851"/>
        <w:gridCol w:w="851"/>
        <w:gridCol w:w="851"/>
        <w:gridCol w:w="851"/>
        <w:gridCol w:w="851"/>
        <w:gridCol w:w="851"/>
        <w:gridCol w:w="851"/>
        <w:gridCol w:w="851"/>
        <w:gridCol w:w="851"/>
      </w:tblGrid>
      <w:tr w:rsidR="00B677BD" w:rsidRPr="00C11AF6" w14:paraId="3452A691" w14:textId="77777777">
        <w:trPr>
          <w:jc w:val="center"/>
        </w:trPr>
        <w:tc>
          <w:tcPr>
            <w:tcW w:w="851" w:type="dxa"/>
            <w:shd w:val="clear" w:color="auto" w:fill="112B4E"/>
            <w:tcMar>
              <w:top w:w="60" w:type="dxa"/>
              <w:left w:w="60" w:type="dxa"/>
              <w:bottom w:w="60" w:type="dxa"/>
              <w:right w:w="60" w:type="dxa"/>
            </w:tcMar>
          </w:tcPr>
          <w:p w14:paraId="2AC682F2"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5"/>
              </w:rPr>
              <w:t>Parameter</w:t>
            </w:r>
          </w:p>
        </w:tc>
        <w:tc>
          <w:tcPr>
            <w:tcW w:w="851" w:type="dxa"/>
            <w:shd w:val="clear" w:color="auto" w:fill="112B4E"/>
            <w:tcMar>
              <w:top w:w="60" w:type="dxa"/>
              <w:left w:w="60" w:type="dxa"/>
              <w:bottom w:w="60" w:type="dxa"/>
              <w:right w:w="60" w:type="dxa"/>
            </w:tcMar>
          </w:tcPr>
          <w:p w14:paraId="1C9A47DF"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Reference</w:t>
            </w:r>
          </w:p>
        </w:tc>
        <w:tc>
          <w:tcPr>
            <w:tcW w:w="851" w:type="dxa"/>
            <w:shd w:val="clear" w:color="auto" w:fill="112B4E"/>
            <w:tcMar>
              <w:top w:w="60" w:type="dxa"/>
              <w:left w:w="60" w:type="dxa"/>
              <w:bottom w:w="60" w:type="dxa"/>
              <w:right w:w="60" w:type="dxa"/>
            </w:tcMar>
          </w:tcPr>
          <w:p w14:paraId="65C3F433"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17/08 19:25</w:t>
            </w:r>
          </w:p>
        </w:tc>
        <w:tc>
          <w:tcPr>
            <w:tcW w:w="851" w:type="dxa"/>
            <w:shd w:val="clear" w:color="auto" w:fill="112B4E"/>
            <w:tcMar>
              <w:top w:w="60" w:type="dxa"/>
              <w:left w:w="60" w:type="dxa"/>
              <w:bottom w:w="60" w:type="dxa"/>
              <w:right w:w="60" w:type="dxa"/>
            </w:tcMar>
          </w:tcPr>
          <w:p w14:paraId="297C3F97"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02:16</w:t>
            </w:r>
          </w:p>
        </w:tc>
        <w:tc>
          <w:tcPr>
            <w:tcW w:w="851" w:type="dxa"/>
            <w:shd w:val="clear" w:color="auto" w:fill="112B4E"/>
            <w:tcMar>
              <w:top w:w="60" w:type="dxa"/>
              <w:left w:w="60" w:type="dxa"/>
              <w:bottom w:w="60" w:type="dxa"/>
              <w:right w:w="60" w:type="dxa"/>
            </w:tcMar>
          </w:tcPr>
          <w:p w14:paraId="1EA04F63"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07:44</w:t>
            </w:r>
          </w:p>
        </w:tc>
        <w:tc>
          <w:tcPr>
            <w:tcW w:w="851" w:type="dxa"/>
            <w:shd w:val="clear" w:color="auto" w:fill="112B4E"/>
            <w:tcMar>
              <w:top w:w="60" w:type="dxa"/>
              <w:left w:w="60" w:type="dxa"/>
              <w:bottom w:w="60" w:type="dxa"/>
              <w:right w:w="60" w:type="dxa"/>
            </w:tcMar>
          </w:tcPr>
          <w:p w14:paraId="0712400A"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15:51</w:t>
            </w:r>
          </w:p>
        </w:tc>
        <w:tc>
          <w:tcPr>
            <w:tcW w:w="851" w:type="dxa"/>
            <w:shd w:val="clear" w:color="auto" w:fill="112B4E"/>
            <w:tcMar>
              <w:top w:w="60" w:type="dxa"/>
              <w:left w:w="60" w:type="dxa"/>
              <w:bottom w:w="60" w:type="dxa"/>
              <w:right w:w="60" w:type="dxa"/>
            </w:tcMar>
          </w:tcPr>
          <w:p w14:paraId="622F8683"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20:23</w:t>
            </w:r>
          </w:p>
        </w:tc>
        <w:tc>
          <w:tcPr>
            <w:tcW w:w="851" w:type="dxa"/>
            <w:shd w:val="clear" w:color="auto" w:fill="112B4E"/>
            <w:tcMar>
              <w:top w:w="60" w:type="dxa"/>
              <w:left w:w="60" w:type="dxa"/>
              <w:bottom w:w="60" w:type="dxa"/>
              <w:right w:w="60" w:type="dxa"/>
            </w:tcMar>
          </w:tcPr>
          <w:p w14:paraId="54484959"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19/08 15:18</w:t>
            </w:r>
          </w:p>
        </w:tc>
        <w:tc>
          <w:tcPr>
            <w:tcW w:w="851" w:type="dxa"/>
            <w:shd w:val="clear" w:color="auto" w:fill="112B4E"/>
            <w:tcMar>
              <w:top w:w="60" w:type="dxa"/>
              <w:left w:w="60" w:type="dxa"/>
              <w:bottom w:w="60" w:type="dxa"/>
              <w:right w:w="60" w:type="dxa"/>
            </w:tcMar>
          </w:tcPr>
          <w:p w14:paraId="7432BB89"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20/08 06:19</w:t>
            </w:r>
          </w:p>
        </w:tc>
        <w:tc>
          <w:tcPr>
            <w:tcW w:w="851" w:type="dxa"/>
            <w:shd w:val="clear" w:color="auto" w:fill="112B4E"/>
            <w:tcMar>
              <w:top w:w="60" w:type="dxa"/>
              <w:left w:w="60" w:type="dxa"/>
              <w:bottom w:w="60" w:type="dxa"/>
              <w:right w:w="60" w:type="dxa"/>
            </w:tcMar>
          </w:tcPr>
          <w:p w14:paraId="59517FAA"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21/08 08:18</w:t>
            </w:r>
          </w:p>
        </w:tc>
        <w:tc>
          <w:tcPr>
            <w:tcW w:w="851" w:type="dxa"/>
            <w:shd w:val="clear" w:color="auto" w:fill="112B4E"/>
            <w:tcMar>
              <w:top w:w="60" w:type="dxa"/>
              <w:left w:w="60" w:type="dxa"/>
              <w:bottom w:w="60" w:type="dxa"/>
              <w:right w:w="60" w:type="dxa"/>
            </w:tcMar>
          </w:tcPr>
          <w:p w14:paraId="269B7134"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25/08 12:48*</w:t>
            </w:r>
          </w:p>
        </w:tc>
      </w:tr>
      <w:tr w:rsidR="00B677BD" w:rsidRPr="00C11AF6" w14:paraId="1DA08161" w14:textId="77777777">
        <w:trPr>
          <w:jc w:val="center"/>
        </w:trPr>
        <w:tc>
          <w:tcPr>
            <w:tcW w:w="851" w:type="dxa"/>
            <w:shd w:val="clear" w:color="auto" w:fill="F4F6F9"/>
            <w:tcMar>
              <w:top w:w="60" w:type="dxa"/>
              <w:left w:w="60" w:type="dxa"/>
              <w:bottom w:w="60" w:type="dxa"/>
              <w:right w:w="60" w:type="dxa"/>
            </w:tcMar>
          </w:tcPr>
          <w:p w14:paraId="61CCD7E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pH</w:t>
            </w:r>
          </w:p>
        </w:tc>
        <w:tc>
          <w:tcPr>
            <w:tcW w:w="851" w:type="dxa"/>
            <w:shd w:val="clear" w:color="auto" w:fill="F4F6F9"/>
            <w:tcMar>
              <w:top w:w="60" w:type="dxa"/>
              <w:left w:w="60" w:type="dxa"/>
              <w:bottom w:w="60" w:type="dxa"/>
              <w:right w:w="60" w:type="dxa"/>
            </w:tcMar>
          </w:tcPr>
          <w:p w14:paraId="0A8285F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7.35–7.45</w:t>
            </w:r>
          </w:p>
        </w:tc>
        <w:tc>
          <w:tcPr>
            <w:tcW w:w="851" w:type="dxa"/>
            <w:shd w:val="clear" w:color="auto" w:fill="F4F6F9"/>
            <w:tcMar>
              <w:top w:w="60" w:type="dxa"/>
              <w:left w:w="60" w:type="dxa"/>
              <w:bottom w:w="60" w:type="dxa"/>
              <w:right w:w="60" w:type="dxa"/>
            </w:tcMar>
          </w:tcPr>
          <w:p w14:paraId="4C5B1E0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7.22</w:t>
            </w:r>
          </w:p>
        </w:tc>
        <w:tc>
          <w:tcPr>
            <w:tcW w:w="851" w:type="dxa"/>
            <w:shd w:val="clear" w:color="auto" w:fill="F4F6F9"/>
            <w:tcMar>
              <w:top w:w="60" w:type="dxa"/>
              <w:left w:w="60" w:type="dxa"/>
              <w:bottom w:w="60" w:type="dxa"/>
              <w:right w:w="60" w:type="dxa"/>
            </w:tcMar>
          </w:tcPr>
          <w:p w14:paraId="5E9C4B6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7.36</w:t>
            </w:r>
          </w:p>
        </w:tc>
        <w:tc>
          <w:tcPr>
            <w:tcW w:w="851" w:type="dxa"/>
            <w:shd w:val="clear" w:color="auto" w:fill="F4F6F9"/>
            <w:tcMar>
              <w:top w:w="60" w:type="dxa"/>
              <w:left w:w="60" w:type="dxa"/>
              <w:bottom w:w="60" w:type="dxa"/>
              <w:right w:w="60" w:type="dxa"/>
            </w:tcMar>
          </w:tcPr>
          <w:p w14:paraId="2D04E21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7.30</w:t>
            </w:r>
          </w:p>
        </w:tc>
        <w:tc>
          <w:tcPr>
            <w:tcW w:w="851" w:type="dxa"/>
            <w:shd w:val="clear" w:color="auto" w:fill="F4F6F9"/>
            <w:tcMar>
              <w:top w:w="60" w:type="dxa"/>
              <w:left w:w="60" w:type="dxa"/>
              <w:bottom w:w="60" w:type="dxa"/>
              <w:right w:w="60" w:type="dxa"/>
            </w:tcMar>
          </w:tcPr>
          <w:p w14:paraId="2F617C7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7.27</w:t>
            </w:r>
          </w:p>
        </w:tc>
        <w:tc>
          <w:tcPr>
            <w:tcW w:w="851" w:type="dxa"/>
            <w:shd w:val="clear" w:color="auto" w:fill="F4F6F9"/>
            <w:tcMar>
              <w:top w:w="60" w:type="dxa"/>
              <w:left w:w="60" w:type="dxa"/>
              <w:bottom w:w="60" w:type="dxa"/>
              <w:right w:w="60" w:type="dxa"/>
            </w:tcMar>
          </w:tcPr>
          <w:p w14:paraId="49F1D13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7.44</w:t>
            </w:r>
          </w:p>
        </w:tc>
        <w:tc>
          <w:tcPr>
            <w:tcW w:w="851" w:type="dxa"/>
            <w:shd w:val="clear" w:color="auto" w:fill="F4F6F9"/>
            <w:tcMar>
              <w:top w:w="60" w:type="dxa"/>
              <w:left w:w="60" w:type="dxa"/>
              <w:bottom w:w="60" w:type="dxa"/>
              <w:right w:w="60" w:type="dxa"/>
            </w:tcMar>
          </w:tcPr>
          <w:p w14:paraId="5CF3932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7.39</w:t>
            </w:r>
          </w:p>
        </w:tc>
        <w:tc>
          <w:tcPr>
            <w:tcW w:w="851" w:type="dxa"/>
            <w:shd w:val="clear" w:color="auto" w:fill="F4F6F9"/>
            <w:tcMar>
              <w:top w:w="60" w:type="dxa"/>
              <w:left w:w="60" w:type="dxa"/>
              <w:bottom w:w="60" w:type="dxa"/>
              <w:right w:w="60" w:type="dxa"/>
            </w:tcMar>
          </w:tcPr>
          <w:p w14:paraId="0761222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7.38</w:t>
            </w:r>
          </w:p>
        </w:tc>
        <w:tc>
          <w:tcPr>
            <w:tcW w:w="851" w:type="dxa"/>
            <w:shd w:val="clear" w:color="auto" w:fill="F4F6F9"/>
            <w:tcMar>
              <w:top w:w="60" w:type="dxa"/>
              <w:left w:w="60" w:type="dxa"/>
              <w:bottom w:w="60" w:type="dxa"/>
              <w:right w:w="60" w:type="dxa"/>
            </w:tcMar>
          </w:tcPr>
          <w:p w14:paraId="3467E39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7.48</w:t>
            </w:r>
          </w:p>
        </w:tc>
        <w:tc>
          <w:tcPr>
            <w:tcW w:w="851" w:type="dxa"/>
            <w:shd w:val="clear" w:color="auto" w:fill="F4F6F9"/>
            <w:tcMar>
              <w:top w:w="60" w:type="dxa"/>
              <w:left w:w="60" w:type="dxa"/>
              <w:bottom w:w="60" w:type="dxa"/>
              <w:right w:w="60" w:type="dxa"/>
            </w:tcMar>
          </w:tcPr>
          <w:p w14:paraId="1094201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7.41</w:t>
            </w:r>
          </w:p>
        </w:tc>
      </w:tr>
      <w:tr w:rsidR="00B677BD" w:rsidRPr="00C11AF6" w14:paraId="14F18CFE" w14:textId="77777777">
        <w:trPr>
          <w:jc w:val="center"/>
        </w:trPr>
        <w:tc>
          <w:tcPr>
            <w:tcW w:w="851" w:type="dxa"/>
            <w:tcMar>
              <w:top w:w="60" w:type="dxa"/>
              <w:left w:w="60" w:type="dxa"/>
              <w:bottom w:w="60" w:type="dxa"/>
              <w:right w:w="60" w:type="dxa"/>
            </w:tcMar>
          </w:tcPr>
          <w:p w14:paraId="31902A5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pCO2 (mmHg)</w:t>
            </w:r>
          </w:p>
        </w:tc>
        <w:tc>
          <w:tcPr>
            <w:tcW w:w="851" w:type="dxa"/>
            <w:tcMar>
              <w:top w:w="60" w:type="dxa"/>
              <w:left w:w="60" w:type="dxa"/>
              <w:bottom w:w="60" w:type="dxa"/>
              <w:right w:w="60" w:type="dxa"/>
            </w:tcMar>
          </w:tcPr>
          <w:p w14:paraId="02B5767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35–45</w:t>
            </w:r>
          </w:p>
        </w:tc>
        <w:tc>
          <w:tcPr>
            <w:tcW w:w="851" w:type="dxa"/>
            <w:tcMar>
              <w:top w:w="60" w:type="dxa"/>
              <w:left w:w="60" w:type="dxa"/>
              <w:bottom w:w="60" w:type="dxa"/>
              <w:right w:w="60" w:type="dxa"/>
            </w:tcMar>
          </w:tcPr>
          <w:p w14:paraId="068DAC4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16.0</w:t>
            </w:r>
          </w:p>
        </w:tc>
        <w:tc>
          <w:tcPr>
            <w:tcW w:w="851" w:type="dxa"/>
            <w:tcMar>
              <w:top w:w="60" w:type="dxa"/>
              <w:left w:w="60" w:type="dxa"/>
              <w:bottom w:w="60" w:type="dxa"/>
              <w:right w:w="60" w:type="dxa"/>
            </w:tcMar>
          </w:tcPr>
          <w:p w14:paraId="0417413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27.0</w:t>
            </w:r>
          </w:p>
        </w:tc>
        <w:tc>
          <w:tcPr>
            <w:tcW w:w="851" w:type="dxa"/>
            <w:tcMar>
              <w:top w:w="60" w:type="dxa"/>
              <w:left w:w="60" w:type="dxa"/>
              <w:bottom w:w="60" w:type="dxa"/>
              <w:right w:w="60" w:type="dxa"/>
            </w:tcMar>
          </w:tcPr>
          <w:p w14:paraId="0B2CC90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33.0</w:t>
            </w:r>
          </w:p>
        </w:tc>
        <w:tc>
          <w:tcPr>
            <w:tcW w:w="851" w:type="dxa"/>
            <w:tcMar>
              <w:top w:w="60" w:type="dxa"/>
              <w:left w:w="60" w:type="dxa"/>
              <w:bottom w:w="60" w:type="dxa"/>
              <w:right w:w="60" w:type="dxa"/>
            </w:tcMar>
          </w:tcPr>
          <w:p w14:paraId="502848F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17.0</w:t>
            </w:r>
          </w:p>
        </w:tc>
        <w:tc>
          <w:tcPr>
            <w:tcW w:w="851" w:type="dxa"/>
            <w:tcMar>
              <w:top w:w="60" w:type="dxa"/>
              <w:left w:w="60" w:type="dxa"/>
              <w:bottom w:w="60" w:type="dxa"/>
              <w:right w:w="60" w:type="dxa"/>
            </w:tcMar>
          </w:tcPr>
          <w:p w14:paraId="34840C9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36.0</w:t>
            </w:r>
          </w:p>
        </w:tc>
        <w:tc>
          <w:tcPr>
            <w:tcW w:w="851" w:type="dxa"/>
            <w:tcMar>
              <w:top w:w="60" w:type="dxa"/>
              <w:left w:w="60" w:type="dxa"/>
              <w:bottom w:w="60" w:type="dxa"/>
              <w:right w:w="60" w:type="dxa"/>
            </w:tcMar>
          </w:tcPr>
          <w:p w14:paraId="48E45B8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43.0</w:t>
            </w:r>
          </w:p>
        </w:tc>
        <w:tc>
          <w:tcPr>
            <w:tcW w:w="851" w:type="dxa"/>
            <w:tcMar>
              <w:top w:w="60" w:type="dxa"/>
              <w:left w:w="60" w:type="dxa"/>
              <w:bottom w:w="60" w:type="dxa"/>
              <w:right w:w="60" w:type="dxa"/>
            </w:tcMar>
          </w:tcPr>
          <w:p w14:paraId="7B98B70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50.0</w:t>
            </w:r>
          </w:p>
        </w:tc>
        <w:tc>
          <w:tcPr>
            <w:tcW w:w="851" w:type="dxa"/>
            <w:tcMar>
              <w:top w:w="60" w:type="dxa"/>
              <w:left w:w="60" w:type="dxa"/>
              <w:bottom w:w="60" w:type="dxa"/>
              <w:right w:w="60" w:type="dxa"/>
            </w:tcMar>
          </w:tcPr>
          <w:p w14:paraId="2CB2E8C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28.0</w:t>
            </w:r>
          </w:p>
        </w:tc>
        <w:tc>
          <w:tcPr>
            <w:tcW w:w="851" w:type="dxa"/>
            <w:tcMar>
              <w:top w:w="60" w:type="dxa"/>
              <w:left w:w="60" w:type="dxa"/>
              <w:bottom w:w="60" w:type="dxa"/>
              <w:right w:w="60" w:type="dxa"/>
            </w:tcMar>
          </w:tcPr>
          <w:p w14:paraId="6698F4B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39.0</w:t>
            </w:r>
          </w:p>
        </w:tc>
      </w:tr>
      <w:tr w:rsidR="00B677BD" w:rsidRPr="00C11AF6" w14:paraId="09109DBB" w14:textId="77777777">
        <w:trPr>
          <w:jc w:val="center"/>
        </w:trPr>
        <w:tc>
          <w:tcPr>
            <w:tcW w:w="851" w:type="dxa"/>
            <w:shd w:val="clear" w:color="auto" w:fill="F4F6F9"/>
            <w:tcMar>
              <w:top w:w="60" w:type="dxa"/>
              <w:left w:w="60" w:type="dxa"/>
              <w:bottom w:w="60" w:type="dxa"/>
              <w:right w:w="60" w:type="dxa"/>
            </w:tcMar>
          </w:tcPr>
          <w:p w14:paraId="11BAA4B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pO2 (mmHg)</w:t>
            </w:r>
          </w:p>
        </w:tc>
        <w:tc>
          <w:tcPr>
            <w:tcW w:w="851" w:type="dxa"/>
            <w:shd w:val="clear" w:color="auto" w:fill="F4F6F9"/>
            <w:tcMar>
              <w:top w:w="60" w:type="dxa"/>
              <w:left w:w="60" w:type="dxa"/>
              <w:bottom w:w="60" w:type="dxa"/>
              <w:right w:w="60" w:type="dxa"/>
            </w:tcMar>
          </w:tcPr>
          <w:p w14:paraId="404D11E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75–100</w:t>
            </w:r>
          </w:p>
        </w:tc>
        <w:tc>
          <w:tcPr>
            <w:tcW w:w="851" w:type="dxa"/>
            <w:shd w:val="clear" w:color="auto" w:fill="F4F6F9"/>
            <w:tcMar>
              <w:top w:w="60" w:type="dxa"/>
              <w:left w:w="60" w:type="dxa"/>
              <w:bottom w:w="60" w:type="dxa"/>
              <w:right w:w="60" w:type="dxa"/>
            </w:tcMar>
          </w:tcPr>
          <w:p w14:paraId="67B4076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160.0</w:t>
            </w:r>
          </w:p>
        </w:tc>
        <w:tc>
          <w:tcPr>
            <w:tcW w:w="851" w:type="dxa"/>
            <w:shd w:val="clear" w:color="auto" w:fill="F4F6F9"/>
            <w:tcMar>
              <w:top w:w="60" w:type="dxa"/>
              <w:left w:w="60" w:type="dxa"/>
              <w:bottom w:w="60" w:type="dxa"/>
              <w:right w:w="60" w:type="dxa"/>
            </w:tcMar>
          </w:tcPr>
          <w:p w14:paraId="008D07B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71.0</w:t>
            </w:r>
          </w:p>
        </w:tc>
        <w:tc>
          <w:tcPr>
            <w:tcW w:w="851" w:type="dxa"/>
            <w:shd w:val="clear" w:color="auto" w:fill="F4F6F9"/>
            <w:tcMar>
              <w:top w:w="60" w:type="dxa"/>
              <w:left w:w="60" w:type="dxa"/>
              <w:bottom w:w="60" w:type="dxa"/>
              <w:right w:w="60" w:type="dxa"/>
            </w:tcMar>
          </w:tcPr>
          <w:p w14:paraId="3D6E80C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87.0</w:t>
            </w:r>
          </w:p>
        </w:tc>
        <w:tc>
          <w:tcPr>
            <w:tcW w:w="851" w:type="dxa"/>
            <w:shd w:val="clear" w:color="auto" w:fill="F4F6F9"/>
            <w:tcMar>
              <w:top w:w="60" w:type="dxa"/>
              <w:left w:w="60" w:type="dxa"/>
              <w:bottom w:w="60" w:type="dxa"/>
              <w:right w:w="60" w:type="dxa"/>
            </w:tcMar>
          </w:tcPr>
          <w:p w14:paraId="5350199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72.0</w:t>
            </w:r>
          </w:p>
        </w:tc>
        <w:tc>
          <w:tcPr>
            <w:tcW w:w="851" w:type="dxa"/>
            <w:shd w:val="clear" w:color="auto" w:fill="F4F6F9"/>
            <w:tcMar>
              <w:top w:w="60" w:type="dxa"/>
              <w:left w:w="60" w:type="dxa"/>
              <w:bottom w:w="60" w:type="dxa"/>
              <w:right w:w="60" w:type="dxa"/>
            </w:tcMar>
          </w:tcPr>
          <w:p w14:paraId="42F237A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52.0</w:t>
            </w:r>
          </w:p>
        </w:tc>
        <w:tc>
          <w:tcPr>
            <w:tcW w:w="851" w:type="dxa"/>
            <w:shd w:val="clear" w:color="auto" w:fill="F4F6F9"/>
            <w:tcMar>
              <w:top w:w="60" w:type="dxa"/>
              <w:left w:w="60" w:type="dxa"/>
              <w:bottom w:w="60" w:type="dxa"/>
              <w:right w:w="60" w:type="dxa"/>
            </w:tcMar>
          </w:tcPr>
          <w:p w14:paraId="614DE94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93.0</w:t>
            </w:r>
          </w:p>
        </w:tc>
        <w:tc>
          <w:tcPr>
            <w:tcW w:w="851" w:type="dxa"/>
            <w:shd w:val="clear" w:color="auto" w:fill="F4F6F9"/>
            <w:tcMar>
              <w:top w:w="60" w:type="dxa"/>
              <w:left w:w="60" w:type="dxa"/>
              <w:bottom w:w="60" w:type="dxa"/>
              <w:right w:w="60" w:type="dxa"/>
            </w:tcMar>
          </w:tcPr>
          <w:p w14:paraId="04FBC41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108.0</w:t>
            </w:r>
          </w:p>
        </w:tc>
        <w:tc>
          <w:tcPr>
            <w:tcW w:w="851" w:type="dxa"/>
            <w:shd w:val="clear" w:color="auto" w:fill="F4F6F9"/>
            <w:tcMar>
              <w:top w:w="60" w:type="dxa"/>
              <w:left w:w="60" w:type="dxa"/>
              <w:bottom w:w="60" w:type="dxa"/>
              <w:right w:w="60" w:type="dxa"/>
            </w:tcMar>
          </w:tcPr>
          <w:p w14:paraId="499EFBD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46.0</w:t>
            </w:r>
          </w:p>
        </w:tc>
        <w:tc>
          <w:tcPr>
            <w:tcW w:w="851" w:type="dxa"/>
            <w:shd w:val="clear" w:color="auto" w:fill="F4F6F9"/>
            <w:tcMar>
              <w:top w:w="60" w:type="dxa"/>
              <w:left w:w="60" w:type="dxa"/>
              <w:bottom w:w="60" w:type="dxa"/>
              <w:right w:w="60" w:type="dxa"/>
            </w:tcMar>
          </w:tcPr>
          <w:p w14:paraId="732FBA7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24.0*</w:t>
            </w:r>
          </w:p>
        </w:tc>
      </w:tr>
      <w:tr w:rsidR="00B677BD" w:rsidRPr="00C11AF6" w14:paraId="3224A912" w14:textId="77777777">
        <w:trPr>
          <w:jc w:val="center"/>
        </w:trPr>
        <w:tc>
          <w:tcPr>
            <w:tcW w:w="851" w:type="dxa"/>
            <w:tcMar>
              <w:top w:w="60" w:type="dxa"/>
              <w:left w:w="60" w:type="dxa"/>
              <w:bottom w:w="60" w:type="dxa"/>
              <w:right w:w="60" w:type="dxa"/>
            </w:tcMar>
          </w:tcPr>
          <w:p w14:paraId="5D7FBB37"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Na+ (mmol/L)</w:t>
            </w:r>
          </w:p>
        </w:tc>
        <w:tc>
          <w:tcPr>
            <w:tcW w:w="851" w:type="dxa"/>
            <w:tcMar>
              <w:top w:w="60" w:type="dxa"/>
              <w:left w:w="60" w:type="dxa"/>
              <w:bottom w:w="60" w:type="dxa"/>
              <w:right w:w="60" w:type="dxa"/>
            </w:tcMar>
          </w:tcPr>
          <w:p w14:paraId="083E143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133–152</w:t>
            </w:r>
          </w:p>
        </w:tc>
        <w:tc>
          <w:tcPr>
            <w:tcW w:w="851" w:type="dxa"/>
            <w:tcMar>
              <w:top w:w="60" w:type="dxa"/>
              <w:left w:w="60" w:type="dxa"/>
              <w:bottom w:w="60" w:type="dxa"/>
              <w:right w:w="60" w:type="dxa"/>
            </w:tcMar>
          </w:tcPr>
          <w:p w14:paraId="509B00D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165.0</w:t>
            </w:r>
          </w:p>
        </w:tc>
        <w:tc>
          <w:tcPr>
            <w:tcW w:w="851" w:type="dxa"/>
            <w:tcMar>
              <w:top w:w="60" w:type="dxa"/>
              <w:left w:w="60" w:type="dxa"/>
              <w:bottom w:w="60" w:type="dxa"/>
              <w:right w:w="60" w:type="dxa"/>
            </w:tcMar>
          </w:tcPr>
          <w:p w14:paraId="657AFC2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159.0</w:t>
            </w:r>
          </w:p>
        </w:tc>
        <w:tc>
          <w:tcPr>
            <w:tcW w:w="851" w:type="dxa"/>
            <w:tcMar>
              <w:top w:w="60" w:type="dxa"/>
              <w:left w:w="60" w:type="dxa"/>
              <w:bottom w:w="60" w:type="dxa"/>
              <w:right w:w="60" w:type="dxa"/>
            </w:tcMar>
          </w:tcPr>
          <w:p w14:paraId="3A2981F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165.0</w:t>
            </w:r>
          </w:p>
        </w:tc>
        <w:tc>
          <w:tcPr>
            <w:tcW w:w="851" w:type="dxa"/>
            <w:tcMar>
              <w:top w:w="60" w:type="dxa"/>
              <w:left w:w="60" w:type="dxa"/>
              <w:bottom w:w="60" w:type="dxa"/>
              <w:right w:w="60" w:type="dxa"/>
            </w:tcMar>
          </w:tcPr>
          <w:p w14:paraId="656CF53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164.0</w:t>
            </w:r>
          </w:p>
        </w:tc>
        <w:tc>
          <w:tcPr>
            <w:tcW w:w="851" w:type="dxa"/>
            <w:tcMar>
              <w:top w:w="60" w:type="dxa"/>
              <w:left w:w="60" w:type="dxa"/>
              <w:bottom w:w="60" w:type="dxa"/>
              <w:right w:w="60" w:type="dxa"/>
            </w:tcMar>
          </w:tcPr>
          <w:p w14:paraId="200745A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158.0</w:t>
            </w:r>
          </w:p>
        </w:tc>
        <w:tc>
          <w:tcPr>
            <w:tcW w:w="851" w:type="dxa"/>
            <w:tcMar>
              <w:top w:w="60" w:type="dxa"/>
              <w:left w:w="60" w:type="dxa"/>
              <w:bottom w:w="60" w:type="dxa"/>
              <w:right w:w="60" w:type="dxa"/>
            </w:tcMar>
          </w:tcPr>
          <w:p w14:paraId="5208AE6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151.0</w:t>
            </w:r>
          </w:p>
        </w:tc>
        <w:tc>
          <w:tcPr>
            <w:tcW w:w="851" w:type="dxa"/>
            <w:tcMar>
              <w:top w:w="60" w:type="dxa"/>
              <w:left w:w="60" w:type="dxa"/>
              <w:bottom w:w="60" w:type="dxa"/>
              <w:right w:w="60" w:type="dxa"/>
            </w:tcMar>
          </w:tcPr>
          <w:p w14:paraId="321773D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146.0</w:t>
            </w:r>
          </w:p>
        </w:tc>
        <w:tc>
          <w:tcPr>
            <w:tcW w:w="851" w:type="dxa"/>
            <w:tcMar>
              <w:top w:w="60" w:type="dxa"/>
              <w:left w:w="60" w:type="dxa"/>
              <w:bottom w:w="60" w:type="dxa"/>
              <w:right w:w="60" w:type="dxa"/>
            </w:tcMar>
          </w:tcPr>
          <w:p w14:paraId="48C4EC4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147.0</w:t>
            </w:r>
          </w:p>
        </w:tc>
        <w:tc>
          <w:tcPr>
            <w:tcW w:w="851" w:type="dxa"/>
            <w:tcMar>
              <w:top w:w="60" w:type="dxa"/>
              <w:left w:w="60" w:type="dxa"/>
              <w:bottom w:w="60" w:type="dxa"/>
              <w:right w:w="60" w:type="dxa"/>
            </w:tcMar>
          </w:tcPr>
          <w:p w14:paraId="45AA525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140.0</w:t>
            </w:r>
          </w:p>
        </w:tc>
      </w:tr>
      <w:tr w:rsidR="00B677BD" w:rsidRPr="00C11AF6" w14:paraId="3875821C" w14:textId="77777777">
        <w:trPr>
          <w:jc w:val="center"/>
        </w:trPr>
        <w:tc>
          <w:tcPr>
            <w:tcW w:w="851" w:type="dxa"/>
            <w:shd w:val="clear" w:color="auto" w:fill="F4F6F9"/>
            <w:tcMar>
              <w:top w:w="60" w:type="dxa"/>
              <w:left w:w="60" w:type="dxa"/>
              <w:bottom w:w="60" w:type="dxa"/>
              <w:right w:w="60" w:type="dxa"/>
            </w:tcMar>
          </w:tcPr>
          <w:p w14:paraId="4376E17E"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K+ (mmol/L)</w:t>
            </w:r>
          </w:p>
        </w:tc>
        <w:tc>
          <w:tcPr>
            <w:tcW w:w="851" w:type="dxa"/>
            <w:shd w:val="clear" w:color="auto" w:fill="F4F6F9"/>
            <w:tcMar>
              <w:top w:w="60" w:type="dxa"/>
              <w:left w:w="60" w:type="dxa"/>
              <w:bottom w:w="60" w:type="dxa"/>
              <w:right w:w="60" w:type="dxa"/>
            </w:tcMar>
          </w:tcPr>
          <w:p w14:paraId="42B5835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3.5–5.5</w:t>
            </w:r>
          </w:p>
        </w:tc>
        <w:tc>
          <w:tcPr>
            <w:tcW w:w="851" w:type="dxa"/>
            <w:shd w:val="clear" w:color="auto" w:fill="F4F6F9"/>
            <w:tcMar>
              <w:top w:w="60" w:type="dxa"/>
              <w:left w:w="60" w:type="dxa"/>
              <w:bottom w:w="60" w:type="dxa"/>
              <w:right w:w="60" w:type="dxa"/>
            </w:tcMar>
          </w:tcPr>
          <w:p w14:paraId="487BFE3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1.8</w:t>
            </w:r>
          </w:p>
        </w:tc>
        <w:tc>
          <w:tcPr>
            <w:tcW w:w="851" w:type="dxa"/>
            <w:shd w:val="clear" w:color="auto" w:fill="F4F6F9"/>
            <w:tcMar>
              <w:top w:w="60" w:type="dxa"/>
              <w:left w:w="60" w:type="dxa"/>
              <w:bottom w:w="60" w:type="dxa"/>
              <w:right w:w="60" w:type="dxa"/>
            </w:tcMar>
          </w:tcPr>
          <w:p w14:paraId="57D44F8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2.2</w:t>
            </w:r>
          </w:p>
        </w:tc>
        <w:tc>
          <w:tcPr>
            <w:tcW w:w="851" w:type="dxa"/>
            <w:shd w:val="clear" w:color="auto" w:fill="F4F6F9"/>
            <w:tcMar>
              <w:top w:w="60" w:type="dxa"/>
              <w:left w:w="60" w:type="dxa"/>
              <w:bottom w:w="60" w:type="dxa"/>
              <w:right w:w="60" w:type="dxa"/>
            </w:tcMar>
          </w:tcPr>
          <w:p w14:paraId="06FB0BA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1.3</w:t>
            </w:r>
          </w:p>
        </w:tc>
        <w:tc>
          <w:tcPr>
            <w:tcW w:w="851" w:type="dxa"/>
            <w:shd w:val="clear" w:color="auto" w:fill="F4F6F9"/>
            <w:tcMar>
              <w:top w:w="60" w:type="dxa"/>
              <w:left w:w="60" w:type="dxa"/>
              <w:bottom w:w="60" w:type="dxa"/>
              <w:right w:w="60" w:type="dxa"/>
            </w:tcMar>
          </w:tcPr>
          <w:p w14:paraId="67FB3FA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2.2</w:t>
            </w:r>
          </w:p>
        </w:tc>
        <w:tc>
          <w:tcPr>
            <w:tcW w:w="851" w:type="dxa"/>
            <w:shd w:val="clear" w:color="auto" w:fill="F4F6F9"/>
            <w:tcMar>
              <w:top w:w="60" w:type="dxa"/>
              <w:left w:w="60" w:type="dxa"/>
              <w:bottom w:w="60" w:type="dxa"/>
              <w:right w:w="60" w:type="dxa"/>
            </w:tcMar>
          </w:tcPr>
          <w:p w14:paraId="2CC549F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4.2</w:t>
            </w:r>
          </w:p>
        </w:tc>
        <w:tc>
          <w:tcPr>
            <w:tcW w:w="851" w:type="dxa"/>
            <w:shd w:val="clear" w:color="auto" w:fill="F4F6F9"/>
            <w:tcMar>
              <w:top w:w="60" w:type="dxa"/>
              <w:left w:w="60" w:type="dxa"/>
              <w:bottom w:w="60" w:type="dxa"/>
              <w:right w:w="60" w:type="dxa"/>
            </w:tcMar>
          </w:tcPr>
          <w:p w14:paraId="27B3B5A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w:t>
            </w:r>
          </w:p>
        </w:tc>
        <w:tc>
          <w:tcPr>
            <w:tcW w:w="851" w:type="dxa"/>
            <w:shd w:val="clear" w:color="auto" w:fill="F4F6F9"/>
            <w:tcMar>
              <w:top w:w="60" w:type="dxa"/>
              <w:left w:w="60" w:type="dxa"/>
              <w:bottom w:w="60" w:type="dxa"/>
              <w:right w:w="60" w:type="dxa"/>
            </w:tcMar>
          </w:tcPr>
          <w:p w14:paraId="344D1D4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2.7</w:t>
            </w:r>
          </w:p>
        </w:tc>
        <w:tc>
          <w:tcPr>
            <w:tcW w:w="851" w:type="dxa"/>
            <w:shd w:val="clear" w:color="auto" w:fill="F4F6F9"/>
            <w:tcMar>
              <w:top w:w="60" w:type="dxa"/>
              <w:left w:w="60" w:type="dxa"/>
              <w:bottom w:w="60" w:type="dxa"/>
              <w:right w:w="60" w:type="dxa"/>
            </w:tcMar>
          </w:tcPr>
          <w:p w14:paraId="0D69744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3.2</w:t>
            </w:r>
          </w:p>
        </w:tc>
        <w:tc>
          <w:tcPr>
            <w:tcW w:w="851" w:type="dxa"/>
            <w:shd w:val="clear" w:color="auto" w:fill="F4F6F9"/>
            <w:tcMar>
              <w:top w:w="60" w:type="dxa"/>
              <w:left w:w="60" w:type="dxa"/>
              <w:bottom w:w="60" w:type="dxa"/>
              <w:right w:w="60" w:type="dxa"/>
            </w:tcMar>
          </w:tcPr>
          <w:p w14:paraId="219DA95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4.6</w:t>
            </w:r>
          </w:p>
        </w:tc>
      </w:tr>
      <w:tr w:rsidR="00B677BD" w:rsidRPr="00C11AF6" w14:paraId="4D617052" w14:textId="77777777">
        <w:trPr>
          <w:jc w:val="center"/>
        </w:trPr>
        <w:tc>
          <w:tcPr>
            <w:tcW w:w="851" w:type="dxa"/>
            <w:tcMar>
              <w:top w:w="60" w:type="dxa"/>
              <w:left w:w="60" w:type="dxa"/>
              <w:bottom w:w="60" w:type="dxa"/>
              <w:right w:w="60" w:type="dxa"/>
            </w:tcMar>
          </w:tcPr>
          <w:p w14:paraId="0F0D456A"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iCa++ (mmol/L)</w:t>
            </w:r>
          </w:p>
        </w:tc>
        <w:tc>
          <w:tcPr>
            <w:tcW w:w="851" w:type="dxa"/>
            <w:tcMar>
              <w:top w:w="60" w:type="dxa"/>
              <w:left w:w="60" w:type="dxa"/>
              <w:bottom w:w="60" w:type="dxa"/>
              <w:right w:w="60" w:type="dxa"/>
            </w:tcMar>
          </w:tcPr>
          <w:p w14:paraId="0B2CB3C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1.10–1.30</w:t>
            </w:r>
          </w:p>
        </w:tc>
        <w:tc>
          <w:tcPr>
            <w:tcW w:w="851" w:type="dxa"/>
            <w:tcMar>
              <w:top w:w="60" w:type="dxa"/>
              <w:left w:w="60" w:type="dxa"/>
              <w:bottom w:w="60" w:type="dxa"/>
              <w:right w:w="60" w:type="dxa"/>
            </w:tcMar>
          </w:tcPr>
          <w:p w14:paraId="4CFA6D1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0.47</w:t>
            </w:r>
          </w:p>
        </w:tc>
        <w:tc>
          <w:tcPr>
            <w:tcW w:w="851" w:type="dxa"/>
            <w:tcMar>
              <w:top w:w="60" w:type="dxa"/>
              <w:left w:w="60" w:type="dxa"/>
              <w:bottom w:w="60" w:type="dxa"/>
              <w:right w:w="60" w:type="dxa"/>
            </w:tcMar>
          </w:tcPr>
          <w:p w14:paraId="3E38700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0.80</w:t>
            </w:r>
          </w:p>
        </w:tc>
        <w:tc>
          <w:tcPr>
            <w:tcW w:w="851" w:type="dxa"/>
            <w:tcMar>
              <w:top w:w="60" w:type="dxa"/>
              <w:left w:w="60" w:type="dxa"/>
              <w:bottom w:w="60" w:type="dxa"/>
              <w:right w:w="60" w:type="dxa"/>
            </w:tcMar>
          </w:tcPr>
          <w:p w14:paraId="162EF13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0.58</w:t>
            </w:r>
          </w:p>
        </w:tc>
        <w:tc>
          <w:tcPr>
            <w:tcW w:w="851" w:type="dxa"/>
            <w:tcMar>
              <w:top w:w="60" w:type="dxa"/>
              <w:left w:w="60" w:type="dxa"/>
              <w:bottom w:w="60" w:type="dxa"/>
              <w:right w:w="60" w:type="dxa"/>
            </w:tcMar>
          </w:tcPr>
          <w:p w14:paraId="21E7E28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0.16</w:t>
            </w:r>
          </w:p>
        </w:tc>
        <w:tc>
          <w:tcPr>
            <w:tcW w:w="851" w:type="dxa"/>
            <w:tcMar>
              <w:top w:w="60" w:type="dxa"/>
              <w:left w:w="60" w:type="dxa"/>
              <w:bottom w:w="60" w:type="dxa"/>
              <w:right w:w="60" w:type="dxa"/>
            </w:tcMar>
          </w:tcPr>
          <w:p w14:paraId="57EA4D4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1.04</w:t>
            </w:r>
          </w:p>
        </w:tc>
        <w:tc>
          <w:tcPr>
            <w:tcW w:w="851" w:type="dxa"/>
            <w:tcMar>
              <w:top w:w="60" w:type="dxa"/>
              <w:left w:w="60" w:type="dxa"/>
              <w:bottom w:w="60" w:type="dxa"/>
              <w:right w:w="60" w:type="dxa"/>
            </w:tcMar>
          </w:tcPr>
          <w:p w14:paraId="52A4714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1.08</w:t>
            </w:r>
          </w:p>
        </w:tc>
        <w:tc>
          <w:tcPr>
            <w:tcW w:w="851" w:type="dxa"/>
            <w:tcMar>
              <w:top w:w="60" w:type="dxa"/>
              <w:left w:w="60" w:type="dxa"/>
              <w:bottom w:w="60" w:type="dxa"/>
              <w:right w:w="60" w:type="dxa"/>
            </w:tcMar>
          </w:tcPr>
          <w:p w14:paraId="099A25E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1.15</w:t>
            </w:r>
          </w:p>
        </w:tc>
        <w:tc>
          <w:tcPr>
            <w:tcW w:w="851" w:type="dxa"/>
            <w:tcMar>
              <w:top w:w="60" w:type="dxa"/>
              <w:left w:w="60" w:type="dxa"/>
              <w:bottom w:w="60" w:type="dxa"/>
              <w:right w:w="60" w:type="dxa"/>
            </w:tcMar>
          </w:tcPr>
          <w:p w14:paraId="79ADE85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0.71</w:t>
            </w:r>
          </w:p>
        </w:tc>
        <w:tc>
          <w:tcPr>
            <w:tcW w:w="851" w:type="dxa"/>
            <w:tcMar>
              <w:top w:w="60" w:type="dxa"/>
              <w:left w:w="60" w:type="dxa"/>
              <w:bottom w:w="60" w:type="dxa"/>
              <w:right w:w="60" w:type="dxa"/>
            </w:tcMar>
          </w:tcPr>
          <w:p w14:paraId="1FB7130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1.03</w:t>
            </w:r>
          </w:p>
        </w:tc>
      </w:tr>
      <w:tr w:rsidR="00B677BD" w:rsidRPr="00C11AF6" w14:paraId="330A27FE" w14:textId="77777777">
        <w:trPr>
          <w:jc w:val="center"/>
        </w:trPr>
        <w:tc>
          <w:tcPr>
            <w:tcW w:w="851" w:type="dxa"/>
            <w:shd w:val="clear" w:color="auto" w:fill="F4F6F9"/>
            <w:tcMar>
              <w:top w:w="60" w:type="dxa"/>
              <w:left w:w="60" w:type="dxa"/>
              <w:bottom w:w="60" w:type="dxa"/>
              <w:right w:w="60" w:type="dxa"/>
            </w:tcMar>
          </w:tcPr>
          <w:p w14:paraId="2E1EDAE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Glucose (mg/dL)</w:t>
            </w:r>
          </w:p>
        </w:tc>
        <w:tc>
          <w:tcPr>
            <w:tcW w:w="851" w:type="dxa"/>
            <w:shd w:val="clear" w:color="auto" w:fill="F4F6F9"/>
            <w:tcMar>
              <w:top w:w="60" w:type="dxa"/>
              <w:left w:w="60" w:type="dxa"/>
              <w:bottom w:w="60" w:type="dxa"/>
              <w:right w:w="60" w:type="dxa"/>
            </w:tcMar>
          </w:tcPr>
          <w:p w14:paraId="70C06C9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70–110</w:t>
            </w:r>
          </w:p>
        </w:tc>
        <w:tc>
          <w:tcPr>
            <w:tcW w:w="851" w:type="dxa"/>
            <w:shd w:val="clear" w:color="auto" w:fill="F4F6F9"/>
            <w:tcMar>
              <w:top w:w="60" w:type="dxa"/>
              <w:left w:w="60" w:type="dxa"/>
              <w:bottom w:w="60" w:type="dxa"/>
              <w:right w:w="60" w:type="dxa"/>
            </w:tcMar>
          </w:tcPr>
          <w:p w14:paraId="2113B2A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59</w:t>
            </w:r>
          </w:p>
        </w:tc>
        <w:tc>
          <w:tcPr>
            <w:tcW w:w="851" w:type="dxa"/>
            <w:shd w:val="clear" w:color="auto" w:fill="F4F6F9"/>
            <w:tcMar>
              <w:top w:w="60" w:type="dxa"/>
              <w:left w:w="60" w:type="dxa"/>
              <w:bottom w:w="60" w:type="dxa"/>
              <w:right w:w="60" w:type="dxa"/>
            </w:tcMar>
          </w:tcPr>
          <w:p w14:paraId="0BBA899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366</w:t>
            </w:r>
          </w:p>
        </w:tc>
        <w:tc>
          <w:tcPr>
            <w:tcW w:w="851" w:type="dxa"/>
            <w:shd w:val="clear" w:color="auto" w:fill="F4F6F9"/>
            <w:tcMar>
              <w:top w:w="60" w:type="dxa"/>
              <w:left w:w="60" w:type="dxa"/>
              <w:bottom w:w="60" w:type="dxa"/>
              <w:right w:w="60" w:type="dxa"/>
            </w:tcMar>
          </w:tcPr>
          <w:p w14:paraId="0E3C36A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50</w:t>
            </w:r>
          </w:p>
        </w:tc>
        <w:tc>
          <w:tcPr>
            <w:tcW w:w="851" w:type="dxa"/>
            <w:shd w:val="clear" w:color="auto" w:fill="F4F6F9"/>
            <w:tcMar>
              <w:top w:w="60" w:type="dxa"/>
              <w:left w:w="60" w:type="dxa"/>
              <w:bottom w:w="60" w:type="dxa"/>
              <w:right w:w="60" w:type="dxa"/>
            </w:tcMar>
          </w:tcPr>
          <w:p w14:paraId="370A4AC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68</w:t>
            </w:r>
          </w:p>
        </w:tc>
        <w:tc>
          <w:tcPr>
            <w:tcW w:w="851" w:type="dxa"/>
            <w:shd w:val="clear" w:color="auto" w:fill="F4F6F9"/>
            <w:tcMar>
              <w:top w:w="60" w:type="dxa"/>
              <w:left w:w="60" w:type="dxa"/>
              <w:bottom w:w="60" w:type="dxa"/>
              <w:right w:w="60" w:type="dxa"/>
            </w:tcMar>
          </w:tcPr>
          <w:p w14:paraId="20E2F25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103</w:t>
            </w:r>
          </w:p>
        </w:tc>
        <w:tc>
          <w:tcPr>
            <w:tcW w:w="851" w:type="dxa"/>
            <w:shd w:val="clear" w:color="auto" w:fill="F4F6F9"/>
            <w:tcMar>
              <w:top w:w="60" w:type="dxa"/>
              <w:left w:w="60" w:type="dxa"/>
              <w:bottom w:w="60" w:type="dxa"/>
              <w:right w:w="60" w:type="dxa"/>
            </w:tcMar>
          </w:tcPr>
          <w:p w14:paraId="3D786CE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68</w:t>
            </w:r>
          </w:p>
        </w:tc>
        <w:tc>
          <w:tcPr>
            <w:tcW w:w="851" w:type="dxa"/>
            <w:shd w:val="clear" w:color="auto" w:fill="F4F6F9"/>
            <w:tcMar>
              <w:top w:w="60" w:type="dxa"/>
              <w:left w:w="60" w:type="dxa"/>
              <w:bottom w:w="60" w:type="dxa"/>
              <w:right w:w="60" w:type="dxa"/>
            </w:tcMar>
          </w:tcPr>
          <w:p w14:paraId="4FF64CE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61</w:t>
            </w:r>
          </w:p>
        </w:tc>
        <w:tc>
          <w:tcPr>
            <w:tcW w:w="851" w:type="dxa"/>
            <w:shd w:val="clear" w:color="auto" w:fill="F4F6F9"/>
            <w:tcMar>
              <w:top w:w="60" w:type="dxa"/>
              <w:left w:w="60" w:type="dxa"/>
              <w:bottom w:w="60" w:type="dxa"/>
              <w:right w:w="60" w:type="dxa"/>
            </w:tcMar>
          </w:tcPr>
          <w:p w14:paraId="36F03CB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52</w:t>
            </w:r>
          </w:p>
        </w:tc>
        <w:tc>
          <w:tcPr>
            <w:tcW w:w="851" w:type="dxa"/>
            <w:shd w:val="clear" w:color="auto" w:fill="F4F6F9"/>
            <w:tcMar>
              <w:top w:w="60" w:type="dxa"/>
              <w:left w:w="60" w:type="dxa"/>
              <w:bottom w:w="60" w:type="dxa"/>
              <w:right w:w="60" w:type="dxa"/>
            </w:tcMar>
          </w:tcPr>
          <w:p w14:paraId="3955FE5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44</w:t>
            </w:r>
          </w:p>
        </w:tc>
      </w:tr>
      <w:tr w:rsidR="00B677BD" w:rsidRPr="00C11AF6" w14:paraId="6572B3EE" w14:textId="77777777">
        <w:trPr>
          <w:jc w:val="center"/>
        </w:trPr>
        <w:tc>
          <w:tcPr>
            <w:tcW w:w="851" w:type="dxa"/>
            <w:tcMar>
              <w:top w:w="60" w:type="dxa"/>
              <w:left w:w="60" w:type="dxa"/>
              <w:bottom w:w="60" w:type="dxa"/>
              <w:right w:w="60" w:type="dxa"/>
            </w:tcMar>
          </w:tcPr>
          <w:p w14:paraId="27AD087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Lactate (mmol/L)</w:t>
            </w:r>
          </w:p>
        </w:tc>
        <w:tc>
          <w:tcPr>
            <w:tcW w:w="851" w:type="dxa"/>
            <w:tcMar>
              <w:top w:w="60" w:type="dxa"/>
              <w:left w:w="60" w:type="dxa"/>
              <w:bottom w:w="60" w:type="dxa"/>
              <w:right w:w="60" w:type="dxa"/>
            </w:tcMar>
          </w:tcPr>
          <w:p w14:paraId="342A011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0.5–2.2</w:t>
            </w:r>
          </w:p>
        </w:tc>
        <w:tc>
          <w:tcPr>
            <w:tcW w:w="851" w:type="dxa"/>
            <w:tcMar>
              <w:top w:w="60" w:type="dxa"/>
              <w:left w:w="60" w:type="dxa"/>
              <w:bottom w:w="60" w:type="dxa"/>
              <w:right w:w="60" w:type="dxa"/>
            </w:tcMar>
          </w:tcPr>
          <w:p w14:paraId="4A77A21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1.3</w:t>
            </w:r>
          </w:p>
        </w:tc>
        <w:tc>
          <w:tcPr>
            <w:tcW w:w="851" w:type="dxa"/>
            <w:tcMar>
              <w:top w:w="60" w:type="dxa"/>
              <w:left w:w="60" w:type="dxa"/>
              <w:bottom w:w="60" w:type="dxa"/>
              <w:right w:w="60" w:type="dxa"/>
            </w:tcMar>
          </w:tcPr>
          <w:p w14:paraId="6A935AE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w:t>
            </w:r>
          </w:p>
        </w:tc>
        <w:tc>
          <w:tcPr>
            <w:tcW w:w="851" w:type="dxa"/>
            <w:tcMar>
              <w:top w:w="60" w:type="dxa"/>
              <w:left w:w="60" w:type="dxa"/>
              <w:bottom w:w="60" w:type="dxa"/>
              <w:right w:w="60" w:type="dxa"/>
            </w:tcMar>
          </w:tcPr>
          <w:p w14:paraId="3213090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0.7</w:t>
            </w:r>
          </w:p>
        </w:tc>
        <w:tc>
          <w:tcPr>
            <w:tcW w:w="851" w:type="dxa"/>
            <w:tcMar>
              <w:top w:w="60" w:type="dxa"/>
              <w:left w:w="60" w:type="dxa"/>
              <w:bottom w:w="60" w:type="dxa"/>
              <w:right w:w="60" w:type="dxa"/>
            </w:tcMar>
          </w:tcPr>
          <w:p w14:paraId="1F4DA1A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0.6</w:t>
            </w:r>
          </w:p>
        </w:tc>
        <w:tc>
          <w:tcPr>
            <w:tcW w:w="851" w:type="dxa"/>
            <w:tcMar>
              <w:top w:w="60" w:type="dxa"/>
              <w:left w:w="60" w:type="dxa"/>
              <w:bottom w:w="60" w:type="dxa"/>
              <w:right w:w="60" w:type="dxa"/>
            </w:tcMar>
          </w:tcPr>
          <w:p w14:paraId="003FCDF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1.1</w:t>
            </w:r>
          </w:p>
        </w:tc>
        <w:tc>
          <w:tcPr>
            <w:tcW w:w="851" w:type="dxa"/>
            <w:tcMar>
              <w:top w:w="60" w:type="dxa"/>
              <w:left w:w="60" w:type="dxa"/>
              <w:bottom w:w="60" w:type="dxa"/>
              <w:right w:w="60" w:type="dxa"/>
            </w:tcMar>
          </w:tcPr>
          <w:p w14:paraId="2ACDB3C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0.8</w:t>
            </w:r>
          </w:p>
        </w:tc>
        <w:tc>
          <w:tcPr>
            <w:tcW w:w="851" w:type="dxa"/>
            <w:tcMar>
              <w:top w:w="60" w:type="dxa"/>
              <w:left w:w="60" w:type="dxa"/>
              <w:bottom w:w="60" w:type="dxa"/>
              <w:right w:w="60" w:type="dxa"/>
            </w:tcMar>
          </w:tcPr>
          <w:p w14:paraId="3076CFD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0.7</w:t>
            </w:r>
          </w:p>
        </w:tc>
        <w:tc>
          <w:tcPr>
            <w:tcW w:w="851" w:type="dxa"/>
            <w:tcMar>
              <w:top w:w="60" w:type="dxa"/>
              <w:left w:w="60" w:type="dxa"/>
              <w:bottom w:w="60" w:type="dxa"/>
              <w:right w:w="60" w:type="dxa"/>
            </w:tcMar>
          </w:tcPr>
          <w:p w14:paraId="590FEDE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w:t>
            </w:r>
          </w:p>
        </w:tc>
        <w:tc>
          <w:tcPr>
            <w:tcW w:w="851" w:type="dxa"/>
            <w:tcMar>
              <w:top w:w="60" w:type="dxa"/>
              <w:left w:w="60" w:type="dxa"/>
              <w:bottom w:w="60" w:type="dxa"/>
              <w:right w:w="60" w:type="dxa"/>
            </w:tcMar>
          </w:tcPr>
          <w:p w14:paraId="53259FD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5.4</w:t>
            </w:r>
          </w:p>
        </w:tc>
      </w:tr>
      <w:tr w:rsidR="00B677BD" w:rsidRPr="00C11AF6" w14:paraId="604444D2" w14:textId="77777777">
        <w:trPr>
          <w:jc w:val="center"/>
        </w:trPr>
        <w:tc>
          <w:tcPr>
            <w:tcW w:w="851" w:type="dxa"/>
            <w:shd w:val="clear" w:color="auto" w:fill="F4F6F9"/>
            <w:tcMar>
              <w:top w:w="60" w:type="dxa"/>
              <w:left w:w="60" w:type="dxa"/>
              <w:bottom w:w="60" w:type="dxa"/>
              <w:right w:w="60" w:type="dxa"/>
            </w:tcMar>
          </w:tcPr>
          <w:p w14:paraId="7C6D98B5"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HCO3- (mmol/L)</w:t>
            </w:r>
          </w:p>
        </w:tc>
        <w:tc>
          <w:tcPr>
            <w:tcW w:w="851" w:type="dxa"/>
            <w:shd w:val="clear" w:color="auto" w:fill="F4F6F9"/>
            <w:tcMar>
              <w:top w:w="60" w:type="dxa"/>
              <w:left w:w="60" w:type="dxa"/>
              <w:bottom w:w="60" w:type="dxa"/>
              <w:right w:w="60" w:type="dxa"/>
            </w:tcMar>
          </w:tcPr>
          <w:p w14:paraId="1388638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22–26</w:t>
            </w:r>
          </w:p>
        </w:tc>
        <w:tc>
          <w:tcPr>
            <w:tcW w:w="851" w:type="dxa"/>
            <w:shd w:val="clear" w:color="auto" w:fill="F4F6F9"/>
            <w:tcMar>
              <w:top w:w="60" w:type="dxa"/>
              <w:left w:w="60" w:type="dxa"/>
              <w:bottom w:w="60" w:type="dxa"/>
              <w:right w:w="60" w:type="dxa"/>
            </w:tcMar>
          </w:tcPr>
          <w:p w14:paraId="725DCFD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6.5</w:t>
            </w:r>
          </w:p>
        </w:tc>
        <w:tc>
          <w:tcPr>
            <w:tcW w:w="851" w:type="dxa"/>
            <w:shd w:val="clear" w:color="auto" w:fill="F4F6F9"/>
            <w:tcMar>
              <w:top w:w="60" w:type="dxa"/>
              <w:left w:w="60" w:type="dxa"/>
              <w:bottom w:w="60" w:type="dxa"/>
              <w:right w:w="60" w:type="dxa"/>
            </w:tcMar>
          </w:tcPr>
          <w:p w14:paraId="13FB104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15.3</w:t>
            </w:r>
          </w:p>
        </w:tc>
        <w:tc>
          <w:tcPr>
            <w:tcW w:w="851" w:type="dxa"/>
            <w:shd w:val="clear" w:color="auto" w:fill="F4F6F9"/>
            <w:tcMar>
              <w:top w:w="60" w:type="dxa"/>
              <w:left w:w="60" w:type="dxa"/>
              <w:bottom w:w="60" w:type="dxa"/>
              <w:right w:w="60" w:type="dxa"/>
            </w:tcMar>
          </w:tcPr>
          <w:p w14:paraId="21AC048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16.2</w:t>
            </w:r>
          </w:p>
        </w:tc>
        <w:tc>
          <w:tcPr>
            <w:tcW w:w="851" w:type="dxa"/>
            <w:shd w:val="clear" w:color="auto" w:fill="F4F6F9"/>
            <w:tcMar>
              <w:top w:w="60" w:type="dxa"/>
              <w:left w:w="60" w:type="dxa"/>
              <w:bottom w:w="60" w:type="dxa"/>
              <w:right w:w="60" w:type="dxa"/>
            </w:tcMar>
          </w:tcPr>
          <w:p w14:paraId="5F358FB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7.8</w:t>
            </w:r>
          </w:p>
        </w:tc>
        <w:tc>
          <w:tcPr>
            <w:tcW w:w="851" w:type="dxa"/>
            <w:shd w:val="clear" w:color="auto" w:fill="F4F6F9"/>
            <w:tcMar>
              <w:top w:w="60" w:type="dxa"/>
              <w:left w:w="60" w:type="dxa"/>
              <w:bottom w:w="60" w:type="dxa"/>
              <w:right w:w="60" w:type="dxa"/>
            </w:tcMar>
          </w:tcPr>
          <w:p w14:paraId="24D865C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24.5</w:t>
            </w:r>
          </w:p>
        </w:tc>
        <w:tc>
          <w:tcPr>
            <w:tcW w:w="851" w:type="dxa"/>
            <w:shd w:val="clear" w:color="auto" w:fill="F4F6F9"/>
            <w:tcMar>
              <w:top w:w="60" w:type="dxa"/>
              <w:left w:w="60" w:type="dxa"/>
              <w:bottom w:w="60" w:type="dxa"/>
              <w:right w:w="60" w:type="dxa"/>
            </w:tcMar>
          </w:tcPr>
          <w:p w14:paraId="1CC589D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26.0</w:t>
            </w:r>
          </w:p>
        </w:tc>
        <w:tc>
          <w:tcPr>
            <w:tcW w:w="851" w:type="dxa"/>
            <w:shd w:val="clear" w:color="auto" w:fill="F4F6F9"/>
            <w:tcMar>
              <w:top w:w="60" w:type="dxa"/>
              <w:left w:w="60" w:type="dxa"/>
              <w:bottom w:w="60" w:type="dxa"/>
              <w:right w:w="60" w:type="dxa"/>
            </w:tcMar>
          </w:tcPr>
          <w:p w14:paraId="6146C5D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29.6</w:t>
            </w:r>
          </w:p>
        </w:tc>
        <w:tc>
          <w:tcPr>
            <w:tcW w:w="851" w:type="dxa"/>
            <w:shd w:val="clear" w:color="auto" w:fill="F4F6F9"/>
            <w:tcMar>
              <w:top w:w="60" w:type="dxa"/>
              <w:left w:w="60" w:type="dxa"/>
              <w:bottom w:w="60" w:type="dxa"/>
              <w:right w:w="60" w:type="dxa"/>
            </w:tcMar>
          </w:tcPr>
          <w:p w14:paraId="731FB74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20.9</w:t>
            </w:r>
          </w:p>
        </w:tc>
        <w:tc>
          <w:tcPr>
            <w:tcW w:w="851" w:type="dxa"/>
            <w:shd w:val="clear" w:color="auto" w:fill="F4F6F9"/>
            <w:tcMar>
              <w:top w:w="60" w:type="dxa"/>
              <w:left w:w="60" w:type="dxa"/>
              <w:bottom w:w="60" w:type="dxa"/>
              <w:right w:w="60" w:type="dxa"/>
            </w:tcMar>
          </w:tcPr>
          <w:p w14:paraId="22C7A65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24.7</w:t>
            </w:r>
          </w:p>
        </w:tc>
      </w:tr>
      <w:tr w:rsidR="00B677BD" w:rsidRPr="00C11AF6" w14:paraId="44A55245" w14:textId="77777777">
        <w:trPr>
          <w:jc w:val="center"/>
        </w:trPr>
        <w:tc>
          <w:tcPr>
            <w:tcW w:w="851" w:type="dxa"/>
            <w:tcMar>
              <w:top w:w="60" w:type="dxa"/>
              <w:left w:w="60" w:type="dxa"/>
              <w:bottom w:w="60" w:type="dxa"/>
              <w:right w:w="60" w:type="dxa"/>
            </w:tcMar>
          </w:tcPr>
          <w:p w14:paraId="36110C7F"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Base Excess (mmol/L)</w:t>
            </w:r>
          </w:p>
        </w:tc>
        <w:tc>
          <w:tcPr>
            <w:tcW w:w="851" w:type="dxa"/>
            <w:tcMar>
              <w:top w:w="60" w:type="dxa"/>
              <w:left w:w="60" w:type="dxa"/>
              <w:bottom w:w="60" w:type="dxa"/>
              <w:right w:w="60" w:type="dxa"/>
            </w:tcMar>
          </w:tcPr>
          <w:p w14:paraId="471946A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 to +3</w:t>
            </w:r>
          </w:p>
        </w:tc>
        <w:tc>
          <w:tcPr>
            <w:tcW w:w="851" w:type="dxa"/>
            <w:tcMar>
              <w:top w:w="60" w:type="dxa"/>
              <w:left w:w="60" w:type="dxa"/>
              <w:bottom w:w="60" w:type="dxa"/>
              <w:right w:w="60" w:type="dxa"/>
            </w:tcMar>
          </w:tcPr>
          <w:p w14:paraId="2FB8E27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-21.2</w:t>
            </w:r>
          </w:p>
        </w:tc>
        <w:tc>
          <w:tcPr>
            <w:tcW w:w="851" w:type="dxa"/>
            <w:tcMar>
              <w:top w:w="60" w:type="dxa"/>
              <w:left w:w="60" w:type="dxa"/>
              <w:bottom w:w="60" w:type="dxa"/>
              <w:right w:w="60" w:type="dxa"/>
            </w:tcMar>
          </w:tcPr>
          <w:p w14:paraId="62D5C37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-10.1</w:t>
            </w:r>
          </w:p>
        </w:tc>
        <w:tc>
          <w:tcPr>
            <w:tcW w:w="851" w:type="dxa"/>
            <w:tcMar>
              <w:top w:w="60" w:type="dxa"/>
              <w:left w:w="60" w:type="dxa"/>
              <w:bottom w:w="60" w:type="dxa"/>
              <w:right w:w="60" w:type="dxa"/>
            </w:tcMar>
          </w:tcPr>
          <w:p w14:paraId="3DB9190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-10.2</w:t>
            </w:r>
          </w:p>
        </w:tc>
        <w:tc>
          <w:tcPr>
            <w:tcW w:w="851" w:type="dxa"/>
            <w:tcMar>
              <w:top w:w="60" w:type="dxa"/>
              <w:left w:w="60" w:type="dxa"/>
              <w:bottom w:w="60" w:type="dxa"/>
              <w:right w:w="60" w:type="dxa"/>
            </w:tcMar>
          </w:tcPr>
          <w:p w14:paraId="0101149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-19.1</w:t>
            </w:r>
          </w:p>
        </w:tc>
        <w:tc>
          <w:tcPr>
            <w:tcW w:w="851" w:type="dxa"/>
            <w:tcMar>
              <w:top w:w="60" w:type="dxa"/>
              <w:left w:w="60" w:type="dxa"/>
              <w:bottom w:w="60" w:type="dxa"/>
              <w:right w:w="60" w:type="dxa"/>
            </w:tcMar>
          </w:tcPr>
          <w:p w14:paraId="21803E9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+0.3</w:t>
            </w:r>
          </w:p>
        </w:tc>
        <w:tc>
          <w:tcPr>
            <w:tcW w:w="851" w:type="dxa"/>
            <w:tcMar>
              <w:top w:w="60" w:type="dxa"/>
              <w:left w:w="60" w:type="dxa"/>
              <w:bottom w:w="60" w:type="dxa"/>
              <w:right w:w="60" w:type="dxa"/>
            </w:tcMar>
          </w:tcPr>
          <w:p w14:paraId="4FEE479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w:t>
            </w:r>
          </w:p>
        </w:tc>
        <w:tc>
          <w:tcPr>
            <w:tcW w:w="851" w:type="dxa"/>
            <w:tcMar>
              <w:top w:w="60" w:type="dxa"/>
              <w:left w:w="60" w:type="dxa"/>
              <w:bottom w:w="60" w:type="dxa"/>
              <w:right w:w="60" w:type="dxa"/>
            </w:tcMar>
          </w:tcPr>
          <w:p w14:paraId="033CCF8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+4.5</w:t>
            </w:r>
          </w:p>
        </w:tc>
        <w:tc>
          <w:tcPr>
            <w:tcW w:w="851" w:type="dxa"/>
            <w:tcMar>
              <w:top w:w="60" w:type="dxa"/>
              <w:left w:w="60" w:type="dxa"/>
              <w:bottom w:w="60" w:type="dxa"/>
              <w:right w:w="60" w:type="dxa"/>
            </w:tcMar>
          </w:tcPr>
          <w:p w14:paraId="4EF10B4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w:t>
            </w:r>
          </w:p>
        </w:tc>
        <w:tc>
          <w:tcPr>
            <w:tcW w:w="851" w:type="dxa"/>
            <w:tcMar>
              <w:top w:w="60" w:type="dxa"/>
              <w:left w:w="60" w:type="dxa"/>
              <w:bottom w:w="60" w:type="dxa"/>
              <w:right w:w="60" w:type="dxa"/>
            </w:tcMar>
          </w:tcPr>
          <w:p w14:paraId="104BBD2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+0.1</w:t>
            </w:r>
          </w:p>
        </w:tc>
      </w:tr>
      <w:tr w:rsidR="00B677BD" w:rsidRPr="00C11AF6" w14:paraId="4CBA468F" w14:textId="77777777">
        <w:trPr>
          <w:jc w:val="center"/>
        </w:trPr>
        <w:tc>
          <w:tcPr>
            <w:tcW w:w="851" w:type="dxa"/>
            <w:shd w:val="clear" w:color="auto" w:fill="F4F6F9"/>
            <w:tcMar>
              <w:top w:w="60" w:type="dxa"/>
              <w:left w:w="60" w:type="dxa"/>
              <w:bottom w:w="60" w:type="dxa"/>
              <w:right w:w="60" w:type="dxa"/>
            </w:tcMar>
          </w:tcPr>
          <w:p w14:paraId="155202A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Hct (%) / Hb (g/dL)</w:t>
            </w:r>
          </w:p>
        </w:tc>
        <w:tc>
          <w:tcPr>
            <w:tcW w:w="851" w:type="dxa"/>
            <w:shd w:val="clear" w:color="auto" w:fill="F4F6F9"/>
            <w:tcMar>
              <w:top w:w="60" w:type="dxa"/>
              <w:left w:w="60" w:type="dxa"/>
              <w:bottom w:w="60" w:type="dxa"/>
              <w:right w:w="60" w:type="dxa"/>
            </w:tcMar>
          </w:tcPr>
          <w:p w14:paraId="063B7AA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35–45 / 11–15</w:t>
            </w:r>
          </w:p>
        </w:tc>
        <w:tc>
          <w:tcPr>
            <w:tcW w:w="851" w:type="dxa"/>
            <w:shd w:val="clear" w:color="auto" w:fill="F4F6F9"/>
            <w:tcMar>
              <w:top w:w="60" w:type="dxa"/>
              <w:left w:w="60" w:type="dxa"/>
              <w:bottom w:w="60" w:type="dxa"/>
              <w:right w:w="60" w:type="dxa"/>
            </w:tcMar>
          </w:tcPr>
          <w:p w14:paraId="32DC6FC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17 / 5.3</w:t>
            </w:r>
          </w:p>
        </w:tc>
        <w:tc>
          <w:tcPr>
            <w:tcW w:w="851" w:type="dxa"/>
            <w:shd w:val="clear" w:color="auto" w:fill="F4F6F9"/>
            <w:tcMar>
              <w:top w:w="60" w:type="dxa"/>
              <w:left w:w="60" w:type="dxa"/>
              <w:bottom w:w="60" w:type="dxa"/>
              <w:right w:w="60" w:type="dxa"/>
            </w:tcMar>
          </w:tcPr>
          <w:p w14:paraId="4DB8A70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 / 7.4</w:t>
            </w:r>
          </w:p>
        </w:tc>
        <w:tc>
          <w:tcPr>
            <w:tcW w:w="851" w:type="dxa"/>
            <w:shd w:val="clear" w:color="auto" w:fill="F4F6F9"/>
            <w:tcMar>
              <w:top w:w="60" w:type="dxa"/>
              <w:left w:w="60" w:type="dxa"/>
              <w:bottom w:w="60" w:type="dxa"/>
              <w:right w:w="60" w:type="dxa"/>
            </w:tcMar>
          </w:tcPr>
          <w:p w14:paraId="3FEC251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 / 6.4</w:t>
            </w:r>
          </w:p>
        </w:tc>
        <w:tc>
          <w:tcPr>
            <w:tcW w:w="851" w:type="dxa"/>
            <w:shd w:val="clear" w:color="auto" w:fill="F4F6F9"/>
            <w:tcMar>
              <w:top w:w="60" w:type="dxa"/>
              <w:left w:w="60" w:type="dxa"/>
              <w:bottom w:w="60" w:type="dxa"/>
              <w:right w:w="60" w:type="dxa"/>
            </w:tcMar>
          </w:tcPr>
          <w:p w14:paraId="6158892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&lt;15 / --</w:t>
            </w:r>
          </w:p>
        </w:tc>
        <w:tc>
          <w:tcPr>
            <w:tcW w:w="851" w:type="dxa"/>
            <w:shd w:val="clear" w:color="auto" w:fill="F4F6F9"/>
            <w:tcMar>
              <w:top w:w="60" w:type="dxa"/>
              <w:left w:w="60" w:type="dxa"/>
              <w:bottom w:w="60" w:type="dxa"/>
              <w:right w:w="60" w:type="dxa"/>
            </w:tcMar>
          </w:tcPr>
          <w:p w14:paraId="1C9258D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19 / 5.9</w:t>
            </w:r>
          </w:p>
        </w:tc>
        <w:tc>
          <w:tcPr>
            <w:tcW w:w="851" w:type="dxa"/>
            <w:shd w:val="clear" w:color="auto" w:fill="F4F6F9"/>
            <w:tcMar>
              <w:top w:w="60" w:type="dxa"/>
              <w:left w:w="60" w:type="dxa"/>
              <w:bottom w:w="60" w:type="dxa"/>
              <w:right w:w="60" w:type="dxa"/>
            </w:tcMar>
          </w:tcPr>
          <w:p w14:paraId="3565ED8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 / 6.2</w:t>
            </w:r>
          </w:p>
        </w:tc>
        <w:tc>
          <w:tcPr>
            <w:tcW w:w="851" w:type="dxa"/>
            <w:shd w:val="clear" w:color="auto" w:fill="F4F6F9"/>
            <w:tcMar>
              <w:top w:w="60" w:type="dxa"/>
              <w:left w:w="60" w:type="dxa"/>
              <w:bottom w:w="60" w:type="dxa"/>
              <w:right w:w="60" w:type="dxa"/>
            </w:tcMar>
          </w:tcPr>
          <w:p w14:paraId="2255C58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 / 8.1</w:t>
            </w:r>
          </w:p>
        </w:tc>
        <w:tc>
          <w:tcPr>
            <w:tcW w:w="851" w:type="dxa"/>
            <w:shd w:val="clear" w:color="auto" w:fill="F4F6F9"/>
            <w:tcMar>
              <w:top w:w="60" w:type="dxa"/>
              <w:left w:w="60" w:type="dxa"/>
              <w:bottom w:w="60" w:type="dxa"/>
              <w:right w:w="60" w:type="dxa"/>
            </w:tcMar>
          </w:tcPr>
          <w:p w14:paraId="4F86DCE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23 / 7.1</w:t>
            </w:r>
          </w:p>
        </w:tc>
        <w:tc>
          <w:tcPr>
            <w:tcW w:w="851" w:type="dxa"/>
            <w:shd w:val="clear" w:color="auto" w:fill="F4F6F9"/>
            <w:tcMar>
              <w:top w:w="60" w:type="dxa"/>
              <w:left w:w="60" w:type="dxa"/>
              <w:bottom w:w="60" w:type="dxa"/>
              <w:right w:w="60" w:type="dxa"/>
            </w:tcMar>
          </w:tcPr>
          <w:p w14:paraId="03D63BA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29 / 9.0</w:t>
            </w:r>
          </w:p>
        </w:tc>
      </w:tr>
      <w:tr w:rsidR="00B677BD" w:rsidRPr="00C11AF6" w14:paraId="643FA9D3" w14:textId="77777777">
        <w:trPr>
          <w:jc w:val="center"/>
        </w:trPr>
        <w:tc>
          <w:tcPr>
            <w:tcW w:w="851" w:type="dxa"/>
            <w:tcMar>
              <w:top w:w="60" w:type="dxa"/>
              <w:left w:w="60" w:type="dxa"/>
              <w:bottom w:w="60" w:type="dxa"/>
              <w:right w:w="60" w:type="dxa"/>
            </w:tcMar>
          </w:tcPr>
          <w:p w14:paraId="2131C932"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SO2c (%)</w:t>
            </w:r>
          </w:p>
        </w:tc>
        <w:tc>
          <w:tcPr>
            <w:tcW w:w="851" w:type="dxa"/>
            <w:tcMar>
              <w:top w:w="60" w:type="dxa"/>
              <w:left w:w="60" w:type="dxa"/>
              <w:bottom w:w="60" w:type="dxa"/>
              <w:right w:w="60" w:type="dxa"/>
            </w:tcMar>
          </w:tcPr>
          <w:p w14:paraId="0E00569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95–100</w:t>
            </w:r>
          </w:p>
        </w:tc>
        <w:tc>
          <w:tcPr>
            <w:tcW w:w="851" w:type="dxa"/>
            <w:tcMar>
              <w:top w:w="60" w:type="dxa"/>
              <w:left w:w="60" w:type="dxa"/>
              <w:bottom w:w="60" w:type="dxa"/>
              <w:right w:w="60" w:type="dxa"/>
            </w:tcMar>
          </w:tcPr>
          <w:p w14:paraId="3E058C2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99</w:t>
            </w:r>
          </w:p>
        </w:tc>
        <w:tc>
          <w:tcPr>
            <w:tcW w:w="851" w:type="dxa"/>
            <w:tcMar>
              <w:top w:w="60" w:type="dxa"/>
              <w:left w:w="60" w:type="dxa"/>
              <w:bottom w:w="60" w:type="dxa"/>
              <w:right w:w="60" w:type="dxa"/>
            </w:tcMar>
          </w:tcPr>
          <w:p w14:paraId="75DEBD0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93</w:t>
            </w:r>
          </w:p>
        </w:tc>
        <w:tc>
          <w:tcPr>
            <w:tcW w:w="851" w:type="dxa"/>
            <w:tcMar>
              <w:top w:w="60" w:type="dxa"/>
              <w:left w:w="60" w:type="dxa"/>
              <w:bottom w:w="60" w:type="dxa"/>
              <w:right w:w="60" w:type="dxa"/>
            </w:tcMar>
          </w:tcPr>
          <w:p w14:paraId="7D07E32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96</w:t>
            </w:r>
          </w:p>
        </w:tc>
        <w:tc>
          <w:tcPr>
            <w:tcW w:w="851" w:type="dxa"/>
            <w:tcMar>
              <w:top w:w="60" w:type="dxa"/>
              <w:left w:w="60" w:type="dxa"/>
              <w:bottom w:w="60" w:type="dxa"/>
              <w:right w:w="60" w:type="dxa"/>
            </w:tcMar>
          </w:tcPr>
          <w:p w14:paraId="32A349E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92</w:t>
            </w:r>
          </w:p>
        </w:tc>
        <w:tc>
          <w:tcPr>
            <w:tcW w:w="851" w:type="dxa"/>
            <w:tcMar>
              <w:top w:w="60" w:type="dxa"/>
              <w:left w:w="60" w:type="dxa"/>
              <w:bottom w:w="60" w:type="dxa"/>
              <w:right w:w="60" w:type="dxa"/>
            </w:tcMar>
          </w:tcPr>
          <w:p w14:paraId="3D5810C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88</w:t>
            </w:r>
          </w:p>
        </w:tc>
        <w:tc>
          <w:tcPr>
            <w:tcW w:w="851" w:type="dxa"/>
            <w:tcMar>
              <w:top w:w="60" w:type="dxa"/>
              <w:left w:w="60" w:type="dxa"/>
              <w:bottom w:w="60" w:type="dxa"/>
              <w:right w:w="60" w:type="dxa"/>
            </w:tcMar>
          </w:tcPr>
          <w:p w14:paraId="768913B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97</w:t>
            </w:r>
          </w:p>
        </w:tc>
        <w:tc>
          <w:tcPr>
            <w:tcW w:w="851" w:type="dxa"/>
            <w:tcMar>
              <w:top w:w="60" w:type="dxa"/>
              <w:left w:w="60" w:type="dxa"/>
              <w:bottom w:w="60" w:type="dxa"/>
              <w:right w:w="60" w:type="dxa"/>
            </w:tcMar>
          </w:tcPr>
          <w:p w14:paraId="03C6106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98</w:t>
            </w:r>
          </w:p>
        </w:tc>
        <w:tc>
          <w:tcPr>
            <w:tcW w:w="851" w:type="dxa"/>
            <w:tcMar>
              <w:top w:w="60" w:type="dxa"/>
              <w:left w:w="60" w:type="dxa"/>
              <w:bottom w:w="60" w:type="dxa"/>
              <w:right w:w="60" w:type="dxa"/>
            </w:tcMar>
          </w:tcPr>
          <w:p w14:paraId="606FE67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85</w:t>
            </w:r>
          </w:p>
        </w:tc>
        <w:tc>
          <w:tcPr>
            <w:tcW w:w="851" w:type="dxa"/>
            <w:tcMar>
              <w:top w:w="60" w:type="dxa"/>
              <w:left w:w="60" w:type="dxa"/>
              <w:bottom w:w="60" w:type="dxa"/>
              <w:right w:w="60" w:type="dxa"/>
            </w:tcMar>
          </w:tcPr>
          <w:p w14:paraId="3FE8E25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43*</w:t>
            </w:r>
          </w:p>
        </w:tc>
      </w:tr>
    </w:tbl>
    <w:p w14:paraId="7962E069" w14:textId="77777777" w:rsidR="00B677BD" w:rsidRPr="00C11AF6" w:rsidRDefault="00000000">
      <w:pPr>
        <w:spacing w:before="60" w:after="160"/>
        <w:rPr>
          <w:rFonts w:cs="Times New Roman"/>
          <w:color w:val="000000" w:themeColor="text1"/>
        </w:rPr>
      </w:pPr>
      <w:r w:rsidRPr="00C11AF6">
        <w:rPr>
          <w:rFonts w:cs="Times New Roman"/>
          <w:i/>
          <w:color w:val="000000" w:themeColor="text1"/>
          <w:sz w:val="16"/>
        </w:rPr>
        <w:t>*Note: ABG analyses performed on GEM Premier 3500 blood gas analyzer. The 25/08 sample represents a venous sample drawn following transfer to the pediatric ward, accounting for expected venous pO2 and sO2. Abbreviations: iCa++: ionized calcium; Hct: hematocrit; Hb: calculated total hemoglobin; SO2c: calculated oxygen saturation; BE: base excess.</w:t>
      </w:r>
    </w:p>
    <w:p w14:paraId="61481766" w14:textId="77777777" w:rsidR="00B677BD" w:rsidRPr="00C11AF6" w:rsidRDefault="00000000">
      <w:pPr>
        <w:spacing w:before="160" w:after="80"/>
        <w:rPr>
          <w:rFonts w:cs="Times New Roman"/>
          <w:color w:val="000000" w:themeColor="text1"/>
        </w:rPr>
      </w:pPr>
      <w:r w:rsidRPr="00C11AF6">
        <w:rPr>
          <w:rFonts w:cs="Times New Roman"/>
          <w:b/>
          <w:color w:val="000000" w:themeColor="text1"/>
          <w:sz w:val="20"/>
        </w:rPr>
        <w:t>Table 2. Longitudinal Laboratory Profile: Hematology, Biochemistry, Hepatorenal Panels, and Coagulation</w:t>
      </w:r>
    </w:p>
    <w:tbl>
      <w:tblPr>
        <w:tblW w:w="0" w:type="auto"/>
        <w:jc w:val="center"/>
        <w:tblLook w:val="04A0" w:firstRow="1" w:lastRow="0" w:firstColumn="1" w:lastColumn="0" w:noHBand="0" w:noVBand="1"/>
      </w:tblPr>
      <w:tblGrid>
        <w:gridCol w:w="1170"/>
        <w:gridCol w:w="1170"/>
        <w:gridCol w:w="1170"/>
        <w:gridCol w:w="1170"/>
        <w:gridCol w:w="1170"/>
        <w:gridCol w:w="1170"/>
        <w:gridCol w:w="1170"/>
        <w:gridCol w:w="1170"/>
      </w:tblGrid>
      <w:tr w:rsidR="00B677BD" w:rsidRPr="00C11AF6" w14:paraId="27BA82C2" w14:textId="77777777">
        <w:trPr>
          <w:jc w:val="center"/>
        </w:trPr>
        <w:tc>
          <w:tcPr>
            <w:tcW w:w="1170" w:type="dxa"/>
            <w:shd w:val="clear" w:color="auto" w:fill="112B4E"/>
            <w:tcMar>
              <w:top w:w="60" w:type="dxa"/>
              <w:left w:w="70" w:type="dxa"/>
              <w:bottom w:w="60" w:type="dxa"/>
              <w:right w:w="70" w:type="dxa"/>
            </w:tcMar>
          </w:tcPr>
          <w:p w14:paraId="25B69C9E"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Parameter</w:t>
            </w:r>
          </w:p>
        </w:tc>
        <w:tc>
          <w:tcPr>
            <w:tcW w:w="1170" w:type="dxa"/>
            <w:shd w:val="clear" w:color="auto" w:fill="112B4E"/>
            <w:tcMar>
              <w:top w:w="60" w:type="dxa"/>
              <w:left w:w="70" w:type="dxa"/>
              <w:bottom w:w="60" w:type="dxa"/>
              <w:right w:w="70" w:type="dxa"/>
            </w:tcMar>
          </w:tcPr>
          <w:p w14:paraId="69A316D6"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Reference Range</w:t>
            </w:r>
          </w:p>
        </w:tc>
        <w:tc>
          <w:tcPr>
            <w:tcW w:w="1170" w:type="dxa"/>
            <w:shd w:val="clear" w:color="auto" w:fill="112B4E"/>
            <w:tcMar>
              <w:top w:w="60" w:type="dxa"/>
              <w:left w:w="70" w:type="dxa"/>
              <w:bottom w:w="60" w:type="dxa"/>
              <w:right w:w="70" w:type="dxa"/>
            </w:tcMar>
          </w:tcPr>
          <w:p w14:paraId="30B00DD9"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1 (17/08)</w:t>
            </w:r>
          </w:p>
        </w:tc>
        <w:tc>
          <w:tcPr>
            <w:tcW w:w="1170" w:type="dxa"/>
            <w:shd w:val="clear" w:color="auto" w:fill="112B4E"/>
            <w:tcMar>
              <w:top w:w="60" w:type="dxa"/>
              <w:left w:w="70" w:type="dxa"/>
              <w:bottom w:w="60" w:type="dxa"/>
              <w:right w:w="70" w:type="dxa"/>
            </w:tcMar>
          </w:tcPr>
          <w:p w14:paraId="6D100C34"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2 (18/08)</w:t>
            </w:r>
          </w:p>
        </w:tc>
        <w:tc>
          <w:tcPr>
            <w:tcW w:w="1170" w:type="dxa"/>
            <w:shd w:val="clear" w:color="auto" w:fill="112B4E"/>
            <w:tcMar>
              <w:top w:w="60" w:type="dxa"/>
              <w:left w:w="70" w:type="dxa"/>
              <w:bottom w:w="60" w:type="dxa"/>
              <w:right w:w="70" w:type="dxa"/>
            </w:tcMar>
          </w:tcPr>
          <w:p w14:paraId="1BB126F2"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3 (19/08)</w:t>
            </w:r>
          </w:p>
        </w:tc>
        <w:tc>
          <w:tcPr>
            <w:tcW w:w="1170" w:type="dxa"/>
            <w:shd w:val="clear" w:color="auto" w:fill="112B4E"/>
            <w:tcMar>
              <w:top w:w="60" w:type="dxa"/>
              <w:left w:w="70" w:type="dxa"/>
              <w:bottom w:w="60" w:type="dxa"/>
              <w:right w:w="70" w:type="dxa"/>
            </w:tcMar>
          </w:tcPr>
          <w:p w14:paraId="762FD5B9"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4 (20/08)</w:t>
            </w:r>
          </w:p>
        </w:tc>
        <w:tc>
          <w:tcPr>
            <w:tcW w:w="1170" w:type="dxa"/>
            <w:shd w:val="clear" w:color="auto" w:fill="112B4E"/>
            <w:tcMar>
              <w:top w:w="60" w:type="dxa"/>
              <w:left w:w="70" w:type="dxa"/>
              <w:bottom w:w="60" w:type="dxa"/>
              <w:right w:w="70" w:type="dxa"/>
            </w:tcMar>
          </w:tcPr>
          <w:p w14:paraId="242702CF"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5 (21/08)</w:t>
            </w:r>
          </w:p>
        </w:tc>
        <w:tc>
          <w:tcPr>
            <w:tcW w:w="1170" w:type="dxa"/>
            <w:shd w:val="clear" w:color="auto" w:fill="112B4E"/>
            <w:tcMar>
              <w:top w:w="60" w:type="dxa"/>
              <w:left w:w="70" w:type="dxa"/>
              <w:bottom w:w="60" w:type="dxa"/>
              <w:right w:w="70" w:type="dxa"/>
            </w:tcMar>
          </w:tcPr>
          <w:p w14:paraId="07A3888F"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6 (22/08)</w:t>
            </w:r>
          </w:p>
        </w:tc>
      </w:tr>
      <w:tr w:rsidR="00B677BD" w:rsidRPr="00C11AF6" w14:paraId="201D60CB" w14:textId="77777777">
        <w:trPr>
          <w:jc w:val="center"/>
        </w:trPr>
        <w:tc>
          <w:tcPr>
            <w:tcW w:w="1170" w:type="dxa"/>
            <w:shd w:val="clear" w:color="auto" w:fill="F4F6F9"/>
            <w:tcMar>
              <w:top w:w="60" w:type="dxa"/>
              <w:left w:w="70" w:type="dxa"/>
              <w:bottom w:w="60" w:type="dxa"/>
              <w:right w:w="70" w:type="dxa"/>
            </w:tcMar>
          </w:tcPr>
          <w:p w14:paraId="393717C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Hemoglobin (g/dL)</w:t>
            </w:r>
          </w:p>
        </w:tc>
        <w:tc>
          <w:tcPr>
            <w:tcW w:w="1170" w:type="dxa"/>
            <w:shd w:val="clear" w:color="auto" w:fill="F4F6F9"/>
            <w:tcMar>
              <w:top w:w="60" w:type="dxa"/>
              <w:left w:w="70" w:type="dxa"/>
              <w:bottom w:w="60" w:type="dxa"/>
              <w:right w:w="70" w:type="dxa"/>
            </w:tcMar>
          </w:tcPr>
          <w:p w14:paraId="11981C3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12.2–18.0</w:t>
            </w:r>
          </w:p>
        </w:tc>
        <w:tc>
          <w:tcPr>
            <w:tcW w:w="1170" w:type="dxa"/>
            <w:shd w:val="clear" w:color="auto" w:fill="F4F6F9"/>
            <w:tcMar>
              <w:top w:w="60" w:type="dxa"/>
              <w:left w:w="70" w:type="dxa"/>
              <w:bottom w:w="60" w:type="dxa"/>
              <w:right w:w="70" w:type="dxa"/>
            </w:tcMar>
          </w:tcPr>
          <w:p w14:paraId="137E30B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10.4</w:t>
            </w:r>
          </w:p>
        </w:tc>
        <w:tc>
          <w:tcPr>
            <w:tcW w:w="1170" w:type="dxa"/>
            <w:shd w:val="clear" w:color="auto" w:fill="F4F6F9"/>
            <w:tcMar>
              <w:top w:w="60" w:type="dxa"/>
              <w:left w:w="70" w:type="dxa"/>
              <w:bottom w:w="60" w:type="dxa"/>
              <w:right w:w="70" w:type="dxa"/>
            </w:tcMar>
          </w:tcPr>
          <w:p w14:paraId="6B1E7BD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10.4</w:t>
            </w:r>
          </w:p>
        </w:tc>
        <w:tc>
          <w:tcPr>
            <w:tcW w:w="1170" w:type="dxa"/>
            <w:shd w:val="clear" w:color="auto" w:fill="F4F6F9"/>
            <w:tcMar>
              <w:top w:w="60" w:type="dxa"/>
              <w:left w:w="70" w:type="dxa"/>
              <w:bottom w:w="60" w:type="dxa"/>
              <w:right w:w="70" w:type="dxa"/>
            </w:tcMar>
          </w:tcPr>
          <w:p w14:paraId="0B81F83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7.6 (Nadir)</w:t>
            </w:r>
          </w:p>
        </w:tc>
        <w:tc>
          <w:tcPr>
            <w:tcW w:w="1170" w:type="dxa"/>
            <w:shd w:val="clear" w:color="auto" w:fill="F4F6F9"/>
            <w:tcMar>
              <w:top w:w="60" w:type="dxa"/>
              <w:left w:w="70" w:type="dxa"/>
              <w:bottom w:w="60" w:type="dxa"/>
              <w:right w:w="70" w:type="dxa"/>
            </w:tcMar>
          </w:tcPr>
          <w:p w14:paraId="141D363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12.0 (Post-Tx)</w:t>
            </w:r>
          </w:p>
        </w:tc>
        <w:tc>
          <w:tcPr>
            <w:tcW w:w="1170" w:type="dxa"/>
            <w:shd w:val="clear" w:color="auto" w:fill="F4F6F9"/>
            <w:tcMar>
              <w:top w:w="60" w:type="dxa"/>
              <w:left w:w="70" w:type="dxa"/>
              <w:bottom w:w="60" w:type="dxa"/>
              <w:right w:w="70" w:type="dxa"/>
            </w:tcMar>
          </w:tcPr>
          <w:p w14:paraId="3FB5D81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11.8</w:t>
            </w:r>
          </w:p>
        </w:tc>
        <w:tc>
          <w:tcPr>
            <w:tcW w:w="1170" w:type="dxa"/>
            <w:shd w:val="clear" w:color="auto" w:fill="F4F6F9"/>
            <w:tcMar>
              <w:top w:w="60" w:type="dxa"/>
              <w:left w:w="70" w:type="dxa"/>
              <w:bottom w:w="60" w:type="dxa"/>
              <w:right w:w="70" w:type="dxa"/>
            </w:tcMar>
          </w:tcPr>
          <w:p w14:paraId="3E2EAFD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11.0</w:t>
            </w:r>
          </w:p>
        </w:tc>
      </w:tr>
      <w:tr w:rsidR="00B677BD" w:rsidRPr="00C11AF6" w14:paraId="42B08961" w14:textId="77777777">
        <w:trPr>
          <w:jc w:val="center"/>
        </w:trPr>
        <w:tc>
          <w:tcPr>
            <w:tcW w:w="1170" w:type="dxa"/>
            <w:tcMar>
              <w:top w:w="60" w:type="dxa"/>
              <w:left w:w="70" w:type="dxa"/>
              <w:bottom w:w="60" w:type="dxa"/>
              <w:right w:w="70" w:type="dxa"/>
            </w:tcMar>
          </w:tcPr>
          <w:p w14:paraId="2217055E"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lastRenderedPageBreak/>
              <w:t>RBC Count (x10^6/µL)</w:t>
            </w:r>
          </w:p>
        </w:tc>
        <w:tc>
          <w:tcPr>
            <w:tcW w:w="1170" w:type="dxa"/>
            <w:tcMar>
              <w:top w:w="60" w:type="dxa"/>
              <w:left w:w="70" w:type="dxa"/>
              <w:bottom w:w="60" w:type="dxa"/>
              <w:right w:w="70" w:type="dxa"/>
            </w:tcMar>
          </w:tcPr>
          <w:p w14:paraId="6835B4C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3.4–5.0</w:t>
            </w:r>
          </w:p>
        </w:tc>
        <w:tc>
          <w:tcPr>
            <w:tcW w:w="1170" w:type="dxa"/>
            <w:tcMar>
              <w:top w:w="60" w:type="dxa"/>
              <w:left w:w="70" w:type="dxa"/>
              <w:bottom w:w="60" w:type="dxa"/>
              <w:right w:w="70" w:type="dxa"/>
            </w:tcMar>
          </w:tcPr>
          <w:p w14:paraId="6F64F0A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3.2</w:t>
            </w:r>
          </w:p>
        </w:tc>
        <w:tc>
          <w:tcPr>
            <w:tcW w:w="1170" w:type="dxa"/>
            <w:tcMar>
              <w:top w:w="60" w:type="dxa"/>
              <w:left w:w="70" w:type="dxa"/>
              <w:bottom w:w="60" w:type="dxa"/>
              <w:right w:w="70" w:type="dxa"/>
            </w:tcMar>
          </w:tcPr>
          <w:p w14:paraId="0E71705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3.2</w:t>
            </w:r>
          </w:p>
        </w:tc>
        <w:tc>
          <w:tcPr>
            <w:tcW w:w="1170" w:type="dxa"/>
            <w:tcMar>
              <w:top w:w="60" w:type="dxa"/>
              <w:left w:w="70" w:type="dxa"/>
              <w:bottom w:w="60" w:type="dxa"/>
              <w:right w:w="70" w:type="dxa"/>
            </w:tcMar>
          </w:tcPr>
          <w:p w14:paraId="30EF97A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2.4</w:t>
            </w:r>
          </w:p>
        </w:tc>
        <w:tc>
          <w:tcPr>
            <w:tcW w:w="1170" w:type="dxa"/>
            <w:tcMar>
              <w:top w:w="60" w:type="dxa"/>
              <w:left w:w="70" w:type="dxa"/>
              <w:bottom w:w="60" w:type="dxa"/>
              <w:right w:w="70" w:type="dxa"/>
            </w:tcMar>
          </w:tcPr>
          <w:p w14:paraId="729946D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3.9</w:t>
            </w:r>
          </w:p>
        </w:tc>
        <w:tc>
          <w:tcPr>
            <w:tcW w:w="1170" w:type="dxa"/>
            <w:tcMar>
              <w:top w:w="60" w:type="dxa"/>
              <w:left w:w="70" w:type="dxa"/>
              <w:bottom w:w="60" w:type="dxa"/>
              <w:right w:w="70" w:type="dxa"/>
            </w:tcMar>
          </w:tcPr>
          <w:p w14:paraId="7D3FA54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3.7</w:t>
            </w:r>
          </w:p>
        </w:tc>
        <w:tc>
          <w:tcPr>
            <w:tcW w:w="1170" w:type="dxa"/>
            <w:tcMar>
              <w:top w:w="60" w:type="dxa"/>
              <w:left w:w="70" w:type="dxa"/>
              <w:bottom w:w="60" w:type="dxa"/>
              <w:right w:w="70" w:type="dxa"/>
            </w:tcMar>
          </w:tcPr>
          <w:p w14:paraId="0DB3B84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3.5</w:t>
            </w:r>
          </w:p>
        </w:tc>
      </w:tr>
      <w:tr w:rsidR="00B677BD" w:rsidRPr="00C11AF6" w14:paraId="3D4C829F" w14:textId="77777777">
        <w:trPr>
          <w:jc w:val="center"/>
        </w:trPr>
        <w:tc>
          <w:tcPr>
            <w:tcW w:w="1170" w:type="dxa"/>
            <w:shd w:val="clear" w:color="auto" w:fill="F4F6F9"/>
            <w:tcMar>
              <w:top w:w="60" w:type="dxa"/>
              <w:left w:w="70" w:type="dxa"/>
              <w:bottom w:w="60" w:type="dxa"/>
              <w:right w:w="70" w:type="dxa"/>
            </w:tcMar>
          </w:tcPr>
          <w:p w14:paraId="09931A12"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Total Leukocytes (/µL)</w:t>
            </w:r>
          </w:p>
        </w:tc>
        <w:tc>
          <w:tcPr>
            <w:tcW w:w="1170" w:type="dxa"/>
            <w:shd w:val="clear" w:color="auto" w:fill="F4F6F9"/>
            <w:tcMar>
              <w:top w:w="60" w:type="dxa"/>
              <w:left w:w="70" w:type="dxa"/>
              <w:bottom w:w="60" w:type="dxa"/>
              <w:right w:w="70" w:type="dxa"/>
            </w:tcMar>
          </w:tcPr>
          <w:p w14:paraId="6B5BD11E"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6,000–18,000</w:t>
            </w:r>
          </w:p>
        </w:tc>
        <w:tc>
          <w:tcPr>
            <w:tcW w:w="1170" w:type="dxa"/>
            <w:shd w:val="clear" w:color="auto" w:fill="F4F6F9"/>
            <w:tcMar>
              <w:top w:w="60" w:type="dxa"/>
              <w:left w:w="70" w:type="dxa"/>
              <w:bottom w:w="60" w:type="dxa"/>
              <w:right w:w="70" w:type="dxa"/>
            </w:tcMar>
          </w:tcPr>
          <w:p w14:paraId="3C726F0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15,490</w:t>
            </w:r>
          </w:p>
        </w:tc>
        <w:tc>
          <w:tcPr>
            <w:tcW w:w="1170" w:type="dxa"/>
            <w:shd w:val="clear" w:color="auto" w:fill="F4F6F9"/>
            <w:tcMar>
              <w:top w:w="60" w:type="dxa"/>
              <w:left w:w="70" w:type="dxa"/>
              <w:bottom w:w="60" w:type="dxa"/>
              <w:right w:w="70" w:type="dxa"/>
            </w:tcMar>
          </w:tcPr>
          <w:p w14:paraId="0D1A0E3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15,490</w:t>
            </w:r>
          </w:p>
        </w:tc>
        <w:tc>
          <w:tcPr>
            <w:tcW w:w="1170" w:type="dxa"/>
            <w:shd w:val="clear" w:color="auto" w:fill="F4F6F9"/>
            <w:tcMar>
              <w:top w:w="60" w:type="dxa"/>
              <w:left w:w="70" w:type="dxa"/>
              <w:bottom w:w="60" w:type="dxa"/>
              <w:right w:w="70" w:type="dxa"/>
            </w:tcMar>
          </w:tcPr>
          <w:p w14:paraId="3BA080C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11,030</w:t>
            </w:r>
          </w:p>
        </w:tc>
        <w:tc>
          <w:tcPr>
            <w:tcW w:w="1170" w:type="dxa"/>
            <w:shd w:val="clear" w:color="auto" w:fill="F4F6F9"/>
            <w:tcMar>
              <w:top w:w="60" w:type="dxa"/>
              <w:left w:w="70" w:type="dxa"/>
              <w:bottom w:w="60" w:type="dxa"/>
              <w:right w:w="70" w:type="dxa"/>
            </w:tcMar>
          </w:tcPr>
          <w:p w14:paraId="1778B3C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13,320</w:t>
            </w:r>
          </w:p>
        </w:tc>
        <w:tc>
          <w:tcPr>
            <w:tcW w:w="1170" w:type="dxa"/>
            <w:shd w:val="clear" w:color="auto" w:fill="F4F6F9"/>
            <w:tcMar>
              <w:top w:w="60" w:type="dxa"/>
              <w:left w:w="70" w:type="dxa"/>
              <w:bottom w:w="60" w:type="dxa"/>
              <w:right w:w="70" w:type="dxa"/>
            </w:tcMar>
          </w:tcPr>
          <w:p w14:paraId="0C9675B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10,670</w:t>
            </w:r>
          </w:p>
        </w:tc>
        <w:tc>
          <w:tcPr>
            <w:tcW w:w="1170" w:type="dxa"/>
            <w:shd w:val="clear" w:color="auto" w:fill="F4F6F9"/>
            <w:tcMar>
              <w:top w:w="60" w:type="dxa"/>
              <w:left w:w="70" w:type="dxa"/>
              <w:bottom w:w="60" w:type="dxa"/>
              <w:right w:w="70" w:type="dxa"/>
            </w:tcMar>
          </w:tcPr>
          <w:p w14:paraId="032F012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12,630</w:t>
            </w:r>
          </w:p>
        </w:tc>
      </w:tr>
      <w:tr w:rsidR="00B677BD" w:rsidRPr="00C11AF6" w14:paraId="46CD21E6" w14:textId="77777777">
        <w:trPr>
          <w:jc w:val="center"/>
        </w:trPr>
        <w:tc>
          <w:tcPr>
            <w:tcW w:w="1170" w:type="dxa"/>
            <w:tcMar>
              <w:top w:w="60" w:type="dxa"/>
              <w:left w:w="70" w:type="dxa"/>
              <w:bottom w:w="60" w:type="dxa"/>
              <w:right w:w="70" w:type="dxa"/>
            </w:tcMar>
          </w:tcPr>
          <w:p w14:paraId="3B3BE9DA"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Neutrophils / Lymph (%)</w:t>
            </w:r>
          </w:p>
        </w:tc>
        <w:tc>
          <w:tcPr>
            <w:tcW w:w="1170" w:type="dxa"/>
            <w:tcMar>
              <w:top w:w="60" w:type="dxa"/>
              <w:left w:w="70" w:type="dxa"/>
              <w:bottom w:w="60" w:type="dxa"/>
              <w:right w:w="70" w:type="dxa"/>
            </w:tcMar>
          </w:tcPr>
          <w:p w14:paraId="048723BF"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13–44 / 20–45</w:t>
            </w:r>
          </w:p>
        </w:tc>
        <w:tc>
          <w:tcPr>
            <w:tcW w:w="1170" w:type="dxa"/>
            <w:tcMar>
              <w:top w:w="60" w:type="dxa"/>
              <w:left w:w="70" w:type="dxa"/>
              <w:bottom w:w="60" w:type="dxa"/>
              <w:right w:w="70" w:type="dxa"/>
            </w:tcMar>
          </w:tcPr>
          <w:p w14:paraId="4F72F7C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62 / 36</w:t>
            </w:r>
          </w:p>
        </w:tc>
        <w:tc>
          <w:tcPr>
            <w:tcW w:w="1170" w:type="dxa"/>
            <w:tcMar>
              <w:top w:w="60" w:type="dxa"/>
              <w:left w:w="70" w:type="dxa"/>
              <w:bottom w:w="60" w:type="dxa"/>
              <w:right w:w="70" w:type="dxa"/>
            </w:tcMar>
          </w:tcPr>
          <w:p w14:paraId="0899742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62 / 36</w:t>
            </w:r>
          </w:p>
        </w:tc>
        <w:tc>
          <w:tcPr>
            <w:tcW w:w="1170" w:type="dxa"/>
            <w:tcMar>
              <w:top w:w="60" w:type="dxa"/>
              <w:left w:w="70" w:type="dxa"/>
              <w:bottom w:w="60" w:type="dxa"/>
              <w:right w:w="70" w:type="dxa"/>
            </w:tcMar>
          </w:tcPr>
          <w:p w14:paraId="0208C4B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35 / 55</w:t>
            </w:r>
          </w:p>
        </w:tc>
        <w:tc>
          <w:tcPr>
            <w:tcW w:w="1170" w:type="dxa"/>
            <w:tcMar>
              <w:top w:w="60" w:type="dxa"/>
              <w:left w:w="70" w:type="dxa"/>
              <w:bottom w:w="60" w:type="dxa"/>
              <w:right w:w="70" w:type="dxa"/>
            </w:tcMar>
          </w:tcPr>
          <w:p w14:paraId="2570940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35 / 51</w:t>
            </w:r>
          </w:p>
        </w:tc>
        <w:tc>
          <w:tcPr>
            <w:tcW w:w="1170" w:type="dxa"/>
            <w:tcMar>
              <w:top w:w="60" w:type="dxa"/>
              <w:left w:w="70" w:type="dxa"/>
              <w:bottom w:w="60" w:type="dxa"/>
              <w:right w:w="70" w:type="dxa"/>
            </w:tcMar>
          </w:tcPr>
          <w:p w14:paraId="6AEC873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47 / 41</w:t>
            </w:r>
          </w:p>
        </w:tc>
        <w:tc>
          <w:tcPr>
            <w:tcW w:w="1170" w:type="dxa"/>
            <w:tcMar>
              <w:top w:w="60" w:type="dxa"/>
              <w:left w:w="70" w:type="dxa"/>
              <w:bottom w:w="60" w:type="dxa"/>
              <w:right w:w="70" w:type="dxa"/>
            </w:tcMar>
          </w:tcPr>
          <w:p w14:paraId="0F0B7D2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23 / 50</w:t>
            </w:r>
          </w:p>
        </w:tc>
      </w:tr>
      <w:tr w:rsidR="00B677BD" w:rsidRPr="00C11AF6" w14:paraId="2B0EDB8B" w14:textId="77777777">
        <w:trPr>
          <w:jc w:val="center"/>
        </w:trPr>
        <w:tc>
          <w:tcPr>
            <w:tcW w:w="1170" w:type="dxa"/>
            <w:shd w:val="clear" w:color="auto" w:fill="F4F6F9"/>
            <w:tcMar>
              <w:top w:w="60" w:type="dxa"/>
              <w:left w:w="70" w:type="dxa"/>
              <w:bottom w:w="60" w:type="dxa"/>
              <w:right w:w="70" w:type="dxa"/>
            </w:tcMar>
          </w:tcPr>
          <w:p w14:paraId="469A618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Platelet Count (Lakhs/µL)</w:t>
            </w:r>
          </w:p>
        </w:tc>
        <w:tc>
          <w:tcPr>
            <w:tcW w:w="1170" w:type="dxa"/>
            <w:shd w:val="clear" w:color="auto" w:fill="F4F6F9"/>
            <w:tcMar>
              <w:top w:w="60" w:type="dxa"/>
              <w:left w:w="70" w:type="dxa"/>
              <w:bottom w:w="60" w:type="dxa"/>
              <w:right w:w="70" w:type="dxa"/>
            </w:tcMar>
          </w:tcPr>
          <w:p w14:paraId="2B9B496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1.5–3.5</w:t>
            </w:r>
          </w:p>
        </w:tc>
        <w:tc>
          <w:tcPr>
            <w:tcW w:w="1170" w:type="dxa"/>
            <w:shd w:val="clear" w:color="auto" w:fill="F4F6F9"/>
            <w:tcMar>
              <w:top w:w="60" w:type="dxa"/>
              <w:left w:w="70" w:type="dxa"/>
              <w:bottom w:w="60" w:type="dxa"/>
              <w:right w:w="70" w:type="dxa"/>
            </w:tcMar>
          </w:tcPr>
          <w:p w14:paraId="7F5B254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6.81</w:t>
            </w:r>
          </w:p>
        </w:tc>
        <w:tc>
          <w:tcPr>
            <w:tcW w:w="1170" w:type="dxa"/>
            <w:shd w:val="clear" w:color="auto" w:fill="F4F6F9"/>
            <w:tcMar>
              <w:top w:w="60" w:type="dxa"/>
              <w:left w:w="70" w:type="dxa"/>
              <w:bottom w:w="60" w:type="dxa"/>
              <w:right w:w="70" w:type="dxa"/>
            </w:tcMar>
          </w:tcPr>
          <w:p w14:paraId="66B28F4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6.81</w:t>
            </w:r>
          </w:p>
        </w:tc>
        <w:tc>
          <w:tcPr>
            <w:tcW w:w="1170" w:type="dxa"/>
            <w:shd w:val="clear" w:color="auto" w:fill="F4F6F9"/>
            <w:tcMar>
              <w:top w:w="60" w:type="dxa"/>
              <w:left w:w="70" w:type="dxa"/>
              <w:bottom w:w="60" w:type="dxa"/>
              <w:right w:w="70" w:type="dxa"/>
            </w:tcMar>
          </w:tcPr>
          <w:p w14:paraId="6B2F795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4.73</w:t>
            </w:r>
          </w:p>
        </w:tc>
        <w:tc>
          <w:tcPr>
            <w:tcW w:w="1170" w:type="dxa"/>
            <w:shd w:val="clear" w:color="auto" w:fill="F4F6F9"/>
            <w:tcMar>
              <w:top w:w="60" w:type="dxa"/>
              <w:left w:w="70" w:type="dxa"/>
              <w:bottom w:w="60" w:type="dxa"/>
              <w:right w:w="70" w:type="dxa"/>
            </w:tcMar>
          </w:tcPr>
          <w:p w14:paraId="174E398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3.62</w:t>
            </w:r>
          </w:p>
        </w:tc>
        <w:tc>
          <w:tcPr>
            <w:tcW w:w="1170" w:type="dxa"/>
            <w:shd w:val="clear" w:color="auto" w:fill="F4F6F9"/>
            <w:tcMar>
              <w:top w:w="60" w:type="dxa"/>
              <w:left w:w="70" w:type="dxa"/>
              <w:bottom w:w="60" w:type="dxa"/>
              <w:right w:w="70" w:type="dxa"/>
            </w:tcMar>
          </w:tcPr>
          <w:p w14:paraId="2F01918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2.31</w:t>
            </w:r>
          </w:p>
        </w:tc>
        <w:tc>
          <w:tcPr>
            <w:tcW w:w="1170" w:type="dxa"/>
            <w:shd w:val="clear" w:color="auto" w:fill="F4F6F9"/>
            <w:tcMar>
              <w:top w:w="60" w:type="dxa"/>
              <w:left w:w="70" w:type="dxa"/>
              <w:bottom w:w="60" w:type="dxa"/>
              <w:right w:w="70" w:type="dxa"/>
            </w:tcMar>
          </w:tcPr>
          <w:p w14:paraId="6A39160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1.58</w:t>
            </w:r>
          </w:p>
        </w:tc>
      </w:tr>
      <w:tr w:rsidR="00B677BD" w:rsidRPr="00C11AF6" w14:paraId="6B78940C" w14:textId="77777777">
        <w:trPr>
          <w:jc w:val="center"/>
        </w:trPr>
        <w:tc>
          <w:tcPr>
            <w:tcW w:w="1170" w:type="dxa"/>
            <w:tcMar>
              <w:top w:w="60" w:type="dxa"/>
              <w:left w:w="70" w:type="dxa"/>
              <w:bottom w:w="60" w:type="dxa"/>
              <w:right w:w="70" w:type="dxa"/>
            </w:tcMar>
          </w:tcPr>
          <w:p w14:paraId="7409248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Sodium (mmol/L)</w:t>
            </w:r>
          </w:p>
        </w:tc>
        <w:tc>
          <w:tcPr>
            <w:tcW w:w="1170" w:type="dxa"/>
            <w:tcMar>
              <w:top w:w="60" w:type="dxa"/>
              <w:left w:w="70" w:type="dxa"/>
              <w:bottom w:w="60" w:type="dxa"/>
              <w:right w:w="70" w:type="dxa"/>
            </w:tcMar>
          </w:tcPr>
          <w:p w14:paraId="1DCB68B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133–152</w:t>
            </w:r>
          </w:p>
        </w:tc>
        <w:tc>
          <w:tcPr>
            <w:tcW w:w="1170" w:type="dxa"/>
            <w:tcMar>
              <w:top w:w="60" w:type="dxa"/>
              <w:left w:w="70" w:type="dxa"/>
              <w:bottom w:w="60" w:type="dxa"/>
              <w:right w:w="70" w:type="dxa"/>
            </w:tcMar>
          </w:tcPr>
          <w:p w14:paraId="1F7D49A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165.1</w:t>
            </w:r>
          </w:p>
        </w:tc>
        <w:tc>
          <w:tcPr>
            <w:tcW w:w="1170" w:type="dxa"/>
            <w:tcMar>
              <w:top w:w="60" w:type="dxa"/>
              <w:left w:w="70" w:type="dxa"/>
              <w:bottom w:w="60" w:type="dxa"/>
              <w:right w:w="70" w:type="dxa"/>
            </w:tcMar>
          </w:tcPr>
          <w:p w14:paraId="247FCB0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163.6–165.3</w:t>
            </w:r>
          </w:p>
        </w:tc>
        <w:tc>
          <w:tcPr>
            <w:tcW w:w="1170" w:type="dxa"/>
            <w:tcMar>
              <w:top w:w="60" w:type="dxa"/>
              <w:left w:w="70" w:type="dxa"/>
              <w:bottom w:w="60" w:type="dxa"/>
              <w:right w:w="70" w:type="dxa"/>
            </w:tcMar>
          </w:tcPr>
          <w:p w14:paraId="559CEEA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152.7</w:t>
            </w:r>
          </w:p>
        </w:tc>
        <w:tc>
          <w:tcPr>
            <w:tcW w:w="1170" w:type="dxa"/>
            <w:tcMar>
              <w:top w:w="60" w:type="dxa"/>
              <w:left w:w="70" w:type="dxa"/>
              <w:bottom w:w="60" w:type="dxa"/>
              <w:right w:w="70" w:type="dxa"/>
            </w:tcMar>
          </w:tcPr>
          <w:p w14:paraId="007CB3C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148.6–149.5</w:t>
            </w:r>
          </w:p>
        </w:tc>
        <w:tc>
          <w:tcPr>
            <w:tcW w:w="1170" w:type="dxa"/>
            <w:tcMar>
              <w:top w:w="60" w:type="dxa"/>
              <w:left w:w="70" w:type="dxa"/>
              <w:bottom w:w="60" w:type="dxa"/>
              <w:right w:w="70" w:type="dxa"/>
            </w:tcMar>
          </w:tcPr>
          <w:p w14:paraId="4B0A49E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144.7</w:t>
            </w:r>
          </w:p>
        </w:tc>
        <w:tc>
          <w:tcPr>
            <w:tcW w:w="1170" w:type="dxa"/>
            <w:tcMar>
              <w:top w:w="60" w:type="dxa"/>
              <w:left w:w="70" w:type="dxa"/>
              <w:bottom w:w="60" w:type="dxa"/>
              <w:right w:w="70" w:type="dxa"/>
            </w:tcMar>
          </w:tcPr>
          <w:p w14:paraId="64C16CD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143.5</w:t>
            </w:r>
          </w:p>
        </w:tc>
      </w:tr>
      <w:tr w:rsidR="00B677BD" w:rsidRPr="00C11AF6" w14:paraId="256E1946" w14:textId="77777777">
        <w:trPr>
          <w:jc w:val="center"/>
        </w:trPr>
        <w:tc>
          <w:tcPr>
            <w:tcW w:w="1170" w:type="dxa"/>
            <w:shd w:val="clear" w:color="auto" w:fill="F4F6F9"/>
            <w:tcMar>
              <w:top w:w="60" w:type="dxa"/>
              <w:left w:w="70" w:type="dxa"/>
              <w:bottom w:w="60" w:type="dxa"/>
              <w:right w:w="70" w:type="dxa"/>
            </w:tcMar>
          </w:tcPr>
          <w:p w14:paraId="0BD46F72"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Potassium (mmol/L)</w:t>
            </w:r>
          </w:p>
        </w:tc>
        <w:tc>
          <w:tcPr>
            <w:tcW w:w="1170" w:type="dxa"/>
            <w:shd w:val="clear" w:color="auto" w:fill="F4F6F9"/>
            <w:tcMar>
              <w:top w:w="60" w:type="dxa"/>
              <w:left w:w="70" w:type="dxa"/>
              <w:bottom w:w="60" w:type="dxa"/>
              <w:right w:w="70" w:type="dxa"/>
            </w:tcMar>
          </w:tcPr>
          <w:p w14:paraId="6FC42F3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3.5–5.5</w:t>
            </w:r>
          </w:p>
        </w:tc>
        <w:tc>
          <w:tcPr>
            <w:tcW w:w="1170" w:type="dxa"/>
            <w:shd w:val="clear" w:color="auto" w:fill="F4F6F9"/>
            <w:tcMar>
              <w:top w:w="60" w:type="dxa"/>
              <w:left w:w="70" w:type="dxa"/>
              <w:bottom w:w="60" w:type="dxa"/>
              <w:right w:w="70" w:type="dxa"/>
            </w:tcMar>
          </w:tcPr>
          <w:p w14:paraId="54546A2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2.69</w:t>
            </w:r>
          </w:p>
        </w:tc>
        <w:tc>
          <w:tcPr>
            <w:tcW w:w="1170" w:type="dxa"/>
            <w:shd w:val="clear" w:color="auto" w:fill="F4F6F9"/>
            <w:tcMar>
              <w:top w:w="60" w:type="dxa"/>
              <w:left w:w="70" w:type="dxa"/>
              <w:bottom w:w="60" w:type="dxa"/>
              <w:right w:w="70" w:type="dxa"/>
            </w:tcMar>
          </w:tcPr>
          <w:p w14:paraId="45787EA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2.43–2.90</w:t>
            </w:r>
          </w:p>
        </w:tc>
        <w:tc>
          <w:tcPr>
            <w:tcW w:w="1170" w:type="dxa"/>
            <w:shd w:val="clear" w:color="auto" w:fill="F4F6F9"/>
            <w:tcMar>
              <w:top w:w="60" w:type="dxa"/>
              <w:left w:w="70" w:type="dxa"/>
              <w:bottom w:w="60" w:type="dxa"/>
              <w:right w:w="70" w:type="dxa"/>
            </w:tcMar>
          </w:tcPr>
          <w:p w14:paraId="3AA0BB5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3.31</w:t>
            </w:r>
          </w:p>
        </w:tc>
        <w:tc>
          <w:tcPr>
            <w:tcW w:w="1170" w:type="dxa"/>
            <w:shd w:val="clear" w:color="auto" w:fill="F4F6F9"/>
            <w:tcMar>
              <w:top w:w="60" w:type="dxa"/>
              <w:left w:w="70" w:type="dxa"/>
              <w:bottom w:w="60" w:type="dxa"/>
              <w:right w:w="70" w:type="dxa"/>
            </w:tcMar>
          </w:tcPr>
          <w:p w14:paraId="4340DD0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3.35–3.89</w:t>
            </w:r>
          </w:p>
        </w:tc>
        <w:tc>
          <w:tcPr>
            <w:tcW w:w="1170" w:type="dxa"/>
            <w:shd w:val="clear" w:color="auto" w:fill="F4F6F9"/>
            <w:tcMar>
              <w:top w:w="60" w:type="dxa"/>
              <w:left w:w="70" w:type="dxa"/>
              <w:bottom w:w="60" w:type="dxa"/>
              <w:right w:w="70" w:type="dxa"/>
            </w:tcMar>
          </w:tcPr>
          <w:p w14:paraId="2A6CA4F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3.66</w:t>
            </w:r>
          </w:p>
        </w:tc>
        <w:tc>
          <w:tcPr>
            <w:tcW w:w="1170" w:type="dxa"/>
            <w:shd w:val="clear" w:color="auto" w:fill="F4F6F9"/>
            <w:tcMar>
              <w:top w:w="60" w:type="dxa"/>
              <w:left w:w="70" w:type="dxa"/>
              <w:bottom w:w="60" w:type="dxa"/>
              <w:right w:w="70" w:type="dxa"/>
            </w:tcMar>
          </w:tcPr>
          <w:p w14:paraId="2500A95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2.82</w:t>
            </w:r>
          </w:p>
        </w:tc>
      </w:tr>
      <w:tr w:rsidR="00B677BD" w:rsidRPr="00C11AF6" w14:paraId="0DC77550" w14:textId="77777777">
        <w:trPr>
          <w:jc w:val="center"/>
        </w:trPr>
        <w:tc>
          <w:tcPr>
            <w:tcW w:w="1170" w:type="dxa"/>
            <w:tcMar>
              <w:top w:w="60" w:type="dxa"/>
              <w:left w:w="70" w:type="dxa"/>
              <w:bottom w:w="60" w:type="dxa"/>
              <w:right w:w="70" w:type="dxa"/>
            </w:tcMar>
          </w:tcPr>
          <w:p w14:paraId="0BCC46A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Chloride (mmol/L)</w:t>
            </w:r>
          </w:p>
        </w:tc>
        <w:tc>
          <w:tcPr>
            <w:tcW w:w="1170" w:type="dxa"/>
            <w:tcMar>
              <w:top w:w="60" w:type="dxa"/>
              <w:left w:w="70" w:type="dxa"/>
              <w:bottom w:w="60" w:type="dxa"/>
              <w:right w:w="70" w:type="dxa"/>
            </w:tcMar>
          </w:tcPr>
          <w:p w14:paraId="36BF65A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96–106</w:t>
            </w:r>
          </w:p>
        </w:tc>
        <w:tc>
          <w:tcPr>
            <w:tcW w:w="1170" w:type="dxa"/>
            <w:tcMar>
              <w:top w:w="60" w:type="dxa"/>
              <w:left w:w="70" w:type="dxa"/>
              <w:bottom w:w="60" w:type="dxa"/>
              <w:right w:w="70" w:type="dxa"/>
            </w:tcMar>
          </w:tcPr>
          <w:p w14:paraId="67ABDAE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137.60</w:t>
            </w:r>
          </w:p>
        </w:tc>
        <w:tc>
          <w:tcPr>
            <w:tcW w:w="1170" w:type="dxa"/>
            <w:tcMar>
              <w:top w:w="60" w:type="dxa"/>
              <w:left w:w="70" w:type="dxa"/>
              <w:bottom w:w="60" w:type="dxa"/>
              <w:right w:w="70" w:type="dxa"/>
            </w:tcMar>
          </w:tcPr>
          <w:p w14:paraId="46FAFB2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129.7–132.1</w:t>
            </w:r>
          </w:p>
        </w:tc>
        <w:tc>
          <w:tcPr>
            <w:tcW w:w="1170" w:type="dxa"/>
            <w:tcMar>
              <w:top w:w="60" w:type="dxa"/>
              <w:left w:w="70" w:type="dxa"/>
              <w:bottom w:w="60" w:type="dxa"/>
              <w:right w:w="70" w:type="dxa"/>
            </w:tcMar>
          </w:tcPr>
          <w:p w14:paraId="258222C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116.45</w:t>
            </w:r>
          </w:p>
        </w:tc>
        <w:tc>
          <w:tcPr>
            <w:tcW w:w="1170" w:type="dxa"/>
            <w:tcMar>
              <w:top w:w="60" w:type="dxa"/>
              <w:left w:w="70" w:type="dxa"/>
              <w:bottom w:w="60" w:type="dxa"/>
              <w:right w:w="70" w:type="dxa"/>
            </w:tcMar>
          </w:tcPr>
          <w:p w14:paraId="0C7DA9D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109.6–114.7</w:t>
            </w:r>
          </w:p>
        </w:tc>
        <w:tc>
          <w:tcPr>
            <w:tcW w:w="1170" w:type="dxa"/>
            <w:tcMar>
              <w:top w:w="60" w:type="dxa"/>
              <w:left w:w="70" w:type="dxa"/>
              <w:bottom w:w="60" w:type="dxa"/>
              <w:right w:w="70" w:type="dxa"/>
            </w:tcMar>
          </w:tcPr>
          <w:p w14:paraId="4BE9DD7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108.44</w:t>
            </w:r>
          </w:p>
        </w:tc>
        <w:tc>
          <w:tcPr>
            <w:tcW w:w="1170" w:type="dxa"/>
            <w:tcMar>
              <w:top w:w="60" w:type="dxa"/>
              <w:left w:w="70" w:type="dxa"/>
              <w:bottom w:w="60" w:type="dxa"/>
              <w:right w:w="70" w:type="dxa"/>
            </w:tcMar>
          </w:tcPr>
          <w:p w14:paraId="65E142A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106.70</w:t>
            </w:r>
          </w:p>
        </w:tc>
      </w:tr>
      <w:tr w:rsidR="00B677BD" w:rsidRPr="00C11AF6" w14:paraId="13F5540F" w14:textId="77777777">
        <w:trPr>
          <w:jc w:val="center"/>
        </w:trPr>
        <w:tc>
          <w:tcPr>
            <w:tcW w:w="1170" w:type="dxa"/>
            <w:shd w:val="clear" w:color="auto" w:fill="F4F6F9"/>
            <w:tcMar>
              <w:top w:w="60" w:type="dxa"/>
              <w:left w:w="70" w:type="dxa"/>
              <w:bottom w:w="60" w:type="dxa"/>
              <w:right w:w="70" w:type="dxa"/>
            </w:tcMar>
          </w:tcPr>
          <w:p w14:paraId="37EC33B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Blood Urea (mg/dL)</w:t>
            </w:r>
          </w:p>
        </w:tc>
        <w:tc>
          <w:tcPr>
            <w:tcW w:w="1170" w:type="dxa"/>
            <w:shd w:val="clear" w:color="auto" w:fill="F4F6F9"/>
            <w:tcMar>
              <w:top w:w="60" w:type="dxa"/>
              <w:left w:w="70" w:type="dxa"/>
              <w:bottom w:w="60" w:type="dxa"/>
              <w:right w:w="70" w:type="dxa"/>
            </w:tcMar>
          </w:tcPr>
          <w:p w14:paraId="7B88A90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8.4–25.8</w:t>
            </w:r>
          </w:p>
        </w:tc>
        <w:tc>
          <w:tcPr>
            <w:tcW w:w="1170" w:type="dxa"/>
            <w:shd w:val="clear" w:color="auto" w:fill="F4F6F9"/>
            <w:tcMar>
              <w:top w:w="60" w:type="dxa"/>
              <w:left w:w="70" w:type="dxa"/>
              <w:bottom w:w="60" w:type="dxa"/>
              <w:right w:w="70" w:type="dxa"/>
            </w:tcMar>
          </w:tcPr>
          <w:p w14:paraId="44CA530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89.9</w:t>
            </w:r>
          </w:p>
        </w:tc>
        <w:tc>
          <w:tcPr>
            <w:tcW w:w="1170" w:type="dxa"/>
            <w:shd w:val="clear" w:color="auto" w:fill="F4F6F9"/>
            <w:tcMar>
              <w:top w:w="60" w:type="dxa"/>
              <w:left w:w="70" w:type="dxa"/>
              <w:bottom w:w="60" w:type="dxa"/>
              <w:right w:w="70" w:type="dxa"/>
            </w:tcMar>
          </w:tcPr>
          <w:p w14:paraId="20E1195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81.0</w:t>
            </w:r>
          </w:p>
        </w:tc>
        <w:tc>
          <w:tcPr>
            <w:tcW w:w="1170" w:type="dxa"/>
            <w:shd w:val="clear" w:color="auto" w:fill="F4F6F9"/>
            <w:tcMar>
              <w:top w:w="60" w:type="dxa"/>
              <w:left w:w="70" w:type="dxa"/>
              <w:bottom w:w="60" w:type="dxa"/>
              <w:right w:w="70" w:type="dxa"/>
            </w:tcMar>
          </w:tcPr>
          <w:p w14:paraId="76956BC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24.0</w:t>
            </w:r>
          </w:p>
        </w:tc>
        <w:tc>
          <w:tcPr>
            <w:tcW w:w="1170" w:type="dxa"/>
            <w:shd w:val="clear" w:color="auto" w:fill="F4F6F9"/>
            <w:tcMar>
              <w:top w:w="60" w:type="dxa"/>
              <w:left w:w="70" w:type="dxa"/>
              <w:bottom w:w="60" w:type="dxa"/>
              <w:right w:w="70" w:type="dxa"/>
            </w:tcMar>
          </w:tcPr>
          <w:p w14:paraId="5D5591D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17.4</w:t>
            </w:r>
          </w:p>
        </w:tc>
        <w:tc>
          <w:tcPr>
            <w:tcW w:w="1170" w:type="dxa"/>
            <w:shd w:val="clear" w:color="auto" w:fill="F4F6F9"/>
            <w:tcMar>
              <w:top w:w="60" w:type="dxa"/>
              <w:left w:w="70" w:type="dxa"/>
              <w:bottom w:w="60" w:type="dxa"/>
              <w:right w:w="70" w:type="dxa"/>
            </w:tcMar>
          </w:tcPr>
          <w:p w14:paraId="36C863A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16.8</w:t>
            </w:r>
          </w:p>
        </w:tc>
        <w:tc>
          <w:tcPr>
            <w:tcW w:w="1170" w:type="dxa"/>
            <w:shd w:val="clear" w:color="auto" w:fill="F4F6F9"/>
            <w:tcMar>
              <w:top w:w="60" w:type="dxa"/>
              <w:left w:w="70" w:type="dxa"/>
              <w:bottom w:w="60" w:type="dxa"/>
              <w:right w:w="70" w:type="dxa"/>
            </w:tcMar>
          </w:tcPr>
          <w:p w14:paraId="40A4F91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15.2</w:t>
            </w:r>
          </w:p>
        </w:tc>
      </w:tr>
      <w:tr w:rsidR="00B677BD" w:rsidRPr="00C11AF6" w14:paraId="1ED1DDE6" w14:textId="77777777">
        <w:trPr>
          <w:jc w:val="center"/>
        </w:trPr>
        <w:tc>
          <w:tcPr>
            <w:tcW w:w="1170" w:type="dxa"/>
            <w:tcMar>
              <w:top w:w="60" w:type="dxa"/>
              <w:left w:w="70" w:type="dxa"/>
              <w:bottom w:w="60" w:type="dxa"/>
              <w:right w:w="70" w:type="dxa"/>
            </w:tcMar>
          </w:tcPr>
          <w:p w14:paraId="45A66F5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Creatinine (mg/dL)</w:t>
            </w:r>
          </w:p>
        </w:tc>
        <w:tc>
          <w:tcPr>
            <w:tcW w:w="1170" w:type="dxa"/>
            <w:tcMar>
              <w:top w:w="60" w:type="dxa"/>
              <w:left w:w="70" w:type="dxa"/>
              <w:bottom w:w="60" w:type="dxa"/>
              <w:right w:w="70" w:type="dxa"/>
            </w:tcMar>
          </w:tcPr>
          <w:p w14:paraId="1D0AE0D5"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0.15–0.37</w:t>
            </w:r>
          </w:p>
        </w:tc>
        <w:tc>
          <w:tcPr>
            <w:tcW w:w="1170" w:type="dxa"/>
            <w:tcMar>
              <w:top w:w="60" w:type="dxa"/>
              <w:left w:w="70" w:type="dxa"/>
              <w:bottom w:w="60" w:type="dxa"/>
              <w:right w:w="70" w:type="dxa"/>
            </w:tcMar>
          </w:tcPr>
          <w:p w14:paraId="45601F0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0.55</w:t>
            </w:r>
          </w:p>
        </w:tc>
        <w:tc>
          <w:tcPr>
            <w:tcW w:w="1170" w:type="dxa"/>
            <w:tcMar>
              <w:top w:w="60" w:type="dxa"/>
              <w:left w:w="70" w:type="dxa"/>
              <w:bottom w:w="60" w:type="dxa"/>
              <w:right w:w="70" w:type="dxa"/>
            </w:tcMar>
          </w:tcPr>
          <w:p w14:paraId="139211C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0.80</w:t>
            </w:r>
          </w:p>
        </w:tc>
        <w:tc>
          <w:tcPr>
            <w:tcW w:w="1170" w:type="dxa"/>
            <w:tcMar>
              <w:top w:w="60" w:type="dxa"/>
              <w:left w:w="70" w:type="dxa"/>
              <w:bottom w:w="60" w:type="dxa"/>
              <w:right w:w="70" w:type="dxa"/>
            </w:tcMar>
          </w:tcPr>
          <w:p w14:paraId="65BFC8E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0.40</w:t>
            </w:r>
          </w:p>
        </w:tc>
        <w:tc>
          <w:tcPr>
            <w:tcW w:w="1170" w:type="dxa"/>
            <w:tcMar>
              <w:top w:w="60" w:type="dxa"/>
              <w:left w:w="70" w:type="dxa"/>
              <w:bottom w:w="60" w:type="dxa"/>
              <w:right w:w="70" w:type="dxa"/>
            </w:tcMar>
          </w:tcPr>
          <w:p w14:paraId="098BB4D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0.37</w:t>
            </w:r>
          </w:p>
        </w:tc>
        <w:tc>
          <w:tcPr>
            <w:tcW w:w="1170" w:type="dxa"/>
            <w:tcMar>
              <w:top w:w="60" w:type="dxa"/>
              <w:left w:w="70" w:type="dxa"/>
              <w:bottom w:w="60" w:type="dxa"/>
              <w:right w:w="70" w:type="dxa"/>
            </w:tcMar>
          </w:tcPr>
          <w:p w14:paraId="4FA665C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0.32</w:t>
            </w:r>
          </w:p>
        </w:tc>
        <w:tc>
          <w:tcPr>
            <w:tcW w:w="1170" w:type="dxa"/>
            <w:tcMar>
              <w:top w:w="60" w:type="dxa"/>
              <w:left w:w="70" w:type="dxa"/>
              <w:bottom w:w="60" w:type="dxa"/>
              <w:right w:w="70" w:type="dxa"/>
            </w:tcMar>
          </w:tcPr>
          <w:p w14:paraId="3D9BD89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0.30</w:t>
            </w:r>
          </w:p>
        </w:tc>
      </w:tr>
      <w:tr w:rsidR="00B677BD" w:rsidRPr="00C11AF6" w14:paraId="4EDE689C" w14:textId="77777777">
        <w:trPr>
          <w:jc w:val="center"/>
        </w:trPr>
        <w:tc>
          <w:tcPr>
            <w:tcW w:w="1170" w:type="dxa"/>
            <w:shd w:val="clear" w:color="auto" w:fill="F4F6F9"/>
            <w:tcMar>
              <w:top w:w="60" w:type="dxa"/>
              <w:left w:w="70" w:type="dxa"/>
              <w:bottom w:w="60" w:type="dxa"/>
              <w:right w:w="70" w:type="dxa"/>
            </w:tcMar>
          </w:tcPr>
          <w:p w14:paraId="743A726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Total / Direct Bili (mg/dL)</w:t>
            </w:r>
          </w:p>
        </w:tc>
        <w:tc>
          <w:tcPr>
            <w:tcW w:w="1170" w:type="dxa"/>
            <w:shd w:val="clear" w:color="auto" w:fill="F4F6F9"/>
            <w:tcMar>
              <w:top w:w="60" w:type="dxa"/>
              <w:left w:w="70" w:type="dxa"/>
              <w:bottom w:w="60" w:type="dxa"/>
              <w:right w:w="70" w:type="dxa"/>
            </w:tcMar>
          </w:tcPr>
          <w:p w14:paraId="0142EB6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0.3–1.2 / &lt;0.2</w:t>
            </w:r>
          </w:p>
        </w:tc>
        <w:tc>
          <w:tcPr>
            <w:tcW w:w="1170" w:type="dxa"/>
            <w:shd w:val="clear" w:color="auto" w:fill="F4F6F9"/>
            <w:tcMar>
              <w:top w:w="60" w:type="dxa"/>
              <w:left w:w="70" w:type="dxa"/>
              <w:bottom w:w="60" w:type="dxa"/>
              <w:right w:w="70" w:type="dxa"/>
            </w:tcMar>
          </w:tcPr>
          <w:p w14:paraId="7F4E758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0.9 / 0.4</w:t>
            </w:r>
          </w:p>
        </w:tc>
        <w:tc>
          <w:tcPr>
            <w:tcW w:w="1170" w:type="dxa"/>
            <w:shd w:val="clear" w:color="auto" w:fill="F4F6F9"/>
            <w:tcMar>
              <w:top w:w="60" w:type="dxa"/>
              <w:left w:w="70" w:type="dxa"/>
              <w:bottom w:w="60" w:type="dxa"/>
              <w:right w:w="70" w:type="dxa"/>
            </w:tcMar>
          </w:tcPr>
          <w:p w14:paraId="0000DB4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3BE9CAA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0.6 / 0.2</w:t>
            </w:r>
          </w:p>
        </w:tc>
        <w:tc>
          <w:tcPr>
            <w:tcW w:w="1170" w:type="dxa"/>
            <w:shd w:val="clear" w:color="auto" w:fill="F4F6F9"/>
            <w:tcMar>
              <w:top w:w="60" w:type="dxa"/>
              <w:left w:w="70" w:type="dxa"/>
              <w:bottom w:w="60" w:type="dxa"/>
              <w:right w:w="70" w:type="dxa"/>
            </w:tcMar>
          </w:tcPr>
          <w:p w14:paraId="13102C8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6E8A1A9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32A752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32AFC920" w14:textId="77777777">
        <w:trPr>
          <w:jc w:val="center"/>
        </w:trPr>
        <w:tc>
          <w:tcPr>
            <w:tcW w:w="1170" w:type="dxa"/>
            <w:tcMar>
              <w:top w:w="60" w:type="dxa"/>
              <w:left w:w="70" w:type="dxa"/>
              <w:bottom w:w="60" w:type="dxa"/>
              <w:right w:w="70" w:type="dxa"/>
            </w:tcMar>
          </w:tcPr>
          <w:p w14:paraId="45600F0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AST / SGOT (U/L)</w:t>
            </w:r>
          </w:p>
        </w:tc>
        <w:tc>
          <w:tcPr>
            <w:tcW w:w="1170" w:type="dxa"/>
            <w:tcMar>
              <w:top w:w="60" w:type="dxa"/>
              <w:left w:w="70" w:type="dxa"/>
              <w:bottom w:w="60" w:type="dxa"/>
              <w:right w:w="70" w:type="dxa"/>
            </w:tcMar>
          </w:tcPr>
          <w:p w14:paraId="112D37A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15–60</w:t>
            </w:r>
          </w:p>
        </w:tc>
        <w:tc>
          <w:tcPr>
            <w:tcW w:w="1170" w:type="dxa"/>
            <w:tcMar>
              <w:top w:w="60" w:type="dxa"/>
              <w:left w:w="70" w:type="dxa"/>
              <w:bottom w:w="60" w:type="dxa"/>
              <w:right w:w="70" w:type="dxa"/>
            </w:tcMar>
          </w:tcPr>
          <w:p w14:paraId="0EBD507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121.0</w:t>
            </w:r>
          </w:p>
        </w:tc>
        <w:tc>
          <w:tcPr>
            <w:tcW w:w="1170" w:type="dxa"/>
            <w:tcMar>
              <w:top w:w="60" w:type="dxa"/>
              <w:left w:w="70" w:type="dxa"/>
              <w:bottom w:w="60" w:type="dxa"/>
              <w:right w:w="70" w:type="dxa"/>
            </w:tcMar>
          </w:tcPr>
          <w:p w14:paraId="0FC4F20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11858F4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42.0</w:t>
            </w:r>
          </w:p>
        </w:tc>
        <w:tc>
          <w:tcPr>
            <w:tcW w:w="1170" w:type="dxa"/>
            <w:tcMar>
              <w:top w:w="60" w:type="dxa"/>
              <w:left w:w="70" w:type="dxa"/>
              <w:bottom w:w="60" w:type="dxa"/>
              <w:right w:w="70" w:type="dxa"/>
            </w:tcMar>
          </w:tcPr>
          <w:p w14:paraId="4BD621A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70D610D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5F509D4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47B2A059" w14:textId="77777777">
        <w:trPr>
          <w:jc w:val="center"/>
        </w:trPr>
        <w:tc>
          <w:tcPr>
            <w:tcW w:w="1170" w:type="dxa"/>
            <w:shd w:val="clear" w:color="auto" w:fill="F4F6F9"/>
            <w:tcMar>
              <w:top w:w="60" w:type="dxa"/>
              <w:left w:w="70" w:type="dxa"/>
              <w:bottom w:w="60" w:type="dxa"/>
              <w:right w:w="70" w:type="dxa"/>
            </w:tcMar>
          </w:tcPr>
          <w:p w14:paraId="1CC399E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ALT / SGPT (U/L)</w:t>
            </w:r>
          </w:p>
        </w:tc>
        <w:tc>
          <w:tcPr>
            <w:tcW w:w="1170" w:type="dxa"/>
            <w:shd w:val="clear" w:color="auto" w:fill="F4F6F9"/>
            <w:tcMar>
              <w:top w:w="60" w:type="dxa"/>
              <w:left w:w="70" w:type="dxa"/>
              <w:bottom w:w="60" w:type="dxa"/>
              <w:right w:w="70" w:type="dxa"/>
            </w:tcMar>
          </w:tcPr>
          <w:p w14:paraId="16F4257C"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13–45</w:t>
            </w:r>
          </w:p>
        </w:tc>
        <w:tc>
          <w:tcPr>
            <w:tcW w:w="1170" w:type="dxa"/>
            <w:shd w:val="clear" w:color="auto" w:fill="F4F6F9"/>
            <w:tcMar>
              <w:top w:w="60" w:type="dxa"/>
              <w:left w:w="70" w:type="dxa"/>
              <w:bottom w:w="60" w:type="dxa"/>
              <w:right w:w="70" w:type="dxa"/>
            </w:tcMar>
          </w:tcPr>
          <w:p w14:paraId="2F4ED57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308.3</w:t>
            </w:r>
          </w:p>
        </w:tc>
        <w:tc>
          <w:tcPr>
            <w:tcW w:w="1170" w:type="dxa"/>
            <w:shd w:val="clear" w:color="auto" w:fill="F4F6F9"/>
            <w:tcMar>
              <w:top w:w="60" w:type="dxa"/>
              <w:left w:w="70" w:type="dxa"/>
              <w:bottom w:w="60" w:type="dxa"/>
              <w:right w:w="70" w:type="dxa"/>
            </w:tcMar>
          </w:tcPr>
          <w:p w14:paraId="7E604B1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F2E6E4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164.2</w:t>
            </w:r>
          </w:p>
        </w:tc>
        <w:tc>
          <w:tcPr>
            <w:tcW w:w="1170" w:type="dxa"/>
            <w:shd w:val="clear" w:color="auto" w:fill="F4F6F9"/>
            <w:tcMar>
              <w:top w:w="60" w:type="dxa"/>
              <w:left w:w="70" w:type="dxa"/>
              <w:bottom w:w="60" w:type="dxa"/>
              <w:right w:w="70" w:type="dxa"/>
            </w:tcMar>
          </w:tcPr>
          <w:p w14:paraId="434A670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185E3B7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721C6DF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4F3756C4" w14:textId="77777777">
        <w:trPr>
          <w:jc w:val="center"/>
        </w:trPr>
        <w:tc>
          <w:tcPr>
            <w:tcW w:w="1170" w:type="dxa"/>
            <w:tcMar>
              <w:top w:w="60" w:type="dxa"/>
              <w:left w:w="70" w:type="dxa"/>
              <w:bottom w:w="60" w:type="dxa"/>
              <w:right w:w="70" w:type="dxa"/>
            </w:tcMar>
          </w:tcPr>
          <w:p w14:paraId="2ABE6275"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ALP (U/L)</w:t>
            </w:r>
          </w:p>
        </w:tc>
        <w:tc>
          <w:tcPr>
            <w:tcW w:w="1170" w:type="dxa"/>
            <w:tcMar>
              <w:top w:w="60" w:type="dxa"/>
              <w:left w:w="70" w:type="dxa"/>
              <w:bottom w:w="60" w:type="dxa"/>
              <w:right w:w="70" w:type="dxa"/>
            </w:tcMar>
          </w:tcPr>
          <w:p w14:paraId="64D3DA1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75–383</w:t>
            </w:r>
          </w:p>
        </w:tc>
        <w:tc>
          <w:tcPr>
            <w:tcW w:w="1170" w:type="dxa"/>
            <w:tcMar>
              <w:top w:w="60" w:type="dxa"/>
              <w:left w:w="70" w:type="dxa"/>
              <w:bottom w:w="60" w:type="dxa"/>
              <w:right w:w="70" w:type="dxa"/>
            </w:tcMar>
          </w:tcPr>
          <w:p w14:paraId="2E62E8B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265.4</w:t>
            </w:r>
          </w:p>
        </w:tc>
        <w:tc>
          <w:tcPr>
            <w:tcW w:w="1170" w:type="dxa"/>
            <w:tcMar>
              <w:top w:w="60" w:type="dxa"/>
              <w:left w:w="70" w:type="dxa"/>
              <w:bottom w:w="60" w:type="dxa"/>
              <w:right w:w="70" w:type="dxa"/>
            </w:tcMar>
          </w:tcPr>
          <w:p w14:paraId="23879DF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24C2BCA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185.2</w:t>
            </w:r>
          </w:p>
        </w:tc>
        <w:tc>
          <w:tcPr>
            <w:tcW w:w="1170" w:type="dxa"/>
            <w:tcMar>
              <w:top w:w="60" w:type="dxa"/>
              <w:left w:w="70" w:type="dxa"/>
              <w:bottom w:w="60" w:type="dxa"/>
              <w:right w:w="70" w:type="dxa"/>
            </w:tcMar>
          </w:tcPr>
          <w:p w14:paraId="5DCC42E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002FC23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433B264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58C78A51" w14:textId="77777777">
        <w:trPr>
          <w:jc w:val="center"/>
        </w:trPr>
        <w:tc>
          <w:tcPr>
            <w:tcW w:w="1170" w:type="dxa"/>
            <w:shd w:val="clear" w:color="auto" w:fill="F4F6F9"/>
            <w:tcMar>
              <w:top w:w="60" w:type="dxa"/>
              <w:left w:w="70" w:type="dxa"/>
              <w:bottom w:w="60" w:type="dxa"/>
              <w:right w:w="70" w:type="dxa"/>
            </w:tcMar>
          </w:tcPr>
          <w:p w14:paraId="19088C8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GGT (U/L)</w:t>
            </w:r>
          </w:p>
        </w:tc>
        <w:tc>
          <w:tcPr>
            <w:tcW w:w="1170" w:type="dxa"/>
            <w:shd w:val="clear" w:color="auto" w:fill="F4F6F9"/>
            <w:tcMar>
              <w:top w:w="60" w:type="dxa"/>
              <w:left w:w="70" w:type="dxa"/>
              <w:bottom w:w="60" w:type="dxa"/>
              <w:right w:w="70" w:type="dxa"/>
            </w:tcMar>
          </w:tcPr>
          <w:p w14:paraId="7804AD8C"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&lt; 38</w:t>
            </w:r>
          </w:p>
        </w:tc>
        <w:tc>
          <w:tcPr>
            <w:tcW w:w="1170" w:type="dxa"/>
            <w:shd w:val="clear" w:color="auto" w:fill="F4F6F9"/>
            <w:tcMar>
              <w:top w:w="60" w:type="dxa"/>
              <w:left w:w="70" w:type="dxa"/>
              <w:bottom w:w="60" w:type="dxa"/>
              <w:right w:w="70" w:type="dxa"/>
            </w:tcMar>
          </w:tcPr>
          <w:p w14:paraId="6682DA2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135.0</w:t>
            </w:r>
          </w:p>
        </w:tc>
        <w:tc>
          <w:tcPr>
            <w:tcW w:w="1170" w:type="dxa"/>
            <w:shd w:val="clear" w:color="auto" w:fill="F4F6F9"/>
            <w:tcMar>
              <w:top w:w="60" w:type="dxa"/>
              <w:left w:w="70" w:type="dxa"/>
              <w:bottom w:w="60" w:type="dxa"/>
              <w:right w:w="70" w:type="dxa"/>
            </w:tcMar>
          </w:tcPr>
          <w:p w14:paraId="44F7110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55545E9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73.0</w:t>
            </w:r>
          </w:p>
        </w:tc>
        <w:tc>
          <w:tcPr>
            <w:tcW w:w="1170" w:type="dxa"/>
            <w:shd w:val="clear" w:color="auto" w:fill="F4F6F9"/>
            <w:tcMar>
              <w:top w:w="60" w:type="dxa"/>
              <w:left w:w="70" w:type="dxa"/>
              <w:bottom w:w="60" w:type="dxa"/>
              <w:right w:w="70" w:type="dxa"/>
            </w:tcMar>
          </w:tcPr>
          <w:p w14:paraId="20BD405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175A04A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7371333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0E5B4756" w14:textId="77777777">
        <w:trPr>
          <w:jc w:val="center"/>
        </w:trPr>
        <w:tc>
          <w:tcPr>
            <w:tcW w:w="1170" w:type="dxa"/>
            <w:tcMar>
              <w:top w:w="60" w:type="dxa"/>
              <w:left w:w="70" w:type="dxa"/>
              <w:bottom w:w="60" w:type="dxa"/>
              <w:right w:w="70" w:type="dxa"/>
            </w:tcMar>
          </w:tcPr>
          <w:p w14:paraId="7A1239A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Total Protein / Alb (g/dL)</w:t>
            </w:r>
          </w:p>
        </w:tc>
        <w:tc>
          <w:tcPr>
            <w:tcW w:w="1170" w:type="dxa"/>
            <w:tcMar>
              <w:top w:w="60" w:type="dxa"/>
              <w:left w:w="70" w:type="dxa"/>
              <w:bottom w:w="60" w:type="dxa"/>
              <w:right w:w="70" w:type="dxa"/>
            </w:tcMar>
          </w:tcPr>
          <w:p w14:paraId="283A17D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6.6–8.3 / 3.5–5.2</w:t>
            </w:r>
          </w:p>
        </w:tc>
        <w:tc>
          <w:tcPr>
            <w:tcW w:w="1170" w:type="dxa"/>
            <w:tcMar>
              <w:top w:w="60" w:type="dxa"/>
              <w:left w:w="70" w:type="dxa"/>
              <w:bottom w:w="60" w:type="dxa"/>
              <w:right w:w="70" w:type="dxa"/>
            </w:tcMar>
          </w:tcPr>
          <w:p w14:paraId="57B1E6E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5.7 / 3.6</w:t>
            </w:r>
          </w:p>
        </w:tc>
        <w:tc>
          <w:tcPr>
            <w:tcW w:w="1170" w:type="dxa"/>
            <w:tcMar>
              <w:top w:w="60" w:type="dxa"/>
              <w:left w:w="70" w:type="dxa"/>
              <w:bottom w:w="60" w:type="dxa"/>
              <w:right w:w="70" w:type="dxa"/>
            </w:tcMar>
          </w:tcPr>
          <w:p w14:paraId="5EF4FF0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77E926E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4.3 / 2.7</w:t>
            </w:r>
          </w:p>
        </w:tc>
        <w:tc>
          <w:tcPr>
            <w:tcW w:w="1170" w:type="dxa"/>
            <w:tcMar>
              <w:top w:w="60" w:type="dxa"/>
              <w:left w:w="70" w:type="dxa"/>
              <w:bottom w:w="60" w:type="dxa"/>
              <w:right w:w="70" w:type="dxa"/>
            </w:tcMar>
          </w:tcPr>
          <w:p w14:paraId="4685766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091D3AF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416D04B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1C359F55" w14:textId="77777777">
        <w:trPr>
          <w:jc w:val="center"/>
        </w:trPr>
        <w:tc>
          <w:tcPr>
            <w:tcW w:w="1170" w:type="dxa"/>
            <w:shd w:val="clear" w:color="auto" w:fill="F4F6F9"/>
            <w:tcMar>
              <w:top w:w="60" w:type="dxa"/>
              <w:left w:w="70" w:type="dxa"/>
              <w:bottom w:w="60" w:type="dxa"/>
              <w:right w:w="70" w:type="dxa"/>
            </w:tcMar>
          </w:tcPr>
          <w:p w14:paraId="5ECC7A1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PT (s) / INR</w:t>
            </w:r>
          </w:p>
        </w:tc>
        <w:tc>
          <w:tcPr>
            <w:tcW w:w="1170" w:type="dxa"/>
            <w:shd w:val="clear" w:color="auto" w:fill="F4F6F9"/>
            <w:tcMar>
              <w:top w:w="60" w:type="dxa"/>
              <w:left w:w="70" w:type="dxa"/>
              <w:bottom w:w="60" w:type="dxa"/>
              <w:right w:w="70" w:type="dxa"/>
            </w:tcMar>
          </w:tcPr>
          <w:p w14:paraId="6573D77C"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10.3–14.3 / 0.9–1.3</w:t>
            </w:r>
          </w:p>
        </w:tc>
        <w:tc>
          <w:tcPr>
            <w:tcW w:w="1170" w:type="dxa"/>
            <w:shd w:val="clear" w:color="auto" w:fill="F4F6F9"/>
            <w:tcMar>
              <w:top w:w="60" w:type="dxa"/>
              <w:left w:w="70" w:type="dxa"/>
              <w:bottom w:w="60" w:type="dxa"/>
              <w:right w:w="70" w:type="dxa"/>
            </w:tcMar>
          </w:tcPr>
          <w:p w14:paraId="281E8CC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25.1 / 2.1</w:t>
            </w:r>
          </w:p>
        </w:tc>
        <w:tc>
          <w:tcPr>
            <w:tcW w:w="1170" w:type="dxa"/>
            <w:shd w:val="clear" w:color="auto" w:fill="F4F6F9"/>
            <w:tcMar>
              <w:top w:w="60" w:type="dxa"/>
              <w:left w:w="70" w:type="dxa"/>
              <w:bottom w:w="60" w:type="dxa"/>
              <w:right w:w="70" w:type="dxa"/>
            </w:tcMar>
          </w:tcPr>
          <w:p w14:paraId="370CB61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21.2 / 1.8</w:t>
            </w:r>
          </w:p>
        </w:tc>
        <w:tc>
          <w:tcPr>
            <w:tcW w:w="1170" w:type="dxa"/>
            <w:shd w:val="clear" w:color="auto" w:fill="F4F6F9"/>
            <w:tcMar>
              <w:top w:w="60" w:type="dxa"/>
              <w:left w:w="70" w:type="dxa"/>
              <w:bottom w:w="60" w:type="dxa"/>
              <w:right w:w="70" w:type="dxa"/>
            </w:tcMar>
          </w:tcPr>
          <w:p w14:paraId="7DB288D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15.7 / 1.3</w:t>
            </w:r>
          </w:p>
        </w:tc>
        <w:tc>
          <w:tcPr>
            <w:tcW w:w="1170" w:type="dxa"/>
            <w:shd w:val="clear" w:color="auto" w:fill="F4F6F9"/>
            <w:tcMar>
              <w:top w:w="60" w:type="dxa"/>
              <w:left w:w="70" w:type="dxa"/>
              <w:bottom w:w="60" w:type="dxa"/>
              <w:right w:w="70" w:type="dxa"/>
            </w:tcMar>
          </w:tcPr>
          <w:p w14:paraId="45387CF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231E057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51C5616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489F61B0" w14:textId="77777777">
        <w:trPr>
          <w:jc w:val="center"/>
        </w:trPr>
        <w:tc>
          <w:tcPr>
            <w:tcW w:w="1170" w:type="dxa"/>
            <w:tcMar>
              <w:top w:w="60" w:type="dxa"/>
              <w:left w:w="70" w:type="dxa"/>
              <w:bottom w:w="60" w:type="dxa"/>
              <w:right w:w="70" w:type="dxa"/>
            </w:tcMar>
          </w:tcPr>
          <w:p w14:paraId="502E323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APTT (s)</w:t>
            </w:r>
          </w:p>
        </w:tc>
        <w:tc>
          <w:tcPr>
            <w:tcW w:w="1170" w:type="dxa"/>
            <w:tcMar>
              <w:top w:w="60" w:type="dxa"/>
              <w:left w:w="70" w:type="dxa"/>
              <w:bottom w:w="60" w:type="dxa"/>
              <w:right w:w="70" w:type="dxa"/>
            </w:tcMar>
          </w:tcPr>
          <w:p w14:paraId="1749DDAC"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25.1–34.7</w:t>
            </w:r>
          </w:p>
        </w:tc>
        <w:tc>
          <w:tcPr>
            <w:tcW w:w="1170" w:type="dxa"/>
            <w:tcMar>
              <w:top w:w="60" w:type="dxa"/>
              <w:left w:w="70" w:type="dxa"/>
              <w:bottom w:w="60" w:type="dxa"/>
              <w:right w:w="70" w:type="dxa"/>
            </w:tcMar>
          </w:tcPr>
          <w:p w14:paraId="07C9D9F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28.8</w:t>
            </w:r>
          </w:p>
        </w:tc>
        <w:tc>
          <w:tcPr>
            <w:tcW w:w="1170" w:type="dxa"/>
            <w:tcMar>
              <w:top w:w="60" w:type="dxa"/>
              <w:left w:w="70" w:type="dxa"/>
              <w:bottom w:w="60" w:type="dxa"/>
              <w:right w:w="70" w:type="dxa"/>
            </w:tcMar>
          </w:tcPr>
          <w:p w14:paraId="65BBA15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23.1</w:t>
            </w:r>
          </w:p>
        </w:tc>
        <w:tc>
          <w:tcPr>
            <w:tcW w:w="1170" w:type="dxa"/>
            <w:tcMar>
              <w:top w:w="60" w:type="dxa"/>
              <w:left w:w="70" w:type="dxa"/>
              <w:bottom w:w="60" w:type="dxa"/>
              <w:right w:w="70" w:type="dxa"/>
            </w:tcMar>
          </w:tcPr>
          <w:p w14:paraId="6A293A7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27.2</w:t>
            </w:r>
          </w:p>
        </w:tc>
        <w:tc>
          <w:tcPr>
            <w:tcW w:w="1170" w:type="dxa"/>
            <w:tcMar>
              <w:top w:w="60" w:type="dxa"/>
              <w:left w:w="70" w:type="dxa"/>
              <w:bottom w:w="60" w:type="dxa"/>
              <w:right w:w="70" w:type="dxa"/>
            </w:tcMar>
          </w:tcPr>
          <w:p w14:paraId="4AB468A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061FB9D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0A28570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5FE6A835" w14:textId="77777777">
        <w:trPr>
          <w:jc w:val="center"/>
        </w:trPr>
        <w:tc>
          <w:tcPr>
            <w:tcW w:w="1170" w:type="dxa"/>
            <w:shd w:val="clear" w:color="auto" w:fill="F4F6F9"/>
            <w:tcMar>
              <w:top w:w="60" w:type="dxa"/>
              <w:left w:w="70" w:type="dxa"/>
              <w:bottom w:w="60" w:type="dxa"/>
              <w:right w:w="70" w:type="dxa"/>
            </w:tcMar>
          </w:tcPr>
          <w:p w14:paraId="257374F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C-Reactive Protein (mg/L)</w:t>
            </w:r>
          </w:p>
        </w:tc>
        <w:tc>
          <w:tcPr>
            <w:tcW w:w="1170" w:type="dxa"/>
            <w:shd w:val="clear" w:color="auto" w:fill="F4F6F9"/>
            <w:tcMar>
              <w:top w:w="60" w:type="dxa"/>
              <w:left w:w="70" w:type="dxa"/>
              <w:bottom w:w="60" w:type="dxa"/>
              <w:right w:w="70" w:type="dxa"/>
            </w:tcMar>
          </w:tcPr>
          <w:p w14:paraId="595B851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&lt; 5.0</w:t>
            </w:r>
          </w:p>
        </w:tc>
        <w:tc>
          <w:tcPr>
            <w:tcW w:w="1170" w:type="dxa"/>
            <w:shd w:val="clear" w:color="auto" w:fill="F4F6F9"/>
            <w:tcMar>
              <w:top w:w="60" w:type="dxa"/>
              <w:left w:w="70" w:type="dxa"/>
              <w:bottom w:w="60" w:type="dxa"/>
              <w:right w:w="70" w:type="dxa"/>
            </w:tcMar>
          </w:tcPr>
          <w:p w14:paraId="270CCCB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10.07</w:t>
            </w:r>
          </w:p>
        </w:tc>
        <w:tc>
          <w:tcPr>
            <w:tcW w:w="1170" w:type="dxa"/>
            <w:shd w:val="clear" w:color="auto" w:fill="F4F6F9"/>
            <w:tcMar>
              <w:top w:w="60" w:type="dxa"/>
              <w:left w:w="70" w:type="dxa"/>
              <w:bottom w:w="60" w:type="dxa"/>
              <w:right w:w="70" w:type="dxa"/>
            </w:tcMar>
          </w:tcPr>
          <w:p w14:paraId="3117809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6DAE274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D26C97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640C4E1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71DDE5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403D5538" w14:textId="77777777">
        <w:trPr>
          <w:jc w:val="center"/>
        </w:trPr>
        <w:tc>
          <w:tcPr>
            <w:tcW w:w="1170" w:type="dxa"/>
            <w:tcMar>
              <w:top w:w="60" w:type="dxa"/>
              <w:left w:w="70" w:type="dxa"/>
              <w:bottom w:w="60" w:type="dxa"/>
              <w:right w:w="70" w:type="dxa"/>
            </w:tcMar>
          </w:tcPr>
          <w:p w14:paraId="2ECFF0D7"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Blood Ammonia (µg/dL)</w:t>
            </w:r>
          </w:p>
        </w:tc>
        <w:tc>
          <w:tcPr>
            <w:tcW w:w="1170" w:type="dxa"/>
            <w:tcMar>
              <w:top w:w="60" w:type="dxa"/>
              <w:left w:w="70" w:type="dxa"/>
              <w:bottom w:w="60" w:type="dxa"/>
              <w:right w:w="70" w:type="dxa"/>
            </w:tcMar>
          </w:tcPr>
          <w:p w14:paraId="7A573E0C"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31–123</w:t>
            </w:r>
          </w:p>
        </w:tc>
        <w:tc>
          <w:tcPr>
            <w:tcW w:w="1170" w:type="dxa"/>
            <w:tcMar>
              <w:top w:w="60" w:type="dxa"/>
              <w:left w:w="70" w:type="dxa"/>
              <w:bottom w:w="60" w:type="dxa"/>
              <w:right w:w="70" w:type="dxa"/>
            </w:tcMar>
          </w:tcPr>
          <w:p w14:paraId="7FF4394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87.0</w:t>
            </w:r>
          </w:p>
        </w:tc>
        <w:tc>
          <w:tcPr>
            <w:tcW w:w="1170" w:type="dxa"/>
            <w:tcMar>
              <w:top w:w="60" w:type="dxa"/>
              <w:left w:w="70" w:type="dxa"/>
              <w:bottom w:w="60" w:type="dxa"/>
              <w:right w:w="70" w:type="dxa"/>
            </w:tcMar>
          </w:tcPr>
          <w:p w14:paraId="57477BB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6C620A9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083D77B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39272D5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2F03CF8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bl>
    <w:p w14:paraId="0BFB23C2" w14:textId="77777777" w:rsidR="00B677BD" w:rsidRPr="00C11AF6" w:rsidRDefault="00000000">
      <w:pPr>
        <w:spacing w:before="60" w:after="160"/>
        <w:rPr>
          <w:rFonts w:cs="Times New Roman"/>
          <w:color w:val="000000" w:themeColor="text1"/>
        </w:rPr>
      </w:pPr>
      <w:r w:rsidRPr="00C11AF6">
        <w:rPr>
          <w:rFonts w:cs="Times New Roman"/>
          <w:i/>
          <w:color w:val="000000" w:themeColor="text1"/>
          <w:sz w:val="16"/>
        </w:rPr>
        <w:t>Abbreviations: Tx: Transfusion (Packed Red Blood Cells); AST: Aspartate Aminotransferase; ALT: Alanine Aminotransferase; ALP: Alkaline Phosphatase; GGT: Gamma-Glutamyl Transpeptidase; PT: Prothrombin Time; INR: International Normalized Ratio; APTT: Activated Partial Thromboplastin Time; -- : Not tested.</w:t>
      </w:r>
    </w:p>
    <w:p w14:paraId="3C9777DC"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2.6 Radiological Evaluation</w:t>
      </w:r>
    </w:p>
    <w:p w14:paraId="19DDF71C" w14:textId="77777777" w:rsidR="00BB65D3" w:rsidRPr="00BB65D3" w:rsidRDefault="00BB65D3" w:rsidP="00BB65D3">
      <w:pPr>
        <w:rPr>
          <w:lang w:val="en-IN"/>
        </w:rPr>
      </w:pPr>
      <w:r>
        <w:rPr>
          <w:highlight w:val="yellow"/>
        </w:rPr>
        <w:t>A bedside anteroposterior (AP) chest radiograph obtained on admission (17/08/2026) showed the radio-opaque endotracheal tube tip in the mid-trachea above the carina, at approximately the T2 level. The nasogastric tube passed through the oesophagus into the stomach. Both lung fields showed symmetrical, near-uniform diffuse perihilar haziness with prominent bronchovascular markings, consistent with chemical pneumonitis and aspiration pneumonia. There was no focal lobar consolidation, pneumatocele, pneumothorax, or pleural effusion. The cardiothoracic ratio was normal, and both costophrenic angles were sharp and clear (Figure 1).</w:t>
      </w:r>
    </w:p>
    <w:p w14:paraId="735DABE2" w14:textId="77777777" w:rsidR="00BB65D3" w:rsidRPr="00BB65D3" w:rsidRDefault="00BB65D3" w:rsidP="00BB65D3"/>
    <w:p w14:paraId="6B97FE93" w14:textId="77777777" w:rsidR="00B677BD" w:rsidRPr="00C11AF6" w:rsidRDefault="00000000">
      <w:pPr>
        <w:spacing w:before="120" w:after="80"/>
        <w:jc w:val="center"/>
        <w:rPr>
          <w:rFonts w:cs="Times New Roman"/>
          <w:color w:val="000000" w:themeColor="text1"/>
        </w:rPr>
      </w:pPr>
      <w:r w:rsidRPr="00C11AF6">
        <w:rPr>
          <w:rFonts w:cs="Times New Roman"/>
          <w:noProof/>
          <w:color w:val="000000" w:themeColor="text1"/>
        </w:rPr>
        <w:drawing>
          <wp:inline distT="0" distB="0" distL="0" distR="0" wp14:anchorId="6B59D62C" wp14:editId="707A4ACC">
            <wp:extent cx="2468880" cy="1670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6"/>
                    <a:stretch>
                      <a:fillRect/>
                    </a:stretch>
                  </pic:blipFill>
                  <pic:spPr>
                    <a:xfrm>
                      <a:off x="0" y="0"/>
                      <a:ext cx="2468880" cy="1670352"/>
                    </a:xfrm>
                    <a:prstGeom prst="rect">
                      <a:avLst/>
                    </a:prstGeom>
                  </pic:spPr>
                </pic:pic>
              </a:graphicData>
            </a:graphic>
          </wp:inline>
        </w:drawing>
      </w:r>
      <w:r w:rsidRPr="00C11AF6">
        <w:rPr>
          <w:rFonts w:cs="Times New Roman"/>
          <w:color w:val="000000" w:themeColor="text1"/>
        </w:rPr>
        <w:t xml:space="preserve">   </w:t>
      </w:r>
      <w:r w:rsidRPr="00C11AF6">
        <w:rPr>
          <w:rFonts w:cs="Times New Roman"/>
          <w:noProof/>
          <w:color w:val="000000" w:themeColor="text1"/>
        </w:rPr>
        <w:drawing>
          <wp:inline distT="0" distB="0" distL="0" distR="0" wp14:anchorId="1E9454D8" wp14:editId="3B87A920">
            <wp:extent cx="2468880" cy="20657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7"/>
                    <a:stretch>
                      <a:fillRect/>
                    </a:stretch>
                  </pic:blipFill>
                  <pic:spPr>
                    <a:xfrm>
                      <a:off x="0" y="0"/>
                      <a:ext cx="2468880" cy="2065758"/>
                    </a:xfrm>
                    <a:prstGeom prst="rect">
                      <a:avLst/>
                    </a:prstGeom>
                  </pic:spPr>
                </pic:pic>
              </a:graphicData>
            </a:graphic>
          </wp:inline>
        </w:drawing>
      </w:r>
    </w:p>
    <w:p w14:paraId="410E48CF" w14:textId="77777777" w:rsidR="00B677BD" w:rsidRPr="00C11AF6" w:rsidRDefault="00000000">
      <w:pPr>
        <w:spacing w:after="200"/>
        <w:jc w:val="center"/>
        <w:rPr>
          <w:rFonts w:cs="Times New Roman"/>
          <w:color w:val="000000" w:themeColor="text1"/>
        </w:rPr>
      </w:pPr>
      <w:r w:rsidRPr="00C11AF6">
        <w:rPr>
          <w:rFonts w:cs="Times New Roman"/>
          <w:b/>
          <w:color w:val="000000" w:themeColor="text1"/>
          <w:sz w:val="19"/>
        </w:rPr>
        <w:t xml:space="preserve">Figure 1. </w:t>
      </w:r>
      <w:r w:rsidRPr="00C11AF6">
        <w:rPr>
          <w:rFonts w:cs="Times New Roman"/>
          <w:i/>
          <w:color w:val="000000" w:themeColor="text1"/>
          <w:sz w:val="19"/>
        </w:rPr>
        <w:t>Serial bedside anteroposterior chest radiographs obtained on admission (left) and hospital day 2 (right), demonstrating the endotracheal tube in the mid-trachea, nasogastric tube in situ, normal cardiac silhouette, and bilateral perihilar bronchovascular infiltrates consistent with aspiration pneumonitis.</w:t>
      </w:r>
    </w:p>
    <w:p w14:paraId="5C0C0D55"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2.7 Multimodal Pediatric Critical Care Management</w:t>
      </w:r>
    </w:p>
    <w:p w14:paraId="55685171" w14:textId="77777777" w:rsidR="00B677BD" w:rsidRPr="00C11AF6" w:rsidRDefault="00000000">
      <w:pPr>
        <w:spacing w:after="80"/>
        <w:rPr>
          <w:rFonts w:cs="Times New Roman"/>
          <w:color w:val="000000" w:themeColor="text1"/>
        </w:rPr>
      </w:pPr>
      <w:r>
        <w:rPr>
          <w:highlight w:val="yellow"/>
        </w:rPr>
        <w:t>The infant required immediate, multipronged critical care resuscitation for acute respiratory failure, severe hypernatraemic dehydration, metabolic acidosis, hypokalaemia, shock, coagulopathy, and prerenal failure:</w:t>
      </w:r>
    </w:p>
    <w:p w14:paraId="1E09348B" w14:textId="77777777" w:rsidR="00B677BD" w:rsidRPr="00BB65D3" w:rsidRDefault="00000000">
      <w:pPr>
        <w:spacing w:after="100"/>
        <w:rPr>
          <w:color w:val="000000" w:themeColor="text1"/>
          <w:lang w:val="en-IN"/>
        </w:rPr>
      </w:pPr>
      <w:r>
        <w:rPr>
          <w:highlight w:val="yellow"/>
        </w:rPr>
        <w:t>1. Mechanical Ventilation and Airway Support: Mechanical ventilation was initiated using synchronised intermittent mandatory ventilation (SIMV) with pressure control (initial settings: fraction of inspired oxygen [FiO2] 0.40-0.50, positive end-expiratory pressure [PEEP] 5 cmH2O, peak inspiratory pressure [PIP] 10-12 cmH2O, and respiratory rate 35 breaths/min). On day 2 (18/08/2026, 00:00), an unplanned endotracheal tube displacement caused sudden desaturation to 88% and bradycardia (heart rate 100 beats/min). The infant was immediately re-intubated with a 3.0-mm uncuffed endotracheal tube positioned at 8 cm at the lips, and copious thick endobronchial secretions were suctioned, with restoration of bilateral chest expansion and oxygen saturation to 98-99%. Sedation and analgesia included a continuous fentanyl infusion of approximately 1 µg/kg/h (50 µg fentanyl in 1 mL diluted with 23 mL of 0.9% normal saline and infused at 1 mL/h for a body weight of 2.02 kg), with diluted IV morphine (0.1-0.2 mg) as required. As pulmonary and clinical/metabolic parameters improved, she was transitioned to continuous positive airway pressure (CPAP) with pressure support on day 3. She was successfully extubated to low-flow nasal-prong oxygen on day 4 (20/08/2026), with peri-extubation nebulised salbutamol, ipratropium bromide, and budesonide to reduce the risk of post-extubation stridor and airway oedema. She was weaned to room air on day 5.</w:t>
      </w:r>
    </w:p>
    <w:p w14:paraId="62317FD3" w14:textId="77777777" w:rsidR="00B677BD" w:rsidRPr="00BB65D3" w:rsidRDefault="00000000">
      <w:pPr>
        <w:spacing w:after="100"/>
        <w:rPr>
          <w:b/>
          <w:color w:val="000000" w:themeColor="text1"/>
          <w:lang w:val="en-IN"/>
        </w:rPr>
      </w:pPr>
      <w:r>
        <w:rPr>
          <w:highlight w:val="yellow"/>
        </w:rPr>
        <w:t xml:space="preserve">2. Fluid Resuscitation and Controlled Deficit Correction of Severe Hypernatremia: With an admission serum sodium concentration of 165.1 mmol/L, rehydration was undertaken slowly and cautiously to reduce the risk of neurological complications associated with rapid osmotic shifts. The free-water deficit was corrected gradually over 48-72 hours using IV fluids at 1.5 x maintenance (150 mL/kg/day). Serum electrolytes were monitored every 4-6 hours, with a target sodium reduction of no more than 0.5 mmol/L/h, equivalent to approximately 10-12 mmol/L over 24 hours. Serum sodium showed an overall gradual decline over six days: 165.1 mmol/L on day 1, 163.6 mmol/L on day 2, 152.7 mmol/L on day 3, </w:t>
      </w:r>
      <w:r>
        <w:rPr>
          <w:highlight w:val="yellow"/>
        </w:rPr>
        <w:lastRenderedPageBreak/>
        <w:t>148.6 mmol/L on day 4, 144.7 mmol/L on day 5, and 143.5 mmol/L on day 6, without documented seizure or neurological sequelae.</w:t>
      </w:r>
    </w:p>
    <w:p w14:paraId="2001BEDC" w14:textId="77777777" w:rsidR="00B677BD" w:rsidRPr="00C11AF6" w:rsidRDefault="00000000">
      <w:pPr>
        <w:spacing w:after="100"/>
        <w:rPr>
          <w:rFonts w:cs="Times New Roman"/>
          <w:color w:val="000000" w:themeColor="text1"/>
        </w:rPr>
      </w:pPr>
      <w:r>
        <w:rPr>
          <w:highlight w:val="yellow"/>
        </w:rPr>
        <w:t>3. Titrated Bicarbonate Deficit Correction: Severe metabolic acidaemia (admission ABG: pH 7.22, HCO3- 6.5 mmol/L, Base Excess -21.2 mmol/L) was managed with cautious, titrated bicarbonate replacement. After initial emergency resuscitation and haemodynamic stabilisation, a repeat venous/capillary blood gas at the start of formal deficit therapy showed a measured HCO3- of 9.8 mmol/L. The base deficit was calculated using the stated paediatric formula: Bicarbonate Deficit (mEq) = 0.5 × Body Weight (kg) × (Target HCO3- [22 mmol/L] – Measured HCO3- [9.8 mmol/L]) = 0.5 × 2.02 × 12.2 = 12.3 mEq. To reduce the risks associated with excessive sodium loading and rapid alkalinisation, one-half of the calculated deficit (6.0 mEq) was infused slowly over 6 hours in 5% dextrose in 0.2% normal saline, followed by the remaining 6.3 mEq over the subsequent 18 hours. Serial monitoring showed progressive correction of base excess (-10.1 mmol/L at 02:16, -10.2 mmol/L at 07:44, and +0.3 mmol/L at 20:23 on day 2), permitting discontinuation of bicarbonate therapy by hospital day 2.</w:t>
      </w:r>
    </w:p>
    <w:p w14:paraId="7E03C566" w14:textId="77777777" w:rsidR="00B677BD" w:rsidRPr="002C482A" w:rsidRDefault="00000000">
      <w:pPr>
        <w:spacing w:after="100"/>
        <w:rPr>
          <w:bCs/>
          <w:color w:val="000000" w:themeColor="text1"/>
          <w:lang w:val="en-IN"/>
        </w:rPr>
      </w:pPr>
      <w:r>
        <w:rPr>
          <w:highlight w:val="yellow"/>
        </w:rPr>
        <w:t>4. Intensive Potassium Repletion: Severe hypokalaemia (1.3-1.8 mmol/L on blood-gas measurements and 2.43-2.69 mmol/L on automated biochemistry) was treated with continuous IV potassium chloride (KCl) through a syringe pump at 0.3-0.5 mEq/kg/h (dilution: 1 part KCl to 9 parts normal saline) after confirmation of urine output; 20-40 mEq/L KCl was also added to maintenance fluids. Serial serum potassium concentrations increased from 2.69 mmol/L on day 1 to 2.90 mmol/L on day 2, 3.31 mmol/L on day 3, 3.89 mmol/L on day 4, and 3.66 mmol/L on day 5.</w:t>
      </w:r>
    </w:p>
    <w:p w14:paraId="71B8E532" w14:textId="77777777" w:rsidR="00B677BD" w:rsidRPr="00C11AF6" w:rsidRDefault="00000000">
      <w:pPr>
        <w:spacing w:after="100"/>
        <w:rPr>
          <w:rFonts w:cs="Times New Roman"/>
          <w:color w:val="000000" w:themeColor="text1"/>
        </w:rPr>
      </w:pPr>
      <w:r>
        <w:rPr>
          <w:highlight w:val="yellow"/>
        </w:rPr>
        <w:t>5. Haemodynamic Optimisation and Inotropic Support: Because of cold extremities, delayed capillary refill (2-3 seconds), and borderline perfusion at presentation, continuous IV adrenaline (epinephrine) was initiated at approximately 0.1 µg/kg/min (0.3 mL of 1:1,000 adrenaline [0.3 mg = 300 µg] diluted in 23.7 mL of normal saline to a total volume of 24 mL [12.5 µg/mL], infused at 1.0 mL/h for a body weight of 2.02 kg). Peripheral perfusion improved, capillary refill shortened to &lt;2 seconds, mean arterial pressure stabilised within the stated age-appropriate range of 50-55 mmHg, and adrenaline was tapered and discontinued within 24 hours.</w:t>
      </w:r>
    </w:p>
    <w:p w14:paraId="5D3D94D7" w14:textId="77777777" w:rsidR="00B677BD" w:rsidRPr="002C482A" w:rsidRDefault="00000000">
      <w:pPr>
        <w:spacing w:after="100"/>
        <w:rPr>
          <w:bCs/>
          <w:color w:val="000000" w:themeColor="text1"/>
          <w:lang w:val="en-IN"/>
        </w:rPr>
      </w:pPr>
      <w:r>
        <w:rPr>
          <w:highlight w:val="yellow"/>
        </w:rPr>
        <w:t>6. Coagulopathy Reversal and Blood Product Transfusion: Coagulopathy (PT 25.1 s, INR 2.1) in the setting of ischaemic hepatic hypoperfusion and nutritional depletion was treated with IV vitamin K (2 mg stat) and fresh frozen plasma (FFP; 10 mL/kg). Repeat coagulation testing showed improvement (PT 21.2 s, INR 1.8 on day 2; PT 15.7 s, INR 1.3 on day 3). Haemoglobin subsequently fell to a nadir of 7.6 g/dL (haematocrit 22.8%) on day 3 in the context of rehydration and repeated phlebotomy. Packed red blood cells (PRBCs; 10 mL/kg) were transfused with close haemodynamic monitoring, after which haemoglobin increased to 12.0 g/dL and haematocrit to 36% on day 4. No transfusion reaction was documented.</w:t>
      </w:r>
    </w:p>
    <w:p w14:paraId="1E83E8AE" w14:textId="77777777" w:rsidR="00B677BD" w:rsidRPr="002C482A" w:rsidRDefault="00000000">
      <w:pPr>
        <w:spacing w:after="100"/>
        <w:rPr>
          <w:bCs/>
          <w:color w:val="000000" w:themeColor="text1"/>
          <w:lang w:val="en-IN"/>
        </w:rPr>
      </w:pPr>
      <w:r>
        <w:rPr>
          <w:highlight w:val="yellow"/>
        </w:rPr>
        <w:t>7. Antimicrobial Stewardship: Empirical parenteral cefotaxime (150 mg IV every 8 hours; 225 mg/kg/day) was initiated during the early admission period for suspected community-acquired aspiration pneumonia and possible secondary neonatal sepsis. A 7-day course was completed as the infant improved clinically, pulmonary infiltrates resolved radiographically, and blood cultures remained sterile.</w:t>
      </w:r>
    </w:p>
    <w:p w14:paraId="45821641"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2.8 Clinical Course, Weaning, and Enteral Nutritional Rehabilitation</w:t>
      </w:r>
    </w:p>
    <w:p w14:paraId="2A9C9A8D" w14:textId="77777777" w:rsidR="00B677BD" w:rsidRPr="00C11AF6" w:rsidRDefault="00000000">
      <w:pPr>
        <w:rPr>
          <w:rFonts w:cs="Times New Roman"/>
          <w:color w:val="000000" w:themeColor="text1"/>
        </w:rPr>
      </w:pPr>
      <w:r>
        <w:rPr>
          <w:highlight w:val="yellow"/>
        </w:rPr>
        <w:t xml:space="preserve">By hospital day 4 (20/08/2026), the infant showed marked clinical and biochemical improvement. Acidosis had resolved (ABG: pH 7.38, HCO3- 29.6 mmol/L, Base Excess +4.5 mmol/L), serum sodium </w:t>
      </w:r>
      <w:r>
        <w:rPr>
          <w:highlight w:val="yellow"/>
        </w:rPr>
        <w:lastRenderedPageBreak/>
        <w:t>had declined to 148.6 mmol/L, blood urea had normalised to 17.4 mg/dL, and serum creatinine was 0.37 mg/dL. The infant was successfully extubated to nasal-prong oxygen and transferred on day 5 to the paediatric step-down ward, maintaining oxygen saturation of 98-99% on room air.</w:t>
      </w:r>
    </w:p>
    <w:p w14:paraId="54E1CC04" w14:textId="77777777" w:rsidR="00B677BD" w:rsidRPr="00C11AF6" w:rsidRDefault="00000000">
      <w:pPr>
        <w:rPr>
          <w:rFonts w:cs="Times New Roman"/>
          <w:color w:val="000000" w:themeColor="text1"/>
        </w:rPr>
      </w:pPr>
      <w:r>
        <w:rPr>
          <w:highlight w:val="yellow"/>
        </w:rPr>
        <w:t>Enteral nutrition was cautiously initiated via an orogastric tube on day 4 using small trophic volumes (15-20 mL every 2 hours) of expressed breast milk (EBM) and standard starter infant formula (Lactogen-1). Feeding was progressively advanced to direct breastfeeding supplemented with bottle formula. Pre- and post-feed test weighing was used to quantify intake and assess caloric adequacy. Feed volumes increased from 20 mL every 2 hours to 30 mL every 2 hours and reached 40-45 mL every 2-3 hours by day 7. The infant demonstrated vigorous suck-swallow coordination, good enteral tolerance, and no abdominal distension or vomiting. Body weight increased from 2.02 kg at admission to 2.21 kg on day 6 of feeds, 2.27 kg on day 7, 2.30 kg on day 8, and 2.33 kg on day 11, representing a net in-hospital gain of 310 g.</w:t>
      </w:r>
    </w:p>
    <w:p w14:paraId="755CA984" w14:textId="77777777" w:rsidR="00B677BD" w:rsidRPr="00C11AF6" w:rsidRDefault="00000000">
      <w:pPr>
        <w:spacing w:before="160" w:after="80"/>
        <w:rPr>
          <w:rFonts w:cs="Times New Roman"/>
          <w:color w:val="000000" w:themeColor="text1"/>
        </w:rPr>
      </w:pPr>
      <w:r w:rsidRPr="00C11AF6">
        <w:rPr>
          <w:rFonts w:cs="Times New Roman"/>
          <w:b/>
          <w:color w:val="000000" w:themeColor="text1"/>
          <w:sz w:val="20"/>
        </w:rPr>
        <w:t>Table 3. Chronological Timeline of Major Clinical Milestones and Therapeutic Interventions</w:t>
      </w:r>
    </w:p>
    <w:tbl>
      <w:tblPr>
        <w:tblW w:w="0" w:type="auto"/>
        <w:jc w:val="center"/>
        <w:tblLook w:val="04A0" w:firstRow="1" w:lastRow="0" w:firstColumn="1" w:lastColumn="0" w:noHBand="0" w:noVBand="1"/>
      </w:tblPr>
      <w:tblGrid>
        <w:gridCol w:w="2340"/>
        <w:gridCol w:w="2340"/>
        <w:gridCol w:w="2340"/>
        <w:gridCol w:w="2340"/>
      </w:tblGrid>
      <w:tr w:rsidR="00B677BD" w:rsidRPr="00C11AF6" w14:paraId="575A7474" w14:textId="77777777">
        <w:trPr>
          <w:jc w:val="center"/>
        </w:trPr>
        <w:tc>
          <w:tcPr>
            <w:tcW w:w="2340" w:type="dxa"/>
            <w:shd w:val="clear" w:color="auto" w:fill="112B4E"/>
            <w:tcMar>
              <w:top w:w="60" w:type="dxa"/>
              <w:left w:w="70" w:type="dxa"/>
              <w:bottom w:w="60" w:type="dxa"/>
              <w:right w:w="70" w:type="dxa"/>
            </w:tcMar>
          </w:tcPr>
          <w:p w14:paraId="7EE014A6"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Hospital Day &amp; Date</w:t>
            </w:r>
          </w:p>
        </w:tc>
        <w:tc>
          <w:tcPr>
            <w:tcW w:w="2340" w:type="dxa"/>
            <w:shd w:val="clear" w:color="auto" w:fill="112B4E"/>
            <w:tcMar>
              <w:top w:w="60" w:type="dxa"/>
              <w:left w:w="70" w:type="dxa"/>
              <w:bottom w:w="60" w:type="dxa"/>
              <w:right w:w="70" w:type="dxa"/>
            </w:tcMar>
          </w:tcPr>
          <w:p w14:paraId="7585337D"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Clinical Status &amp; Ventilation</w:t>
            </w:r>
          </w:p>
        </w:tc>
        <w:tc>
          <w:tcPr>
            <w:tcW w:w="2340" w:type="dxa"/>
            <w:shd w:val="clear" w:color="auto" w:fill="112B4E"/>
            <w:tcMar>
              <w:top w:w="60" w:type="dxa"/>
              <w:left w:w="70" w:type="dxa"/>
              <w:bottom w:w="60" w:type="dxa"/>
              <w:right w:w="70" w:type="dxa"/>
            </w:tcMar>
          </w:tcPr>
          <w:p w14:paraId="1215471C"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Biochemical &amp; Metabolic Profile</w:t>
            </w:r>
          </w:p>
        </w:tc>
        <w:tc>
          <w:tcPr>
            <w:tcW w:w="2340" w:type="dxa"/>
            <w:shd w:val="clear" w:color="auto" w:fill="112B4E"/>
            <w:tcMar>
              <w:top w:w="60" w:type="dxa"/>
              <w:left w:w="70" w:type="dxa"/>
              <w:bottom w:w="60" w:type="dxa"/>
              <w:right w:w="70" w:type="dxa"/>
            </w:tcMar>
          </w:tcPr>
          <w:p w14:paraId="5555CB05"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Key Interventions &amp; Nutrition</w:t>
            </w:r>
          </w:p>
        </w:tc>
      </w:tr>
      <w:tr w:rsidR="00B677BD" w:rsidRPr="00C11AF6" w14:paraId="6B7E5ED3" w14:textId="77777777">
        <w:trPr>
          <w:jc w:val="center"/>
        </w:trPr>
        <w:tc>
          <w:tcPr>
            <w:tcW w:w="2340" w:type="dxa"/>
            <w:shd w:val="clear" w:color="auto" w:fill="F4F6F9"/>
            <w:tcMar>
              <w:top w:w="60" w:type="dxa"/>
              <w:left w:w="70" w:type="dxa"/>
              <w:bottom w:w="60" w:type="dxa"/>
              <w:right w:w="70" w:type="dxa"/>
            </w:tcMar>
          </w:tcPr>
          <w:p w14:paraId="443266B9"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1 (17/08/2026)</w:t>
            </w:r>
          </w:p>
        </w:tc>
        <w:tc>
          <w:tcPr>
            <w:tcW w:w="2340" w:type="dxa"/>
            <w:shd w:val="clear" w:color="auto" w:fill="F4F6F9"/>
            <w:tcMar>
              <w:top w:w="60" w:type="dxa"/>
              <w:left w:w="70" w:type="dxa"/>
              <w:bottom w:w="60" w:type="dxa"/>
              <w:right w:w="70" w:type="dxa"/>
            </w:tcMar>
          </w:tcPr>
          <w:p w14:paraId="5C9BA637"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Admitted in decompensated shock, tachypneic (RR 48), feeble pulses, CRT 2–3s; mechanically ventilated (SIMV)</w:t>
            </w:r>
          </w:p>
        </w:tc>
        <w:tc>
          <w:tcPr>
            <w:tcW w:w="2340" w:type="dxa"/>
            <w:shd w:val="clear" w:color="auto" w:fill="F4F6F9"/>
            <w:tcMar>
              <w:top w:w="60" w:type="dxa"/>
              <w:left w:w="70" w:type="dxa"/>
              <w:bottom w:w="60" w:type="dxa"/>
              <w:right w:w="70" w:type="dxa"/>
            </w:tcMar>
          </w:tcPr>
          <w:p w14:paraId="5A44721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7.22, HCO3 6.5, BE -21.2, Na 165.1, K 1.8–2.69, Urea 89.9, Cr 0.55, PT 25.1 (INR 2.1), CRP 10.07</w:t>
            </w:r>
          </w:p>
        </w:tc>
        <w:tc>
          <w:tcPr>
            <w:tcW w:w="2340" w:type="dxa"/>
            <w:shd w:val="clear" w:color="auto" w:fill="F4F6F9"/>
            <w:tcMar>
              <w:top w:w="60" w:type="dxa"/>
              <w:left w:w="70" w:type="dxa"/>
              <w:bottom w:w="60" w:type="dxa"/>
              <w:right w:w="70" w:type="dxa"/>
            </w:tcMar>
          </w:tcPr>
          <w:p w14:paraId="0EDA65C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Intubation; IV 1.5x maintenance; slow NaHCO3 deficit repletion; IV KCl; Adrenaline; Inj. Vit K; IV Cefotaxime</w:t>
            </w:r>
          </w:p>
        </w:tc>
      </w:tr>
      <w:tr w:rsidR="00B677BD" w:rsidRPr="00C11AF6" w14:paraId="7E031D05" w14:textId="77777777">
        <w:trPr>
          <w:jc w:val="center"/>
        </w:trPr>
        <w:tc>
          <w:tcPr>
            <w:tcW w:w="2340" w:type="dxa"/>
            <w:tcMar>
              <w:top w:w="60" w:type="dxa"/>
              <w:left w:w="70" w:type="dxa"/>
              <w:bottom w:w="60" w:type="dxa"/>
              <w:right w:w="70" w:type="dxa"/>
            </w:tcMar>
          </w:tcPr>
          <w:p w14:paraId="6A08A9F4"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2 (18/08/2026)</w:t>
            </w:r>
          </w:p>
        </w:tc>
        <w:tc>
          <w:tcPr>
            <w:tcW w:w="2340" w:type="dxa"/>
            <w:tcMar>
              <w:top w:w="60" w:type="dxa"/>
              <w:left w:w="70" w:type="dxa"/>
              <w:bottom w:w="60" w:type="dxa"/>
              <w:right w:w="70" w:type="dxa"/>
            </w:tcMar>
          </w:tcPr>
          <w:p w14:paraId="696CE5A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Accidental ET displacement at 00:00; emergent re-intubation (3.0 uncuffed at 8 cm); secretions cleared</w:t>
            </w:r>
          </w:p>
        </w:tc>
        <w:tc>
          <w:tcPr>
            <w:tcW w:w="2340" w:type="dxa"/>
            <w:tcMar>
              <w:top w:w="60" w:type="dxa"/>
              <w:left w:w="70" w:type="dxa"/>
              <w:bottom w:w="60" w:type="dxa"/>
              <w:right w:w="70" w:type="dxa"/>
            </w:tcMar>
          </w:tcPr>
          <w:p w14:paraId="11B34D1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7.30–7.44, HCO3 16.2–24.5, Na 163.6, K 2.43–2.90, Urea 81.0, Cr 0.80, PT 21.2 (INR 1.8)</w:t>
            </w:r>
          </w:p>
        </w:tc>
        <w:tc>
          <w:tcPr>
            <w:tcW w:w="2340" w:type="dxa"/>
            <w:tcMar>
              <w:top w:w="60" w:type="dxa"/>
              <w:left w:w="70" w:type="dxa"/>
              <w:bottom w:w="60" w:type="dxa"/>
              <w:right w:w="70" w:type="dxa"/>
            </w:tcMar>
          </w:tcPr>
          <w:p w14:paraId="26A0B31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SIMV continued; fentanyl infusion (1 µg/kg/h); FFP transfusion (10 mL/kg); controlled Na+ reduction; IV KCl</w:t>
            </w:r>
          </w:p>
        </w:tc>
      </w:tr>
      <w:tr w:rsidR="00B677BD" w:rsidRPr="00C11AF6" w14:paraId="40020D37" w14:textId="77777777">
        <w:trPr>
          <w:jc w:val="center"/>
        </w:trPr>
        <w:tc>
          <w:tcPr>
            <w:tcW w:w="2340" w:type="dxa"/>
            <w:shd w:val="clear" w:color="auto" w:fill="F4F6F9"/>
            <w:tcMar>
              <w:top w:w="60" w:type="dxa"/>
              <w:left w:w="70" w:type="dxa"/>
              <w:bottom w:w="60" w:type="dxa"/>
              <w:right w:w="70" w:type="dxa"/>
            </w:tcMar>
          </w:tcPr>
          <w:p w14:paraId="587D3456"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3 (19/08/2026)</w:t>
            </w:r>
          </w:p>
        </w:tc>
        <w:tc>
          <w:tcPr>
            <w:tcW w:w="2340" w:type="dxa"/>
            <w:shd w:val="clear" w:color="auto" w:fill="F4F6F9"/>
            <w:tcMar>
              <w:top w:w="60" w:type="dxa"/>
              <w:left w:w="70" w:type="dxa"/>
              <w:bottom w:w="60" w:type="dxa"/>
              <w:right w:w="70" w:type="dxa"/>
            </w:tcMar>
          </w:tcPr>
          <w:p w14:paraId="564DBA42"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Hemodynamically stable; SIMV weaned to CPAP / pressure support; sedation tapered</w:t>
            </w:r>
          </w:p>
        </w:tc>
        <w:tc>
          <w:tcPr>
            <w:tcW w:w="2340" w:type="dxa"/>
            <w:shd w:val="clear" w:color="auto" w:fill="F4F6F9"/>
            <w:tcMar>
              <w:top w:w="60" w:type="dxa"/>
              <w:left w:w="70" w:type="dxa"/>
              <w:bottom w:w="60" w:type="dxa"/>
              <w:right w:w="70" w:type="dxa"/>
            </w:tcMar>
          </w:tcPr>
          <w:p w14:paraId="7EEF48D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7.39, HCO3 26.0, Na 152.7, K 3.31, Urea 24.0, Cr 0.40, Hb 7.6 g/dL (nadir), PT 15.7 (INR 1.3)</w:t>
            </w:r>
          </w:p>
        </w:tc>
        <w:tc>
          <w:tcPr>
            <w:tcW w:w="2340" w:type="dxa"/>
            <w:shd w:val="clear" w:color="auto" w:fill="F4F6F9"/>
            <w:tcMar>
              <w:top w:w="60" w:type="dxa"/>
              <w:left w:w="70" w:type="dxa"/>
              <w:bottom w:w="60" w:type="dxa"/>
              <w:right w:w="70" w:type="dxa"/>
            </w:tcMar>
          </w:tcPr>
          <w:p w14:paraId="3CCA82A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PRBC transfusion (10 mL/kg); NaHCO3 stopped; IV fluids tapered; metabolic screening samples processed</w:t>
            </w:r>
          </w:p>
        </w:tc>
      </w:tr>
      <w:tr w:rsidR="00B677BD" w:rsidRPr="00C11AF6" w14:paraId="0267A99D" w14:textId="77777777">
        <w:trPr>
          <w:jc w:val="center"/>
        </w:trPr>
        <w:tc>
          <w:tcPr>
            <w:tcW w:w="2340" w:type="dxa"/>
            <w:tcMar>
              <w:top w:w="60" w:type="dxa"/>
              <w:left w:w="70" w:type="dxa"/>
              <w:bottom w:w="60" w:type="dxa"/>
              <w:right w:w="70" w:type="dxa"/>
            </w:tcMar>
          </w:tcPr>
          <w:p w14:paraId="29C1CFB2"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4 (20/08/2026)</w:t>
            </w:r>
          </w:p>
        </w:tc>
        <w:tc>
          <w:tcPr>
            <w:tcW w:w="2340" w:type="dxa"/>
            <w:tcMar>
              <w:top w:w="60" w:type="dxa"/>
              <w:left w:w="70" w:type="dxa"/>
              <w:bottom w:w="60" w:type="dxa"/>
              <w:right w:w="70" w:type="dxa"/>
            </w:tcMar>
          </w:tcPr>
          <w:p w14:paraId="0B49BBE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Successful extubation to nasal prong O2 (FiO2 0.30); active, reactive pupils; resonant lung fields</w:t>
            </w:r>
          </w:p>
        </w:tc>
        <w:tc>
          <w:tcPr>
            <w:tcW w:w="2340" w:type="dxa"/>
            <w:tcMar>
              <w:top w:w="60" w:type="dxa"/>
              <w:left w:w="70" w:type="dxa"/>
              <w:bottom w:w="60" w:type="dxa"/>
              <w:right w:w="70" w:type="dxa"/>
            </w:tcMar>
          </w:tcPr>
          <w:p w14:paraId="26BA576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7.38, HCO3 29.6, Na 148.6, K 3.89, Urea 17.4, Cr 0.37, Hb 12.0 g/dL, Platelets 3.62L</w:t>
            </w:r>
          </w:p>
        </w:tc>
        <w:tc>
          <w:tcPr>
            <w:tcW w:w="2340" w:type="dxa"/>
            <w:tcMar>
              <w:top w:w="60" w:type="dxa"/>
              <w:left w:w="70" w:type="dxa"/>
              <w:bottom w:w="60" w:type="dxa"/>
              <w:right w:w="70" w:type="dxa"/>
            </w:tcMar>
          </w:tcPr>
          <w:p w14:paraId="55B7ACA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Nebulized ipratropium / salbutamol / budesonide peri-extubation; initiated enteral trophic feeds (15–20 mL)</w:t>
            </w:r>
          </w:p>
        </w:tc>
      </w:tr>
      <w:tr w:rsidR="00B677BD" w:rsidRPr="00C11AF6" w14:paraId="22D3FC85" w14:textId="77777777">
        <w:trPr>
          <w:jc w:val="center"/>
        </w:trPr>
        <w:tc>
          <w:tcPr>
            <w:tcW w:w="2340" w:type="dxa"/>
            <w:shd w:val="clear" w:color="auto" w:fill="F4F6F9"/>
            <w:tcMar>
              <w:top w:w="60" w:type="dxa"/>
              <w:left w:w="70" w:type="dxa"/>
              <w:bottom w:w="60" w:type="dxa"/>
              <w:right w:w="70" w:type="dxa"/>
            </w:tcMar>
          </w:tcPr>
          <w:p w14:paraId="5DE293D2"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5 (21/08/2026)</w:t>
            </w:r>
          </w:p>
        </w:tc>
        <w:tc>
          <w:tcPr>
            <w:tcW w:w="2340" w:type="dxa"/>
            <w:shd w:val="clear" w:color="auto" w:fill="F4F6F9"/>
            <w:tcMar>
              <w:top w:w="60" w:type="dxa"/>
              <w:left w:w="70" w:type="dxa"/>
              <w:bottom w:w="60" w:type="dxa"/>
              <w:right w:w="70" w:type="dxa"/>
            </w:tcMar>
          </w:tcPr>
          <w:p w14:paraId="584DCA7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Weaned to room air (SpO2 98–99%); transferred to step-down ward; vigorous suck reflex</w:t>
            </w:r>
          </w:p>
        </w:tc>
        <w:tc>
          <w:tcPr>
            <w:tcW w:w="2340" w:type="dxa"/>
            <w:shd w:val="clear" w:color="auto" w:fill="F4F6F9"/>
            <w:tcMar>
              <w:top w:w="60" w:type="dxa"/>
              <w:left w:w="70" w:type="dxa"/>
              <w:bottom w:w="60" w:type="dxa"/>
              <w:right w:w="70" w:type="dxa"/>
            </w:tcMar>
          </w:tcPr>
          <w:p w14:paraId="3B5C11CA"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7.48, HCO3 20.9, Na 144.7, K 3.66, Cr 0.32, Total leukocytes 10,670, Platelets 2.31L</w:t>
            </w:r>
          </w:p>
        </w:tc>
        <w:tc>
          <w:tcPr>
            <w:tcW w:w="2340" w:type="dxa"/>
            <w:shd w:val="clear" w:color="auto" w:fill="F4F6F9"/>
            <w:tcMar>
              <w:top w:w="60" w:type="dxa"/>
              <w:left w:w="70" w:type="dxa"/>
              <w:bottom w:w="60" w:type="dxa"/>
              <w:right w:w="70" w:type="dxa"/>
            </w:tcMar>
          </w:tcPr>
          <w:p w14:paraId="562349D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Enteral feeds advanced to 30 mL 2-hourly; pre- and post-feed test weighing; IV fluids discontinued</w:t>
            </w:r>
          </w:p>
        </w:tc>
      </w:tr>
      <w:tr w:rsidR="00B677BD" w:rsidRPr="00C11AF6" w14:paraId="6638C4DE" w14:textId="77777777">
        <w:trPr>
          <w:jc w:val="center"/>
        </w:trPr>
        <w:tc>
          <w:tcPr>
            <w:tcW w:w="2340" w:type="dxa"/>
            <w:tcMar>
              <w:top w:w="60" w:type="dxa"/>
              <w:left w:w="70" w:type="dxa"/>
              <w:bottom w:w="60" w:type="dxa"/>
              <w:right w:w="70" w:type="dxa"/>
            </w:tcMar>
          </w:tcPr>
          <w:p w14:paraId="398B3E21"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Days 6–10 (22–26/08)</w:t>
            </w:r>
          </w:p>
        </w:tc>
        <w:tc>
          <w:tcPr>
            <w:tcW w:w="2340" w:type="dxa"/>
            <w:tcMar>
              <w:top w:w="60" w:type="dxa"/>
              <w:left w:w="70" w:type="dxa"/>
              <w:bottom w:w="60" w:type="dxa"/>
              <w:right w:w="70" w:type="dxa"/>
            </w:tcMar>
          </w:tcPr>
          <w:p w14:paraId="2DDB3A3A"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Active, alert, smiling; no respiratory distress; afebrile; mother trained in lactation &amp; formula prep</w:t>
            </w:r>
          </w:p>
        </w:tc>
        <w:tc>
          <w:tcPr>
            <w:tcW w:w="2340" w:type="dxa"/>
            <w:tcMar>
              <w:top w:w="60" w:type="dxa"/>
              <w:left w:w="70" w:type="dxa"/>
              <w:bottom w:w="60" w:type="dxa"/>
              <w:right w:w="70" w:type="dxa"/>
            </w:tcMar>
          </w:tcPr>
          <w:p w14:paraId="4E558C6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Na 140–143.5, K 2.82–4.6, Urea 15.2, Cr 0.30, normal AST/ALT, sterile blood culture, normal TMS</w:t>
            </w:r>
          </w:p>
        </w:tc>
        <w:tc>
          <w:tcPr>
            <w:tcW w:w="2340" w:type="dxa"/>
            <w:tcMar>
              <w:top w:w="60" w:type="dxa"/>
              <w:left w:w="70" w:type="dxa"/>
              <w:bottom w:w="60" w:type="dxa"/>
              <w:right w:w="70" w:type="dxa"/>
            </w:tcMar>
          </w:tcPr>
          <w:p w14:paraId="42F904C5"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Direct breastfeeding + Formula (40–45 mL 2–3h); daily weight gain 25–35 g/day; completed IV Cefotaxime</w:t>
            </w:r>
          </w:p>
        </w:tc>
      </w:tr>
      <w:tr w:rsidR="00B677BD" w:rsidRPr="00C11AF6" w14:paraId="7669586F" w14:textId="77777777">
        <w:trPr>
          <w:jc w:val="center"/>
        </w:trPr>
        <w:tc>
          <w:tcPr>
            <w:tcW w:w="2340" w:type="dxa"/>
            <w:shd w:val="clear" w:color="auto" w:fill="F4F6F9"/>
            <w:tcMar>
              <w:top w:w="60" w:type="dxa"/>
              <w:left w:w="70" w:type="dxa"/>
              <w:bottom w:w="60" w:type="dxa"/>
              <w:right w:w="70" w:type="dxa"/>
            </w:tcMar>
          </w:tcPr>
          <w:p w14:paraId="2AE5678B"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11 (28/08/2026)</w:t>
            </w:r>
          </w:p>
        </w:tc>
        <w:tc>
          <w:tcPr>
            <w:tcW w:w="2340" w:type="dxa"/>
            <w:shd w:val="clear" w:color="auto" w:fill="F4F6F9"/>
            <w:tcMar>
              <w:top w:w="60" w:type="dxa"/>
              <w:left w:w="70" w:type="dxa"/>
              <w:bottom w:w="60" w:type="dxa"/>
              <w:right w:w="70" w:type="dxa"/>
            </w:tcMar>
          </w:tcPr>
          <w:p w14:paraId="3DC212BE"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Discharged in excellent clinical condition; weight 2.33 kg (+310 g gain); full oral feeds</w:t>
            </w:r>
          </w:p>
        </w:tc>
        <w:tc>
          <w:tcPr>
            <w:tcW w:w="2340" w:type="dxa"/>
            <w:shd w:val="clear" w:color="auto" w:fill="F4F6F9"/>
            <w:tcMar>
              <w:top w:w="60" w:type="dxa"/>
              <w:left w:w="70" w:type="dxa"/>
              <w:bottom w:w="60" w:type="dxa"/>
              <w:right w:w="70" w:type="dxa"/>
            </w:tcMar>
          </w:tcPr>
          <w:p w14:paraId="5955D54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Electrolytes and renal panel completely normal; acute metabolic screen negative for organic acidemias</w:t>
            </w:r>
          </w:p>
        </w:tc>
        <w:tc>
          <w:tcPr>
            <w:tcW w:w="2340" w:type="dxa"/>
            <w:shd w:val="clear" w:color="auto" w:fill="F4F6F9"/>
            <w:tcMar>
              <w:top w:w="60" w:type="dxa"/>
              <w:left w:w="70" w:type="dxa"/>
              <w:bottom w:w="60" w:type="dxa"/>
              <w:right w:w="70" w:type="dxa"/>
            </w:tcMar>
          </w:tcPr>
          <w:p w14:paraId="4CE48905"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Discharge on oral vitamin D3 drops; genetic counseling; outpatient whole-genome sequencing planned</w:t>
            </w:r>
          </w:p>
        </w:tc>
      </w:tr>
    </w:tbl>
    <w:p w14:paraId="42728F70" w14:textId="77777777" w:rsidR="00B677BD" w:rsidRPr="00C11AF6" w:rsidRDefault="00000000">
      <w:pPr>
        <w:spacing w:before="60" w:after="160"/>
        <w:rPr>
          <w:rFonts w:cs="Times New Roman"/>
          <w:color w:val="000000" w:themeColor="text1"/>
        </w:rPr>
      </w:pPr>
      <w:r w:rsidRPr="00C11AF6">
        <w:rPr>
          <w:rFonts w:cs="Times New Roman"/>
          <w:i/>
          <w:color w:val="000000" w:themeColor="text1"/>
          <w:sz w:val="16"/>
        </w:rPr>
        <w:t>Abbreviations: SIMV: Synchronized Intermittent Mandatory Ventilation; CPAP: Continuous Positive Airway Pressure; ET: Endotracheal Tube; NaHCO3: Sodium Bicarbonate; KCl: Potassium Chloride; FFP: Fresh Frozen Plasma; PRBC: Packed Red Blood Cells; DBF: Direct Breastfeeding; TMS: Tandem Mass Spectrometry.</w:t>
      </w:r>
    </w:p>
    <w:p w14:paraId="3FF591EE"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2.9 Discharge and Post-Discharge Follow-Up Plan</w:t>
      </w:r>
    </w:p>
    <w:p w14:paraId="4AEC33EC" w14:textId="77777777" w:rsidR="002C482A" w:rsidRPr="002C482A" w:rsidRDefault="002C482A" w:rsidP="002C482A">
      <w:pPr>
        <w:rPr>
          <w:lang w:val="en-IN"/>
        </w:rPr>
      </w:pPr>
      <w:r>
        <w:rPr>
          <w:highlight w:val="yellow"/>
        </w:rPr>
        <w:t xml:space="preserve">The infant was discharged in a stable, vigorous clinical condition on 28 August 2026 (hospital day 11), with a body weight of 2.33 kg, representing a net gain of 310 g from admission. Newborn metabolic screening by dried blood spot TMS, received before discharge, showed normal acylcarnitine and amino acid profiles and did not indicate classical organic acidaemias or common fatty acid oxidation disorders during the acute episode. The urinary organic acid profile by GC-MS was non-diagnostic because the </w:t>
      </w:r>
      <w:r>
        <w:rPr>
          <w:highlight w:val="yellow"/>
        </w:rPr>
        <w:lastRenderedPageBreak/>
        <w:t>sample was obtained after substantial IV fluid administration, therapeutic alkalinisation, and feeding, all of which could reduce detectable organic acid excretion. Because atypical or late-onset IEM remained a consideration, outpatient whole-genome sequencing (WGS) was planned at one month. Before discharge, the mother received repeated lactation counselling. The feeding plan consisted of breastfeeding supplemented, when required, with standard infant formula (Lactogen-1), with avoidance of unprocessed animal milk and prolonged fasting. Outpatient support included counselling, caregiver education, and close growth monitoring. Caregivers were advised to seek urgent review for a temperature &gt;38.0°C, listlessness or unconsciousness, poor feeding, tachypnoea, or vomiting. At one-week follow-up, weight had increased from 2.33 kg to 2.42 kg (+90 g/week), with normal activity and tone, age-appropriate milestones, and no documented clinical or biochemical relapse.</w:t>
      </w:r>
    </w:p>
    <w:p w14:paraId="6290C41E"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6"/>
        </w:rPr>
        <w:t>3. DISCUSSION</w:t>
      </w:r>
    </w:p>
    <w:p w14:paraId="66C09581" w14:textId="77777777" w:rsidR="002C482A" w:rsidRPr="002C482A" w:rsidRDefault="00000000" w:rsidP="002C482A">
      <w:pPr>
        <w:spacing w:after="100"/>
        <w:rPr>
          <w:bCs/>
          <w:color w:val="000000" w:themeColor="text1"/>
          <w:lang w:val="en-IN"/>
        </w:rPr>
      </w:pPr>
      <w:r>
        <w:rPr>
          <w:highlight w:val="yellow"/>
        </w:rPr>
        <w:t>1. Pathophysiology of Animal Milk-Induced Hypernatremic Dehydration: Unmodified animal milk, particularly bovine and caprine milk, has been recognised as a potential contributor to severe hypernatraemic dehydration and acute metabolic disturbance in young infants (Basnet et al., 2010; Fomon &amp; Ziegler, 1999; Ziegler, 2007). Cow's milk contains approximately 3.3 g/100 mL protein and a high mineral load, contributing to a potential renal solute load (PRSL) reported in the manuscript as 220-300 mOsm/100 mL, compared with 60-90 mOsm/100 mL for mature human breast milk (Fomon &amp; Ziegler, 1999; Ziegler, 2007). Fresh goat milk similarly presents a high osmolar load and is deficient in folate and vitamin B12 (Basnet et al., 2010; O’Connor, 1994). During the first two months of life, the immature neonatal kidney has limited urinary concentrating capacity (Moritz &amp; Ayus, 2002; Sulemanji &amp; Vakili, 2013). When a high renal solute load is combined with inadequate free-water intake, obligatory osmotic water loss may contribute to hypertonic hypernatraemia, intravascular volume depletion, and intracellular dehydration (Fomon &amp; Ziegler, 1999; Sulemanji &amp; Vakili, 2013). In this infant, poor maternal milk supply and absence of supplementary free water were temporally associated with progressive dehydration and weight loss.</w:t>
      </w:r>
    </w:p>
    <w:p w14:paraId="05345134" w14:textId="77777777" w:rsidR="00B677BD" w:rsidRPr="00011329" w:rsidRDefault="00000000">
      <w:pPr>
        <w:spacing w:after="100"/>
        <w:rPr>
          <w:color w:val="000000" w:themeColor="text1"/>
          <w:lang w:val="en-IN"/>
        </w:rPr>
      </w:pPr>
      <w:r>
        <w:rPr>
          <w:highlight w:val="yellow"/>
        </w:rPr>
        <w:t>2. Genesis and Interpretation of the High Anion Gap Metabolic Acidosis: A central clinical dilemma in this case was severe metabolic acidaemia with an elevated anion gap of 20.9 mEq/L. Although the acid-base state was initially described as 'uncompensated', physiological analysis showed appropriate respiratory compensation (Kliegman et al., 2020; Kraut &amp; Madias, 2010). Using Winter's formula (expected pCO2 = 1.5 × [HCO3-] + 8 ± 2 = 17.75 ± 2 mmHg), the observed pCO2 of 16.0 mmHg was within the expected compensatory range. Because the systemic pH remained acidotic at 7.22, the disturbance was classified as severe, partially compensated metabolic acidosis.</w:t>
      </w:r>
      <w:r>
        <w:rPr>
          <w:highlight w:val="yellow"/>
        </w:rPr>
        <w:br/>
        <w:t>The elevated anion gap was interpreted in the context of several acquired metabolic insults. First, profound volume depletion and prerenal azotaemia may have impaired renal clearance of fixed inorganic anions, including sulphates and phosphates (Bolat et al., 2013; Kraut &amp; Madias, 2010; Moritz &amp; Ayus, 2002). Second, tissue hypoperfusion during hypovolaemic shock may have contributed to episodic lactate accumulation; lactate was 1.3 mmol/L at admission and later measured 2.6 and 5.4 mmol/L in subsequent samples shown in Table 1 (Kraut &amp; Madias, 2010). Third, caloric deprivation in a severely wasted infant may promote hepatic triglyceride mobilisation and beta-oxidation, increasing ketoacid production (Meoli et al., 2024). Conventional urine ketone dipsticks based on the nitroprusside reaction do not detect beta-hydroxybutyrate reliably, which may partly explain a negative urine ketone result despite a catabolic state (Meoli et al., 2024).</w:t>
      </w:r>
    </w:p>
    <w:p w14:paraId="431BFB7A" w14:textId="77777777" w:rsidR="00B677BD" w:rsidRPr="00011329" w:rsidRDefault="00000000">
      <w:pPr>
        <w:spacing w:after="100"/>
        <w:rPr>
          <w:bCs/>
          <w:color w:val="000000" w:themeColor="text1"/>
          <w:lang w:val="en-IN"/>
        </w:rPr>
      </w:pPr>
      <w:r>
        <w:rPr>
          <w:highlight w:val="yellow"/>
        </w:rPr>
        <w:lastRenderedPageBreak/>
        <w:t>3. Diagnostic Distinction Between Primary IEM and Secondary Collapse: Distinguishing an IEM from secondary acquired metabolic decompensation in an acutely collapsed young infant is difficult because the clinical features can overlap, including tachypnoea, vomiting, altered sensorium, and severe acidosis (Burton, 1998; Ferreira et al., 2019; Saudubray et al., 2016). A systematic biochemical approach is therefore important. Classical organic acidaemias or urea-cycle disorders may be associated with marked hyperammonaemia, ketonuria, or hypoglycaemia (Burton, 1998; Chapman et al., 2012; Ferreira et al., 2019; Saudubray et al., 2016). In this patient, venous blood ammonia was 87.0 µg/dL, urine reducing substances were negative, and the dried blood spot TMS screen showed normal acylcarnitine and amino acid profiles (Chace et al., 2003; Chapman et al., 2012). These findings were reassuring but did not definitively exclude all IEMs. Urinary GC-MS was non-diagnostic after fluid resuscitation, sodium bicarbonate administration, and nutritional rehabilitation, which may have reduced detectable organic acid excretion (Chace et al., 2003; Soden et al., 2014). The rapid and sustained clinical response to fluid, electrolyte, respiratory, and nutritional management supported an acquired cause; however, atypical or late-onset IEM remained a consideration, and definitive outpatient genomic testing by whole-genome sequencing was planned (Soden et al., 2014).</w:t>
      </w:r>
    </w:p>
    <w:p w14:paraId="238B4B04" w14:textId="77777777" w:rsidR="00B677BD" w:rsidRPr="00011329" w:rsidRDefault="00000000">
      <w:pPr>
        <w:spacing w:after="100"/>
        <w:rPr>
          <w:bCs/>
          <w:color w:val="000000" w:themeColor="text1"/>
          <w:lang w:val="en-IN"/>
        </w:rPr>
      </w:pPr>
      <w:r>
        <w:rPr>
          <w:highlight w:val="yellow"/>
        </w:rPr>
        <w:t>4. Interplay with Aspiration Pneumonia and Multi-Organ Hypoperfusion: Pulmonary aspiration was considered both a consequence of the infant's severe metabolic and nutritional deterioration and a contributor to further clinical decompensation (Marik, 2001; Weir et al., 2007). Severe malnutrition (&gt; -3 SD), reduced muscle tone, tachypnoea, impaired sensorium, and oral feeding may have increased the risk of oropharyngeal aspiration (Weir et al., 2007; World Health Organization, 2013). Chemical pneumonitis with possible secondary infection contributed to respiratory failure, with CRP measured at 10.07 mg/L (Marik, 2001). Systemic hypoperfusion in the setting of shock was associated with ischaemic transaminitis (ALT 308.3 U/L; AST 121.0 U/L) and coagulopathy (PT 25.1 seconds; INR 2.1) (Henrion, 2012). These abnormalities improved rapidly after haemodynamic support, supporting an acute hypoperfusion-related process rather than persistent metabolic hepatopathy (Henrion, 2012). The unplanned endotracheal tube displacement represented an additional airway-care hazard; prompt re-intubation with a 3.0-mm uncuffed endotracheal tube and airway suction restored ventilation without documented cardiac arrest.</w:t>
      </w:r>
    </w:p>
    <w:p w14:paraId="31C9AE2C" w14:textId="77777777" w:rsidR="00B677BD" w:rsidRPr="00011329" w:rsidRDefault="00000000">
      <w:pPr>
        <w:spacing w:after="100"/>
        <w:rPr>
          <w:bCs/>
          <w:color w:val="000000" w:themeColor="text1"/>
          <w:lang w:val="en-IN"/>
        </w:rPr>
      </w:pPr>
      <w:r>
        <w:rPr>
          <w:highlight w:val="yellow"/>
        </w:rPr>
        <w:t>5. Therapeutic Dilemmas in Extreme Hypernatremic Dehydration: Simultaneous management of severe hypernatraemia (Na+ 165.1 mmol/L), metabolic acidosis, and profound hypokalaemia (K+ 1.80 mmol/L) is challenging in intensive care (Didsbury et al., 2023; Lynch &amp; Wood, 2011; Moritz &amp; Ayus, 2002). Rapid correction of hypernatraemia can produce clinically important osmotic shifts and neurological complications (Didsbury et al., 2023; Lynch &amp; Wood, 2011; Moritz &amp; Ayus, 2002). The manuscript's treatment plan used slow correction over 48-72 hours with approximately 1.2- to 1.5-times maintenance fluids, equivalent to about 242-303 mL/24 h for a 2.02-kg infant, while targeting a serum sodium decrease of no more than 0.5 mmol/L/h (approximately 10-12 mmol/L/day) (Didsbury et al., 2023; Lynch &amp; Wood, 2011). Serum sodium decreased from 165.1 to 143.5 mmol/L over six days without documented neurological sequelae. Sodium bicarbonate replacement was also administered cautiously because rapid bicarbonate loading may increase sodium and osmotic burden and affect potassium, ionised calcium, and carbon dioxide handling (Adeva-Andany et al., 2014; Lynch &amp; Wood, 2011). In this case, the post-resuscitation bicarbonate deficit was calculated using the stated parameters (Measured HCO3- 9.8 mmol/L, Target 22 mmol/L, Deficit = 12.3 mEq), and the dose was divided over 24 hours with concurrent potassium replacement (0.3-0.5 mEq/kg/h) (Adeva-Andany et al., 2014; Lynch &amp; Wood, 2011).</w:t>
      </w:r>
    </w:p>
    <w:p w14:paraId="212BA008" w14:textId="77777777" w:rsidR="00B677BD" w:rsidRPr="00011329" w:rsidRDefault="00000000">
      <w:pPr>
        <w:spacing w:after="100"/>
        <w:rPr>
          <w:bCs/>
          <w:color w:val="000000" w:themeColor="text1"/>
          <w:lang w:val="en-IN"/>
        </w:rPr>
      </w:pPr>
      <w:r>
        <w:rPr>
          <w:highlight w:val="yellow"/>
        </w:rPr>
        <w:lastRenderedPageBreak/>
        <w:t>6. Nutritional Rehabilitation and Public Health Implications: The infant showed rapid catch-up weight gain with standard infant formula and breast milk, increasing by 310 g during hospitalisation and reaching 2.42 kg at one-week follow-up (Victora et al., 2016; World Health Organization, 2013). The case highlights potential gaps in early neonatal feeding support, including discharge against medical advice, delayed recognition of lactation failure, limited follow-up after community assessment, and continued use of unmodified cow and goat milk. Early postnatal lactation assessment, close weight monitoring, caregiver education, and avoidance of unmodified animal milk during early infancy may help reduce the risk of similar feeding-related emergencies (Black et al., 2008; Victora et al., 2016).</w:t>
      </w:r>
    </w:p>
    <w:p w14:paraId="21A728C7" w14:textId="77777777" w:rsidR="00B677BD" w:rsidRDefault="00000000">
      <w:pPr>
        <w:pStyle w:val="Heading1"/>
        <w:spacing w:before="280" w:after="120"/>
        <w:rPr>
          <w:rFonts w:ascii="Times New Roman" w:hAnsi="Times New Roman" w:cs="Times New Roman"/>
          <w:color w:val="000000" w:themeColor="text1"/>
          <w:sz w:val="26"/>
        </w:rPr>
      </w:pPr>
      <w:r w:rsidRPr="00C11AF6">
        <w:rPr>
          <w:rFonts w:ascii="Times New Roman" w:hAnsi="Times New Roman" w:cs="Times New Roman"/>
          <w:color w:val="000000" w:themeColor="text1"/>
          <w:sz w:val="26"/>
        </w:rPr>
        <w:t>4. CONCLUSION</w:t>
      </w:r>
    </w:p>
    <w:p w14:paraId="24D413EA" w14:textId="77777777" w:rsidR="009204BF" w:rsidRPr="009204BF" w:rsidRDefault="009204BF" w:rsidP="009204BF">
      <w:pPr>
        <w:rPr>
          <w:lang w:val="en-IN"/>
        </w:rPr>
      </w:pPr>
      <w:r>
        <w:rPr>
          <w:highlight w:val="yellow"/>
        </w:rPr>
        <w:t>This case demonstrates that exclusive feeding with unmodified cow and goat milk in early infancy may be associated with severe hypernatraemic dehydration, marked failure to thrive, aspiration-related respiratory illness, and high-anion-gap metabolic acidosis that can mimic an inborn error of metabolism. Management required controlled correction of serum sodium, cautious bicarbonate and potassium replacement, invasive respiratory support, haemodynamic stabilisation, and progressive nutritional rehabilitation. Acute tandem mass spectrometry screening was reassuring but did not by itself exclude every possible metabolic disorder; therefore, the results were interpreted alongside the clinical course and planned definitive follow-up testing. The infant's rapid biochemical and clinical improvement after correction of dehydration, electrolyte disturbances, respiratory compromise, and nutritional deprivation supported an acquired feeding-related process. This case also underscores the importance of early lactation support, postnatal weight monitoring, appropriate infant feeding, and timely clinical review when feeding difficulties or excessive weight loss are identified.</w:t>
      </w:r>
    </w:p>
    <w:p w14:paraId="770CC5A1" w14:textId="4E1DD337" w:rsidR="00B677BD" w:rsidRPr="00C11AF6" w:rsidRDefault="00000000">
      <w:pPr>
        <w:pStyle w:val="Heading1"/>
        <w:spacing w:before="240" w:after="120"/>
        <w:rPr>
          <w:rFonts w:ascii="Times New Roman" w:hAnsi="Times New Roman" w:cs="Times New Roman"/>
          <w:color w:val="000000" w:themeColor="text1"/>
        </w:rPr>
      </w:pPr>
      <w:r w:rsidRPr="00C11AF6">
        <w:rPr>
          <w:rFonts w:ascii="Times New Roman" w:hAnsi="Times New Roman" w:cs="Times New Roman"/>
          <w:color w:val="000000" w:themeColor="text1"/>
          <w:sz w:val="24"/>
        </w:rPr>
        <w:t>ETHICAL APPROVAL AND CONSENT</w:t>
      </w:r>
    </w:p>
    <w:p w14:paraId="4006B896" w14:textId="77777777" w:rsidR="00B677BD" w:rsidRPr="00C11AF6" w:rsidRDefault="00000000">
      <w:pPr>
        <w:rPr>
          <w:rFonts w:cs="Times New Roman"/>
          <w:color w:val="000000" w:themeColor="text1"/>
        </w:rPr>
      </w:pPr>
      <w:r w:rsidRPr="00C11AF6">
        <w:rPr>
          <w:rFonts w:cs="Times New Roman"/>
          <w:color w:val="000000" w:themeColor="text1"/>
        </w:rPr>
        <w:t>Informed written consent was obtained from the infant's parents/legal guardians for the publication of this case report and any accompanying clinical images. All patient identifiers have been completely anonymized to maintain confidentiality. Institutional ethical approval was granted by the Institutional Ethics Committee of S. S. Institute of Medical Sciences &amp; Research Centre (SSIMS &amp; RC), Davangere, Karnataka, India.</w:t>
      </w:r>
    </w:p>
    <w:p w14:paraId="5CE41926" w14:textId="77777777" w:rsidR="00B677BD" w:rsidRPr="00C11AF6" w:rsidRDefault="00000000">
      <w:pPr>
        <w:pStyle w:val="Heading2"/>
        <w:spacing w:before="160" w:after="80"/>
        <w:rPr>
          <w:rFonts w:ascii="Times New Roman" w:hAnsi="Times New Roman" w:cs="Times New Roman"/>
          <w:color w:val="000000" w:themeColor="text1"/>
        </w:rPr>
      </w:pPr>
      <w:r w:rsidRPr="00C11AF6">
        <w:rPr>
          <w:rFonts w:ascii="Times New Roman" w:hAnsi="Times New Roman" w:cs="Times New Roman"/>
          <w:color w:val="000000" w:themeColor="text1"/>
          <w:sz w:val="22"/>
        </w:rPr>
        <w:t>Competing Interests</w:t>
      </w:r>
    </w:p>
    <w:p w14:paraId="35A5ABA9" w14:textId="77777777" w:rsidR="00B677BD" w:rsidRPr="00C11AF6" w:rsidRDefault="00000000">
      <w:pPr>
        <w:rPr>
          <w:rFonts w:cs="Times New Roman"/>
          <w:color w:val="000000" w:themeColor="text1"/>
        </w:rPr>
      </w:pPr>
      <w:r w:rsidRPr="00C11AF6">
        <w:rPr>
          <w:rFonts w:cs="Times New Roman"/>
          <w:color w:val="000000" w:themeColor="text1"/>
        </w:rPr>
        <w:t>The authors declare that they have no competing financial, professional, or personal interests related to the publication of this work.</w:t>
      </w:r>
    </w:p>
    <w:p w14:paraId="2FB7389B" w14:textId="77777777" w:rsidR="00B677BD" w:rsidRPr="00C11AF6" w:rsidRDefault="00000000">
      <w:pPr>
        <w:pStyle w:val="Heading2"/>
        <w:spacing w:before="160" w:after="80"/>
        <w:rPr>
          <w:rFonts w:ascii="Times New Roman" w:hAnsi="Times New Roman" w:cs="Times New Roman"/>
          <w:color w:val="000000" w:themeColor="text1"/>
        </w:rPr>
      </w:pPr>
      <w:r w:rsidRPr="00C11AF6">
        <w:rPr>
          <w:rFonts w:ascii="Times New Roman" w:hAnsi="Times New Roman" w:cs="Times New Roman"/>
          <w:color w:val="000000" w:themeColor="text1"/>
          <w:sz w:val="22"/>
        </w:rPr>
        <w:t>Declaration of Generative AI and AI-Assisted Technologies</w:t>
      </w:r>
    </w:p>
    <w:p w14:paraId="23034D5B" w14:textId="77777777" w:rsidR="00B677BD" w:rsidRPr="00C11AF6" w:rsidRDefault="00000000">
      <w:pPr>
        <w:rPr>
          <w:rFonts w:cs="Times New Roman"/>
          <w:color w:val="000000" w:themeColor="text1"/>
        </w:rPr>
      </w:pPr>
      <w:r w:rsidRPr="00C11AF6">
        <w:rPr>
          <w:rFonts w:cs="Times New Roman"/>
          <w:color w:val="000000" w:themeColor="text1"/>
        </w:rPr>
        <w:t>The authors prepared this manuscript through their primary intellectual contributions to clinical data collection, patient management, literature review, and clinical interpretation. Generative AI tools were employed solely to assist with language polishing, grammatical refinement, and reference verification during revision. The authors reviewed and edited the resulting text and assume full responsibility for the content and integrity of the final publication.</w:t>
      </w:r>
    </w:p>
    <w:p w14:paraId="50BB54A1" w14:textId="77777777" w:rsidR="00B677BD" w:rsidRPr="00C11AF6" w:rsidRDefault="00000000">
      <w:pPr>
        <w:pStyle w:val="Heading1"/>
        <w:spacing w:before="240" w:after="120"/>
        <w:rPr>
          <w:rFonts w:ascii="Times New Roman" w:hAnsi="Times New Roman" w:cs="Times New Roman"/>
          <w:color w:val="000000" w:themeColor="text1"/>
        </w:rPr>
      </w:pPr>
      <w:r w:rsidRPr="00C11AF6">
        <w:rPr>
          <w:rFonts w:ascii="Times New Roman" w:hAnsi="Times New Roman" w:cs="Times New Roman"/>
          <w:color w:val="000000" w:themeColor="text1"/>
          <w:sz w:val="24"/>
        </w:rPr>
        <w:lastRenderedPageBreak/>
        <w:t>LIMITATIONS OF THE STUDY</w:t>
      </w:r>
    </w:p>
    <w:p w14:paraId="3DAA83A6" w14:textId="77777777" w:rsidR="00B677BD" w:rsidRPr="00C11AF6" w:rsidRDefault="00000000">
      <w:pPr>
        <w:spacing w:after="80"/>
        <w:rPr>
          <w:rFonts w:cs="Times New Roman"/>
          <w:color w:val="000000" w:themeColor="text1"/>
        </w:rPr>
      </w:pPr>
      <w:r w:rsidRPr="00C11AF6">
        <w:rPr>
          <w:rFonts w:cs="Times New Roman"/>
          <w:color w:val="000000" w:themeColor="text1"/>
        </w:rPr>
        <w:t>1. Inconclusive Urinary GC-MS: Urinary organic acid profiling via GC-MS was inconclusive because the sample was obtained following extensive fluid resuscitation, therapeutic alkalinization, and parenteral nutritional support, which significantly altered endogenous organic acid excretion patterns.</w:t>
      </w:r>
    </w:p>
    <w:p w14:paraId="51894501" w14:textId="77777777" w:rsidR="00B677BD" w:rsidRPr="00C11AF6" w:rsidRDefault="00000000">
      <w:pPr>
        <w:spacing w:after="80"/>
        <w:rPr>
          <w:rFonts w:cs="Times New Roman"/>
          <w:color w:val="000000" w:themeColor="text1"/>
        </w:rPr>
      </w:pPr>
      <w:r w:rsidRPr="00C11AF6">
        <w:rPr>
          <w:rFonts w:cs="Times New Roman"/>
          <w:color w:val="000000" w:themeColor="text1"/>
        </w:rPr>
        <w:t>2. Lack of Immediate Genetic Confirmation: Although acute blood TMS was normal, definitive genetic exclusion of atypical, late-onset, or cryptogenic inborn errors of metabolism through whole-genome sequencing (WGS) was scheduled for outpatient follow-up and was not available during the acute hospital stay.</w:t>
      </w:r>
    </w:p>
    <w:p w14:paraId="1A291F11" w14:textId="77777777" w:rsidR="00B677BD" w:rsidRPr="00C11AF6" w:rsidRDefault="00000000">
      <w:pPr>
        <w:spacing w:after="80"/>
        <w:rPr>
          <w:rFonts w:cs="Times New Roman"/>
          <w:color w:val="000000" w:themeColor="text1"/>
        </w:rPr>
      </w:pPr>
      <w:r>
        <w:rPr>
          <w:highlight w:val="yellow"/>
        </w:rPr>
        <w:t>3. Semiquantitative Dipstick Ketone Assessment: Ketosis assessment relied on urinary dipstick testing using the nitroprusside reaction, which detects acetoacetate but does not quantify beta-hydroxybutyrate, the predominant circulating ketone body in paediatric starvation and hypoperfusion.</w:t>
      </w:r>
    </w:p>
    <w:p w14:paraId="369991A3" w14:textId="77777777" w:rsidR="00B677BD" w:rsidRPr="00C11AF6" w:rsidRDefault="00000000">
      <w:pPr>
        <w:spacing w:after="80"/>
        <w:rPr>
          <w:rFonts w:cs="Times New Roman"/>
          <w:color w:val="000000" w:themeColor="text1"/>
        </w:rPr>
      </w:pPr>
      <w:r w:rsidRPr="00C11AF6">
        <w:rPr>
          <w:rFonts w:cs="Times New Roman"/>
          <w:color w:val="000000" w:themeColor="text1"/>
        </w:rPr>
        <w:t>4. Follow-up Duration: Follow-up was documented up to one week post-discharge (weight 2.42 kg); comprehensive long-term neurodevelopmental evaluations and sustained longitudinal growth trajectories remain pending.</w:t>
      </w:r>
    </w:p>
    <w:p w14:paraId="3C74F87A" w14:textId="77777777" w:rsidR="00B677BD" w:rsidRPr="00C11AF6" w:rsidRDefault="00000000">
      <w:pPr>
        <w:spacing w:after="80"/>
        <w:rPr>
          <w:rFonts w:cs="Times New Roman"/>
          <w:color w:val="000000" w:themeColor="text1"/>
        </w:rPr>
      </w:pPr>
      <w:r w:rsidRPr="00C11AF6">
        <w:rPr>
          <w:rFonts w:cs="Times New Roman"/>
          <w:color w:val="000000" w:themeColor="text1"/>
        </w:rPr>
        <w:t>5. Generalizability: As a single case report, these observations illustrate the biochemical and clinical mimicry of an IEM occurring in the setting of severe hypernatremic dehydration and nutritional deprivation, providing an educational differential rather than prescriptive guidelines for all clinical scenarios.</w:t>
      </w:r>
    </w:p>
    <w:p w14:paraId="6E6D2720"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4"/>
        </w:rPr>
        <w:t>REFERENCES</w:t>
      </w:r>
    </w:p>
    <w:p w14:paraId="6C82E96A" w14:textId="77777777" w:rsidR="00B677BD" w:rsidRPr="00C11AF6" w:rsidRDefault="00000000">
      <w:pPr>
        <w:spacing w:after="80"/>
        <w:ind w:left="720" w:hanging="720"/>
        <w:rPr>
          <w:rFonts w:cs="Times New Roman"/>
          <w:color w:val="000000" w:themeColor="text1"/>
        </w:rPr>
      </w:pPr>
      <w:r>
        <w:t xml:space="preserve">Adeva-Andany, M. M., Fernández-Fernández, C., Mouriño-Bayolo, D., Castro-Quintela, E., &amp; Domínguez-Montero, A. (2014). Sodium bicarbonate therapy in patients with metabolic acidosis. </w:t>
      </w:r>
      <w:r>
        <w:rPr>
          <w:i/>
        </w:rPr>
        <w:t>The Scientific World Journal, 2014</w:t>
      </w:r>
      <w:r>
        <w:t xml:space="preserve">, 627673. </w:t>
      </w:r>
      <w:hyperlink r:id="rId8">
        <w:r w:rsidR="00B677BD">
          <w:rPr>
            <w:rStyle w:val="Hyperlink"/>
          </w:rPr>
          <w:t>https://doi.org/10.1155/2014/627673</w:t>
        </w:r>
      </w:hyperlink>
    </w:p>
    <w:p w14:paraId="75416BD5" w14:textId="77777777" w:rsidR="00C84BF8" w:rsidRDefault="00000000">
      <w:pPr>
        <w:spacing w:after="80"/>
        <w:ind w:left="720" w:hanging="720"/>
        <w:rPr>
          <w:rFonts w:cs="Times New Roman"/>
          <w:color w:val="000000" w:themeColor="text1"/>
        </w:rPr>
      </w:pPr>
      <w:r>
        <w:t xml:space="preserve">Arora, I., Juneja, H., Bhandekar, H., &amp; Chandankhede, M. (2024). Neonatal hypernatremic dehydration in breastfed neonates: A prospective study unmasking the influences of breastfeeding practices and early weight monitoring. </w:t>
      </w:r>
      <w:r>
        <w:rPr>
          <w:i/>
        </w:rPr>
        <w:t>The Journal of Maternal-Fetal &amp; Neonatal Medicine, 37</w:t>
      </w:r>
      <w:r>
        <w:t xml:space="preserve">(1), 2299568. </w:t>
      </w:r>
      <w:hyperlink r:id="rId9">
        <w:r w:rsidR="00C84BF8">
          <w:rPr>
            <w:color w:val="0563C1"/>
            <w:u w:val="single"/>
          </w:rPr>
          <w:t>https://doi.org/10.1080/14767058.2023.2299568</w:t>
        </w:r>
      </w:hyperlink>
    </w:p>
    <w:p w14:paraId="69D2D2F9" w14:textId="77777777" w:rsidR="00B677BD" w:rsidRPr="00C11AF6" w:rsidRDefault="00000000">
      <w:pPr>
        <w:spacing w:after="80"/>
        <w:ind w:left="720" w:hanging="720"/>
        <w:rPr>
          <w:rFonts w:cs="Times New Roman"/>
          <w:color w:val="000000" w:themeColor="text1"/>
        </w:rPr>
      </w:pPr>
      <w:r>
        <w:t xml:space="preserve">Basnet, S., Schneider, M., Gazit, A., Mander, G., &amp; Doctor, A. (2010). Fresh goat's milk for infants: Myths and realities—A review. </w:t>
      </w:r>
      <w:r>
        <w:rPr>
          <w:i/>
        </w:rPr>
        <w:t>Pediatrics, 125</w:t>
      </w:r>
      <w:r>
        <w:t xml:space="preserve">(4), e973–e977. </w:t>
      </w:r>
      <w:hyperlink r:id="rId10">
        <w:r w:rsidR="00B677BD">
          <w:rPr>
            <w:rStyle w:val="Hyperlink"/>
          </w:rPr>
          <w:t>https://doi.org/10.1542/peds.2009-1906</w:t>
        </w:r>
      </w:hyperlink>
    </w:p>
    <w:p w14:paraId="57F47964" w14:textId="77777777" w:rsidR="00B677BD" w:rsidRPr="00C11AF6" w:rsidRDefault="00000000">
      <w:pPr>
        <w:spacing w:after="80"/>
        <w:ind w:left="720" w:hanging="720"/>
        <w:rPr>
          <w:rFonts w:cs="Times New Roman"/>
          <w:color w:val="000000" w:themeColor="text1"/>
        </w:rPr>
      </w:pPr>
      <w:r>
        <w:t xml:space="preserve">Black, R. E., Allen, L. H., Bhutta, Z. A., Caulfield, L. E., de Onis, M., Ezzati, M., Mathers, C., &amp; Rivera, J. (2008). Maternal and child undernutrition: Global and regional exposures and health consequences. </w:t>
      </w:r>
      <w:r>
        <w:rPr>
          <w:i/>
        </w:rPr>
        <w:t>The Lancet, 371</w:t>
      </w:r>
      <w:r>
        <w:t xml:space="preserve">(9608), 243–260. </w:t>
      </w:r>
      <w:hyperlink r:id="rId11">
        <w:r w:rsidR="00B677BD">
          <w:rPr>
            <w:rStyle w:val="Hyperlink"/>
          </w:rPr>
          <w:t>https://doi.org/10.1016/S0140-6736(07)61690-0</w:t>
        </w:r>
      </w:hyperlink>
    </w:p>
    <w:p w14:paraId="58E1D07C" w14:textId="77777777" w:rsidR="00B677BD" w:rsidRPr="00C11AF6" w:rsidRDefault="00000000">
      <w:pPr>
        <w:spacing w:after="80"/>
        <w:ind w:left="720" w:hanging="720"/>
        <w:rPr>
          <w:rFonts w:cs="Times New Roman"/>
          <w:color w:val="000000" w:themeColor="text1"/>
        </w:rPr>
      </w:pPr>
      <w:r>
        <w:t xml:space="preserve">Bolat, F., Oflaz, M. B., Güven, A. S., Özdemir, G., Alaygut, D., Doğan, M. T., Içağasoğlu, F. D., Cevit, Ö., &amp; Gültekin, A. (2013). What is the safe approach for neonatal hypernatremic dehydration? A retrospective study from a neonatal intensive care unit. </w:t>
      </w:r>
      <w:r>
        <w:rPr>
          <w:i/>
        </w:rPr>
        <w:t>Pediatric Emergency Care, 29</w:t>
      </w:r>
      <w:r>
        <w:t xml:space="preserve">(7), 808–813. </w:t>
      </w:r>
      <w:hyperlink r:id="rId12">
        <w:r w:rsidR="00B677BD">
          <w:rPr>
            <w:rStyle w:val="Hyperlink"/>
          </w:rPr>
          <w:t>https://doi.org/10.1097/PEC.0b013e3182983bac</w:t>
        </w:r>
      </w:hyperlink>
    </w:p>
    <w:p w14:paraId="6A08191C" w14:textId="77777777" w:rsidR="00B677BD" w:rsidRPr="00C11AF6" w:rsidRDefault="00000000">
      <w:pPr>
        <w:spacing w:after="80"/>
        <w:ind w:left="720" w:hanging="720"/>
        <w:rPr>
          <w:rFonts w:cs="Times New Roman"/>
          <w:color w:val="000000" w:themeColor="text1"/>
        </w:rPr>
      </w:pPr>
      <w:r>
        <w:t xml:space="preserve">Burton, B. K. (1998). Inborn errors of metabolism in infancy: A guide to diagnosis. </w:t>
      </w:r>
      <w:r>
        <w:rPr>
          <w:i/>
        </w:rPr>
        <w:t>Pediatrics, 102</w:t>
      </w:r>
      <w:r>
        <w:t xml:space="preserve">(6), e69. </w:t>
      </w:r>
      <w:hyperlink r:id="rId13">
        <w:r w:rsidR="00B677BD">
          <w:rPr>
            <w:rStyle w:val="Hyperlink"/>
          </w:rPr>
          <w:t>https://doi.org/10.1542/peds.102.6.e69</w:t>
        </w:r>
      </w:hyperlink>
    </w:p>
    <w:p w14:paraId="53B82EDF" w14:textId="77777777" w:rsidR="00B677BD" w:rsidRPr="00C11AF6" w:rsidRDefault="00000000">
      <w:pPr>
        <w:spacing w:after="80"/>
        <w:ind w:left="720" w:hanging="720"/>
        <w:rPr>
          <w:rFonts w:cs="Times New Roman"/>
          <w:color w:val="000000" w:themeColor="text1"/>
        </w:rPr>
      </w:pPr>
      <w:r>
        <w:lastRenderedPageBreak/>
        <w:t xml:space="preserve">Chace, D. H., Kalas, T. A., &amp; Naylor, E. W. (2003). Use of tandem mass spectrometry for multianalyte screening of dried blood specimens from newborns. </w:t>
      </w:r>
      <w:r>
        <w:rPr>
          <w:i/>
        </w:rPr>
        <w:t>Clinical Chemistry, 49</w:t>
      </w:r>
      <w:r>
        <w:t xml:space="preserve">(11), 1797–1817. </w:t>
      </w:r>
      <w:hyperlink r:id="rId14">
        <w:r w:rsidR="00B677BD">
          <w:rPr>
            <w:rStyle w:val="Hyperlink"/>
          </w:rPr>
          <w:t>https://doi.org/10.1373/clinchem.2003.022178</w:t>
        </w:r>
      </w:hyperlink>
    </w:p>
    <w:p w14:paraId="5BEB09D6" w14:textId="77777777" w:rsidR="00B677BD" w:rsidRPr="00C11AF6" w:rsidRDefault="00000000">
      <w:pPr>
        <w:spacing w:after="80"/>
        <w:ind w:left="720" w:hanging="720"/>
        <w:rPr>
          <w:rFonts w:cs="Times New Roman"/>
          <w:color w:val="000000" w:themeColor="text1"/>
        </w:rPr>
      </w:pPr>
      <w:r>
        <w:t xml:space="preserve">Chapman, K. A., Gropman, A., MacLeod, E., Stagni, K., Summar, M. L., Ueda, K., Ah Mew, N., Franks, J., Island, E., Matern, D., Pena, L., Smith, B., Sutton, V. R., Urv, T., Venditti, C., &amp; Chakrapani, A. (2012). Acute management of propionic acidemia. </w:t>
      </w:r>
      <w:r>
        <w:rPr>
          <w:i/>
        </w:rPr>
        <w:t>Molecular Genetics and Metabolism, 105</w:t>
      </w:r>
      <w:r>
        <w:t xml:space="preserve">(1), 16–25. </w:t>
      </w:r>
      <w:hyperlink r:id="rId15">
        <w:r w:rsidR="00B677BD">
          <w:rPr>
            <w:rStyle w:val="Hyperlink"/>
          </w:rPr>
          <w:t>https://doi.org/10.1016/j.ymgme.2011.09.026</w:t>
        </w:r>
      </w:hyperlink>
    </w:p>
    <w:p w14:paraId="62E53500" w14:textId="77777777" w:rsidR="00B677BD" w:rsidRPr="00C11AF6" w:rsidRDefault="00000000">
      <w:pPr>
        <w:spacing w:after="80"/>
        <w:ind w:left="720" w:hanging="720"/>
        <w:rPr>
          <w:rFonts w:cs="Times New Roman"/>
          <w:color w:val="000000" w:themeColor="text1"/>
        </w:rPr>
      </w:pPr>
      <w:r>
        <w:t xml:space="preserve">Didsbury, M., See, E. J., Cheng, D. R., Kausman, J., &amp; Quinlan, C. (2023). Correcting hypernatremia in children. </w:t>
      </w:r>
      <w:r>
        <w:rPr>
          <w:i/>
        </w:rPr>
        <w:t>Clinical Journal of the American Society of Nephrology, 18</w:t>
      </w:r>
      <w:r>
        <w:t xml:space="preserve">(3), 306–314. </w:t>
      </w:r>
      <w:hyperlink r:id="rId16">
        <w:r w:rsidR="00B677BD">
          <w:rPr>
            <w:rStyle w:val="Hyperlink"/>
          </w:rPr>
          <w:t>https://doi.org/10.2215/CJN.0000000000000077</w:t>
        </w:r>
      </w:hyperlink>
    </w:p>
    <w:p w14:paraId="0E2F2E2D" w14:textId="77777777" w:rsidR="00B677BD" w:rsidRPr="00C11AF6" w:rsidRDefault="00000000">
      <w:pPr>
        <w:spacing w:after="80"/>
        <w:ind w:left="720" w:hanging="720"/>
        <w:rPr>
          <w:rFonts w:cs="Times New Roman"/>
          <w:color w:val="000000" w:themeColor="text1"/>
        </w:rPr>
      </w:pPr>
      <w:r>
        <w:t xml:space="preserve">Ferreira, C. R., van Karnebeek, C. D. M., Vockley, J., &amp; Blau, N. (2019). A proposed nosology of inborn errors of metabolism. </w:t>
      </w:r>
      <w:r>
        <w:rPr>
          <w:i/>
        </w:rPr>
        <w:t>Genetics in Medicine, 21</w:t>
      </w:r>
      <w:r>
        <w:t xml:space="preserve">(1), 102–106. </w:t>
      </w:r>
      <w:hyperlink r:id="rId17">
        <w:r w:rsidR="00B677BD">
          <w:rPr>
            <w:rStyle w:val="Hyperlink"/>
          </w:rPr>
          <w:t>https://doi.org/10.1038/s41436-018-0022-8</w:t>
        </w:r>
      </w:hyperlink>
    </w:p>
    <w:p w14:paraId="430B1A69" w14:textId="77777777" w:rsidR="00B677BD" w:rsidRPr="00C11AF6" w:rsidRDefault="00000000">
      <w:pPr>
        <w:spacing w:after="80"/>
        <w:ind w:left="720" w:hanging="720"/>
        <w:rPr>
          <w:rFonts w:cs="Times New Roman"/>
          <w:color w:val="000000" w:themeColor="text1"/>
        </w:rPr>
      </w:pPr>
      <w:r>
        <w:t xml:space="preserve">Fomon, S. J., &amp; Ziegler, E. E. (1999). Renal solute load and potential renal solute load in infancy. </w:t>
      </w:r>
      <w:r>
        <w:rPr>
          <w:i/>
        </w:rPr>
        <w:t>The Journal of Pediatrics, 134</w:t>
      </w:r>
      <w:r>
        <w:t xml:space="preserve">(1), 11–14. </w:t>
      </w:r>
      <w:hyperlink r:id="rId18">
        <w:r w:rsidR="00B677BD">
          <w:rPr>
            <w:rStyle w:val="Hyperlink"/>
          </w:rPr>
          <w:t>https://doi.org/10.1016/S0022-3476(99)70365-3</w:t>
        </w:r>
      </w:hyperlink>
    </w:p>
    <w:p w14:paraId="1C01127A" w14:textId="77777777" w:rsidR="00B677BD" w:rsidRPr="00C11AF6" w:rsidRDefault="00000000">
      <w:pPr>
        <w:spacing w:after="80"/>
        <w:ind w:left="720" w:hanging="720"/>
        <w:rPr>
          <w:rFonts w:cs="Times New Roman"/>
          <w:color w:val="000000" w:themeColor="text1"/>
        </w:rPr>
      </w:pPr>
      <w:r>
        <w:t xml:space="preserve">Henrion, J. (2012). Hypoxic hepatitis. </w:t>
      </w:r>
      <w:r>
        <w:rPr>
          <w:i/>
        </w:rPr>
        <w:t>Liver International, 32</w:t>
      </w:r>
      <w:r>
        <w:t xml:space="preserve">(7), 1039–1052. </w:t>
      </w:r>
      <w:hyperlink r:id="rId19">
        <w:r w:rsidR="00B677BD">
          <w:rPr>
            <w:rStyle w:val="Hyperlink"/>
          </w:rPr>
          <w:t>https://doi.org/10.1111/j.1478-3231.2011.02655.x</w:t>
        </w:r>
      </w:hyperlink>
    </w:p>
    <w:p w14:paraId="702E8E1C" w14:textId="77777777" w:rsidR="00B677BD" w:rsidRPr="00C11AF6" w:rsidRDefault="00000000">
      <w:pPr>
        <w:spacing w:after="80"/>
        <w:ind w:left="720" w:hanging="720"/>
        <w:rPr>
          <w:rFonts w:cs="Times New Roman"/>
          <w:color w:val="000000" w:themeColor="text1"/>
        </w:rPr>
      </w:pPr>
      <w:r>
        <w:t xml:space="preserve">Kliegman, R. M., St. Geme, J. W., Blum, N. J., Shah, S. S., Tasker, R. C., &amp; Wilson, K. M. (Eds.). (2020). </w:t>
      </w:r>
      <w:r>
        <w:rPr>
          <w:i/>
        </w:rPr>
        <w:t>Nelson textbook of pediatrics</w:t>
      </w:r>
      <w:r>
        <w:t xml:space="preserve"> (21st ed.). Elsevier. </w:t>
      </w:r>
      <w:hyperlink r:id="rId20">
        <w:r w:rsidR="00B677BD">
          <w:rPr>
            <w:rStyle w:val="Hyperlink"/>
          </w:rPr>
          <w:t>https://www.ncbi.nlm.nih.gov/nlmcatalog/101749617</w:t>
        </w:r>
      </w:hyperlink>
    </w:p>
    <w:p w14:paraId="450EC66D" w14:textId="77777777" w:rsidR="00B677BD" w:rsidRPr="00C11AF6" w:rsidRDefault="00000000">
      <w:pPr>
        <w:spacing w:after="80"/>
        <w:ind w:left="720" w:hanging="720"/>
        <w:rPr>
          <w:rFonts w:cs="Times New Roman"/>
          <w:color w:val="000000" w:themeColor="text1"/>
        </w:rPr>
      </w:pPr>
      <w:r>
        <w:t xml:space="preserve">Kraut, J. A., &amp; Madias, N. E. (2010). Metabolic acidosis: Pathophysiology, diagnosis and management. </w:t>
      </w:r>
      <w:r>
        <w:rPr>
          <w:i/>
        </w:rPr>
        <w:t>Nature Reviews Nephrology, 6</w:t>
      </w:r>
      <w:r>
        <w:t xml:space="preserve">(5), 274–285. </w:t>
      </w:r>
      <w:hyperlink r:id="rId21">
        <w:r w:rsidR="00B677BD">
          <w:rPr>
            <w:rStyle w:val="Hyperlink"/>
          </w:rPr>
          <w:t>https://doi.org/10.1038/nrneph.2010.33</w:t>
        </w:r>
      </w:hyperlink>
    </w:p>
    <w:p w14:paraId="62DF1FFC" w14:textId="77777777" w:rsidR="00B677BD" w:rsidRPr="00C11AF6" w:rsidRDefault="00000000">
      <w:pPr>
        <w:spacing w:after="80"/>
        <w:ind w:left="720" w:hanging="720"/>
        <w:rPr>
          <w:rFonts w:cs="Times New Roman"/>
          <w:color w:val="000000" w:themeColor="text1"/>
        </w:rPr>
      </w:pPr>
      <w:r>
        <w:t xml:space="preserve">Lynch, R. E., &amp; Wood, E. G. (2011). Fluid and electrolyte issues in pediatric critical illness. In B. P. Fuhrman &amp; J. J. Zimmerman (Eds.), </w:t>
      </w:r>
      <w:r>
        <w:rPr>
          <w:i/>
        </w:rPr>
        <w:t>Pediatric critical care</w:t>
      </w:r>
      <w:r>
        <w:t xml:space="preserve"> (4th ed., pp. 944–962). Elsevier. </w:t>
      </w:r>
      <w:hyperlink r:id="rId22">
        <w:r w:rsidR="00B677BD">
          <w:rPr>
            <w:rStyle w:val="Hyperlink"/>
          </w:rPr>
          <w:t>https://doi.org/10.1016/B978-0-323-07307-3.10067-9</w:t>
        </w:r>
      </w:hyperlink>
    </w:p>
    <w:p w14:paraId="24DADEF7" w14:textId="77777777" w:rsidR="00C84BF8" w:rsidRDefault="00000000">
      <w:pPr>
        <w:spacing w:after="80"/>
        <w:ind w:left="720" w:hanging="720"/>
        <w:rPr>
          <w:rFonts w:cs="Times New Roman"/>
          <w:color w:val="000000" w:themeColor="text1"/>
        </w:rPr>
      </w:pPr>
      <w:r>
        <w:t xml:space="preserve">Maldonado, M. J., Tuta-Quintero, E., Criado Quintero, I., Zambrano, A. V., Velazco, M. F., &amp; Agudelo-Perez, S. (2026). Prevalence and risk factors of hypernatremic dehydration in exclusively breastfed neonates: A systematic review and meta-analysis. </w:t>
      </w:r>
      <w:r>
        <w:rPr>
          <w:i/>
        </w:rPr>
        <w:t>Journal of Clinical Medicine, 15</w:t>
      </w:r>
      <w:r>
        <w:t xml:space="preserve">(13), 4975. </w:t>
      </w:r>
      <w:hyperlink r:id="rId23">
        <w:r w:rsidR="00C84BF8">
          <w:rPr>
            <w:color w:val="0563C1"/>
            <w:u w:val="single"/>
          </w:rPr>
          <w:t>https://doi.org/10.3390/jcm15134975</w:t>
        </w:r>
      </w:hyperlink>
    </w:p>
    <w:p w14:paraId="7BA86A17" w14:textId="77777777" w:rsidR="00B677BD" w:rsidRPr="00C11AF6" w:rsidRDefault="00000000">
      <w:pPr>
        <w:spacing w:after="80"/>
        <w:ind w:left="720" w:hanging="720"/>
        <w:rPr>
          <w:rFonts w:cs="Times New Roman"/>
          <w:color w:val="000000" w:themeColor="text1"/>
        </w:rPr>
      </w:pPr>
      <w:r>
        <w:t xml:space="preserve">Marik, P. E. (2001). Aspiration pneumonitis and aspiration pneumonia. </w:t>
      </w:r>
      <w:r>
        <w:rPr>
          <w:i/>
        </w:rPr>
        <w:t>The New England Journal of Medicine, 344</w:t>
      </w:r>
      <w:r>
        <w:t xml:space="preserve">(9), 665–671. </w:t>
      </w:r>
      <w:hyperlink r:id="rId24">
        <w:r w:rsidR="00B677BD">
          <w:rPr>
            <w:rStyle w:val="Hyperlink"/>
          </w:rPr>
          <w:t>https://doi.org/10.1056/NEJM200103013440908</w:t>
        </w:r>
      </w:hyperlink>
    </w:p>
    <w:p w14:paraId="06FAF5AF" w14:textId="77777777" w:rsidR="00B677BD" w:rsidRPr="00C11AF6" w:rsidRDefault="00000000">
      <w:pPr>
        <w:spacing w:after="80"/>
        <w:ind w:left="720" w:hanging="720"/>
        <w:rPr>
          <w:rFonts w:cs="Times New Roman"/>
          <w:color w:val="000000" w:themeColor="text1"/>
        </w:rPr>
      </w:pPr>
      <w:r>
        <w:t xml:space="preserve">Meoli, M., Lava, S. A. G., Bronz, G., Goeggel-Simonetti, B., Simonetti, G. D., Alberti, I., Agostoni, C., Bianchetti, M. G., Scoglio, M., Vismara, S. A., &amp; Milani, G. P. (2024). Eu- or hypoglycemic ketosis and ketoacidosis in children: A review. </w:t>
      </w:r>
      <w:r>
        <w:rPr>
          <w:i/>
        </w:rPr>
        <w:t>Pediatric Nephrology, 39</w:t>
      </w:r>
      <w:r>
        <w:t xml:space="preserve">(4), 1033–1040. </w:t>
      </w:r>
      <w:hyperlink r:id="rId25">
        <w:r w:rsidR="00B677BD">
          <w:rPr>
            <w:rStyle w:val="Hyperlink"/>
          </w:rPr>
          <w:t>https://doi.org/10.1007/s00467-023-06115-5</w:t>
        </w:r>
      </w:hyperlink>
    </w:p>
    <w:p w14:paraId="64B001D4" w14:textId="77777777" w:rsidR="00B677BD" w:rsidRPr="00C11AF6" w:rsidRDefault="00000000">
      <w:pPr>
        <w:spacing w:after="80"/>
        <w:ind w:left="720" w:hanging="720"/>
        <w:rPr>
          <w:rFonts w:cs="Times New Roman"/>
          <w:color w:val="000000" w:themeColor="text1"/>
        </w:rPr>
      </w:pPr>
      <w:r>
        <w:t xml:space="preserve">Moammar, H., Cheriyan, G., Mathew, R., &amp; Al-Sannaa, N. (2010). Incidence and patterns of inborn errors of metabolism in the Eastern Province of Saudi Arabia, 1983–2008. </w:t>
      </w:r>
      <w:r>
        <w:rPr>
          <w:i/>
        </w:rPr>
        <w:t>Annals of Saudi Medicine, 30</w:t>
      </w:r>
      <w:r>
        <w:t xml:space="preserve">(4), 271–277. </w:t>
      </w:r>
      <w:hyperlink r:id="rId26">
        <w:r w:rsidR="00B677BD">
          <w:rPr>
            <w:rStyle w:val="Hyperlink"/>
          </w:rPr>
          <w:t>https://doi.org/10.4103/0256-4947.65254</w:t>
        </w:r>
      </w:hyperlink>
    </w:p>
    <w:p w14:paraId="4F431840" w14:textId="77777777" w:rsidR="00B677BD" w:rsidRPr="00C11AF6" w:rsidRDefault="00000000">
      <w:pPr>
        <w:spacing w:after="80"/>
        <w:ind w:left="720" w:hanging="720"/>
        <w:rPr>
          <w:rFonts w:cs="Times New Roman"/>
          <w:color w:val="000000" w:themeColor="text1"/>
        </w:rPr>
      </w:pPr>
      <w:r>
        <w:t xml:space="preserve">Moritz, M. L., &amp; Ayus, J. C. (2002). Disorders of water metabolism in children: Hyponatremia and hypernatremia. </w:t>
      </w:r>
      <w:r>
        <w:rPr>
          <w:i/>
        </w:rPr>
        <w:t>Pediatrics in Review, 23</w:t>
      </w:r>
      <w:r>
        <w:t xml:space="preserve">(11), 371–380. </w:t>
      </w:r>
      <w:hyperlink r:id="rId27">
        <w:r w:rsidR="00B677BD">
          <w:rPr>
            <w:rStyle w:val="Hyperlink"/>
          </w:rPr>
          <w:t>https://doi.org/10.1542/pir.23-11-371</w:t>
        </w:r>
      </w:hyperlink>
    </w:p>
    <w:p w14:paraId="5C064137" w14:textId="77777777" w:rsidR="00B677BD" w:rsidRPr="00C11AF6" w:rsidRDefault="00000000">
      <w:pPr>
        <w:spacing w:after="80"/>
        <w:ind w:left="720" w:hanging="720"/>
        <w:rPr>
          <w:rFonts w:cs="Times New Roman"/>
          <w:color w:val="000000" w:themeColor="text1"/>
        </w:rPr>
      </w:pPr>
      <w:r>
        <w:lastRenderedPageBreak/>
        <w:t xml:space="preserve">O’Connor, D. L. (1994). Folate in goat milk products with reference to other vitamins and minerals: A review. </w:t>
      </w:r>
      <w:r>
        <w:rPr>
          <w:i/>
        </w:rPr>
        <w:t>Small Ruminant Research, 14</w:t>
      </w:r>
      <w:r>
        <w:t xml:space="preserve">(2), 143–149. </w:t>
      </w:r>
      <w:hyperlink r:id="rId28">
        <w:r w:rsidR="00B677BD">
          <w:rPr>
            <w:rStyle w:val="Hyperlink"/>
          </w:rPr>
          <w:t>https://doi.org/10.1016/0921-4488(94)90104-X</w:t>
        </w:r>
      </w:hyperlink>
    </w:p>
    <w:p w14:paraId="7700BF62" w14:textId="77777777" w:rsidR="00C84BF8" w:rsidRDefault="00000000">
      <w:pPr>
        <w:spacing w:after="80"/>
        <w:ind w:left="720" w:hanging="720"/>
        <w:rPr>
          <w:rFonts w:cs="Times New Roman"/>
          <w:color w:val="000000" w:themeColor="text1"/>
        </w:rPr>
      </w:pPr>
      <w:r>
        <w:t xml:space="preserve">Saleem, T. H., Hassan, M. H., Oriquat, G., Soliman, A. A. S., Youssef, A. A., &amp; Ammari, W. G. (2017). Blood gases, plasma ammonia levels and urine analysis; a potential for early detection of some inborn errors of metabolism. </w:t>
      </w:r>
      <w:r>
        <w:rPr>
          <w:i/>
        </w:rPr>
        <w:t>International Journal of Biochemistry Research &amp; Review, 15</w:t>
      </w:r>
      <w:r>
        <w:t xml:space="preserve">(4), 1–10. </w:t>
      </w:r>
      <w:hyperlink r:id="rId29">
        <w:r w:rsidR="00C84BF8">
          <w:rPr>
            <w:color w:val="0563C1"/>
            <w:u w:val="single"/>
          </w:rPr>
          <w:t>https://doi.org/10.9734/IJBCRR/2016/31021</w:t>
        </w:r>
      </w:hyperlink>
    </w:p>
    <w:p w14:paraId="72BAFBB9" w14:textId="77777777" w:rsidR="00B677BD" w:rsidRPr="00C11AF6" w:rsidRDefault="00000000">
      <w:pPr>
        <w:spacing w:after="80"/>
        <w:ind w:left="720" w:hanging="720"/>
        <w:rPr>
          <w:rFonts w:cs="Times New Roman"/>
          <w:color w:val="000000" w:themeColor="text1"/>
        </w:rPr>
      </w:pPr>
      <w:r>
        <w:t xml:space="preserve">Saudubray, J.-M., Baumgartner, M. R., &amp; Walter, J. (Eds.). (2016). </w:t>
      </w:r>
      <w:r>
        <w:rPr>
          <w:i/>
        </w:rPr>
        <w:t>Inborn metabolic diseases: Diagnosis and treatment</w:t>
      </w:r>
      <w:r>
        <w:t xml:space="preserve"> (6th ed.). Springer. </w:t>
      </w:r>
      <w:hyperlink r:id="rId30">
        <w:r w:rsidR="00B677BD">
          <w:rPr>
            <w:rStyle w:val="Hyperlink"/>
          </w:rPr>
          <w:t>https://doi.org/10.1007/978-3-662-49771-5</w:t>
        </w:r>
      </w:hyperlink>
    </w:p>
    <w:p w14:paraId="0A57E26B" w14:textId="77777777" w:rsidR="00C84BF8" w:rsidRDefault="00000000">
      <w:pPr>
        <w:spacing w:after="80"/>
        <w:ind w:left="720" w:hanging="720"/>
        <w:rPr>
          <w:rFonts w:cs="Times New Roman"/>
          <w:color w:val="000000" w:themeColor="text1"/>
        </w:rPr>
      </w:pPr>
      <w:r>
        <w:t xml:space="preserve">Sharma, D., Singh, A., Singhal, A., Singh, A., &amp; Singh, A. (2024). Developmental assessment in neonatal hypernatremic dehydration cohort at 18–30 months of age using DASII score. </w:t>
      </w:r>
      <w:r>
        <w:rPr>
          <w:i/>
        </w:rPr>
        <w:t>The Indian Journal of Pediatrics, 91</w:t>
      </w:r>
      <w:r>
        <w:t xml:space="preserve">(12), 1271–1273. </w:t>
      </w:r>
      <w:hyperlink r:id="rId31">
        <w:r w:rsidR="00C84BF8">
          <w:rPr>
            <w:color w:val="0563C1"/>
            <w:u w:val="single"/>
          </w:rPr>
          <w:t>https://doi.org/10.1007/s12098-024-05044-x</w:t>
        </w:r>
      </w:hyperlink>
    </w:p>
    <w:p w14:paraId="6895E03C" w14:textId="77777777" w:rsidR="00B677BD" w:rsidRPr="00C11AF6" w:rsidRDefault="00000000">
      <w:pPr>
        <w:spacing w:after="80"/>
        <w:ind w:left="720" w:hanging="720"/>
        <w:rPr>
          <w:rFonts w:cs="Times New Roman"/>
          <w:color w:val="000000" w:themeColor="text1"/>
        </w:rPr>
      </w:pPr>
      <w:r>
        <w:t xml:space="preserve">Soden, S. E., Saunders, C. J., Willig, L. K., Farrow, E. G., Smith, L. D., Petrikin, J. E., LePichon, J.-B., Miller, N. A., Thiffault, I., Dinwiddie, D. L., Twist, G., Noll, A., Heese, B. A., Zellmer, L., Atherton, A. M., Abdelmoity, A. T., Safina, N., Nyp, S. S., Zuccarelli, B., … Kingsmore, S. F. (2014). Effectiveness of exome and genome sequencing guided by acuity of illness for diagnosis of neurodevelopmental disorders. </w:t>
      </w:r>
      <w:r>
        <w:rPr>
          <w:i/>
        </w:rPr>
        <w:t>Science Translational Medicine, 6</w:t>
      </w:r>
      <w:r>
        <w:t xml:space="preserve">(265), 265ra168. </w:t>
      </w:r>
      <w:hyperlink r:id="rId32">
        <w:r w:rsidR="00B677BD">
          <w:rPr>
            <w:rStyle w:val="Hyperlink"/>
          </w:rPr>
          <w:t>https://doi.org/10.1126/scitranslmed.3010076</w:t>
        </w:r>
      </w:hyperlink>
    </w:p>
    <w:p w14:paraId="58C854EF" w14:textId="77777777" w:rsidR="00B677BD" w:rsidRPr="00C11AF6" w:rsidRDefault="00000000">
      <w:pPr>
        <w:spacing w:after="80"/>
        <w:ind w:left="720" w:hanging="720"/>
        <w:rPr>
          <w:rFonts w:cs="Times New Roman"/>
          <w:color w:val="000000" w:themeColor="text1"/>
        </w:rPr>
      </w:pPr>
      <w:r>
        <w:t xml:space="preserve">Sulemanji, M., &amp; Vakili, K. (2013). Neonatal renal physiology. </w:t>
      </w:r>
      <w:r>
        <w:rPr>
          <w:i/>
        </w:rPr>
        <w:t>Seminars in Pediatric Surgery, 22</w:t>
      </w:r>
      <w:r>
        <w:t xml:space="preserve">(4), 195–198. </w:t>
      </w:r>
      <w:hyperlink r:id="rId33">
        <w:r w:rsidR="00B677BD">
          <w:rPr>
            <w:rStyle w:val="Hyperlink"/>
          </w:rPr>
          <w:t>https://doi.org/10.1053/j.sempedsurg.2013.10.008</w:t>
        </w:r>
      </w:hyperlink>
    </w:p>
    <w:p w14:paraId="186F2753" w14:textId="77777777" w:rsidR="00B677BD" w:rsidRPr="00C11AF6" w:rsidRDefault="00000000">
      <w:pPr>
        <w:spacing w:after="80"/>
        <w:ind w:left="720" w:hanging="720"/>
        <w:rPr>
          <w:rFonts w:cs="Times New Roman"/>
          <w:color w:val="000000" w:themeColor="text1"/>
        </w:rPr>
      </w:pPr>
      <w:r>
        <w:t xml:space="preserve">Victora, C. G., Bahl, R., Barros, A. J. D., França, G. V. A., Horton, S., Krasevec, J., Murch, S., Sankar, M. J., Walker, N., &amp; Rollins, N. C. (2016). Breastfeeding in the 21st century: Epidemiology, mechanisms, and lifelong effect. </w:t>
      </w:r>
      <w:r>
        <w:rPr>
          <w:i/>
        </w:rPr>
        <w:t>The Lancet, 387</w:t>
      </w:r>
      <w:r>
        <w:t xml:space="preserve">(10017), 475–490. </w:t>
      </w:r>
      <w:hyperlink r:id="rId34">
        <w:r w:rsidR="00B677BD">
          <w:rPr>
            <w:rStyle w:val="Hyperlink"/>
          </w:rPr>
          <w:t>https://doi.org/10.1016/S0140-6736(15)01024-7</w:t>
        </w:r>
      </w:hyperlink>
    </w:p>
    <w:p w14:paraId="7B444E1A" w14:textId="77777777" w:rsidR="00B677BD" w:rsidRPr="00C11AF6" w:rsidRDefault="00000000">
      <w:pPr>
        <w:spacing w:after="80"/>
        <w:ind w:left="720" w:hanging="720"/>
        <w:rPr>
          <w:rFonts w:cs="Times New Roman"/>
          <w:color w:val="000000" w:themeColor="text1"/>
        </w:rPr>
      </w:pPr>
      <w:r>
        <w:t xml:space="preserve">Weir, K., McMahon, S., Barry, L., Ware, R., Masters, I. B., &amp; Chang, A. B. (2007). Oropharyngeal aspiration and pneumonia in children. </w:t>
      </w:r>
      <w:r>
        <w:rPr>
          <w:i/>
        </w:rPr>
        <w:t>Pediatric Pulmonology, 42</w:t>
      </w:r>
      <w:r>
        <w:t xml:space="preserve">(11), 1024–1031. </w:t>
      </w:r>
      <w:hyperlink r:id="rId35">
        <w:r w:rsidR="00B677BD">
          <w:rPr>
            <w:rStyle w:val="Hyperlink"/>
          </w:rPr>
          <w:t>https://doi.org/10.1002/ppul.20687</w:t>
        </w:r>
      </w:hyperlink>
    </w:p>
    <w:p w14:paraId="06752912" w14:textId="77777777" w:rsidR="00B677BD" w:rsidRPr="00C11AF6" w:rsidRDefault="00000000">
      <w:pPr>
        <w:spacing w:after="80"/>
        <w:ind w:left="720" w:hanging="720"/>
        <w:rPr>
          <w:rFonts w:cs="Times New Roman"/>
          <w:color w:val="000000" w:themeColor="text1"/>
        </w:rPr>
      </w:pPr>
      <w:r>
        <w:t xml:space="preserve">World Health Organization. (2013). </w:t>
      </w:r>
      <w:r>
        <w:rPr>
          <w:i/>
        </w:rPr>
        <w:t>Guideline: Updates on the management of severe acute malnutrition in infants and children</w:t>
      </w:r>
      <w:r>
        <w:t xml:space="preserve">. World Health Organization. </w:t>
      </w:r>
      <w:hyperlink r:id="rId36">
        <w:r w:rsidR="00B677BD">
          <w:rPr>
            <w:rStyle w:val="Hyperlink"/>
          </w:rPr>
          <w:t>https://www.who.int/publications-detail-redirect/9789241506328</w:t>
        </w:r>
      </w:hyperlink>
    </w:p>
    <w:p w14:paraId="57B54120" w14:textId="77777777" w:rsidR="00B677BD" w:rsidRPr="00C11AF6" w:rsidRDefault="00000000">
      <w:pPr>
        <w:spacing w:after="80"/>
        <w:ind w:left="720" w:hanging="720"/>
        <w:rPr>
          <w:rFonts w:cs="Times New Roman"/>
          <w:color w:val="000000" w:themeColor="text1"/>
        </w:rPr>
      </w:pPr>
      <w:r>
        <w:t xml:space="preserve">Ziegler, E. E. (2007). Adverse effects of cow's milk in infants. </w:t>
      </w:r>
      <w:r>
        <w:rPr>
          <w:i/>
        </w:rPr>
        <w:t>Nestlé Nutrition Workshop Series. Paediatric Programme, 60</w:t>
      </w:r>
      <w:r>
        <w:t xml:space="preserve">, 185–199. </w:t>
      </w:r>
      <w:hyperlink r:id="rId37">
        <w:r w:rsidR="00B677BD">
          <w:rPr>
            <w:rStyle w:val="Hyperlink"/>
          </w:rPr>
          <w:t>https://doi.org/10.1159/000106369</w:t>
        </w:r>
      </w:hyperlink>
    </w:p>
    <w:sectPr w:rsidR="00B677BD" w:rsidRPr="00C11AF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774022">
    <w:abstractNumId w:val="8"/>
  </w:num>
  <w:num w:numId="2" w16cid:durableId="825703075">
    <w:abstractNumId w:val="6"/>
  </w:num>
  <w:num w:numId="3" w16cid:durableId="1538665198">
    <w:abstractNumId w:val="5"/>
  </w:num>
  <w:num w:numId="4" w16cid:durableId="1394893769">
    <w:abstractNumId w:val="4"/>
  </w:num>
  <w:num w:numId="5" w16cid:durableId="991182022">
    <w:abstractNumId w:val="7"/>
  </w:num>
  <w:num w:numId="6" w16cid:durableId="786705769">
    <w:abstractNumId w:val="3"/>
  </w:num>
  <w:num w:numId="7" w16cid:durableId="1430736744">
    <w:abstractNumId w:val="2"/>
  </w:num>
  <w:num w:numId="8" w16cid:durableId="1725254771">
    <w:abstractNumId w:val="1"/>
  </w:num>
  <w:num w:numId="9" w16cid:durableId="792208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329"/>
    <w:rsid w:val="00031B5E"/>
    <w:rsid w:val="00034616"/>
    <w:rsid w:val="0006063C"/>
    <w:rsid w:val="0015074B"/>
    <w:rsid w:val="00156555"/>
    <w:rsid w:val="001B779E"/>
    <w:rsid w:val="001E1A86"/>
    <w:rsid w:val="0029639D"/>
    <w:rsid w:val="002C482A"/>
    <w:rsid w:val="00326F90"/>
    <w:rsid w:val="003326BF"/>
    <w:rsid w:val="003547B3"/>
    <w:rsid w:val="003A4315"/>
    <w:rsid w:val="00416D8B"/>
    <w:rsid w:val="005E6E23"/>
    <w:rsid w:val="009204BF"/>
    <w:rsid w:val="00955AF9"/>
    <w:rsid w:val="0098254C"/>
    <w:rsid w:val="00AA1D8D"/>
    <w:rsid w:val="00B47730"/>
    <w:rsid w:val="00B677BD"/>
    <w:rsid w:val="00BB65D3"/>
    <w:rsid w:val="00C11AF6"/>
    <w:rsid w:val="00C84BF8"/>
    <w:rsid w:val="00CB0664"/>
    <w:rsid w:val="00D01419"/>
    <w:rsid w:val="00E258F9"/>
    <w:rsid w:val="00F164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DB959F"/>
  <w14:defaultImageDpi w14:val="300"/>
  <w15:docId w15:val="{A210B16C-5FBF-4434-ABB0-CA0F5E4F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11AF6"/>
    <w:rPr>
      <w:rFonts w:cs="Times New Roman"/>
      <w:sz w:val="24"/>
      <w:szCs w:val="24"/>
    </w:rPr>
  </w:style>
  <w:style w:type="character" w:styleId="Hyperlink">
    <w:name w:val="Hyperlink"/>
    <w:basedOn w:val="DefaultParagraphFont"/>
    <w:uiPriority w:val="99"/>
    <w:unhideWhenUsed/>
    <w:rsid w:val="00416D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542/peds.102.6.e69" TargetMode="External"/><Relationship Id="rId18" Type="http://schemas.openxmlformats.org/officeDocument/2006/relationships/hyperlink" Target="https://doi.org/10.1016/S0022-3476(99)70365-3" TargetMode="External"/><Relationship Id="rId26" Type="http://schemas.openxmlformats.org/officeDocument/2006/relationships/hyperlink" Target="https://doi.org/10.4103/0256-4947.65254" TargetMode="External"/><Relationship Id="rId39" Type="http://schemas.openxmlformats.org/officeDocument/2006/relationships/theme" Target="theme/theme1.xml"/><Relationship Id="rId21" Type="http://schemas.openxmlformats.org/officeDocument/2006/relationships/hyperlink" Target="https://doi.org/10.1038/nrneph.2010.33" TargetMode="External"/><Relationship Id="rId34" Type="http://schemas.openxmlformats.org/officeDocument/2006/relationships/hyperlink" Target="https://doi.org/10.1016/S0140-6736(15)01024-7" TargetMode="External"/><Relationship Id="rId7" Type="http://schemas.openxmlformats.org/officeDocument/2006/relationships/image" Target="media/image2.jpeg"/><Relationship Id="rId12" Type="http://schemas.openxmlformats.org/officeDocument/2006/relationships/hyperlink" Target="https://doi.org/10.1097/PEC.0b013e3182983bac" TargetMode="External"/><Relationship Id="rId17" Type="http://schemas.openxmlformats.org/officeDocument/2006/relationships/hyperlink" Target="https://doi.org/10.1038/s41436-018-0022-8" TargetMode="External"/><Relationship Id="rId25" Type="http://schemas.openxmlformats.org/officeDocument/2006/relationships/hyperlink" Target="https://doi.org/10.1007/s00467-023-06115-5" TargetMode="External"/><Relationship Id="rId33" Type="http://schemas.openxmlformats.org/officeDocument/2006/relationships/hyperlink" Target="https://doi.org/10.1053/j.sempedsurg.2013.10.008"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215/CJN.0000000000000077" TargetMode="External"/><Relationship Id="rId20" Type="http://schemas.openxmlformats.org/officeDocument/2006/relationships/hyperlink" Target="https://www.ncbi.nlm.nih.gov/nlmcatalog/101749617" TargetMode="External"/><Relationship Id="rId29" Type="http://schemas.openxmlformats.org/officeDocument/2006/relationships/hyperlink" Target="https://doi.org/10.9734/IJBCRR/2016/3102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oi.org/10.1016/S0140-6736(07)61690-0" TargetMode="External"/><Relationship Id="rId24" Type="http://schemas.openxmlformats.org/officeDocument/2006/relationships/hyperlink" Target="https://doi.org/10.1056/NEJM200103013440908" TargetMode="External"/><Relationship Id="rId32" Type="http://schemas.openxmlformats.org/officeDocument/2006/relationships/hyperlink" Target="https://doi.org/10.1126/scitranslmed.3010076" TargetMode="External"/><Relationship Id="rId37" Type="http://schemas.openxmlformats.org/officeDocument/2006/relationships/hyperlink" Target="https://doi.org/10.1159/000106369" TargetMode="External"/><Relationship Id="rId5" Type="http://schemas.openxmlformats.org/officeDocument/2006/relationships/webSettings" Target="webSettings.xml"/><Relationship Id="rId15" Type="http://schemas.openxmlformats.org/officeDocument/2006/relationships/hyperlink" Target="https://doi.org/10.1016/j.ymgme.2011.09.026" TargetMode="External"/><Relationship Id="rId23" Type="http://schemas.openxmlformats.org/officeDocument/2006/relationships/hyperlink" Target="https://doi.org/10.3390/jcm15134975" TargetMode="External"/><Relationship Id="rId28" Type="http://schemas.openxmlformats.org/officeDocument/2006/relationships/hyperlink" Target="https://doi.org/10.1016/0921-4488(94)90104-X" TargetMode="External"/><Relationship Id="rId36" Type="http://schemas.openxmlformats.org/officeDocument/2006/relationships/hyperlink" Target="https://www.who.int/publications-detail-redirect/9789241506328" TargetMode="External"/><Relationship Id="rId10" Type="http://schemas.openxmlformats.org/officeDocument/2006/relationships/hyperlink" Target="https://doi.org/10.1542/peds.2009-1906" TargetMode="External"/><Relationship Id="rId19" Type="http://schemas.openxmlformats.org/officeDocument/2006/relationships/hyperlink" Target="https://doi.org/10.1111/j.1478-3231.2011.02655.x" TargetMode="External"/><Relationship Id="rId31" Type="http://schemas.openxmlformats.org/officeDocument/2006/relationships/hyperlink" Target="https://doi.org/10.1007/s12098-024-05044-x" TargetMode="External"/><Relationship Id="rId4" Type="http://schemas.openxmlformats.org/officeDocument/2006/relationships/settings" Target="settings.xml"/><Relationship Id="rId9" Type="http://schemas.openxmlformats.org/officeDocument/2006/relationships/hyperlink" Target="https://doi.org/10.1080/14767058.2023.2299568" TargetMode="External"/><Relationship Id="rId14" Type="http://schemas.openxmlformats.org/officeDocument/2006/relationships/hyperlink" Target="https://doi.org/10.1373/clinchem.2003.022178" TargetMode="External"/><Relationship Id="rId22" Type="http://schemas.openxmlformats.org/officeDocument/2006/relationships/hyperlink" Target="https://doi.org/10.1016/B978-0-323-07307-3.10067-9" TargetMode="External"/><Relationship Id="rId27" Type="http://schemas.openxmlformats.org/officeDocument/2006/relationships/hyperlink" Target="https://doi.org/10.1542/pir.23-11-371" TargetMode="External"/><Relationship Id="rId30" Type="http://schemas.openxmlformats.org/officeDocument/2006/relationships/hyperlink" Target="https://doi.org/10.1007/978-3-662-49771-5" TargetMode="External"/><Relationship Id="rId35" Type="http://schemas.openxmlformats.org/officeDocument/2006/relationships/hyperlink" Target="https://doi.org/10.1002/ppul.20687" TargetMode="External"/><Relationship Id="rId8" Type="http://schemas.openxmlformats.org/officeDocument/2006/relationships/hyperlink" Target="https://doi.org/10.1155/2014/627673"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15</Pages>
  <Words>7763</Words>
  <Characters>44250</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10</cp:revision>
  <dcterms:created xsi:type="dcterms:W3CDTF">2013-12-23T23:15:00Z</dcterms:created>
  <dcterms:modified xsi:type="dcterms:W3CDTF">2026-09-25T10:19:00Z</dcterms:modified>
  <cp:category/>
</cp:coreProperties>
</file>