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4E592" w14:textId="78AB6247" w:rsidR="00B677BD" w:rsidRPr="00C11AF6" w:rsidRDefault="00000000">
      <w:pPr>
        <w:spacing w:after="80"/>
        <w:rPr>
          <w:rFonts w:cs="Times New Roman"/>
          <w:color w:val="000000" w:themeColor="text1"/>
        </w:rPr>
      </w:pPr>
      <w:r w:rsidRPr="00C11AF6">
        <w:rPr>
          <w:rFonts w:cs="Times New Roman"/>
          <w:b/>
          <w:color w:val="000000" w:themeColor="text1"/>
          <w:sz w:val="19"/>
        </w:rPr>
        <w:t>Manuscript Number: Ms_ARJOCS_2851 | Revised Version</w:t>
      </w:r>
      <w:r w:rsidRPr="00C11AF6">
        <w:rPr>
          <w:rFonts w:cs="Times New Roman"/>
          <w:b/>
          <w:color w:val="000000" w:themeColor="text1"/>
          <w:sz w:val="19"/>
        </w:rPr>
        <w:br/>
      </w:r>
      <w:r w:rsidRPr="00C11AF6">
        <w:rPr>
          <w:rFonts w:cs="Times New Roman"/>
          <w:i/>
          <w:color w:val="000000" w:themeColor="text1"/>
          <w:sz w:val="19"/>
        </w:rPr>
        <w:t xml:space="preserve"> Article Type: Case Report</w:t>
      </w:r>
    </w:p>
    <w:p w14:paraId="6441B5A8" w14:textId="4A59A269" w:rsidR="00B677BD" w:rsidRDefault="00000000" w:rsidP="00C11AF6">
      <w:pPr>
        <w:spacing w:before="240" w:after="240"/>
        <w:rPr>
          <w:rFonts w:cs="Times New Roman"/>
          <w:b/>
          <w:color w:val="000000" w:themeColor="text1"/>
          <w:sz w:val="34"/>
        </w:rPr>
      </w:pPr>
      <w:r w:rsidRPr="00C11AF6">
        <w:rPr>
          <w:rFonts w:cs="Times New Roman"/>
          <w:b/>
          <w:color w:val="000000" w:themeColor="text1"/>
          <w:sz w:val="34"/>
        </w:rPr>
        <w:t>Severe High-Anion-Gap Metabolic Acidosis and Critical Hypernatremic Dehydration Mimicking an Inborn Error of Metabolism in a 38-Day-Old Infant: A Case Report</w:t>
      </w:r>
    </w:p>
    <w:p w14:paraId="64790C65" w14:textId="77777777" w:rsidR="00B677BD" w:rsidRPr="00C11AF6" w:rsidRDefault="00000000">
      <w:pPr>
        <w:spacing w:before="120"/>
        <w:rPr>
          <w:rFonts w:cs="Times New Roman"/>
          <w:color w:val="000000" w:themeColor="text1"/>
        </w:rPr>
      </w:pPr>
      <w:r w:rsidRPr="00C11AF6">
        <w:rPr>
          <w:rFonts w:cs="Times New Roman"/>
          <w:b/>
          <w:color w:val="000000" w:themeColor="text1"/>
          <w:sz w:val="26"/>
        </w:rPr>
        <w:t>ABSTRACT</w:t>
      </w:r>
    </w:p>
    <w:p w14:paraId="12DD64E6" w14:textId="704EBAA2" w:rsidR="00B677BD" w:rsidRPr="00C11AF6" w:rsidRDefault="00000000">
      <w:pPr>
        <w:spacing w:after="100"/>
        <w:rPr>
          <w:bCs/>
          <w:color w:val="000000" w:themeColor="text1"/>
          <w:sz w:val="20"/>
          <w:lang w:val="en-IN"/>
        </w:rPr>
      </w:pPr>
      <w:r w:rsidRPr="00C11AF6">
        <w:rPr>
          <w:rFonts w:cs="Times New Roman"/>
          <w:b/>
          <w:color w:val="000000" w:themeColor="text1"/>
          <w:sz w:val="20"/>
        </w:rPr>
        <w:t xml:space="preserve">Background: </w:t>
      </w:r>
      <w:r w:rsidR="00C11AF6" w:rsidRPr="00C11AF6">
        <w:rPr>
          <w:bCs/>
          <w:color w:val="000000" w:themeColor="text1"/>
          <w:sz w:val="20"/>
          <w:lang w:val="en-IN"/>
        </w:rPr>
        <w:t>Acute metabolic decompensation with severe</w:t>
      </w:r>
      <w:r w:rsidR="00C11AF6">
        <w:rPr>
          <w:bCs/>
          <w:color w:val="000000" w:themeColor="text1"/>
          <w:sz w:val="20"/>
          <w:lang w:val="en-IN"/>
        </w:rPr>
        <w:t xml:space="preserve"> </w:t>
      </w:r>
      <w:r w:rsidR="00C11AF6" w:rsidRPr="00C11AF6">
        <w:rPr>
          <w:bCs/>
          <w:color w:val="000000" w:themeColor="text1"/>
          <w:sz w:val="20"/>
          <w:lang w:val="en-IN"/>
        </w:rPr>
        <w:t xml:space="preserve">high-anion-gap metabolic acidosis </w:t>
      </w:r>
      <w:r w:rsidR="00C11AF6">
        <w:rPr>
          <w:bCs/>
          <w:color w:val="000000" w:themeColor="text1"/>
          <w:sz w:val="20"/>
          <w:lang w:val="en-IN"/>
        </w:rPr>
        <w:t>(</w:t>
      </w:r>
      <w:r w:rsidR="00C11AF6" w:rsidRPr="00C11AF6">
        <w:rPr>
          <w:bCs/>
          <w:color w:val="000000" w:themeColor="text1"/>
          <w:sz w:val="20"/>
          <w:lang w:val="en-IN"/>
        </w:rPr>
        <w:t>HAGMA</w:t>
      </w:r>
      <w:r w:rsidR="00C11AF6">
        <w:rPr>
          <w:bCs/>
          <w:color w:val="000000" w:themeColor="text1"/>
          <w:sz w:val="20"/>
          <w:lang w:val="en-IN"/>
        </w:rPr>
        <w:t>)</w:t>
      </w:r>
      <w:r w:rsidR="00C11AF6" w:rsidRPr="00C11AF6">
        <w:rPr>
          <w:bCs/>
          <w:color w:val="000000" w:themeColor="text1"/>
          <w:sz w:val="20"/>
          <w:lang w:val="en-IN"/>
        </w:rPr>
        <w:t xml:space="preserve"> in early infancy is a severe diagnostic dilemma. Although primary inborn errors of metabolism (IEMs) such as the organic acidurias and the fatty acid oxidation defects have always been prominent the diagnostic considerations, acquired systemic illnesses due to improper infant feeding, critical </w:t>
      </w:r>
      <w:proofErr w:type="spellStart"/>
      <w:r w:rsidR="00C11AF6" w:rsidRPr="00C11AF6">
        <w:rPr>
          <w:bCs/>
          <w:color w:val="000000" w:themeColor="text1"/>
          <w:sz w:val="20"/>
          <w:lang w:val="en-IN"/>
        </w:rPr>
        <w:t>hypernatremic</w:t>
      </w:r>
      <w:proofErr w:type="spellEnd"/>
      <w:r w:rsidR="00C11AF6" w:rsidRPr="00C11AF6">
        <w:rPr>
          <w:bCs/>
          <w:color w:val="000000" w:themeColor="text1"/>
          <w:sz w:val="20"/>
          <w:lang w:val="en-IN"/>
        </w:rPr>
        <w:t xml:space="preserve"> dehydration, starvation ketosis, and subsequent pulmonary aspiration may closely resemble the clinical and biochemical picture.</w:t>
      </w:r>
    </w:p>
    <w:p w14:paraId="527475BD" w14:textId="719A5E5E" w:rsidR="00B677BD" w:rsidRPr="00C11AF6" w:rsidRDefault="00000000">
      <w:pPr>
        <w:spacing w:after="100"/>
        <w:rPr>
          <w:bCs/>
          <w:color w:val="000000" w:themeColor="text1"/>
          <w:sz w:val="20"/>
          <w:lang w:val="en-IN"/>
        </w:rPr>
      </w:pPr>
      <w:r w:rsidRPr="00C11AF6">
        <w:rPr>
          <w:rFonts w:cs="Times New Roman"/>
          <w:b/>
          <w:color w:val="000000" w:themeColor="text1"/>
          <w:sz w:val="20"/>
        </w:rPr>
        <w:t xml:space="preserve">Case Presentation: </w:t>
      </w:r>
      <w:r w:rsidR="00C11AF6" w:rsidRPr="00C11AF6">
        <w:rPr>
          <w:bCs/>
          <w:color w:val="000000" w:themeColor="text1"/>
          <w:sz w:val="20"/>
          <w:lang w:val="en-IN"/>
        </w:rPr>
        <w:t xml:space="preserve">A 38-day-old female infant was admitted to the paediatric intensive care unit (PICU) with acute respiratory failure, lethargy, hypothermia/fever, and shock that was previously decompensated. She was born full-term (birth </w:t>
      </w:r>
      <w:proofErr w:type="gramStart"/>
      <w:r w:rsidR="00C11AF6" w:rsidRPr="00C11AF6">
        <w:rPr>
          <w:bCs/>
          <w:color w:val="000000" w:themeColor="text1"/>
          <w:sz w:val="20"/>
          <w:lang w:val="en-IN"/>
        </w:rPr>
        <w:t>weight</w:t>
      </w:r>
      <w:proofErr w:type="gramEnd"/>
      <w:r w:rsidR="00C11AF6" w:rsidRPr="00C11AF6">
        <w:rPr>
          <w:bCs/>
          <w:color w:val="000000" w:themeColor="text1"/>
          <w:sz w:val="20"/>
          <w:lang w:val="en-IN"/>
        </w:rPr>
        <w:t xml:space="preserve"> 2.70 kg), and after primary milk supply failure she deteriorated to 2.02 kg (weight-for-age &lt; -3SD</w:t>
      </w:r>
      <w:r w:rsidR="00C11AF6" w:rsidRPr="00C11AF6">
        <w:t xml:space="preserve"> </w:t>
      </w:r>
      <w:r w:rsidR="00C11AF6" w:rsidRPr="00C11AF6">
        <w:rPr>
          <w:bCs/>
          <w:color w:val="000000" w:themeColor="text1"/>
          <w:sz w:val="20"/>
          <w:lang w:val="en-IN"/>
        </w:rPr>
        <w:t xml:space="preserve">standard deviations [catastrophic failure to thrive]) after switching to exclusive use of unmodified, undiluted cow and goat milk from day of life 15. Admission labs revealed a severe, partially compensated high-anion-gap metabolic acidosis (pH 7.22, pCO2 16.0 mmHg, HCO3- 6.5 mmol/L, BE -21.2 mmol/L, calculated anion gap 20.9 </w:t>
      </w:r>
      <w:proofErr w:type="spellStart"/>
      <w:r w:rsidR="00C11AF6" w:rsidRPr="00C11AF6">
        <w:rPr>
          <w:bCs/>
          <w:color w:val="000000" w:themeColor="text1"/>
          <w:sz w:val="20"/>
          <w:lang w:val="en-IN"/>
        </w:rPr>
        <w:t>mEq</w:t>
      </w:r>
      <w:proofErr w:type="spellEnd"/>
      <w:r w:rsidR="00C11AF6" w:rsidRPr="00C11AF6">
        <w:rPr>
          <w:bCs/>
          <w:color w:val="000000" w:themeColor="text1"/>
          <w:sz w:val="20"/>
          <w:lang w:val="en-IN"/>
        </w:rPr>
        <w:t xml:space="preserve">/L). </w:t>
      </w:r>
      <w:r w:rsidR="00C11AF6" w:rsidRPr="00C11AF6">
        <w:rPr>
          <w:rFonts w:cs="Times New Roman"/>
          <w:bCs/>
          <w:color w:val="000000" w:themeColor="text1"/>
          <w:sz w:val="20"/>
          <w:lang w:val="en-IN"/>
        </w:rPr>
        <w:t xml:space="preserve">Laboratory tests demonstrated marked hypernatremia (165.1 mmol/L), profound hypokalaemia (nadir 1.80 mmol/L), intravascular dehydration (urea 89.9 mg/dL, serum creatinine 0.55-0.80 mg/dL), ischemic transaminitis (AST 121 U/L, ALT 308.3 U/L), and coagulopathy (PT 25.1 sec, INR 2.1). Admission chest radiograph confirmed bilateral perihilar </w:t>
      </w:r>
      <w:proofErr w:type="spellStart"/>
      <w:r w:rsidR="00C11AF6" w:rsidRPr="00C11AF6">
        <w:rPr>
          <w:rFonts w:cs="Times New Roman"/>
          <w:bCs/>
          <w:color w:val="000000" w:themeColor="text1"/>
          <w:sz w:val="20"/>
          <w:lang w:val="en-IN"/>
        </w:rPr>
        <w:t>bronchovascular</w:t>
      </w:r>
      <w:proofErr w:type="spellEnd"/>
      <w:r w:rsidR="00C11AF6" w:rsidRPr="00C11AF6">
        <w:rPr>
          <w:rFonts w:cs="Times New Roman"/>
          <w:bCs/>
          <w:color w:val="000000" w:themeColor="text1"/>
          <w:sz w:val="20"/>
          <w:lang w:val="en-IN"/>
        </w:rPr>
        <w:t xml:space="preserve"> markings consistent with aspiration pneumonitis. Her life-threatening metabolic state prompted urgent etiological work-up for an inherited metabolic disorder. Advanced critical care support included invasive mechanical ventilation, volume repletion with 1.5x maintenance IV fluids to target a calculated rate of controlled serum sodium level normalization (&lt;0.5 mmol/L/hr), fractionated serum sodium bicarbonate repletion, aggressive repletion of serum potassium, inotropic medications, and broad-spectrum antibiotics. Blood ammonia (87.0 g/dL) and blood lactate (1.3 mmol/L) were both normal, and stable infant screening by tandem mass spectrometry (TMS) showed no metabolic abnormalities. Urine gas chromatography-mass spectrometry (GC-MS) was ultimately not diagnostic due to prior therapeutic alkalinization. She was extubated successfully on day 4 of admission. Following transition to monitored enteral feeding with human breast milk and standard infant formula, she demonstrated excellent catch-up growth to 2.33 kg at discharge and to 2.42 kg at 1 week.</w:t>
      </w:r>
    </w:p>
    <w:p w14:paraId="58D5B79D" w14:textId="39A049DA" w:rsidR="00B677BD" w:rsidRPr="00E258F9" w:rsidRDefault="00000000">
      <w:pPr>
        <w:spacing w:after="100"/>
        <w:rPr>
          <w:bCs/>
          <w:color w:val="000000" w:themeColor="text1"/>
          <w:sz w:val="20"/>
          <w:lang w:val="en-IN"/>
        </w:rPr>
      </w:pPr>
      <w:r w:rsidRPr="00C11AF6">
        <w:rPr>
          <w:rFonts w:cs="Times New Roman"/>
          <w:b/>
          <w:color w:val="000000" w:themeColor="text1"/>
          <w:sz w:val="20"/>
        </w:rPr>
        <w:t xml:space="preserve">Discussion: </w:t>
      </w:r>
      <w:r w:rsidR="00E258F9" w:rsidRPr="00E258F9">
        <w:rPr>
          <w:bCs/>
          <w:color w:val="000000" w:themeColor="text1"/>
          <w:sz w:val="20"/>
          <w:lang w:val="en-IN"/>
        </w:rPr>
        <w:t>Providing untreated bovine and caprine milk to high-risk neonatal calves’ results in an excessive renal solute load stimulating obligatory osmotic diuresis and profound hyperosmolar dehydration, cell shrivelling and secondary metabolic acidosis. Although the early disease phenotype strongly indicated an inherited metabolic condition, the multi-organ disturbances resolved in a matter of days with judicious fluid, electrolyte and caloric intake and the exon screening tests were reassuring; a definitive diagnosis requires outpatient genomic sequencing for atypical and later-onset IEMs.</w:t>
      </w:r>
    </w:p>
    <w:p w14:paraId="327344A2" w14:textId="13B0289F" w:rsidR="00E258F9" w:rsidRDefault="00000000" w:rsidP="00E258F9">
      <w:pPr>
        <w:spacing w:after="100"/>
        <w:rPr>
          <w:bCs/>
          <w:color w:val="000000" w:themeColor="text1"/>
          <w:sz w:val="20"/>
          <w:lang w:val="en-IN"/>
        </w:rPr>
      </w:pPr>
      <w:r w:rsidRPr="00C11AF6">
        <w:rPr>
          <w:rFonts w:cs="Times New Roman"/>
          <w:b/>
          <w:color w:val="000000" w:themeColor="text1"/>
          <w:sz w:val="20"/>
        </w:rPr>
        <w:t>Conclusion</w:t>
      </w:r>
      <w:r w:rsidRPr="00E258F9">
        <w:rPr>
          <w:rFonts w:cs="Times New Roman"/>
          <w:bCs/>
          <w:color w:val="000000" w:themeColor="text1"/>
          <w:sz w:val="20"/>
        </w:rPr>
        <w:t xml:space="preserve">: </w:t>
      </w:r>
      <w:r w:rsidR="00E258F9" w:rsidRPr="00E258F9">
        <w:rPr>
          <w:bCs/>
          <w:color w:val="000000" w:themeColor="text1"/>
          <w:sz w:val="20"/>
          <w:lang w:val="en-IN"/>
        </w:rPr>
        <w:t xml:space="preserve">Severe </w:t>
      </w:r>
      <w:proofErr w:type="spellStart"/>
      <w:r w:rsidR="00E258F9" w:rsidRPr="00E258F9">
        <w:rPr>
          <w:bCs/>
          <w:color w:val="000000" w:themeColor="text1"/>
          <w:sz w:val="20"/>
          <w:lang w:val="en-IN"/>
        </w:rPr>
        <w:t>hypernatremic</w:t>
      </w:r>
      <w:proofErr w:type="spellEnd"/>
      <w:r w:rsidR="00E258F9" w:rsidRPr="00E258F9">
        <w:rPr>
          <w:bCs/>
          <w:color w:val="000000" w:themeColor="text1"/>
          <w:sz w:val="20"/>
          <w:lang w:val="en-IN"/>
        </w:rPr>
        <w:t xml:space="preserve"> dehydration and nutritional deprivation following inappropriate animal-milk feeding can imitate the disastrous clinical and biochemical phenotype of an IEM. Otherwise, careful and slow correction of dehydration and blood values-namely, delicate correction of the sodium level to avoid cerebral oedema and supplementing oxygen and progressive enteral support and correction in a systematic way leads to perfect cure, without the need for toilsome lifelong restriction diets.</w:t>
      </w:r>
    </w:p>
    <w:p w14:paraId="3FA3EA79" w14:textId="6EB50AFB" w:rsidR="00B677BD" w:rsidRPr="00E258F9" w:rsidRDefault="00000000" w:rsidP="00E258F9">
      <w:pPr>
        <w:spacing w:after="100"/>
        <w:rPr>
          <w:bCs/>
          <w:color w:val="000000" w:themeColor="text1"/>
          <w:sz w:val="20"/>
          <w:lang w:val="en-IN"/>
        </w:rPr>
      </w:pPr>
      <w:r w:rsidRPr="00C11AF6">
        <w:rPr>
          <w:rFonts w:cs="Times New Roman"/>
          <w:b/>
          <w:color w:val="000000" w:themeColor="text1"/>
          <w:sz w:val="20"/>
        </w:rPr>
        <w:lastRenderedPageBreak/>
        <w:t xml:space="preserve">Keywords: </w:t>
      </w:r>
      <w:r w:rsidRPr="00C11AF6">
        <w:rPr>
          <w:rFonts w:cs="Times New Roman"/>
          <w:color w:val="000000" w:themeColor="text1"/>
          <w:sz w:val="20"/>
        </w:rPr>
        <w:t xml:space="preserve">Severe Metabolic Acidosis; </w:t>
      </w:r>
      <w:proofErr w:type="spellStart"/>
      <w:r w:rsidRPr="00C11AF6">
        <w:rPr>
          <w:rFonts w:cs="Times New Roman"/>
          <w:color w:val="000000" w:themeColor="text1"/>
          <w:sz w:val="20"/>
        </w:rPr>
        <w:t>Hypernatremic</w:t>
      </w:r>
      <w:proofErr w:type="spellEnd"/>
      <w:r w:rsidRPr="00C11AF6">
        <w:rPr>
          <w:rFonts w:cs="Times New Roman"/>
          <w:color w:val="000000" w:themeColor="text1"/>
          <w:sz w:val="20"/>
        </w:rPr>
        <w:t xml:space="preserve"> Dehydration; Inborn Errors of Metabolism (IEM); Aspiration Pneumonia; Failure to Thrive; Unmodified Animal Milk; Potential Renal Solute Load; Pediatric Intensive Care.</w:t>
      </w:r>
    </w:p>
    <w:p w14:paraId="0E670717" w14:textId="77777777" w:rsidR="00B677BD" w:rsidRPr="00C11AF6" w:rsidRDefault="00000000">
      <w:pPr>
        <w:pStyle w:val="Heading1"/>
        <w:spacing w:before="280" w:after="120"/>
        <w:rPr>
          <w:rFonts w:ascii="Times New Roman" w:hAnsi="Times New Roman" w:cs="Times New Roman"/>
          <w:color w:val="000000" w:themeColor="text1"/>
        </w:rPr>
      </w:pPr>
      <w:r w:rsidRPr="00C11AF6">
        <w:rPr>
          <w:rFonts w:ascii="Times New Roman" w:hAnsi="Times New Roman" w:cs="Times New Roman"/>
          <w:color w:val="000000" w:themeColor="text1"/>
          <w:sz w:val="26"/>
        </w:rPr>
        <w:t>1. INTRODUCTION</w:t>
      </w:r>
    </w:p>
    <w:p w14:paraId="33472357" w14:textId="59CD244C" w:rsidR="00B677BD" w:rsidRPr="00E258F9" w:rsidRDefault="00000000" w:rsidP="00E258F9">
      <w:pPr>
        <w:rPr>
          <w:color w:val="000000" w:themeColor="text1"/>
          <w:lang w:val="en-IN"/>
        </w:rPr>
      </w:pPr>
      <w:r w:rsidRPr="00C11AF6">
        <w:rPr>
          <w:rFonts w:cs="Times New Roman"/>
          <w:color w:val="000000" w:themeColor="text1"/>
        </w:rPr>
        <w:t xml:space="preserve">Acute </w:t>
      </w:r>
      <w:r w:rsidR="00E258F9" w:rsidRPr="00E258F9">
        <w:rPr>
          <w:color w:val="000000" w:themeColor="text1"/>
          <w:lang w:val="en-IN"/>
        </w:rPr>
        <w:t xml:space="preserve">Acute metabolic decompensation with severe high- anion-gap metabolic acidosis (HAGMA) during early infancy is among the most dreaded and complex technical challenges of paediatric intensive care medicine [1,2]. The differential diagnosis for an infant presenting with a severe </w:t>
      </w:r>
      <w:proofErr w:type="spellStart"/>
      <w:r w:rsidR="00E258F9" w:rsidRPr="00E258F9">
        <w:rPr>
          <w:color w:val="000000" w:themeColor="text1"/>
          <w:lang w:val="en-IN"/>
        </w:rPr>
        <w:t>acid</w:t>
      </w:r>
      <w:r w:rsidR="00E258F9">
        <w:rPr>
          <w:color w:val="000000" w:themeColor="text1"/>
          <w:lang w:val="en-IN"/>
        </w:rPr>
        <w:t>a</w:t>
      </w:r>
      <w:r w:rsidR="00E258F9" w:rsidRPr="00E258F9">
        <w:rPr>
          <w:color w:val="000000" w:themeColor="text1"/>
          <w:lang w:val="en-IN"/>
        </w:rPr>
        <w:t>emic</w:t>
      </w:r>
      <w:proofErr w:type="spellEnd"/>
      <w:r w:rsidR="00E258F9" w:rsidRPr="00E258F9">
        <w:rPr>
          <w:color w:val="000000" w:themeColor="text1"/>
          <w:lang w:val="en-IN"/>
        </w:rPr>
        <w:t xml:space="preserve"> state, deranged sensorium, tachypnoea, and suboptimal cardiovascular performance during the first two months of life is eminently complicated, requiring clinicians to carefully steer between primary inborn errors of metabolism (IEMs) and life-threatening secondary acquired systemic decompensations [2,3]. Primary IEMs-individually classical organic acidaemia’s (methylmalonic, propionic and isovaleric acidaemia) and mitochondrial fatty acid oxidation disorders (medium-chain acyl-CoA dehydrogenase deficiency)-are especially notorious for their life-threatening accumulation of systemic intermediary organic metabolites, secondary hyperammonaemia, profound ketosis, and complicating secondary encephalopathy [3,4]. In geographical areas with high consanguinity or inadequate national neonatal screening programs, most physicians are well aware of this diagnostic challenge [5].</w:t>
      </w:r>
      <w:r w:rsidR="00E258F9">
        <w:rPr>
          <w:color w:val="000000" w:themeColor="text1"/>
          <w:lang w:val="en-IN"/>
        </w:rPr>
        <w:t xml:space="preserve"> </w:t>
      </w:r>
      <w:r w:rsidR="00E258F9" w:rsidRPr="00E258F9">
        <w:rPr>
          <w:color w:val="000000" w:themeColor="text1"/>
          <w:lang w:val="en-IN"/>
        </w:rPr>
        <w:t xml:space="preserve">However, critically ill secondary acute metabolic decompensations stemming from systemic acquired insults can be equally lethal, yet completely reversible aetiologies of early infancy decompensation in low- and middle-income settings and transition economies [6,7]. Amongst them, the most common and underdiagnosed is severe </w:t>
      </w:r>
      <w:proofErr w:type="spellStart"/>
      <w:r w:rsidR="00E258F9" w:rsidRPr="00E258F9">
        <w:rPr>
          <w:color w:val="000000" w:themeColor="text1"/>
          <w:lang w:val="en-IN"/>
        </w:rPr>
        <w:t>hypernatremic</w:t>
      </w:r>
      <w:proofErr w:type="spellEnd"/>
      <w:r w:rsidR="00E258F9" w:rsidRPr="00E258F9">
        <w:rPr>
          <w:color w:val="000000" w:themeColor="text1"/>
          <w:lang w:val="en-IN"/>
        </w:rPr>
        <w:t xml:space="preserve"> dehydration secondary to inappropriate infant feeding [7,8]. When early mother-infant nutrition is insufficient, social constraints, sociocultural traditions, or ill health in the mother, the care-giver might resort to supplementing or outright substituting unmodified animal milk (mainly bovine and goat milk) for human milk [7,8]. Unmodified fresh animal milk contains significantly greater total protein (majority casein) and mineral-electrolyte contents than preterm or mature human milk-magnitudes of approximately three-fold more protein and three- to four-fold more sodium, potassium, and phosphates [8,9]. This results in an unphysiological renal solute load, overburdens the immature renal tubular capacity to excrete fixed solutes, and produces relentless obligatory urinary water excretion [8,9].</w:t>
      </w:r>
      <w:r w:rsidR="00E258F9" w:rsidRPr="00E258F9">
        <w:rPr>
          <w:color w:val="000000" w:themeColor="text1"/>
          <w:lang w:val="en-IN"/>
        </w:rPr>
        <w:br/>
        <w:t xml:space="preserve">The newborn kidney has an immature medullary counter current system limiting water concentrating capacity to about 600–700 </w:t>
      </w:r>
      <w:proofErr w:type="spellStart"/>
      <w:r w:rsidR="00E258F9" w:rsidRPr="00E258F9">
        <w:rPr>
          <w:color w:val="000000" w:themeColor="text1"/>
          <w:lang w:val="en-IN"/>
        </w:rPr>
        <w:t>mOsm</w:t>
      </w:r>
      <w:proofErr w:type="spellEnd"/>
      <w:r w:rsidR="00E258F9" w:rsidRPr="00E258F9">
        <w:rPr>
          <w:color w:val="000000" w:themeColor="text1"/>
          <w:lang w:val="en-IN"/>
        </w:rPr>
        <w:t xml:space="preserve">/kg H2O in the first month [9,10]. Its ability to compensate for this is limited to a maximum renal urine osmolarity of approximately 600-800 </w:t>
      </w:r>
      <w:proofErr w:type="spellStart"/>
      <w:r w:rsidR="00E258F9" w:rsidRPr="00E258F9">
        <w:rPr>
          <w:color w:val="000000" w:themeColor="text1"/>
          <w:lang w:val="en-IN"/>
        </w:rPr>
        <w:t>mOsm</w:t>
      </w:r>
      <w:proofErr w:type="spellEnd"/>
      <w:r w:rsidR="00E258F9" w:rsidRPr="00E258F9">
        <w:rPr>
          <w:color w:val="000000" w:themeColor="text1"/>
          <w:lang w:val="en-IN"/>
        </w:rPr>
        <w:t xml:space="preserve">/kg H2O in the first month of life [10]. Unmodified fresh animal milk therefore produces an excess obligate solute load and demands massive volume depletion and water clearance, which cannot be met by limited water intake or hot ambient temperatures [8,9,10]. Consequently, excess obligate renal solute load combined with restricted fluid intake in conjunction with ambient heat and insensible losses will lead to severe hyperosmotic dehydration and volume depletion, crenation of the organ tissue cells, secondary hypovolemic shock and prerenal azotaemia [6,9]. The ensuing starvation (which liberates organic acids in the tissues) and low caloric intake cause lipolysis and protein breakdown, further depresses perfusion and causes hypoxia, and causes deficits of energy substrates for a massive post-absorptive period, favouring unopposed NAD+ reduction, lactate formation, inorganic sulphates and phosphates accumulation, and metabolic acidosis [3,6,11]. The net effect is an anion gap that graphically mimics a primary IEM [3,6,11]. This scenario becomes all the more complex when hypoventilation perpetuates and Kussmaul respiratory response is unable to alleviate the acidosis; when the patient runs out of protective gastrointestinal reflexes that </w:t>
      </w:r>
      <w:proofErr w:type="spellStart"/>
      <w:r w:rsidR="00E258F9" w:rsidRPr="00E258F9">
        <w:rPr>
          <w:color w:val="000000" w:themeColor="text1"/>
          <w:lang w:val="en-IN"/>
        </w:rPr>
        <w:t>deglutitate</w:t>
      </w:r>
      <w:proofErr w:type="spellEnd"/>
      <w:r w:rsidR="00E258F9" w:rsidRPr="00E258F9">
        <w:rPr>
          <w:color w:val="000000" w:themeColor="text1"/>
          <w:lang w:val="en-IN"/>
        </w:rPr>
        <w:t xml:space="preserve"> vomit and loses the ability to perform a coordinated swallow response; or when this infatuated </w:t>
      </w:r>
      <w:r w:rsidR="00E258F9" w:rsidRPr="00E258F9">
        <w:rPr>
          <w:color w:val="000000" w:themeColor="text1"/>
          <w:lang w:val="en-IN"/>
        </w:rPr>
        <w:lastRenderedPageBreak/>
        <w:t xml:space="preserve">primate develops aspiration pneumonia into animal milk-charged by aspiration pneumonitis. These combined processes lead to worsening of the systemic catabolic stress, increases the burden of fixed acids, stimulates further hypoxia and tissue ischemia, impairs hepatorenal clearance mechanisms and overall exacerbates the already enormously depleted energy stores [2,12,13]. Unmodified animal milk inhibits the airway protective cough reflex and damages alveolar mucociliary clearance mechanisms; chemical pneumonitis secondary to aspiration results in necrosis, superimposed bacterial pulmonary infection, sickening infiltrates on chest imaging, and refractory respiratory failure with systemic ischemia and coagulopathy [13].Such confusion becomes especially dangerous in high-resource settings where premature hypotonic hydration can induce fluid shifts across the blood-brain barrier and acute iatrogenic cerebral oedema; or in low-resource settings where neglect for the differential potential for normal and anomalous high-anion-gap acidotic states can lead to accelerated catabolism and a further worsening of the acidotic state [14]. Recognition and delineation of this capacity-stress test in the form of an acquired nutritional cause of </w:t>
      </w:r>
      <w:proofErr w:type="spellStart"/>
      <w:r w:rsidR="00E258F9" w:rsidRPr="00E258F9">
        <w:rPr>
          <w:color w:val="000000" w:themeColor="text1"/>
          <w:lang w:val="en-IN"/>
        </w:rPr>
        <w:t>hypernatremic</w:t>
      </w:r>
      <w:proofErr w:type="spellEnd"/>
      <w:r w:rsidR="00E258F9" w:rsidRPr="00E258F9">
        <w:rPr>
          <w:color w:val="000000" w:themeColor="text1"/>
          <w:lang w:val="en-IN"/>
        </w:rPr>
        <w:t xml:space="preserve"> dehydration can provide invaluable clues for the intensive care paediatrician, neonatologist and intensive care physician, directing the initial management plan appropriately. The aims of this report are as follows: (1) to describe the clinical features of an infant with rapid </w:t>
      </w:r>
      <w:proofErr w:type="spellStart"/>
      <w:r w:rsidR="00E258F9" w:rsidRPr="00E258F9">
        <w:rPr>
          <w:color w:val="000000" w:themeColor="text1"/>
          <w:lang w:val="en-IN"/>
        </w:rPr>
        <w:t>hypernatremic</w:t>
      </w:r>
      <w:proofErr w:type="spellEnd"/>
      <w:r w:rsidR="00E258F9" w:rsidRPr="00E258F9">
        <w:rPr>
          <w:color w:val="000000" w:themeColor="text1"/>
          <w:lang w:val="en-IN"/>
        </w:rPr>
        <w:t xml:space="preserve"> dehydration and failure to thrive in the context of aspiration pneumonia, severe HAGMA, and aetiology mimicking that of an IEM; (2) to identify the principles of gradual correction of electrolytes and acidotic states to prevent neurological damage; (3) to set out a framework of differential diagnosis and follow-up investigations that are apt to be inconclusive at initial presentation.</w:t>
      </w:r>
    </w:p>
    <w:p w14:paraId="4B238431" w14:textId="77777777" w:rsidR="00B677BD" w:rsidRPr="00C11AF6" w:rsidRDefault="00000000">
      <w:pPr>
        <w:pStyle w:val="Heading1"/>
        <w:spacing w:before="280" w:after="120"/>
        <w:rPr>
          <w:rFonts w:ascii="Times New Roman" w:hAnsi="Times New Roman" w:cs="Times New Roman"/>
          <w:color w:val="000000" w:themeColor="text1"/>
        </w:rPr>
      </w:pPr>
      <w:r w:rsidRPr="00C11AF6">
        <w:rPr>
          <w:rFonts w:ascii="Times New Roman" w:hAnsi="Times New Roman" w:cs="Times New Roman"/>
          <w:color w:val="000000" w:themeColor="text1"/>
          <w:sz w:val="26"/>
        </w:rPr>
        <w:t>2. CASE PRESENTATION</w:t>
      </w:r>
    </w:p>
    <w:p w14:paraId="2C931F7F" w14:textId="77777777" w:rsidR="00B677BD" w:rsidRDefault="00000000">
      <w:pPr>
        <w:pStyle w:val="Heading2"/>
        <w:spacing w:after="80"/>
        <w:rPr>
          <w:rFonts w:ascii="Times New Roman" w:hAnsi="Times New Roman" w:cs="Times New Roman"/>
          <w:color w:val="000000" w:themeColor="text1"/>
          <w:sz w:val="23"/>
        </w:rPr>
      </w:pPr>
      <w:r w:rsidRPr="00C11AF6">
        <w:rPr>
          <w:rFonts w:ascii="Times New Roman" w:hAnsi="Times New Roman" w:cs="Times New Roman"/>
          <w:color w:val="000000" w:themeColor="text1"/>
          <w:sz w:val="23"/>
        </w:rPr>
        <w:t>2.1 Patient Demographics and Perinatal History</w:t>
      </w:r>
    </w:p>
    <w:p w14:paraId="3ECD50D5" w14:textId="32607A87" w:rsidR="00E258F9" w:rsidRPr="00E258F9" w:rsidRDefault="00E258F9" w:rsidP="00E258F9">
      <w:pPr>
        <w:rPr>
          <w:lang w:val="en-IN"/>
        </w:rPr>
      </w:pPr>
      <w:r w:rsidRPr="00E258F9">
        <w:rPr>
          <w:lang w:val="en-IN"/>
        </w:rPr>
        <w:t>A 38 days old female baby admitted in Paediatric Intensive Care Unit (PICU) of S. S. Institute of Medical Sciences &amp; Research Centre (SSIMS &amp; RC), Davangere, Karnataka, India on 17th August 2026. The baby was born at term by uneventful lower segment Caesarean section (LSCS), to a non-consanguineous couple. The antenatal period was not complicated and antenatal maternal follow-up was uneventful. The routine ultrasound scans were normal. Antenatal period weight was 2.70kg (appropriate for gestational age). The baby's period of adaptation was uneventful without resuscitation, and Apgar scores of 8 &amp; 9 at 1min &amp; 5 mins respectively, with no facial dysmorphism and a baby birth weight was 2.70kg (appropriate for gestational age). She had normal neonatal period of eventful with no resuscitation, with healthy APGAR of 8, 9 and 5 mins respectively with no facial dysmorphism. The baby was immunized for Oral polio zero dose, BCG &amp; Hepatitis B. The mother had opted for D</w:t>
      </w:r>
      <w:r w:rsidR="0098254C">
        <w:rPr>
          <w:lang w:val="en-IN"/>
        </w:rPr>
        <w:t>AMA (</w:t>
      </w:r>
      <w:r w:rsidR="0098254C" w:rsidRPr="0098254C">
        <w:rPr>
          <w:lang w:val="en-IN"/>
        </w:rPr>
        <w:t>discharge against medical advice</w:t>
      </w:r>
      <w:r w:rsidR="0098254C">
        <w:rPr>
          <w:lang w:val="en-IN"/>
        </w:rPr>
        <w:t>)</w:t>
      </w:r>
      <w:r w:rsidRPr="00E258F9">
        <w:rPr>
          <w:lang w:val="en-IN"/>
        </w:rPr>
        <w:t xml:space="preserve"> with family from nutritional anxieties.</w:t>
      </w:r>
    </w:p>
    <w:p w14:paraId="6EF5439A" w14:textId="77777777" w:rsidR="00B677BD" w:rsidRDefault="00000000">
      <w:pPr>
        <w:pStyle w:val="Heading2"/>
        <w:spacing w:after="80"/>
        <w:rPr>
          <w:rFonts w:ascii="Times New Roman" w:hAnsi="Times New Roman" w:cs="Times New Roman"/>
          <w:color w:val="000000" w:themeColor="text1"/>
          <w:sz w:val="23"/>
        </w:rPr>
      </w:pPr>
      <w:r w:rsidRPr="00C11AF6">
        <w:rPr>
          <w:rFonts w:ascii="Times New Roman" w:hAnsi="Times New Roman" w:cs="Times New Roman"/>
          <w:color w:val="000000" w:themeColor="text1"/>
          <w:sz w:val="23"/>
        </w:rPr>
        <w:t>2.2 Feeding History and Precipitating Dietary Mismanagement</w:t>
      </w:r>
    </w:p>
    <w:p w14:paraId="0BB76ECB" w14:textId="159A0E5A" w:rsidR="0098254C" w:rsidRPr="0098254C" w:rsidRDefault="0098254C" w:rsidP="0098254C">
      <w:pPr>
        <w:rPr>
          <w:lang w:val="en-IN"/>
        </w:rPr>
      </w:pPr>
      <w:r w:rsidRPr="0098254C">
        <w:rPr>
          <w:lang w:val="en-IN"/>
        </w:rPr>
        <w:t>After discharge, the mother suffered from persistent primary lactation failure, and the infant had non-nutritive superficial sucking. To pacify a fretfully crying infant, the family started intermittent commercial infant formula feeding; however, from the 15th day of life onwards, the infant was fed exclusively with fresh cow and goat milk (unmodified, undiluted, and at irregular intervals without supplementary boiled water, and in unhygienic conditions). At the 15th day after birth, the Accredited Social Health Activist (ASHA) conducted a home visit but the family did not follow an organized medical consultation or re</w:t>
      </w:r>
      <w:r>
        <w:rPr>
          <w:lang w:val="en-IN"/>
        </w:rPr>
        <w:t>-</w:t>
      </w:r>
      <w:r w:rsidRPr="0098254C">
        <w:rPr>
          <w:lang w:val="en-IN"/>
        </w:rPr>
        <w:t xml:space="preserve">lactation counselling; however, over the next 3 weeks, the infant faced relentless and </w:t>
      </w:r>
      <w:r w:rsidRPr="0098254C">
        <w:rPr>
          <w:lang w:val="en-IN"/>
        </w:rPr>
        <w:lastRenderedPageBreak/>
        <w:t>severe weight loss (from 2.70 kg at birth to 2.02 kg at presentation- a precipitous 25.2% below birth weight- catastrophic failure to thrive).</w:t>
      </w:r>
    </w:p>
    <w:p w14:paraId="7F96097A" w14:textId="77777777" w:rsidR="00B677BD" w:rsidRPr="00C11AF6" w:rsidRDefault="00000000">
      <w:pPr>
        <w:pStyle w:val="Heading2"/>
        <w:spacing w:after="80"/>
        <w:rPr>
          <w:rFonts w:ascii="Times New Roman" w:hAnsi="Times New Roman" w:cs="Times New Roman"/>
          <w:color w:val="000000" w:themeColor="text1"/>
        </w:rPr>
      </w:pPr>
      <w:r w:rsidRPr="00C11AF6">
        <w:rPr>
          <w:rFonts w:ascii="Times New Roman" w:hAnsi="Times New Roman" w:cs="Times New Roman"/>
          <w:color w:val="000000" w:themeColor="text1"/>
          <w:sz w:val="23"/>
        </w:rPr>
        <w:t>2.3 Initial Clinical Presentation and Emergency Resuscitation</w:t>
      </w:r>
    </w:p>
    <w:p w14:paraId="42E23C87" w14:textId="6F04B653" w:rsidR="00B677BD" w:rsidRPr="0098254C" w:rsidRDefault="0098254C">
      <w:pPr>
        <w:rPr>
          <w:rFonts w:cs="Times New Roman"/>
          <w:color w:val="000000" w:themeColor="text1"/>
          <w:lang w:val="en-IN"/>
        </w:rPr>
      </w:pPr>
      <w:r w:rsidRPr="0098254C">
        <w:rPr>
          <w:rFonts w:cs="Times New Roman"/>
          <w:color w:val="000000" w:themeColor="text1"/>
          <w:lang w:val="en-IN"/>
        </w:rPr>
        <w:t>Approximately 24-36 h</w:t>
      </w:r>
      <w:r>
        <w:rPr>
          <w:rFonts w:cs="Times New Roman"/>
          <w:color w:val="000000" w:themeColor="text1"/>
          <w:lang w:val="en-IN"/>
        </w:rPr>
        <w:t>our</w:t>
      </w:r>
      <w:r w:rsidRPr="0098254C">
        <w:rPr>
          <w:rFonts w:cs="Times New Roman"/>
          <w:color w:val="000000" w:themeColor="text1"/>
          <w:lang w:val="en-IN"/>
        </w:rPr>
        <w:t xml:space="preserve"> before presentation at the hospital, the child developed low-grade fevers and serous rhinorrhoea, upper airway obstruction with mucus, intermittent dry cough, and a gradually increasing work of breathing and tachypnoea. Respiratory failure worsened rapidly with the onset of deep subcostal, intercostal, and suprasternal retractions, increasing lethargy, hypothermia, cold extremities, and mottled skin. The infant was brought to a local community hospital where she was in decompensated shock with impending respiratory failure at presentation. On arrival at the community hospital, the child was treated with emergent endotracheal intubation, an IV isotonic fluid bolus (normal saline 10 mL/kg), and empiric IV sodium bicarbonate infusion after an initial blood gas showed profound metabolic acidosis. As the unique combination of profound acidosis, severe dehydration, respiratory arrest, and hepatomegaly strongly suggested decompensation of an IEM with secondary aspiration pneumonitis, the community hospital initiated standard emergency protocol for IEMs by obtaining: dried blood spots on filter paper for TMS, and a spot urine on filter paper for GC-MS. The infant was endotracheally intubated and then rapidly transferred to our PICU.</w:t>
      </w:r>
    </w:p>
    <w:p w14:paraId="7C38DC4F" w14:textId="77777777" w:rsidR="00B677BD" w:rsidRPr="00C11AF6" w:rsidRDefault="00000000">
      <w:pPr>
        <w:pStyle w:val="Heading2"/>
        <w:spacing w:after="80"/>
        <w:rPr>
          <w:rFonts w:ascii="Times New Roman" w:hAnsi="Times New Roman" w:cs="Times New Roman"/>
          <w:color w:val="000000" w:themeColor="text1"/>
        </w:rPr>
      </w:pPr>
      <w:r w:rsidRPr="00C11AF6">
        <w:rPr>
          <w:rFonts w:ascii="Times New Roman" w:hAnsi="Times New Roman" w:cs="Times New Roman"/>
          <w:color w:val="000000" w:themeColor="text1"/>
          <w:sz w:val="23"/>
        </w:rPr>
        <w:t>2.4 Physical Examination and Anthropometric Assessment</w:t>
      </w:r>
    </w:p>
    <w:p w14:paraId="38481FA4" w14:textId="70A26013" w:rsidR="0098254C" w:rsidRDefault="0098254C" w:rsidP="0098254C">
      <w:pPr>
        <w:rPr>
          <w:rFonts w:cs="Times New Roman"/>
          <w:color w:val="000000" w:themeColor="text1"/>
          <w:lang w:val="en-IN"/>
        </w:rPr>
      </w:pPr>
      <w:r w:rsidRPr="0098254C">
        <w:rPr>
          <w:rFonts w:cs="Times New Roman"/>
          <w:color w:val="000000" w:themeColor="text1"/>
          <w:lang w:val="en-IN"/>
        </w:rPr>
        <w:t>On presentation to the tertiary PICU, the infant was critically ill, already on a mid-level of sedation, and was being manually ventilated with a bag-and-tube apparatus through an endotracheal tube. Examination revealed a very wasted, pale, lethargic and dehydrated infant with sunken anterior fontanel, dry mucous membranes and no icterus, cyanosis, clubbing of the digits, palpable peripheral lymphadenopathy or pedal oedema. The pulse was very weak and thready, with a rate of 150-156 beats per minute, with blood pressure values borderline low for age (62/38 mmHg, M</w:t>
      </w:r>
      <w:r>
        <w:rPr>
          <w:rFonts w:cs="Times New Roman"/>
          <w:color w:val="000000" w:themeColor="text1"/>
          <w:lang w:val="en-IN"/>
        </w:rPr>
        <w:t xml:space="preserve">ean </w:t>
      </w:r>
      <w:r w:rsidRPr="0098254C">
        <w:rPr>
          <w:rFonts w:cs="Times New Roman"/>
          <w:color w:val="000000" w:themeColor="text1"/>
          <w:lang w:val="en-IN"/>
        </w:rPr>
        <w:t>A</w:t>
      </w:r>
      <w:r>
        <w:rPr>
          <w:rFonts w:cs="Times New Roman"/>
          <w:color w:val="000000" w:themeColor="text1"/>
          <w:lang w:val="en-IN"/>
        </w:rPr>
        <w:t xml:space="preserve">trial </w:t>
      </w:r>
      <w:r w:rsidRPr="0098254C">
        <w:rPr>
          <w:rFonts w:cs="Times New Roman"/>
          <w:color w:val="000000" w:themeColor="text1"/>
          <w:lang w:val="en-IN"/>
        </w:rPr>
        <w:t>P</w:t>
      </w:r>
      <w:r>
        <w:rPr>
          <w:rFonts w:cs="Times New Roman"/>
          <w:color w:val="000000" w:themeColor="text1"/>
          <w:lang w:val="en-IN"/>
        </w:rPr>
        <w:t>ressure</w:t>
      </w:r>
      <w:r w:rsidRPr="0098254C">
        <w:rPr>
          <w:rFonts w:cs="Times New Roman"/>
          <w:color w:val="000000" w:themeColor="text1"/>
          <w:lang w:val="en-IN"/>
        </w:rPr>
        <w:t xml:space="preserve"> 46 mmHg) with signs of delayed capillary refill time (2-3 seconds). Axillary temperature was 36.5°C. The heart rate was very tachycardic, with a rate of 150-156 bpm. Central and peripheral pulses were feeble. The microcirculatory refill rate was delayed. Blood pressure was borderline low for age, with MAP of 46 mmHg. The SpO2 was 97-98% on manual bag ventilation with 100% FiO2. The pupils were 3mm in size, round, and briskly reactive to light. The GCS assessment was not possible on arrival because of the level of consciousness. Random blood glucose on arrival was 150mg/dL.</w:t>
      </w:r>
    </w:p>
    <w:p w14:paraId="6A56FB76" w14:textId="72B5E51B" w:rsidR="00BB65D3" w:rsidRDefault="00BB65D3" w:rsidP="00BB65D3">
      <w:pPr>
        <w:rPr>
          <w:rFonts w:cs="Times New Roman"/>
          <w:color w:val="000000" w:themeColor="text1"/>
          <w:lang w:val="en-IN"/>
        </w:rPr>
      </w:pPr>
      <w:r w:rsidRPr="00BB65D3">
        <w:rPr>
          <w:rFonts w:cs="Times New Roman"/>
          <w:color w:val="000000" w:themeColor="text1"/>
          <w:lang w:val="en-IN"/>
        </w:rPr>
        <w:t>Anthropometry established severe acute malnutrition and growth faltering: admission body weight was 2.02 kg (weight for age Z-score [&lt;−3 SD]), body length was 47 cm (length for age Z-score, −2.4 SD) and head circumference was 33cm (head circumference for age Z-score, −2.1 SD). The chest examination was symmetrical with bil</w:t>
      </w:r>
      <w:r>
        <w:rPr>
          <w:rFonts w:cs="Times New Roman"/>
          <w:color w:val="000000" w:themeColor="text1"/>
          <w:lang w:val="en-IN"/>
        </w:rPr>
        <w:t>ateral chest</w:t>
      </w:r>
      <w:r w:rsidRPr="00BB65D3">
        <w:rPr>
          <w:rFonts w:cs="Times New Roman"/>
          <w:color w:val="000000" w:themeColor="text1"/>
          <w:lang w:val="en-IN"/>
        </w:rPr>
        <w:t xml:space="preserve"> expansion and diffuse coarse crackles and scattered transmitted sounds in both lungs without localized wheeze. The cardiac examination was normal with clear heart sounds, a fully split physiologically normal first and second sound and no additional murmurs. The abdominal examination revealed a soft, minimally distended abdomen with a smooth, firm and non-tender hepatomegaly 2cm below the right costal margin (which had completely resolved by the end of admission); the spleen was not palpable. The neurological examination revealed generalized muscle tone hypoactivity and reduced primitive reflexes and significantly reduced spontaneous movement.</w:t>
      </w:r>
    </w:p>
    <w:p w14:paraId="49712890" w14:textId="77777777" w:rsidR="00BB65D3" w:rsidRDefault="00000000">
      <w:pPr>
        <w:rPr>
          <w:rFonts w:cs="Times New Roman"/>
          <w:color w:val="000000" w:themeColor="text1"/>
          <w:lang w:val="en-IN"/>
        </w:rPr>
      </w:pPr>
      <w:r w:rsidRPr="00C11AF6">
        <w:rPr>
          <w:rFonts w:cs="Times New Roman"/>
          <w:b/>
          <w:color w:val="000000" w:themeColor="text1"/>
          <w:sz w:val="23"/>
        </w:rPr>
        <w:t>2.5 Diagnostic Evaluation and Longitudinal Laboratory Findings</w:t>
      </w:r>
    </w:p>
    <w:p w14:paraId="0471ED97" w14:textId="1E29ECE1" w:rsidR="00B677BD" w:rsidRPr="00BB65D3" w:rsidRDefault="00000000">
      <w:pPr>
        <w:rPr>
          <w:rFonts w:cs="Times New Roman"/>
          <w:color w:val="000000" w:themeColor="text1"/>
          <w:lang w:val="en-IN"/>
        </w:rPr>
      </w:pPr>
      <w:r w:rsidRPr="00C11AF6">
        <w:rPr>
          <w:rFonts w:cs="Times New Roman"/>
          <w:color w:val="000000" w:themeColor="text1"/>
        </w:rPr>
        <w:lastRenderedPageBreak/>
        <w:t>Baseline arterial blood gas (ABG) analysis performed immediately upon admission (17/08/2026, 19:25) confirmed severe high-anion-gap metabolic acidosis with marked compensatory respiratory hyperventilation: pH 7.22, pCO2 16.0 mmHg, pO2 160.0 mmHg, HCO3- 6.5 mmol/L, Base Excess (BE) -21.2 mmol/L, and a calculated anion gap of 20.9 mEq/L (Table 1). Applying Winter's formula (expected pCO2 = 1.5 × [HCO3-] + 8 ± 2 = 1.5 × 6.5 + 8 = 17.75 ± 2 mmHg; range: 15.8–19.8 mmHg) established that the observed pCO2 of 16.0 mmHg reflected appropriate, maximal physiological respiratory compensation. Thus, the acid-base derangement represented partially compensated metabolic acidemia rather than uncompensated acidosis.</w:t>
      </w:r>
    </w:p>
    <w:p w14:paraId="21B47D25" w14:textId="77777777" w:rsidR="00B677BD" w:rsidRPr="00C11AF6" w:rsidRDefault="00000000">
      <w:pPr>
        <w:rPr>
          <w:rFonts w:cs="Times New Roman"/>
          <w:color w:val="000000" w:themeColor="text1"/>
        </w:rPr>
      </w:pPr>
      <w:r w:rsidRPr="00C11AF6">
        <w:rPr>
          <w:rFonts w:cs="Times New Roman"/>
          <w:color w:val="000000" w:themeColor="text1"/>
        </w:rPr>
        <w:t>Point-of-care and automated biochemical electrolyte assays demonstrated critical hypernatremia (Na+ 165.1 mmol/L), severe hypokalemia (K+ 1.80 mmol/L on point-of-care ABG; 2.69 mmol/L on automated ion-selective electrode [ISE] biochemistry), marked hyperchloremia (Cl- 137.60 mmol/L), and ionized hypocalcemia (ionized calcium 0.47 mmol/L; automated potentiometric serum ionized calcium 4.27 mg/dL). Complete blood count (CBC) showed a hemoglobin of 10.4 g/dL, hematocrit (PCV) of 31.2%, total leukocyte count of 15,490 cells/µL (neutrophils 62%, lymphocytes 36%, monocytes 3%, eosinophils 1%), and marked reactive thrombocytosis with a platelet count of 6.81 × 10^5/µL. Coagulation profiles were severely deranged: Prothrombin Time (PT) was 25.1 seconds (control: 11.8 seconds) with an International Normalized Ratio (INR) of 2.1, and Activated Partial Thromboplastin Time (APTT) was 28.8 seconds (control: 28.4 seconds).</w:t>
      </w:r>
    </w:p>
    <w:p w14:paraId="2431AC44" w14:textId="77777777" w:rsidR="00B677BD" w:rsidRPr="00C11AF6" w:rsidRDefault="00000000">
      <w:pPr>
        <w:rPr>
          <w:rFonts w:cs="Times New Roman"/>
          <w:color w:val="000000" w:themeColor="text1"/>
        </w:rPr>
      </w:pPr>
      <w:r w:rsidRPr="00C11AF6">
        <w:rPr>
          <w:rFonts w:cs="Times New Roman"/>
          <w:color w:val="000000" w:themeColor="text1"/>
        </w:rPr>
        <w:t>Renal biochemistry revealed acute prerenal azotemia secondary to dehydration, with a blood urea of 89.9 mg/dL and serum creatinine of 0.55 mg/dL (which peaked at 0.80 mg/dL on hospital day 2). Hepatic enzyme panels revealed acute ischemic transaminitis consistent with 'shock liver': AST (SGOT) was 121.0 U/L, ALT (SGPT) was 308.3 U/L, alkaline phosphatase (ALP) was 265.4 U/L, and gamma-glutamyl transpeptidase (GGT) was 135.0 U/L. Total serum bilirubin was 0.9 mg/dL (direct bilirubin: 0.4 mg/dL), and total serum protein was 5.7 g/dL (albumin: 3.6 g/dL, globulin: 2.1 g/dL, A/G ratio 1.71).</w:t>
      </w:r>
    </w:p>
    <w:p w14:paraId="20AA6C8B" w14:textId="77777777" w:rsidR="00B677BD" w:rsidRPr="00C11AF6" w:rsidRDefault="00000000">
      <w:pPr>
        <w:rPr>
          <w:rFonts w:cs="Times New Roman"/>
          <w:color w:val="000000" w:themeColor="text1"/>
        </w:rPr>
      </w:pPr>
      <w:r w:rsidRPr="00C11AF6">
        <w:rPr>
          <w:rFonts w:cs="Times New Roman"/>
          <w:color w:val="000000" w:themeColor="text1"/>
        </w:rPr>
        <w:t>Sepsis screening demonstrated an elevated C-reactive protein (CRP) of 10.07 mg/L (reference: &lt; 5.0 mg/L); however, serial automated peripheral blood cultures remained sterile after 72 hours of incubation. Urinalysis revealed clear yellow urine with a specific gravity of 1.020, pH 6.0, dipstick blood 2+, and microscopy showing 8–10 RBCs/HPF, 1–2 WBCs/HPF, and 1–2 epithelial cells/HPF without cellular casts or crystalluria. Urine dipstick testing for glucose, bilirubin, ketone bodies (acetoacetate), and reducing substances was entirely negative. Venous blood ammonia was within the normal reference range at 87.0 µg/dL (reference range: 31–123 µg/dL), and venous blood lactate was normal at 1.3 mmol/L (Table 2).</w:t>
      </w:r>
    </w:p>
    <w:p w14:paraId="4512E10B" w14:textId="77777777" w:rsidR="00B677BD" w:rsidRPr="00C11AF6" w:rsidRDefault="00000000">
      <w:pPr>
        <w:spacing w:before="160" w:after="80"/>
        <w:rPr>
          <w:rFonts w:cs="Times New Roman"/>
          <w:color w:val="000000" w:themeColor="text1"/>
        </w:rPr>
      </w:pPr>
      <w:r w:rsidRPr="00C11AF6">
        <w:rPr>
          <w:rFonts w:cs="Times New Roman"/>
          <w:b/>
          <w:color w:val="000000" w:themeColor="text1"/>
          <w:sz w:val="20"/>
        </w:rPr>
        <w:t>Table 1. Serial Arterial Blood Gas and Point-of-Care Electrolyte Parameters During PICU Hospitalization</w:t>
      </w:r>
    </w:p>
    <w:tbl>
      <w:tblPr>
        <w:tblW w:w="0" w:type="auto"/>
        <w:jc w:val="center"/>
        <w:tblLook w:val="04A0" w:firstRow="1" w:lastRow="0" w:firstColumn="1" w:lastColumn="0" w:noHBand="0" w:noVBand="1"/>
      </w:tblPr>
      <w:tblGrid>
        <w:gridCol w:w="851"/>
        <w:gridCol w:w="851"/>
        <w:gridCol w:w="851"/>
        <w:gridCol w:w="851"/>
        <w:gridCol w:w="851"/>
        <w:gridCol w:w="851"/>
        <w:gridCol w:w="851"/>
        <w:gridCol w:w="851"/>
        <w:gridCol w:w="851"/>
        <w:gridCol w:w="851"/>
        <w:gridCol w:w="851"/>
      </w:tblGrid>
      <w:tr w:rsidR="00B677BD" w:rsidRPr="00C11AF6" w14:paraId="41439B9B" w14:textId="77777777">
        <w:trPr>
          <w:jc w:val="center"/>
        </w:trPr>
        <w:tc>
          <w:tcPr>
            <w:tcW w:w="851" w:type="dxa"/>
            <w:shd w:val="clear" w:color="auto" w:fill="112B4E"/>
            <w:tcMar>
              <w:top w:w="60" w:type="dxa"/>
              <w:left w:w="60" w:type="dxa"/>
              <w:bottom w:w="60" w:type="dxa"/>
              <w:right w:w="60" w:type="dxa"/>
            </w:tcMar>
          </w:tcPr>
          <w:p w14:paraId="005046F4" w14:textId="77777777" w:rsidR="00B677BD" w:rsidRPr="00C11AF6" w:rsidRDefault="00000000">
            <w:pPr>
              <w:spacing w:after="0" w:line="240" w:lineRule="auto"/>
              <w:rPr>
                <w:rFonts w:cs="Times New Roman"/>
                <w:color w:val="FFFFFF" w:themeColor="background1"/>
              </w:rPr>
            </w:pPr>
            <w:r w:rsidRPr="00C11AF6">
              <w:rPr>
                <w:rFonts w:cs="Times New Roman"/>
                <w:b/>
                <w:color w:val="FFFFFF" w:themeColor="background1"/>
                <w:sz w:val="15"/>
              </w:rPr>
              <w:t>Parameter</w:t>
            </w:r>
          </w:p>
        </w:tc>
        <w:tc>
          <w:tcPr>
            <w:tcW w:w="851" w:type="dxa"/>
            <w:shd w:val="clear" w:color="auto" w:fill="112B4E"/>
            <w:tcMar>
              <w:top w:w="60" w:type="dxa"/>
              <w:left w:w="60" w:type="dxa"/>
              <w:bottom w:w="60" w:type="dxa"/>
              <w:right w:w="60" w:type="dxa"/>
            </w:tcMar>
          </w:tcPr>
          <w:p w14:paraId="22BEBDF5"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5"/>
              </w:rPr>
              <w:t>Reference</w:t>
            </w:r>
          </w:p>
        </w:tc>
        <w:tc>
          <w:tcPr>
            <w:tcW w:w="851" w:type="dxa"/>
            <w:shd w:val="clear" w:color="auto" w:fill="112B4E"/>
            <w:tcMar>
              <w:top w:w="60" w:type="dxa"/>
              <w:left w:w="60" w:type="dxa"/>
              <w:bottom w:w="60" w:type="dxa"/>
              <w:right w:w="60" w:type="dxa"/>
            </w:tcMar>
          </w:tcPr>
          <w:p w14:paraId="0A8A2624"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5"/>
              </w:rPr>
              <w:t>17/08 19:25</w:t>
            </w:r>
          </w:p>
        </w:tc>
        <w:tc>
          <w:tcPr>
            <w:tcW w:w="851" w:type="dxa"/>
            <w:shd w:val="clear" w:color="auto" w:fill="112B4E"/>
            <w:tcMar>
              <w:top w:w="60" w:type="dxa"/>
              <w:left w:w="60" w:type="dxa"/>
              <w:bottom w:w="60" w:type="dxa"/>
              <w:right w:w="60" w:type="dxa"/>
            </w:tcMar>
          </w:tcPr>
          <w:p w14:paraId="70E5F589"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5"/>
              </w:rPr>
              <w:t>18/08 02:16</w:t>
            </w:r>
          </w:p>
        </w:tc>
        <w:tc>
          <w:tcPr>
            <w:tcW w:w="851" w:type="dxa"/>
            <w:shd w:val="clear" w:color="auto" w:fill="112B4E"/>
            <w:tcMar>
              <w:top w:w="60" w:type="dxa"/>
              <w:left w:w="60" w:type="dxa"/>
              <w:bottom w:w="60" w:type="dxa"/>
              <w:right w:w="60" w:type="dxa"/>
            </w:tcMar>
          </w:tcPr>
          <w:p w14:paraId="41098D65"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5"/>
              </w:rPr>
              <w:t>18/08 07:44</w:t>
            </w:r>
          </w:p>
        </w:tc>
        <w:tc>
          <w:tcPr>
            <w:tcW w:w="851" w:type="dxa"/>
            <w:shd w:val="clear" w:color="auto" w:fill="112B4E"/>
            <w:tcMar>
              <w:top w:w="60" w:type="dxa"/>
              <w:left w:w="60" w:type="dxa"/>
              <w:bottom w:w="60" w:type="dxa"/>
              <w:right w:w="60" w:type="dxa"/>
            </w:tcMar>
          </w:tcPr>
          <w:p w14:paraId="268222A6"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5"/>
              </w:rPr>
              <w:t>18/08 15:51</w:t>
            </w:r>
          </w:p>
        </w:tc>
        <w:tc>
          <w:tcPr>
            <w:tcW w:w="851" w:type="dxa"/>
            <w:shd w:val="clear" w:color="auto" w:fill="112B4E"/>
            <w:tcMar>
              <w:top w:w="60" w:type="dxa"/>
              <w:left w:w="60" w:type="dxa"/>
              <w:bottom w:w="60" w:type="dxa"/>
              <w:right w:w="60" w:type="dxa"/>
            </w:tcMar>
          </w:tcPr>
          <w:p w14:paraId="697814AA"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5"/>
              </w:rPr>
              <w:t>18/08 20:23</w:t>
            </w:r>
          </w:p>
        </w:tc>
        <w:tc>
          <w:tcPr>
            <w:tcW w:w="851" w:type="dxa"/>
            <w:shd w:val="clear" w:color="auto" w:fill="112B4E"/>
            <w:tcMar>
              <w:top w:w="60" w:type="dxa"/>
              <w:left w:w="60" w:type="dxa"/>
              <w:bottom w:w="60" w:type="dxa"/>
              <w:right w:w="60" w:type="dxa"/>
            </w:tcMar>
          </w:tcPr>
          <w:p w14:paraId="3EBDC035"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5"/>
              </w:rPr>
              <w:t>19/08 15:18</w:t>
            </w:r>
          </w:p>
        </w:tc>
        <w:tc>
          <w:tcPr>
            <w:tcW w:w="851" w:type="dxa"/>
            <w:shd w:val="clear" w:color="auto" w:fill="112B4E"/>
            <w:tcMar>
              <w:top w:w="60" w:type="dxa"/>
              <w:left w:w="60" w:type="dxa"/>
              <w:bottom w:w="60" w:type="dxa"/>
              <w:right w:w="60" w:type="dxa"/>
            </w:tcMar>
          </w:tcPr>
          <w:p w14:paraId="1083942A"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5"/>
              </w:rPr>
              <w:t>20/08 06:19</w:t>
            </w:r>
          </w:p>
        </w:tc>
        <w:tc>
          <w:tcPr>
            <w:tcW w:w="851" w:type="dxa"/>
            <w:shd w:val="clear" w:color="auto" w:fill="112B4E"/>
            <w:tcMar>
              <w:top w:w="60" w:type="dxa"/>
              <w:left w:w="60" w:type="dxa"/>
              <w:bottom w:w="60" w:type="dxa"/>
              <w:right w:w="60" w:type="dxa"/>
            </w:tcMar>
          </w:tcPr>
          <w:p w14:paraId="22D7B9BF"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5"/>
              </w:rPr>
              <w:t>21/08 08:18</w:t>
            </w:r>
          </w:p>
        </w:tc>
        <w:tc>
          <w:tcPr>
            <w:tcW w:w="851" w:type="dxa"/>
            <w:shd w:val="clear" w:color="auto" w:fill="112B4E"/>
            <w:tcMar>
              <w:top w:w="60" w:type="dxa"/>
              <w:left w:w="60" w:type="dxa"/>
              <w:bottom w:w="60" w:type="dxa"/>
              <w:right w:w="60" w:type="dxa"/>
            </w:tcMar>
          </w:tcPr>
          <w:p w14:paraId="48FD877D"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5"/>
              </w:rPr>
              <w:t>25/08 12:48*</w:t>
            </w:r>
          </w:p>
        </w:tc>
      </w:tr>
      <w:tr w:rsidR="00B677BD" w:rsidRPr="00C11AF6" w14:paraId="1238587D" w14:textId="77777777">
        <w:trPr>
          <w:jc w:val="center"/>
        </w:trPr>
        <w:tc>
          <w:tcPr>
            <w:tcW w:w="851" w:type="dxa"/>
            <w:shd w:val="clear" w:color="auto" w:fill="F4F6F9"/>
            <w:tcMar>
              <w:top w:w="60" w:type="dxa"/>
              <w:left w:w="60" w:type="dxa"/>
              <w:bottom w:w="60" w:type="dxa"/>
              <w:right w:w="60" w:type="dxa"/>
            </w:tcMar>
          </w:tcPr>
          <w:p w14:paraId="59B550F0"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5"/>
              </w:rPr>
              <w:t>pH</w:t>
            </w:r>
          </w:p>
        </w:tc>
        <w:tc>
          <w:tcPr>
            <w:tcW w:w="851" w:type="dxa"/>
            <w:shd w:val="clear" w:color="auto" w:fill="F4F6F9"/>
            <w:tcMar>
              <w:top w:w="60" w:type="dxa"/>
              <w:left w:w="60" w:type="dxa"/>
              <w:bottom w:w="60" w:type="dxa"/>
              <w:right w:w="60" w:type="dxa"/>
            </w:tcMar>
          </w:tcPr>
          <w:p w14:paraId="1BEEF9E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7.35–7.45</w:t>
            </w:r>
          </w:p>
        </w:tc>
        <w:tc>
          <w:tcPr>
            <w:tcW w:w="851" w:type="dxa"/>
            <w:shd w:val="clear" w:color="auto" w:fill="F4F6F9"/>
            <w:tcMar>
              <w:top w:w="60" w:type="dxa"/>
              <w:left w:w="60" w:type="dxa"/>
              <w:bottom w:w="60" w:type="dxa"/>
              <w:right w:w="60" w:type="dxa"/>
            </w:tcMar>
          </w:tcPr>
          <w:p w14:paraId="39F5F04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7.22</w:t>
            </w:r>
          </w:p>
        </w:tc>
        <w:tc>
          <w:tcPr>
            <w:tcW w:w="851" w:type="dxa"/>
            <w:shd w:val="clear" w:color="auto" w:fill="F4F6F9"/>
            <w:tcMar>
              <w:top w:w="60" w:type="dxa"/>
              <w:left w:w="60" w:type="dxa"/>
              <w:bottom w:w="60" w:type="dxa"/>
              <w:right w:w="60" w:type="dxa"/>
            </w:tcMar>
          </w:tcPr>
          <w:p w14:paraId="2B0FBA1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7.36</w:t>
            </w:r>
          </w:p>
        </w:tc>
        <w:tc>
          <w:tcPr>
            <w:tcW w:w="851" w:type="dxa"/>
            <w:shd w:val="clear" w:color="auto" w:fill="F4F6F9"/>
            <w:tcMar>
              <w:top w:w="60" w:type="dxa"/>
              <w:left w:w="60" w:type="dxa"/>
              <w:bottom w:w="60" w:type="dxa"/>
              <w:right w:w="60" w:type="dxa"/>
            </w:tcMar>
          </w:tcPr>
          <w:p w14:paraId="15621C0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7.30</w:t>
            </w:r>
          </w:p>
        </w:tc>
        <w:tc>
          <w:tcPr>
            <w:tcW w:w="851" w:type="dxa"/>
            <w:shd w:val="clear" w:color="auto" w:fill="F4F6F9"/>
            <w:tcMar>
              <w:top w:w="60" w:type="dxa"/>
              <w:left w:w="60" w:type="dxa"/>
              <w:bottom w:w="60" w:type="dxa"/>
              <w:right w:w="60" w:type="dxa"/>
            </w:tcMar>
          </w:tcPr>
          <w:p w14:paraId="6FDB24E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7.27</w:t>
            </w:r>
          </w:p>
        </w:tc>
        <w:tc>
          <w:tcPr>
            <w:tcW w:w="851" w:type="dxa"/>
            <w:shd w:val="clear" w:color="auto" w:fill="F4F6F9"/>
            <w:tcMar>
              <w:top w:w="60" w:type="dxa"/>
              <w:left w:w="60" w:type="dxa"/>
              <w:bottom w:w="60" w:type="dxa"/>
              <w:right w:w="60" w:type="dxa"/>
            </w:tcMar>
          </w:tcPr>
          <w:p w14:paraId="4524316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7.44</w:t>
            </w:r>
          </w:p>
        </w:tc>
        <w:tc>
          <w:tcPr>
            <w:tcW w:w="851" w:type="dxa"/>
            <w:shd w:val="clear" w:color="auto" w:fill="F4F6F9"/>
            <w:tcMar>
              <w:top w:w="60" w:type="dxa"/>
              <w:left w:w="60" w:type="dxa"/>
              <w:bottom w:w="60" w:type="dxa"/>
              <w:right w:w="60" w:type="dxa"/>
            </w:tcMar>
          </w:tcPr>
          <w:p w14:paraId="1888E55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7.39</w:t>
            </w:r>
          </w:p>
        </w:tc>
        <w:tc>
          <w:tcPr>
            <w:tcW w:w="851" w:type="dxa"/>
            <w:shd w:val="clear" w:color="auto" w:fill="F4F6F9"/>
            <w:tcMar>
              <w:top w:w="60" w:type="dxa"/>
              <w:left w:w="60" w:type="dxa"/>
              <w:bottom w:w="60" w:type="dxa"/>
              <w:right w:w="60" w:type="dxa"/>
            </w:tcMar>
          </w:tcPr>
          <w:p w14:paraId="56D3CE3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7.38</w:t>
            </w:r>
          </w:p>
        </w:tc>
        <w:tc>
          <w:tcPr>
            <w:tcW w:w="851" w:type="dxa"/>
            <w:shd w:val="clear" w:color="auto" w:fill="F4F6F9"/>
            <w:tcMar>
              <w:top w:w="60" w:type="dxa"/>
              <w:left w:w="60" w:type="dxa"/>
              <w:bottom w:w="60" w:type="dxa"/>
              <w:right w:w="60" w:type="dxa"/>
            </w:tcMar>
          </w:tcPr>
          <w:p w14:paraId="169A0A7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7.48</w:t>
            </w:r>
          </w:p>
        </w:tc>
        <w:tc>
          <w:tcPr>
            <w:tcW w:w="851" w:type="dxa"/>
            <w:shd w:val="clear" w:color="auto" w:fill="F4F6F9"/>
            <w:tcMar>
              <w:top w:w="60" w:type="dxa"/>
              <w:left w:w="60" w:type="dxa"/>
              <w:bottom w:w="60" w:type="dxa"/>
              <w:right w:w="60" w:type="dxa"/>
            </w:tcMar>
          </w:tcPr>
          <w:p w14:paraId="2E912B5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7.41</w:t>
            </w:r>
          </w:p>
        </w:tc>
      </w:tr>
      <w:tr w:rsidR="00B677BD" w:rsidRPr="00C11AF6" w14:paraId="7F2B4977" w14:textId="77777777">
        <w:trPr>
          <w:jc w:val="center"/>
        </w:trPr>
        <w:tc>
          <w:tcPr>
            <w:tcW w:w="851" w:type="dxa"/>
            <w:tcMar>
              <w:top w:w="60" w:type="dxa"/>
              <w:left w:w="60" w:type="dxa"/>
              <w:bottom w:w="60" w:type="dxa"/>
              <w:right w:w="60" w:type="dxa"/>
            </w:tcMar>
          </w:tcPr>
          <w:p w14:paraId="16A76983"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5"/>
              </w:rPr>
              <w:t>pCO2 (mmHg)</w:t>
            </w:r>
          </w:p>
        </w:tc>
        <w:tc>
          <w:tcPr>
            <w:tcW w:w="851" w:type="dxa"/>
            <w:tcMar>
              <w:top w:w="60" w:type="dxa"/>
              <w:left w:w="60" w:type="dxa"/>
              <w:bottom w:w="60" w:type="dxa"/>
              <w:right w:w="60" w:type="dxa"/>
            </w:tcMar>
          </w:tcPr>
          <w:p w14:paraId="2F877F9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35–45</w:t>
            </w:r>
          </w:p>
        </w:tc>
        <w:tc>
          <w:tcPr>
            <w:tcW w:w="851" w:type="dxa"/>
            <w:tcMar>
              <w:top w:w="60" w:type="dxa"/>
              <w:left w:w="60" w:type="dxa"/>
              <w:bottom w:w="60" w:type="dxa"/>
              <w:right w:w="60" w:type="dxa"/>
            </w:tcMar>
          </w:tcPr>
          <w:p w14:paraId="7C37664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16.0</w:t>
            </w:r>
          </w:p>
        </w:tc>
        <w:tc>
          <w:tcPr>
            <w:tcW w:w="851" w:type="dxa"/>
            <w:tcMar>
              <w:top w:w="60" w:type="dxa"/>
              <w:left w:w="60" w:type="dxa"/>
              <w:bottom w:w="60" w:type="dxa"/>
              <w:right w:w="60" w:type="dxa"/>
            </w:tcMar>
          </w:tcPr>
          <w:p w14:paraId="745B8D2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27.0</w:t>
            </w:r>
          </w:p>
        </w:tc>
        <w:tc>
          <w:tcPr>
            <w:tcW w:w="851" w:type="dxa"/>
            <w:tcMar>
              <w:top w:w="60" w:type="dxa"/>
              <w:left w:w="60" w:type="dxa"/>
              <w:bottom w:w="60" w:type="dxa"/>
              <w:right w:w="60" w:type="dxa"/>
            </w:tcMar>
          </w:tcPr>
          <w:p w14:paraId="7742150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33.0</w:t>
            </w:r>
          </w:p>
        </w:tc>
        <w:tc>
          <w:tcPr>
            <w:tcW w:w="851" w:type="dxa"/>
            <w:tcMar>
              <w:top w:w="60" w:type="dxa"/>
              <w:left w:w="60" w:type="dxa"/>
              <w:bottom w:w="60" w:type="dxa"/>
              <w:right w:w="60" w:type="dxa"/>
            </w:tcMar>
          </w:tcPr>
          <w:p w14:paraId="3D2CEED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17.0</w:t>
            </w:r>
          </w:p>
        </w:tc>
        <w:tc>
          <w:tcPr>
            <w:tcW w:w="851" w:type="dxa"/>
            <w:tcMar>
              <w:top w:w="60" w:type="dxa"/>
              <w:left w:w="60" w:type="dxa"/>
              <w:bottom w:w="60" w:type="dxa"/>
              <w:right w:w="60" w:type="dxa"/>
            </w:tcMar>
          </w:tcPr>
          <w:p w14:paraId="7FD313A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36.0</w:t>
            </w:r>
          </w:p>
        </w:tc>
        <w:tc>
          <w:tcPr>
            <w:tcW w:w="851" w:type="dxa"/>
            <w:tcMar>
              <w:top w:w="60" w:type="dxa"/>
              <w:left w:w="60" w:type="dxa"/>
              <w:bottom w:w="60" w:type="dxa"/>
              <w:right w:w="60" w:type="dxa"/>
            </w:tcMar>
          </w:tcPr>
          <w:p w14:paraId="5FA5E94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43.0</w:t>
            </w:r>
          </w:p>
        </w:tc>
        <w:tc>
          <w:tcPr>
            <w:tcW w:w="851" w:type="dxa"/>
            <w:tcMar>
              <w:top w:w="60" w:type="dxa"/>
              <w:left w:w="60" w:type="dxa"/>
              <w:bottom w:w="60" w:type="dxa"/>
              <w:right w:w="60" w:type="dxa"/>
            </w:tcMar>
          </w:tcPr>
          <w:p w14:paraId="7AF3FDB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50.0</w:t>
            </w:r>
          </w:p>
        </w:tc>
        <w:tc>
          <w:tcPr>
            <w:tcW w:w="851" w:type="dxa"/>
            <w:tcMar>
              <w:top w:w="60" w:type="dxa"/>
              <w:left w:w="60" w:type="dxa"/>
              <w:bottom w:w="60" w:type="dxa"/>
              <w:right w:w="60" w:type="dxa"/>
            </w:tcMar>
          </w:tcPr>
          <w:p w14:paraId="7D59785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28.0</w:t>
            </w:r>
          </w:p>
        </w:tc>
        <w:tc>
          <w:tcPr>
            <w:tcW w:w="851" w:type="dxa"/>
            <w:tcMar>
              <w:top w:w="60" w:type="dxa"/>
              <w:left w:w="60" w:type="dxa"/>
              <w:bottom w:w="60" w:type="dxa"/>
              <w:right w:w="60" w:type="dxa"/>
            </w:tcMar>
          </w:tcPr>
          <w:p w14:paraId="6C6BD08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39.0</w:t>
            </w:r>
          </w:p>
        </w:tc>
      </w:tr>
      <w:tr w:rsidR="00B677BD" w:rsidRPr="00C11AF6" w14:paraId="1E815A10" w14:textId="77777777">
        <w:trPr>
          <w:jc w:val="center"/>
        </w:trPr>
        <w:tc>
          <w:tcPr>
            <w:tcW w:w="851" w:type="dxa"/>
            <w:shd w:val="clear" w:color="auto" w:fill="F4F6F9"/>
            <w:tcMar>
              <w:top w:w="60" w:type="dxa"/>
              <w:left w:w="60" w:type="dxa"/>
              <w:bottom w:w="60" w:type="dxa"/>
              <w:right w:w="60" w:type="dxa"/>
            </w:tcMar>
          </w:tcPr>
          <w:p w14:paraId="3AAE61A0"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5"/>
              </w:rPr>
              <w:t>pO2 (mmHg)</w:t>
            </w:r>
          </w:p>
        </w:tc>
        <w:tc>
          <w:tcPr>
            <w:tcW w:w="851" w:type="dxa"/>
            <w:shd w:val="clear" w:color="auto" w:fill="F4F6F9"/>
            <w:tcMar>
              <w:top w:w="60" w:type="dxa"/>
              <w:left w:w="60" w:type="dxa"/>
              <w:bottom w:w="60" w:type="dxa"/>
              <w:right w:w="60" w:type="dxa"/>
            </w:tcMar>
          </w:tcPr>
          <w:p w14:paraId="4EE419A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75–100</w:t>
            </w:r>
          </w:p>
        </w:tc>
        <w:tc>
          <w:tcPr>
            <w:tcW w:w="851" w:type="dxa"/>
            <w:shd w:val="clear" w:color="auto" w:fill="F4F6F9"/>
            <w:tcMar>
              <w:top w:w="60" w:type="dxa"/>
              <w:left w:w="60" w:type="dxa"/>
              <w:bottom w:w="60" w:type="dxa"/>
              <w:right w:w="60" w:type="dxa"/>
            </w:tcMar>
          </w:tcPr>
          <w:p w14:paraId="1FB9166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160.0</w:t>
            </w:r>
          </w:p>
        </w:tc>
        <w:tc>
          <w:tcPr>
            <w:tcW w:w="851" w:type="dxa"/>
            <w:shd w:val="clear" w:color="auto" w:fill="F4F6F9"/>
            <w:tcMar>
              <w:top w:w="60" w:type="dxa"/>
              <w:left w:w="60" w:type="dxa"/>
              <w:bottom w:w="60" w:type="dxa"/>
              <w:right w:w="60" w:type="dxa"/>
            </w:tcMar>
          </w:tcPr>
          <w:p w14:paraId="1A9D352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71.0</w:t>
            </w:r>
          </w:p>
        </w:tc>
        <w:tc>
          <w:tcPr>
            <w:tcW w:w="851" w:type="dxa"/>
            <w:shd w:val="clear" w:color="auto" w:fill="F4F6F9"/>
            <w:tcMar>
              <w:top w:w="60" w:type="dxa"/>
              <w:left w:w="60" w:type="dxa"/>
              <w:bottom w:w="60" w:type="dxa"/>
              <w:right w:w="60" w:type="dxa"/>
            </w:tcMar>
          </w:tcPr>
          <w:p w14:paraId="1C0BDFF3"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87.0</w:t>
            </w:r>
          </w:p>
        </w:tc>
        <w:tc>
          <w:tcPr>
            <w:tcW w:w="851" w:type="dxa"/>
            <w:shd w:val="clear" w:color="auto" w:fill="F4F6F9"/>
            <w:tcMar>
              <w:top w:w="60" w:type="dxa"/>
              <w:left w:w="60" w:type="dxa"/>
              <w:bottom w:w="60" w:type="dxa"/>
              <w:right w:w="60" w:type="dxa"/>
            </w:tcMar>
          </w:tcPr>
          <w:p w14:paraId="0E9B202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72.0</w:t>
            </w:r>
          </w:p>
        </w:tc>
        <w:tc>
          <w:tcPr>
            <w:tcW w:w="851" w:type="dxa"/>
            <w:shd w:val="clear" w:color="auto" w:fill="F4F6F9"/>
            <w:tcMar>
              <w:top w:w="60" w:type="dxa"/>
              <w:left w:w="60" w:type="dxa"/>
              <w:bottom w:w="60" w:type="dxa"/>
              <w:right w:w="60" w:type="dxa"/>
            </w:tcMar>
          </w:tcPr>
          <w:p w14:paraId="702D5ED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52.0</w:t>
            </w:r>
          </w:p>
        </w:tc>
        <w:tc>
          <w:tcPr>
            <w:tcW w:w="851" w:type="dxa"/>
            <w:shd w:val="clear" w:color="auto" w:fill="F4F6F9"/>
            <w:tcMar>
              <w:top w:w="60" w:type="dxa"/>
              <w:left w:w="60" w:type="dxa"/>
              <w:bottom w:w="60" w:type="dxa"/>
              <w:right w:w="60" w:type="dxa"/>
            </w:tcMar>
          </w:tcPr>
          <w:p w14:paraId="179B7249"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93.0</w:t>
            </w:r>
          </w:p>
        </w:tc>
        <w:tc>
          <w:tcPr>
            <w:tcW w:w="851" w:type="dxa"/>
            <w:shd w:val="clear" w:color="auto" w:fill="F4F6F9"/>
            <w:tcMar>
              <w:top w:w="60" w:type="dxa"/>
              <w:left w:w="60" w:type="dxa"/>
              <w:bottom w:w="60" w:type="dxa"/>
              <w:right w:w="60" w:type="dxa"/>
            </w:tcMar>
          </w:tcPr>
          <w:p w14:paraId="417C25D3"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108.0</w:t>
            </w:r>
          </w:p>
        </w:tc>
        <w:tc>
          <w:tcPr>
            <w:tcW w:w="851" w:type="dxa"/>
            <w:shd w:val="clear" w:color="auto" w:fill="F4F6F9"/>
            <w:tcMar>
              <w:top w:w="60" w:type="dxa"/>
              <w:left w:w="60" w:type="dxa"/>
              <w:bottom w:w="60" w:type="dxa"/>
              <w:right w:w="60" w:type="dxa"/>
            </w:tcMar>
          </w:tcPr>
          <w:p w14:paraId="52C3D82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46.0</w:t>
            </w:r>
          </w:p>
        </w:tc>
        <w:tc>
          <w:tcPr>
            <w:tcW w:w="851" w:type="dxa"/>
            <w:shd w:val="clear" w:color="auto" w:fill="F4F6F9"/>
            <w:tcMar>
              <w:top w:w="60" w:type="dxa"/>
              <w:left w:w="60" w:type="dxa"/>
              <w:bottom w:w="60" w:type="dxa"/>
              <w:right w:w="60" w:type="dxa"/>
            </w:tcMar>
          </w:tcPr>
          <w:p w14:paraId="3E49565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24.0*</w:t>
            </w:r>
          </w:p>
        </w:tc>
      </w:tr>
      <w:tr w:rsidR="00B677BD" w:rsidRPr="00C11AF6" w14:paraId="691073C0" w14:textId="77777777">
        <w:trPr>
          <w:jc w:val="center"/>
        </w:trPr>
        <w:tc>
          <w:tcPr>
            <w:tcW w:w="851" w:type="dxa"/>
            <w:tcMar>
              <w:top w:w="60" w:type="dxa"/>
              <w:left w:w="60" w:type="dxa"/>
              <w:bottom w:w="60" w:type="dxa"/>
              <w:right w:w="60" w:type="dxa"/>
            </w:tcMar>
          </w:tcPr>
          <w:p w14:paraId="6368DC38"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5"/>
              </w:rPr>
              <w:t>Na+ (mmol/L)</w:t>
            </w:r>
          </w:p>
        </w:tc>
        <w:tc>
          <w:tcPr>
            <w:tcW w:w="851" w:type="dxa"/>
            <w:tcMar>
              <w:top w:w="60" w:type="dxa"/>
              <w:left w:w="60" w:type="dxa"/>
              <w:bottom w:w="60" w:type="dxa"/>
              <w:right w:w="60" w:type="dxa"/>
            </w:tcMar>
          </w:tcPr>
          <w:p w14:paraId="48D54A5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133–152</w:t>
            </w:r>
          </w:p>
        </w:tc>
        <w:tc>
          <w:tcPr>
            <w:tcW w:w="851" w:type="dxa"/>
            <w:tcMar>
              <w:top w:w="60" w:type="dxa"/>
              <w:left w:w="60" w:type="dxa"/>
              <w:bottom w:w="60" w:type="dxa"/>
              <w:right w:w="60" w:type="dxa"/>
            </w:tcMar>
          </w:tcPr>
          <w:p w14:paraId="3991474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165.0</w:t>
            </w:r>
          </w:p>
        </w:tc>
        <w:tc>
          <w:tcPr>
            <w:tcW w:w="851" w:type="dxa"/>
            <w:tcMar>
              <w:top w:w="60" w:type="dxa"/>
              <w:left w:w="60" w:type="dxa"/>
              <w:bottom w:w="60" w:type="dxa"/>
              <w:right w:w="60" w:type="dxa"/>
            </w:tcMar>
          </w:tcPr>
          <w:p w14:paraId="1567D1E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159.0</w:t>
            </w:r>
          </w:p>
        </w:tc>
        <w:tc>
          <w:tcPr>
            <w:tcW w:w="851" w:type="dxa"/>
            <w:tcMar>
              <w:top w:w="60" w:type="dxa"/>
              <w:left w:w="60" w:type="dxa"/>
              <w:bottom w:w="60" w:type="dxa"/>
              <w:right w:w="60" w:type="dxa"/>
            </w:tcMar>
          </w:tcPr>
          <w:p w14:paraId="4AEB2D8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165.0</w:t>
            </w:r>
          </w:p>
        </w:tc>
        <w:tc>
          <w:tcPr>
            <w:tcW w:w="851" w:type="dxa"/>
            <w:tcMar>
              <w:top w:w="60" w:type="dxa"/>
              <w:left w:w="60" w:type="dxa"/>
              <w:bottom w:w="60" w:type="dxa"/>
              <w:right w:w="60" w:type="dxa"/>
            </w:tcMar>
          </w:tcPr>
          <w:p w14:paraId="3B3D915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164.0</w:t>
            </w:r>
          </w:p>
        </w:tc>
        <w:tc>
          <w:tcPr>
            <w:tcW w:w="851" w:type="dxa"/>
            <w:tcMar>
              <w:top w:w="60" w:type="dxa"/>
              <w:left w:w="60" w:type="dxa"/>
              <w:bottom w:w="60" w:type="dxa"/>
              <w:right w:w="60" w:type="dxa"/>
            </w:tcMar>
          </w:tcPr>
          <w:p w14:paraId="43FEA56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158.0</w:t>
            </w:r>
          </w:p>
        </w:tc>
        <w:tc>
          <w:tcPr>
            <w:tcW w:w="851" w:type="dxa"/>
            <w:tcMar>
              <w:top w:w="60" w:type="dxa"/>
              <w:left w:w="60" w:type="dxa"/>
              <w:bottom w:w="60" w:type="dxa"/>
              <w:right w:w="60" w:type="dxa"/>
            </w:tcMar>
          </w:tcPr>
          <w:p w14:paraId="1B1B591A"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151.0</w:t>
            </w:r>
          </w:p>
        </w:tc>
        <w:tc>
          <w:tcPr>
            <w:tcW w:w="851" w:type="dxa"/>
            <w:tcMar>
              <w:top w:w="60" w:type="dxa"/>
              <w:left w:w="60" w:type="dxa"/>
              <w:bottom w:w="60" w:type="dxa"/>
              <w:right w:w="60" w:type="dxa"/>
            </w:tcMar>
          </w:tcPr>
          <w:p w14:paraId="0335EC4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146.0</w:t>
            </w:r>
          </w:p>
        </w:tc>
        <w:tc>
          <w:tcPr>
            <w:tcW w:w="851" w:type="dxa"/>
            <w:tcMar>
              <w:top w:w="60" w:type="dxa"/>
              <w:left w:w="60" w:type="dxa"/>
              <w:bottom w:w="60" w:type="dxa"/>
              <w:right w:w="60" w:type="dxa"/>
            </w:tcMar>
          </w:tcPr>
          <w:p w14:paraId="46B60B4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147.0</w:t>
            </w:r>
          </w:p>
        </w:tc>
        <w:tc>
          <w:tcPr>
            <w:tcW w:w="851" w:type="dxa"/>
            <w:tcMar>
              <w:top w:w="60" w:type="dxa"/>
              <w:left w:w="60" w:type="dxa"/>
              <w:bottom w:w="60" w:type="dxa"/>
              <w:right w:w="60" w:type="dxa"/>
            </w:tcMar>
          </w:tcPr>
          <w:p w14:paraId="50DA7D9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140.0</w:t>
            </w:r>
          </w:p>
        </w:tc>
      </w:tr>
      <w:tr w:rsidR="00B677BD" w:rsidRPr="00C11AF6" w14:paraId="3A4DB89A" w14:textId="77777777">
        <w:trPr>
          <w:jc w:val="center"/>
        </w:trPr>
        <w:tc>
          <w:tcPr>
            <w:tcW w:w="851" w:type="dxa"/>
            <w:shd w:val="clear" w:color="auto" w:fill="F4F6F9"/>
            <w:tcMar>
              <w:top w:w="60" w:type="dxa"/>
              <w:left w:w="60" w:type="dxa"/>
              <w:bottom w:w="60" w:type="dxa"/>
              <w:right w:w="60" w:type="dxa"/>
            </w:tcMar>
          </w:tcPr>
          <w:p w14:paraId="3735768D"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5"/>
              </w:rPr>
              <w:t>K+ (mmol/L)</w:t>
            </w:r>
          </w:p>
        </w:tc>
        <w:tc>
          <w:tcPr>
            <w:tcW w:w="851" w:type="dxa"/>
            <w:shd w:val="clear" w:color="auto" w:fill="F4F6F9"/>
            <w:tcMar>
              <w:top w:w="60" w:type="dxa"/>
              <w:left w:w="60" w:type="dxa"/>
              <w:bottom w:w="60" w:type="dxa"/>
              <w:right w:w="60" w:type="dxa"/>
            </w:tcMar>
          </w:tcPr>
          <w:p w14:paraId="1911C4F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3.5–5.5</w:t>
            </w:r>
          </w:p>
        </w:tc>
        <w:tc>
          <w:tcPr>
            <w:tcW w:w="851" w:type="dxa"/>
            <w:shd w:val="clear" w:color="auto" w:fill="F4F6F9"/>
            <w:tcMar>
              <w:top w:w="60" w:type="dxa"/>
              <w:left w:w="60" w:type="dxa"/>
              <w:bottom w:w="60" w:type="dxa"/>
              <w:right w:w="60" w:type="dxa"/>
            </w:tcMar>
          </w:tcPr>
          <w:p w14:paraId="59BEAF2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1.8</w:t>
            </w:r>
          </w:p>
        </w:tc>
        <w:tc>
          <w:tcPr>
            <w:tcW w:w="851" w:type="dxa"/>
            <w:shd w:val="clear" w:color="auto" w:fill="F4F6F9"/>
            <w:tcMar>
              <w:top w:w="60" w:type="dxa"/>
              <w:left w:w="60" w:type="dxa"/>
              <w:bottom w:w="60" w:type="dxa"/>
              <w:right w:w="60" w:type="dxa"/>
            </w:tcMar>
          </w:tcPr>
          <w:p w14:paraId="0351EFB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2.2</w:t>
            </w:r>
          </w:p>
        </w:tc>
        <w:tc>
          <w:tcPr>
            <w:tcW w:w="851" w:type="dxa"/>
            <w:shd w:val="clear" w:color="auto" w:fill="F4F6F9"/>
            <w:tcMar>
              <w:top w:w="60" w:type="dxa"/>
              <w:left w:w="60" w:type="dxa"/>
              <w:bottom w:w="60" w:type="dxa"/>
              <w:right w:w="60" w:type="dxa"/>
            </w:tcMar>
          </w:tcPr>
          <w:p w14:paraId="7967029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1.3</w:t>
            </w:r>
          </w:p>
        </w:tc>
        <w:tc>
          <w:tcPr>
            <w:tcW w:w="851" w:type="dxa"/>
            <w:shd w:val="clear" w:color="auto" w:fill="F4F6F9"/>
            <w:tcMar>
              <w:top w:w="60" w:type="dxa"/>
              <w:left w:w="60" w:type="dxa"/>
              <w:bottom w:w="60" w:type="dxa"/>
              <w:right w:w="60" w:type="dxa"/>
            </w:tcMar>
          </w:tcPr>
          <w:p w14:paraId="7FDA7DD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2.2</w:t>
            </w:r>
          </w:p>
        </w:tc>
        <w:tc>
          <w:tcPr>
            <w:tcW w:w="851" w:type="dxa"/>
            <w:shd w:val="clear" w:color="auto" w:fill="F4F6F9"/>
            <w:tcMar>
              <w:top w:w="60" w:type="dxa"/>
              <w:left w:w="60" w:type="dxa"/>
              <w:bottom w:w="60" w:type="dxa"/>
              <w:right w:w="60" w:type="dxa"/>
            </w:tcMar>
          </w:tcPr>
          <w:p w14:paraId="7C1BB4E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4.2</w:t>
            </w:r>
          </w:p>
        </w:tc>
        <w:tc>
          <w:tcPr>
            <w:tcW w:w="851" w:type="dxa"/>
            <w:shd w:val="clear" w:color="auto" w:fill="F4F6F9"/>
            <w:tcMar>
              <w:top w:w="60" w:type="dxa"/>
              <w:left w:w="60" w:type="dxa"/>
              <w:bottom w:w="60" w:type="dxa"/>
              <w:right w:w="60" w:type="dxa"/>
            </w:tcMar>
          </w:tcPr>
          <w:p w14:paraId="4DF789C9"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2.4</w:t>
            </w:r>
          </w:p>
        </w:tc>
        <w:tc>
          <w:tcPr>
            <w:tcW w:w="851" w:type="dxa"/>
            <w:shd w:val="clear" w:color="auto" w:fill="F4F6F9"/>
            <w:tcMar>
              <w:top w:w="60" w:type="dxa"/>
              <w:left w:w="60" w:type="dxa"/>
              <w:bottom w:w="60" w:type="dxa"/>
              <w:right w:w="60" w:type="dxa"/>
            </w:tcMar>
          </w:tcPr>
          <w:p w14:paraId="2C6DC0B5"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2.7</w:t>
            </w:r>
          </w:p>
        </w:tc>
        <w:tc>
          <w:tcPr>
            <w:tcW w:w="851" w:type="dxa"/>
            <w:shd w:val="clear" w:color="auto" w:fill="F4F6F9"/>
            <w:tcMar>
              <w:top w:w="60" w:type="dxa"/>
              <w:left w:w="60" w:type="dxa"/>
              <w:bottom w:w="60" w:type="dxa"/>
              <w:right w:w="60" w:type="dxa"/>
            </w:tcMar>
          </w:tcPr>
          <w:p w14:paraId="0986ADA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3.2</w:t>
            </w:r>
          </w:p>
        </w:tc>
        <w:tc>
          <w:tcPr>
            <w:tcW w:w="851" w:type="dxa"/>
            <w:shd w:val="clear" w:color="auto" w:fill="F4F6F9"/>
            <w:tcMar>
              <w:top w:w="60" w:type="dxa"/>
              <w:left w:w="60" w:type="dxa"/>
              <w:bottom w:w="60" w:type="dxa"/>
              <w:right w:w="60" w:type="dxa"/>
            </w:tcMar>
          </w:tcPr>
          <w:p w14:paraId="0EC1C275"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4.6</w:t>
            </w:r>
          </w:p>
        </w:tc>
      </w:tr>
      <w:tr w:rsidR="00B677BD" w:rsidRPr="00C11AF6" w14:paraId="7601C5E0" w14:textId="77777777">
        <w:trPr>
          <w:jc w:val="center"/>
        </w:trPr>
        <w:tc>
          <w:tcPr>
            <w:tcW w:w="851" w:type="dxa"/>
            <w:tcMar>
              <w:top w:w="60" w:type="dxa"/>
              <w:left w:w="60" w:type="dxa"/>
              <w:bottom w:w="60" w:type="dxa"/>
              <w:right w:w="60" w:type="dxa"/>
            </w:tcMar>
          </w:tcPr>
          <w:p w14:paraId="52AFCB54"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5"/>
              </w:rPr>
              <w:lastRenderedPageBreak/>
              <w:t>iCa++ (mmol/L)</w:t>
            </w:r>
          </w:p>
        </w:tc>
        <w:tc>
          <w:tcPr>
            <w:tcW w:w="851" w:type="dxa"/>
            <w:tcMar>
              <w:top w:w="60" w:type="dxa"/>
              <w:left w:w="60" w:type="dxa"/>
              <w:bottom w:w="60" w:type="dxa"/>
              <w:right w:w="60" w:type="dxa"/>
            </w:tcMar>
          </w:tcPr>
          <w:p w14:paraId="3D18381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1.10–1.30</w:t>
            </w:r>
          </w:p>
        </w:tc>
        <w:tc>
          <w:tcPr>
            <w:tcW w:w="851" w:type="dxa"/>
            <w:tcMar>
              <w:top w:w="60" w:type="dxa"/>
              <w:left w:w="60" w:type="dxa"/>
              <w:bottom w:w="60" w:type="dxa"/>
              <w:right w:w="60" w:type="dxa"/>
            </w:tcMar>
          </w:tcPr>
          <w:p w14:paraId="652DD899"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0.47</w:t>
            </w:r>
          </w:p>
        </w:tc>
        <w:tc>
          <w:tcPr>
            <w:tcW w:w="851" w:type="dxa"/>
            <w:tcMar>
              <w:top w:w="60" w:type="dxa"/>
              <w:left w:w="60" w:type="dxa"/>
              <w:bottom w:w="60" w:type="dxa"/>
              <w:right w:w="60" w:type="dxa"/>
            </w:tcMar>
          </w:tcPr>
          <w:p w14:paraId="2ADB4F8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0.80</w:t>
            </w:r>
          </w:p>
        </w:tc>
        <w:tc>
          <w:tcPr>
            <w:tcW w:w="851" w:type="dxa"/>
            <w:tcMar>
              <w:top w:w="60" w:type="dxa"/>
              <w:left w:w="60" w:type="dxa"/>
              <w:bottom w:w="60" w:type="dxa"/>
              <w:right w:w="60" w:type="dxa"/>
            </w:tcMar>
          </w:tcPr>
          <w:p w14:paraId="3A86E81A"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0.58</w:t>
            </w:r>
          </w:p>
        </w:tc>
        <w:tc>
          <w:tcPr>
            <w:tcW w:w="851" w:type="dxa"/>
            <w:tcMar>
              <w:top w:w="60" w:type="dxa"/>
              <w:left w:w="60" w:type="dxa"/>
              <w:bottom w:w="60" w:type="dxa"/>
              <w:right w:w="60" w:type="dxa"/>
            </w:tcMar>
          </w:tcPr>
          <w:p w14:paraId="64830329"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0.16</w:t>
            </w:r>
          </w:p>
        </w:tc>
        <w:tc>
          <w:tcPr>
            <w:tcW w:w="851" w:type="dxa"/>
            <w:tcMar>
              <w:top w:w="60" w:type="dxa"/>
              <w:left w:w="60" w:type="dxa"/>
              <w:bottom w:w="60" w:type="dxa"/>
              <w:right w:w="60" w:type="dxa"/>
            </w:tcMar>
          </w:tcPr>
          <w:p w14:paraId="111D344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1.04</w:t>
            </w:r>
          </w:p>
        </w:tc>
        <w:tc>
          <w:tcPr>
            <w:tcW w:w="851" w:type="dxa"/>
            <w:tcMar>
              <w:top w:w="60" w:type="dxa"/>
              <w:left w:w="60" w:type="dxa"/>
              <w:bottom w:w="60" w:type="dxa"/>
              <w:right w:w="60" w:type="dxa"/>
            </w:tcMar>
          </w:tcPr>
          <w:p w14:paraId="286C6A35"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1.08</w:t>
            </w:r>
          </w:p>
        </w:tc>
        <w:tc>
          <w:tcPr>
            <w:tcW w:w="851" w:type="dxa"/>
            <w:tcMar>
              <w:top w:w="60" w:type="dxa"/>
              <w:left w:w="60" w:type="dxa"/>
              <w:bottom w:w="60" w:type="dxa"/>
              <w:right w:w="60" w:type="dxa"/>
            </w:tcMar>
          </w:tcPr>
          <w:p w14:paraId="62332CD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1.15</w:t>
            </w:r>
          </w:p>
        </w:tc>
        <w:tc>
          <w:tcPr>
            <w:tcW w:w="851" w:type="dxa"/>
            <w:tcMar>
              <w:top w:w="60" w:type="dxa"/>
              <w:left w:w="60" w:type="dxa"/>
              <w:bottom w:w="60" w:type="dxa"/>
              <w:right w:w="60" w:type="dxa"/>
            </w:tcMar>
          </w:tcPr>
          <w:p w14:paraId="604D5B0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0.71</w:t>
            </w:r>
          </w:p>
        </w:tc>
        <w:tc>
          <w:tcPr>
            <w:tcW w:w="851" w:type="dxa"/>
            <w:tcMar>
              <w:top w:w="60" w:type="dxa"/>
              <w:left w:w="60" w:type="dxa"/>
              <w:bottom w:w="60" w:type="dxa"/>
              <w:right w:w="60" w:type="dxa"/>
            </w:tcMar>
          </w:tcPr>
          <w:p w14:paraId="12A8EFB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1.03</w:t>
            </w:r>
          </w:p>
        </w:tc>
      </w:tr>
      <w:tr w:rsidR="00B677BD" w:rsidRPr="00C11AF6" w14:paraId="3D5E0F30" w14:textId="77777777">
        <w:trPr>
          <w:jc w:val="center"/>
        </w:trPr>
        <w:tc>
          <w:tcPr>
            <w:tcW w:w="851" w:type="dxa"/>
            <w:shd w:val="clear" w:color="auto" w:fill="F4F6F9"/>
            <w:tcMar>
              <w:top w:w="60" w:type="dxa"/>
              <w:left w:w="60" w:type="dxa"/>
              <w:bottom w:w="60" w:type="dxa"/>
              <w:right w:w="60" w:type="dxa"/>
            </w:tcMar>
          </w:tcPr>
          <w:p w14:paraId="3D1126A0"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5"/>
              </w:rPr>
              <w:t>Glucose (mg/dL)</w:t>
            </w:r>
          </w:p>
        </w:tc>
        <w:tc>
          <w:tcPr>
            <w:tcW w:w="851" w:type="dxa"/>
            <w:shd w:val="clear" w:color="auto" w:fill="F4F6F9"/>
            <w:tcMar>
              <w:top w:w="60" w:type="dxa"/>
              <w:left w:w="60" w:type="dxa"/>
              <w:bottom w:w="60" w:type="dxa"/>
              <w:right w:w="60" w:type="dxa"/>
            </w:tcMar>
          </w:tcPr>
          <w:p w14:paraId="5603928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70–110</w:t>
            </w:r>
          </w:p>
        </w:tc>
        <w:tc>
          <w:tcPr>
            <w:tcW w:w="851" w:type="dxa"/>
            <w:shd w:val="clear" w:color="auto" w:fill="F4F6F9"/>
            <w:tcMar>
              <w:top w:w="60" w:type="dxa"/>
              <w:left w:w="60" w:type="dxa"/>
              <w:bottom w:w="60" w:type="dxa"/>
              <w:right w:w="60" w:type="dxa"/>
            </w:tcMar>
          </w:tcPr>
          <w:p w14:paraId="62192D0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59</w:t>
            </w:r>
          </w:p>
        </w:tc>
        <w:tc>
          <w:tcPr>
            <w:tcW w:w="851" w:type="dxa"/>
            <w:shd w:val="clear" w:color="auto" w:fill="F4F6F9"/>
            <w:tcMar>
              <w:top w:w="60" w:type="dxa"/>
              <w:left w:w="60" w:type="dxa"/>
              <w:bottom w:w="60" w:type="dxa"/>
              <w:right w:w="60" w:type="dxa"/>
            </w:tcMar>
          </w:tcPr>
          <w:p w14:paraId="7AE1DD5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366</w:t>
            </w:r>
          </w:p>
        </w:tc>
        <w:tc>
          <w:tcPr>
            <w:tcW w:w="851" w:type="dxa"/>
            <w:shd w:val="clear" w:color="auto" w:fill="F4F6F9"/>
            <w:tcMar>
              <w:top w:w="60" w:type="dxa"/>
              <w:left w:w="60" w:type="dxa"/>
              <w:bottom w:w="60" w:type="dxa"/>
              <w:right w:w="60" w:type="dxa"/>
            </w:tcMar>
          </w:tcPr>
          <w:p w14:paraId="45F4D3A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50</w:t>
            </w:r>
          </w:p>
        </w:tc>
        <w:tc>
          <w:tcPr>
            <w:tcW w:w="851" w:type="dxa"/>
            <w:shd w:val="clear" w:color="auto" w:fill="F4F6F9"/>
            <w:tcMar>
              <w:top w:w="60" w:type="dxa"/>
              <w:left w:w="60" w:type="dxa"/>
              <w:bottom w:w="60" w:type="dxa"/>
              <w:right w:w="60" w:type="dxa"/>
            </w:tcMar>
          </w:tcPr>
          <w:p w14:paraId="5C689C7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68</w:t>
            </w:r>
          </w:p>
        </w:tc>
        <w:tc>
          <w:tcPr>
            <w:tcW w:w="851" w:type="dxa"/>
            <w:shd w:val="clear" w:color="auto" w:fill="F4F6F9"/>
            <w:tcMar>
              <w:top w:w="60" w:type="dxa"/>
              <w:left w:w="60" w:type="dxa"/>
              <w:bottom w:w="60" w:type="dxa"/>
              <w:right w:w="60" w:type="dxa"/>
            </w:tcMar>
          </w:tcPr>
          <w:p w14:paraId="344833B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103</w:t>
            </w:r>
          </w:p>
        </w:tc>
        <w:tc>
          <w:tcPr>
            <w:tcW w:w="851" w:type="dxa"/>
            <w:shd w:val="clear" w:color="auto" w:fill="F4F6F9"/>
            <w:tcMar>
              <w:top w:w="60" w:type="dxa"/>
              <w:left w:w="60" w:type="dxa"/>
              <w:bottom w:w="60" w:type="dxa"/>
              <w:right w:w="60" w:type="dxa"/>
            </w:tcMar>
          </w:tcPr>
          <w:p w14:paraId="50F3BD5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68</w:t>
            </w:r>
          </w:p>
        </w:tc>
        <w:tc>
          <w:tcPr>
            <w:tcW w:w="851" w:type="dxa"/>
            <w:shd w:val="clear" w:color="auto" w:fill="F4F6F9"/>
            <w:tcMar>
              <w:top w:w="60" w:type="dxa"/>
              <w:left w:w="60" w:type="dxa"/>
              <w:bottom w:w="60" w:type="dxa"/>
              <w:right w:w="60" w:type="dxa"/>
            </w:tcMar>
          </w:tcPr>
          <w:p w14:paraId="31B329EA"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61</w:t>
            </w:r>
          </w:p>
        </w:tc>
        <w:tc>
          <w:tcPr>
            <w:tcW w:w="851" w:type="dxa"/>
            <w:shd w:val="clear" w:color="auto" w:fill="F4F6F9"/>
            <w:tcMar>
              <w:top w:w="60" w:type="dxa"/>
              <w:left w:w="60" w:type="dxa"/>
              <w:bottom w:w="60" w:type="dxa"/>
              <w:right w:w="60" w:type="dxa"/>
            </w:tcMar>
          </w:tcPr>
          <w:p w14:paraId="415BCD2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52</w:t>
            </w:r>
          </w:p>
        </w:tc>
        <w:tc>
          <w:tcPr>
            <w:tcW w:w="851" w:type="dxa"/>
            <w:shd w:val="clear" w:color="auto" w:fill="F4F6F9"/>
            <w:tcMar>
              <w:top w:w="60" w:type="dxa"/>
              <w:left w:w="60" w:type="dxa"/>
              <w:bottom w:w="60" w:type="dxa"/>
              <w:right w:w="60" w:type="dxa"/>
            </w:tcMar>
          </w:tcPr>
          <w:p w14:paraId="79DA0E2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44</w:t>
            </w:r>
          </w:p>
        </w:tc>
      </w:tr>
      <w:tr w:rsidR="00B677BD" w:rsidRPr="00C11AF6" w14:paraId="72F1F315" w14:textId="77777777">
        <w:trPr>
          <w:jc w:val="center"/>
        </w:trPr>
        <w:tc>
          <w:tcPr>
            <w:tcW w:w="851" w:type="dxa"/>
            <w:tcMar>
              <w:top w:w="60" w:type="dxa"/>
              <w:left w:w="60" w:type="dxa"/>
              <w:bottom w:w="60" w:type="dxa"/>
              <w:right w:w="60" w:type="dxa"/>
            </w:tcMar>
          </w:tcPr>
          <w:p w14:paraId="5C798B9D"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5"/>
              </w:rPr>
              <w:t>Lactate (mmol/L)</w:t>
            </w:r>
          </w:p>
        </w:tc>
        <w:tc>
          <w:tcPr>
            <w:tcW w:w="851" w:type="dxa"/>
            <w:tcMar>
              <w:top w:w="60" w:type="dxa"/>
              <w:left w:w="60" w:type="dxa"/>
              <w:bottom w:w="60" w:type="dxa"/>
              <w:right w:w="60" w:type="dxa"/>
            </w:tcMar>
          </w:tcPr>
          <w:p w14:paraId="3DEDE47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0.5–2.2</w:t>
            </w:r>
          </w:p>
        </w:tc>
        <w:tc>
          <w:tcPr>
            <w:tcW w:w="851" w:type="dxa"/>
            <w:tcMar>
              <w:top w:w="60" w:type="dxa"/>
              <w:left w:w="60" w:type="dxa"/>
              <w:bottom w:w="60" w:type="dxa"/>
              <w:right w:w="60" w:type="dxa"/>
            </w:tcMar>
          </w:tcPr>
          <w:p w14:paraId="6A61BE2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1.3</w:t>
            </w:r>
          </w:p>
        </w:tc>
        <w:tc>
          <w:tcPr>
            <w:tcW w:w="851" w:type="dxa"/>
            <w:tcMar>
              <w:top w:w="60" w:type="dxa"/>
              <w:left w:w="60" w:type="dxa"/>
              <w:bottom w:w="60" w:type="dxa"/>
              <w:right w:w="60" w:type="dxa"/>
            </w:tcMar>
          </w:tcPr>
          <w:p w14:paraId="42C8EF1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2.0</w:t>
            </w:r>
          </w:p>
        </w:tc>
        <w:tc>
          <w:tcPr>
            <w:tcW w:w="851" w:type="dxa"/>
            <w:tcMar>
              <w:top w:w="60" w:type="dxa"/>
              <w:left w:w="60" w:type="dxa"/>
              <w:bottom w:w="60" w:type="dxa"/>
              <w:right w:w="60" w:type="dxa"/>
            </w:tcMar>
          </w:tcPr>
          <w:p w14:paraId="3188B75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0.7</w:t>
            </w:r>
          </w:p>
        </w:tc>
        <w:tc>
          <w:tcPr>
            <w:tcW w:w="851" w:type="dxa"/>
            <w:tcMar>
              <w:top w:w="60" w:type="dxa"/>
              <w:left w:w="60" w:type="dxa"/>
              <w:bottom w:w="60" w:type="dxa"/>
              <w:right w:w="60" w:type="dxa"/>
            </w:tcMar>
          </w:tcPr>
          <w:p w14:paraId="64EE861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0.6</w:t>
            </w:r>
          </w:p>
        </w:tc>
        <w:tc>
          <w:tcPr>
            <w:tcW w:w="851" w:type="dxa"/>
            <w:tcMar>
              <w:top w:w="60" w:type="dxa"/>
              <w:left w:w="60" w:type="dxa"/>
              <w:bottom w:w="60" w:type="dxa"/>
              <w:right w:w="60" w:type="dxa"/>
            </w:tcMar>
          </w:tcPr>
          <w:p w14:paraId="2D9AA8A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1.1</w:t>
            </w:r>
          </w:p>
        </w:tc>
        <w:tc>
          <w:tcPr>
            <w:tcW w:w="851" w:type="dxa"/>
            <w:tcMar>
              <w:top w:w="60" w:type="dxa"/>
              <w:left w:w="60" w:type="dxa"/>
              <w:bottom w:w="60" w:type="dxa"/>
              <w:right w:w="60" w:type="dxa"/>
            </w:tcMar>
          </w:tcPr>
          <w:p w14:paraId="2145AE8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0.8</w:t>
            </w:r>
          </w:p>
        </w:tc>
        <w:tc>
          <w:tcPr>
            <w:tcW w:w="851" w:type="dxa"/>
            <w:tcMar>
              <w:top w:w="60" w:type="dxa"/>
              <w:left w:w="60" w:type="dxa"/>
              <w:bottom w:w="60" w:type="dxa"/>
              <w:right w:w="60" w:type="dxa"/>
            </w:tcMar>
          </w:tcPr>
          <w:p w14:paraId="0945DF1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0.7</w:t>
            </w:r>
          </w:p>
        </w:tc>
        <w:tc>
          <w:tcPr>
            <w:tcW w:w="851" w:type="dxa"/>
            <w:tcMar>
              <w:top w:w="60" w:type="dxa"/>
              <w:left w:w="60" w:type="dxa"/>
              <w:bottom w:w="60" w:type="dxa"/>
              <w:right w:w="60" w:type="dxa"/>
            </w:tcMar>
          </w:tcPr>
          <w:p w14:paraId="588C51F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2.6</w:t>
            </w:r>
          </w:p>
        </w:tc>
        <w:tc>
          <w:tcPr>
            <w:tcW w:w="851" w:type="dxa"/>
            <w:tcMar>
              <w:top w:w="60" w:type="dxa"/>
              <w:left w:w="60" w:type="dxa"/>
              <w:bottom w:w="60" w:type="dxa"/>
              <w:right w:w="60" w:type="dxa"/>
            </w:tcMar>
          </w:tcPr>
          <w:p w14:paraId="1A315E0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5.4</w:t>
            </w:r>
          </w:p>
        </w:tc>
      </w:tr>
      <w:tr w:rsidR="00B677BD" w:rsidRPr="00C11AF6" w14:paraId="70E4CD0D" w14:textId="77777777">
        <w:trPr>
          <w:jc w:val="center"/>
        </w:trPr>
        <w:tc>
          <w:tcPr>
            <w:tcW w:w="851" w:type="dxa"/>
            <w:shd w:val="clear" w:color="auto" w:fill="F4F6F9"/>
            <w:tcMar>
              <w:top w:w="60" w:type="dxa"/>
              <w:left w:w="60" w:type="dxa"/>
              <w:bottom w:w="60" w:type="dxa"/>
              <w:right w:w="60" w:type="dxa"/>
            </w:tcMar>
          </w:tcPr>
          <w:p w14:paraId="47076F14"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5"/>
              </w:rPr>
              <w:t>HCO3- (mmol/L)</w:t>
            </w:r>
          </w:p>
        </w:tc>
        <w:tc>
          <w:tcPr>
            <w:tcW w:w="851" w:type="dxa"/>
            <w:shd w:val="clear" w:color="auto" w:fill="F4F6F9"/>
            <w:tcMar>
              <w:top w:w="60" w:type="dxa"/>
              <w:left w:w="60" w:type="dxa"/>
              <w:bottom w:w="60" w:type="dxa"/>
              <w:right w:w="60" w:type="dxa"/>
            </w:tcMar>
          </w:tcPr>
          <w:p w14:paraId="033D354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22–26</w:t>
            </w:r>
          </w:p>
        </w:tc>
        <w:tc>
          <w:tcPr>
            <w:tcW w:w="851" w:type="dxa"/>
            <w:shd w:val="clear" w:color="auto" w:fill="F4F6F9"/>
            <w:tcMar>
              <w:top w:w="60" w:type="dxa"/>
              <w:left w:w="60" w:type="dxa"/>
              <w:bottom w:w="60" w:type="dxa"/>
              <w:right w:w="60" w:type="dxa"/>
            </w:tcMar>
          </w:tcPr>
          <w:p w14:paraId="5E3089B3"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6.5</w:t>
            </w:r>
          </w:p>
        </w:tc>
        <w:tc>
          <w:tcPr>
            <w:tcW w:w="851" w:type="dxa"/>
            <w:shd w:val="clear" w:color="auto" w:fill="F4F6F9"/>
            <w:tcMar>
              <w:top w:w="60" w:type="dxa"/>
              <w:left w:w="60" w:type="dxa"/>
              <w:bottom w:w="60" w:type="dxa"/>
              <w:right w:w="60" w:type="dxa"/>
            </w:tcMar>
          </w:tcPr>
          <w:p w14:paraId="071F93B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15.3</w:t>
            </w:r>
          </w:p>
        </w:tc>
        <w:tc>
          <w:tcPr>
            <w:tcW w:w="851" w:type="dxa"/>
            <w:shd w:val="clear" w:color="auto" w:fill="F4F6F9"/>
            <w:tcMar>
              <w:top w:w="60" w:type="dxa"/>
              <w:left w:w="60" w:type="dxa"/>
              <w:bottom w:w="60" w:type="dxa"/>
              <w:right w:w="60" w:type="dxa"/>
            </w:tcMar>
          </w:tcPr>
          <w:p w14:paraId="61737FD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16.2</w:t>
            </w:r>
          </w:p>
        </w:tc>
        <w:tc>
          <w:tcPr>
            <w:tcW w:w="851" w:type="dxa"/>
            <w:shd w:val="clear" w:color="auto" w:fill="F4F6F9"/>
            <w:tcMar>
              <w:top w:w="60" w:type="dxa"/>
              <w:left w:w="60" w:type="dxa"/>
              <w:bottom w:w="60" w:type="dxa"/>
              <w:right w:w="60" w:type="dxa"/>
            </w:tcMar>
          </w:tcPr>
          <w:p w14:paraId="26FD490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7.8</w:t>
            </w:r>
          </w:p>
        </w:tc>
        <w:tc>
          <w:tcPr>
            <w:tcW w:w="851" w:type="dxa"/>
            <w:shd w:val="clear" w:color="auto" w:fill="F4F6F9"/>
            <w:tcMar>
              <w:top w:w="60" w:type="dxa"/>
              <w:left w:w="60" w:type="dxa"/>
              <w:bottom w:w="60" w:type="dxa"/>
              <w:right w:w="60" w:type="dxa"/>
            </w:tcMar>
          </w:tcPr>
          <w:p w14:paraId="5DE87D05"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24.5</w:t>
            </w:r>
          </w:p>
        </w:tc>
        <w:tc>
          <w:tcPr>
            <w:tcW w:w="851" w:type="dxa"/>
            <w:shd w:val="clear" w:color="auto" w:fill="F4F6F9"/>
            <w:tcMar>
              <w:top w:w="60" w:type="dxa"/>
              <w:left w:w="60" w:type="dxa"/>
              <w:bottom w:w="60" w:type="dxa"/>
              <w:right w:w="60" w:type="dxa"/>
            </w:tcMar>
          </w:tcPr>
          <w:p w14:paraId="3B1107FA"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26.0</w:t>
            </w:r>
          </w:p>
        </w:tc>
        <w:tc>
          <w:tcPr>
            <w:tcW w:w="851" w:type="dxa"/>
            <w:shd w:val="clear" w:color="auto" w:fill="F4F6F9"/>
            <w:tcMar>
              <w:top w:w="60" w:type="dxa"/>
              <w:left w:w="60" w:type="dxa"/>
              <w:bottom w:w="60" w:type="dxa"/>
              <w:right w:w="60" w:type="dxa"/>
            </w:tcMar>
          </w:tcPr>
          <w:p w14:paraId="176BCF8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29.6</w:t>
            </w:r>
          </w:p>
        </w:tc>
        <w:tc>
          <w:tcPr>
            <w:tcW w:w="851" w:type="dxa"/>
            <w:shd w:val="clear" w:color="auto" w:fill="F4F6F9"/>
            <w:tcMar>
              <w:top w:w="60" w:type="dxa"/>
              <w:left w:w="60" w:type="dxa"/>
              <w:bottom w:w="60" w:type="dxa"/>
              <w:right w:w="60" w:type="dxa"/>
            </w:tcMar>
          </w:tcPr>
          <w:p w14:paraId="1E050905"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20.9</w:t>
            </w:r>
          </w:p>
        </w:tc>
        <w:tc>
          <w:tcPr>
            <w:tcW w:w="851" w:type="dxa"/>
            <w:shd w:val="clear" w:color="auto" w:fill="F4F6F9"/>
            <w:tcMar>
              <w:top w:w="60" w:type="dxa"/>
              <w:left w:w="60" w:type="dxa"/>
              <w:bottom w:w="60" w:type="dxa"/>
              <w:right w:w="60" w:type="dxa"/>
            </w:tcMar>
          </w:tcPr>
          <w:p w14:paraId="4237C74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24.7</w:t>
            </w:r>
          </w:p>
        </w:tc>
      </w:tr>
      <w:tr w:rsidR="00B677BD" w:rsidRPr="00C11AF6" w14:paraId="01B274D8" w14:textId="77777777">
        <w:trPr>
          <w:jc w:val="center"/>
        </w:trPr>
        <w:tc>
          <w:tcPr>
            <w:tcW w:w="851" w:type="dxa"/>
            <w:tcMar>
              <w:top w:w="60" w:type="dxa"/>
              <w:left w:w="60" w:type="dxa"/>
              <w:bottom w:w="60" w:type="dxa"/>
              <w:right w:w="60" w:type="dxa"/>
            </w:tcMar>
          </w:tcPr>
          <w:p w14:paraId="149B58E5"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5"/>
              </w:rPr>
              <w:t>Base Excess (mmol/L)</w:t>
            </w:r>
          </w:p>
        </w:tc>
        <w:tc>
          <w:tcPr>
            <w:tcW w:w="851" w:type="dxa"/>
            <w:tcMar>
              <w:top w:w="60" w:type="dxa"/>
              <w:left w:w="60" w:type="dxa"/>
              <w:bottom w:w="60" w:type="dxa"/>
              <w:right w:w="60" w:type="dxa"/>
            </w:tcMar>
          </w:tcPr>
          <w:p w14:paraId="26AE15B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-3 to +3</w:t>
            </w:r>
          </w:p>
        </w:tc>
        <w:tc>
          <w:tcPr>
            <w:tcW w:w="851" w:type="dxa"/>
            <w:tcMar>
              <w:top w:w="60" w:type="dxa"/>
              <w:left w:w="60" w:type="dxa"/>
              <w:bottom w:w="60" w:type="dxa"/>
              <w:right w:w="60" w:type="dxa"/>
            </w:tcMar>
          </w:tcPr>
          <w:p w14:paraId="7F83129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-21.2</w:t>
            </w:r>
          </w:p>
        </w:tc>
        <w:tc>
          <w:tcPr>
            <w:tcW w:w="851" w:type="dxa"/>
            <w:tcMar>
              <w:top w:w="60" w:type="dxa"/>
              <w:left w:w="60" w:type="dxa"/>
              <w:bottom w:w="60" w:type="dxa"/>
              <w:right w:w="60" w:type="dxa"/>
            </w:tcMar>
          </w:tcPr>
          <w:p w14:paraId="626D559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-10.1</w:t>
            </w:r>
          </w:p>
        </w:tc>
        <w:tc>
          <w:tcPr>
            <w:tcW w:w="851" w:type="dxa"/>
            <w:tcMar>
              <w:top w:w="60" w:type="dxa"/>
              <w:left w:w="60" w:type="dxa"/>
              <w:bottom w:w="60" w:type="dxa"/>
              <w:right w:w="60" w:type="dxa"/>
            </w:tcMar>
          </w:tcPr>
          <w:p w14:paraId="177A66B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-10.2</w:t>
            </w:r>
          </w:p>
        </w:tc>
        <w:tc>
          <w:tcPr>
            <w:tcW w:w="851" w:type="dxa"/>
            <w:tcMar>
              <w:top w:w="60" w:type="dxa"/>
              <w:left w:w="60" w:type="dxa"/>
              <w:bottom w:w="60" w:type="dxa"/>
              <w:right w:w="60" w:type="dxa"/>
            </w:tcMar>
          </w:tcPr>
          <w:p w14:paraId="4DC4406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-19.1</w:t>
            </w:r>
          </w:p>
        </w:tc>
        <w:tc>
          <w:tcPr>
            <w:tcW w:w="851" w:type="dxa"/>
            <w:tcMar>
              <w:top w:w="60" w:type="dxa"/>
              <w:left w:w="60" w:type="dxa"/>
              <w:bottom w:w="60" w:type="dxa"/>
              <w:right w:w="60" w:type="dxa"/>
            </w:tcMar>
          </w:tcPr>
          <w:p w14:paraId="7CE827F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+0.3</w:t>
            </w:r>
          </w:p>
        </w:tc>
        <w:tc>
          <w:tcPr>
            <w:tcW w:w="851" w:type="dxa"/>
            <w:tcMar>
              <w:top w:w="60" w:type="dxa"/>
              <w:left w:w="60" w:type="dxa"/>
              <w:bottom w:w="60" w:type="dxa"/>
              <w:right w:w="60" w:type="dxa"/>
            </w:tcMar>
          </w:tcPr>
          <w:p w14:paraId="7151A8B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+1.0</w:t>
            </w:r>
          </w:p>
        </w:tc>
        <w:tc>
          <w:tcPr>
            <w:tcW w:w="851" w:type="dxa"/>
            <w:tcMar>
              <w:top w:w="60" w:type="dxa"/>
              <w:left w:w="60" w:type="dxa"/>
              <w:bottom w:w="60" w:type="dxa"/>
              <w:right w:w="60" w:type="dxa"/>
            </w:tcMar>
          </w:tcPr>
          <w:p w14:paraId="64C3201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+4.5</w:t>
            </w:r>
          </w:p>
        </w:tc>
        <w:tc>
          <w:tcPr>
            <w:tcW w:w="851" w:type="dxa"/>
            <w:tcMar>
              <w:top w:w="60" w:type="dxa"/>
              <w:left w:w="60" w:type="dxa"/>
              <w:bottom w:w="60" w:type="dxa"/>
              <w:right w:w="60" w:type="dxa"/>
            </w:tcMar>
          </w:tcPr>
          <w:p w14:paraId="2CB4076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-2.6</w:t>
            </w:r>
          </w:p>
        </w:tc>
        <w:tc>
          <w:tcPr>
            <w:tcW w:w="851" w:type="dxa"/>
            <w:tcMar>
              <w:top w:w="60" w:type="dxa"/>
              <w:left w:w="60" w:type="dxa"/>
              <w:bottom w:w="60" w:type="dxa"/>
              <w:right w:w="60" w:type="dxa"/>
            </w:tcMar>
          </w:tcPr>
          <w:p w14:paraId="118DA2F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+0.1</w:t>
            </w:r>
          </w:p>
        </w:tc>
      </w:tr>
      <w:tr w:rsidR="00B677BD" w:rsidRPr="00C11AF6" w14:paraId="3FFFB538" w14:textId="77777777">
        <w:trPr>
          <w:jc w:val="center"/>
        </w:trPr>
        <w:tc>
          <w:tcPr>
            <w:tcW w:w="851" w:type="dxa"/>
            <w:shd w:val="clear" w:color="auto" w:fill="F4F6F9"/>
            <w:tcMar>
              <w:top w:w="60" w:type="dxa"/>
              <w:left w:w="60" w:type="dxa"/>
              <w:bottom w:w="60" w:type="dxa"/>
              <w:right w:w="60" w:type="dxa"/>
            </w:tcMar>
          </w:tcPr>
          <w:p w14:paraId="36392709"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5"/>
              </w:rPr>
              <w:t>Hct (%) / Hb (g/dL)</w:t>
            </w:r>
          </w:p>
        </w:tc>
        <w:tc>
          <w:tcPr>
            <w:tcW w:w="851" w:type="dxa"/>
            <w:shd w:val="clear" w:color="auto" w:fill="F4F6F9"/>
            <w:tcMar>
              <w:top w:w="60" w:type="dxa"/>
              <w:left w:w="60" w:type="dxa"/>
              <w:bottom w:w="60" w:type="dxa"/>
              <w:right w:w="60" w:type="dxa"/>
            </w:tcMar>
          </w:tcPr>
          <w:p w14:paraId="499B5053"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35–45 / 11–15</w:t>
            </w:r>
          </w:p>
        </w:tc>
        <w:tc>
          <w:tcPr>
            <w:tcW w:w="851" w:type="dxa"/>
            <w:shd w:val="clear" w:color="auto" w:fill="F4F6F9"/>
            <w:tcMar>
              <w:top w:w="60" w:type="dxa"/>
              <w:left w:w="60" w:type="dxa"/>
              <w:bottom w:w="60" w:type="dxa"/>
              <w:right w:w="60" w:type="dxa"/>
            </w:tcMar>
          </w:tcPr>
          <w:p w14:paraId="666558A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17 / 5.3</w:t>
            </w:r>
          </w:p>
        </w:tc>
        <w:tc>
          <w:tcPr>
            <w:tcW w:w="851" w:type="dxa"/>
            <w:shd w:val="clear" w:color="auto" w:fill="F4F6F9"/>
            <w:tcMar>
              <w:top w:w="60" w:type="dxa"/>
              <w:left w:w="60" w:type="dxa"/>
              <w:bottom w:w="60" w:type="dxa"/>
              <w:right w:w="60" w:type="dxa"/>
            </w:tcMar>
          </w:tcPr>
          <w:p w14:paraId="5906794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24 / 7.4</w:t>
            </w:r>
          </w:p>
        </w:tc>
        <w:tc>
          <w:tcPr>
            <w:tcW w:w="851" w:type="dxa"/>
            <w:shd w:val="clear" w:color="auto" w:fill="F4F6F9"/>
            <w:tcMar>
              <w:top w:w="60" w:type="dxa"/>
              <w:left w:w="60" w:type="dxa"/>
              <w:bottom w:w="60" w:type="dxa"/>
              <w:right w:w="60" w:type="dxa"/>
            </w:tcMar>
          </w:tcPr>
          <w:p w14:paraId="68674945"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20 / 6.4</w:t>
            </w:r>
          </w:p>
        </w:tc>
        <w:tc>
          <w:tcPr>
            <w:tcW w:w="851" w:type="dxa"/>
            <w:shd w:val="clear" w:color="auto" w:fill="F4F6F9"/>
            <w:tcMar>
              <w:top w:w="60" w:type="dxa"/>
              <w:left w:w="60" w:type="dxa"/>
              <w:bottom w:w="60" w:type="dxa"/>
              <w:right w:w="60" w:type="dxa"/>
            </w:tcMar>
          </w:tcPr>
          <w:p w14:paraId="5D72C9E9"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&lt;15 / --</w:t>
            </w:r>
          </w:p>
        </w:tc>
        <w:tc>
          <w:tcPr>
            <w:tcW w:w="851" w:type="dxa"/>
            <w:shd w:val="clear" w:color="auto" w:fill="F4F6F9"/>
            <w:tcMar>
              <w:top w:w="60" w:type="dxa"/>
              <w:left w:w="60" w:type="dxa"/>
              <w:bottom w:w="60" w:type="dxa"/>
              <w:right w:w="60" w:type="dxa"/>
            </w:tcMar>
          </w:tcPr>
          <w:p w14:paraId="17B8D46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19 / 5.9</w:t>
            </w:r>
          </w:p>
        </w:tc>
        <w:tc>
          <w:tcPr>
            <w:tcW w:w="851" w:type="dxa"/>
            <w:shd w:val="clear" w:color="auto" w:fill="F4F6F9"/>
            <w:tcMar>
              <w:top w:w="60" w:type="dxa"/>
              <w:left w:w="60" w:type="dxa"/>
              <w:bottom w:w="60" w:type="dxa"/>
              <w:right w:w="60" w:type="dxa"/>
            </w:tcMar>
          </w:tcPr>
          <w:p w14:paraId="28BA18D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20 / 6.2</w:t>
            </w:r>
          </w:p>
        </w:tc>
        <w:tc>
          <w:tcPr>
            <w:tcW w:w="851" w:type="dxa"/>
            <w:shd w:val="clear" w:color="auto" w:fill="F4F6F9"/>
            <w:tcMar>
              <w:top w:w="60" w:type="dxa"/>
              <w:left w:w="60" w:type="dxa"/>
              <w:bottom w:w="60" w:type="dxa"/>
              <w:right w:w="60" w:type="dxa"/>
            </w:tcMar>
          </w:tcPr>
          <w:p w14:paraId="0657AF4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26 / 8.1</w:t>
            </w:r>
          </w:p>
        </w:tc>
        <w:tc>
          <w:tcPr>
            <w:tcW w:w="851" w:type="dxa"/>
            <w:shd w:val="clear" w:color="auto" w:fill="F4F6F9"/>
            <w:tcMar>
              <w:top w:w="60" w:type="dxa"/>
              <w:left w:w="60" w:type="dxa"/>
              <w:bottom w:w="60" w:type="dxa"/>
              <w:right w:w="60" w:type="dxa"/>
            </w:tcMar>
          </w:tcPr>
          <w:p w14:paraId="6CEBC8A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23 / 7.1</w:t>
            </w:r>
          </w:p>
        </w:tc>
        <w:tc>
          <w:tcPr>
            <w:tcW w:w="851" w:type="dxa"/>
            <w:shd w:val="clear" w:color="auto" w:fill="F4F6F9"/>
            <w:tcMar>
              <w:top w:w="60" w:type="dxa"/>
              <w:left w:w="60" w:type="dxa"/>
              <w:bottom w:w="60" w:type="dxa"/>
              <w:right w:w="60" w:type="dxa"/>
            </w:tcMar>
          </w:tcPr>
          <w:p w14:paraId="2C7C84C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29 / 9.0</w:t>
            </w:r>
          </w:p>
        </w:tc>
      </w:tr>
      <w:tr w:rsidR="00B677BD" w:rsidRPr="00C11AF6" w14:paraId="49808D40" w14:textId="77777777">
        <w:trPr>
          <w:jc w:val="center"/>
        </w:trPr>
        <w:tc>
          <w:tcPr>
            <w:tcW w:w="851" w:type="dxa"/>
            <w:tcMar>
              <w:top w:w="60" w:type="dxa"/>
              <w:left w:w="60" w:type="dxa"/>
              <w:bottom w:w="60" w:type="dxa"/>
              <w:right w:w="60" w:type="dxa"/>
            </w:tcMar>
          </w:tcPr>
          <w:p w14:paraId="4FD7EBC7"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5"/>
              </w:rPr>
              <w:t>SO2c (%)</w:t>
            </w:r>
          </w:p>
        </w:tc>
        <w:tc>
          <w:tcPr>
            <w:tcW w:w="851" w:type="dxa"/>
            <w:tcMar>
              <w:top w:w="60" w:type="dxa"/>
              <w:left w:w="60" w:type="dxa"/>
              <w:bottom w:w="60" w:type="dxa"/>
              <w:right w:w="60" w:type="dxa"/>
            </w:tcMar>
          </w:tcPr>
          <w:p w14:paraId="297D013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95–100</w:t>
            </w:r>
          </w:p>
        </w:tc>
        <w:tc>
          <w:tcPr>
            <w:tcW w:w="851" w:type="dxa"/>
            <w:tcMar>
              <w:top w:w="60" w:type="dxa"/>
              <w:left w:w="60" w:type="dxa"/>
              <w:bottom w:w="60" w:type="dxa"/>
              <w:right w:w="60" w:type="dxa"/>
            </w:tcMar>
          </w:tcPr>
          <w:p w14:paraId="3BA57A1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99</w:t>
            </w:r>
          </w:p>
        </w:tc>
        <w:tc>
          <w:tcPr>
            <w:tcW w:w="851" w:type="dxa"/>
            <w:tcMar>
              <w:top w:w="60" w:type="dxa"/>
              <w:left w:w="60" w:type="dxa"/>
              <w:bottom w:w="60" w:type="dxa"/>
              <w:right w:w="60" w:type="dxa"/>
            </w:tcMar>
          </w:tcPr>
          <w:p w14:paraId="5649CB0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93</w:t>
            </w:r>
          </w:p>
        </w:tc>
        <w:tc>
          <w:tcPr>
            <w:tcW w:w="851" w:type="dxa"/>
            <w:tcMar>
              <w:top w:w="60" w:type="dxa"/>
              <w:left w:w="60" w:type="dxa"/>
              <w:bottom w:w="60" w:type="dxa"/>
              <w:right w:w="60" w:type="dxa"/>
            </w:tcMar>
          </w:tcPr>
          <w:p w14:paraId="67FDA87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96</w:t>
            </w:r>
          </w:p>
        </w:tc>
        <w:tc>
          <w:tcPr>
            <w:tcW w:w="851" w:type="dxa"/>
            <w:tcMar>
              <w:top w:w="60" w:type="dxa"/>
              <w:left w:w="60" w:type="dxa"/>
              <w:bottom w:w="60" w:type="dxa"/>
              <w:right w:w="60" w:type="dxa"/>
            </w:tcMar>
          </w:tcPr>
          <w:p w14:paraId="093606C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92</w:t>
            </w:r>
          </w:p>
        </w:tc>
        <w:tc>
          <w:tcPr>
            <w:tcW w:w="851" w:type="dxa"/>
            <w:tcMar>
              <w:top w:w="60" w:type="dxa"/>
              <w:left w:w="60" w:type="dxa"/>
              <w:bottom w:w="60" w:type="dxa"/>
              <w:right w:w="60" w:type="dxa"/>
            </w:tcMar>
          </w:tcPr>
          <w:p w14:paraId="78ADBBD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88</w:t>
            </w:r>
          </w:p>
        </w:tc>
        <w:tc>
          <w:tcPr>
            <w:tcW w:w="851" w:type="dxa"/>
            <w:tcMar>
              <w:top w:w="60" w:type="dxa"/>
              <w:left w:w="60" w:type="dxa"/>
              <w:bottom w:w="60" w:type="dxa"/>
              <w:right w:w="60" w:type="dxa"/>
            </w:tcMar>
          </w:tcPr>
          <w:p w14:paraId="3C0BAA2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97</w:t>
            </w:r>
          </w:p>
        </w:tc>
        <w:tc>
          <w:tcPr>
            <w:tcW w:w="851" w:type="dxa"/>
            <w:tcMar>
              <w:top w:w="60" w:type="dxa"/>
              <w:left w:w="60" w:type="dxa"/>
              <w:bottom w:w="60" w:type="dxa"/>
              <w:right w:w="60" w:type="dxa"/>
            </w:tcMar>
          </w:tcPr>
          <w:p w14:paraId="268C6B6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98</w:t>
            </w:r>
          </w:p>
        </w:tc>
        <w:tc>
          <w:tcPr>
            <w:tcW w:w="851" w:type="dxa"/>
            <w:tcMar>
              <w:top w:w="60" w:type="dxa"/>
              <w:left w:w="60" w:type="dxa"/>
              <w:bottom w:w="60" w:type="dxa"/>
              <w:right w:w="60" w:type="dxa"/>
            </w:tcMar>
          </w:tcPr>
          <w:p w14:paraId="7401D75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85</w:t>
            </w:r>
          </w:p>
        </w:tc>
        <w:tc>
          <w:tcPr>
            <w:tcW w:w="851" w:type="dxa"/>
            <w:tcMar>
              <w:top w:w="60" w:type="dxa"/>
              <w:left w:w="60" w:type="dxa"/>
              <w:bottom w:w="60" w:type="dxa"/>
              <w:right w:w="60" w:type="dxa"/>
            </w:tcMar>
          </w:tcPr>
          <w:p w14:paraId="05AFEF6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5"/>
              </w:rPr>
              <w:t>43*</w:t>
            </w:r>
          </w:p>
        </w:tc>
      </w:tr>
    </w:tbl>
    <w:p w14:paraId="63B79EA0" w14:textId="77777777" w:rsidR="00B677BD" w:rsidRPr="00C11AF6" w:rsidRDefault="00000000">
      <w:pPr>
        <w:spacing w:before="60" w:after="160"/>
        <w:rPr>
          <w:rFonts w:cs="Times New Roman"/>
          <w:color w:val="000000" w:themeColor="text1"/>
        </w:rPr>
      </w:pPr>
      <w:r w:rsidRPr="00C11AF6">
        <w:rPr>
          <w:rFonts w:cs="Times New Roman"/>
          <w:i/>
          <w:color w:val="000000" w:themeColor="text1"/>
          <w:sz w:val="16"/>
        </w:rPr>
        <w:t>*Note: ABG analyses performed on GEM Premier 3500 blood gas analyzer. The 25/08 sample represents a venous sample drawn following transfer to the pediatric ward, accounting for expected venous pO2 and sO2. Abbreviations: iCa++: ionized calcium; Hct: hematocrit; Hb: calculated total hemoglobin; SO2c: calculated oxygen saturation; BE: base excess.</w:t>
      </w:r>
    </w:p>
    <w:p w14:paraId="164D39D1" w14:textId="77777777" w:rsidR="00B677BD" w:rsidRPr="00C11AF6" w:rsidRDefault="00000000">
      <w:pPr>
        <w:spacing w:before="160" w:after="80"/>
        <w:rPr>
          <w:rFonts w:cs="Times New Roman"/>
          <w:color w:val="000000" w:themeColor="text1"/>
        </w:rPr>
      </w:pPr>
      <w:r w:rsidRPr="00C11AF6">
        <w:rPr>
          <w:rFonts w:cs="Times New Roman"/>
          <w:b/>
          <w:color w:val="000000" w:themeColor="text1"/>
          <w:sz w:val="20"/>
        </w:rPr>
        <w:t>Table 2. Longitudinal Laboratory Profile: Hematology, Biochemistry, Hepatorenal Panels, and Coagulation</w:t>
      </w:r>
    </w:p>
    <w:tbl>
      <w:tblPr>
        <w:tblW w:w="0" w:type="auto"/>
        <w:jc w:val="center"/>
        <w:tblLook w:val="04A0" w:firstRow="1" w:lastRow="0" w:firstColumn="1" w:lastColumn="0" w:noHBand="0" w:noVBand="1"/>
      </w:tblPr>
      <w:tblGrid>
        <w:gridCol w:w="1170"/>
        <w:gridCol w:w="1170"/>
        <w:gridCol w:w="1170"/>
        <w:gridCol w:w="1170"/>
        <w:gridCol w:w="1170"/>
        <w:gridCol w:w="1170"/>
        <w:gridCol w:w="1170"/>
        <w:gridCol w:w="1170"/>
      </w:tblGrid>
      <w:tr w:rsidR="00B677BD" w:rsidRPr="00C11AF6" w14:paraId="210488B4" w14:textId="77777777">
        <w:trPr>
          <w:jc w:val="center"/>
        </w:trPr>
        <w:tc>
          <w:tcPr>
            <w:tcW w:w="1170" w:type="dxa"/>
            <w:shd w:val="clear" w:color="auto" w:fill="112B4E"/>
            <w:tcMar>
              <w:top w:w="60" w:type="dxa"/>
              <w:left w:w="70" w:type="dxa"/>
              <w:bottom w:w="60" w:type="dxa"/>
              <w:right w:w="70" w:type="dxa"/>
            </w:tcMar>
          </w:tcPr>
          <w:p w14:paraId="2BAFCAAA" w14:textId="77777777" w:rsidR="00B677BD" w:rsidRPr="00C11AF6" w:rsidRDefault="00000000">
            <w:pPr>
              <w:spacing w:after="0" w:line="240" w:lineRule="auto"/>
              <w:rPr>
                <w:rFonts w:cs="Times New Roman"/>
                <w:color w:val="FFFFFF" w:themeColor="background1"/>
              </w:rPr>
            </w:pPr>
            <w:r w:rsidRPr="00C11AF6">
              <w:rPr>
                <w:rFonts w:cs="Times New Roman"/>
                <w:b/>
                <w:color w:val="FFFFFF" w:themeColor="background1"/>
                <w:sz w:val="16"/>
              </w:rPr>
              <w:t>Parameter</w:t>
            </w:r>
          </w:p>
        </w:tc>
        <w:tc>
          <w:tcPr>
            <w:tcW w:w="1170" w:type="dxa"/>
            <w:shd w:val="clear" w:color="auto" w:fill="112B4E"/>
            <w:tcMar>
              <w:top w:w="60" w:type="dxa"/>
              <w:left w:w="70" w:type="dxa"/>
              <w:bottom w:w="60" w:type="dxa"/>
              <w:right w:w="70" w:type="dxa"/>
            </w:tcMar>
          </w:tcPr>
          <w:p w14:paraId="11FE9707" w14:textId="77777777" w:rsidR="00B677BD" w:rsidRPr="00C11AF6" w:rsidRDefault="00000000">
            <w:pPr>
              <w:spacing w:after="0" w:line="240" w:lineRule="auto"/>
              <w:rPr>
                <w:rFonts w:cs="Times New Roman"/>
                <w:color w:val="FFFFFF" w:themeColor="background1"/>
              </w:rPr>
            </w:pPr>
            <w:r w:rsidRPr="00C11AF6">
              <w:rPr>
                <w:rFonts w:cs="Times New Roman"/>
                <w:b/>
                <w:color w:val="FFFFFF" w:themeColor="background1"/>
                <w:sz w:val="16"/>
              </w:rPr>
              <w:t>Reference Range</w:t>
            </w:r>
          </w:p>
        </w:tc>
        <w:tc>
          <w:tcPr>
            <w:tcW w:w="1170" w:type="dxa"/>
            <w:shd w:val="clear" w:color="auto" w:fill="112B4E"/>
            <w:tcMar>
              <w:top w:w="60" w:type="dxa"/>
              <w:left w:w="70" w:type="dxa"/>
              <w:bottom w:w="60" w:type="dxa"/>
              <w:right w:w="70" w:type="dxa"/>
            </w:tcMar>
          </w:tcPr>
          <w:p w14:paraId="6EF4B504"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6"/>
              </w:rPr>
              <w:t>Day 1 (17/08)</w:t>
            </w:r>
          </w:p>
        </w:tc>
        <w:tc>
          <w:tcPr>
            <w:tcW w:w="1170" w:type="dxa"/>
            <w:shd w:val="clear" w:color="auto" w:fill="112B4E"/>
            <w:tcMar>
              <w:top w:w="60" w:type="dxa"/>
              <w:left w:w="70" w:type="dxa"/>
              <w:bottom w:w="60" w:type="dxa"/>
              <w:right w:w="70" w:type="dxa"/>
            </w:tcMar>
          </w:tcPr>
          <w:p w14:paraId="3CD1539D"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6"/>
              </w:rPr>
              <w:t>Day 2 (18/08)</w:t>
            </w:r>
          </w:p>
        </w:tc>
        <w:tc>
          <w:tcPr>
            <w:tcW w:w="1170" w:type="dxa"/>
            <w:shd w:val="clear" w:color="auto" w:fill="112B4E"/>
            <w:tcMar>
              <w:top w:w="60" w:type="dxa"/>
              <w:left w:w="70" w:type="dxa"/>
              <w:bottom w:w="60" w:type="dxa"/>
              <w:right w:w="70" w:type="dxa"/>
            </w:tcMar>
          </w:tcPr>
          <w:p w14:paraId="45817CEF"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6"/>
              </w:rPr>
              <w:t>Day 3 (19/08)</w:t>
            </w:r>
          </w:p>
        </w:tc>
        <w:tc>
          <w:tcPr>
            <w:tcW w:w="1170" w:type="dxa"/>
            <w:shd w:val="clear" w:color="auto" w:fill="112B4E"/>
            <w:tcMar>
              <w:top w:w="60" w:type="dxa"/>
              <w:left w:w="70" w:type="dxa"/>
              <w:bottom w:w="60" w:type="dxa"/>
              <w:right w:w="70" w:type="dxa"/>
            </w:tcMar>
          </w:tcPr>
          <w:p w14:paraId="13A2C0EE"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6"/>
              </w:rPr>
              <w:t>Day 4 (20/08)</w:t>
            </w:r>
          </w:p>
        </w:tc>
        <w:tc>
          <w:tcPr>
            <w:tcW w:w="1170" w:type="dxa"/>
            <w:shd w:val="clear" w:color="auto" w:fill="112B4E"/>
            <w:tcMar>
              <w:top w:w="60" w:type="dxa"/>
              <w:left w:w="70" w:type="dxa"/>
              <w:bottom w:w="60" w:type="dxa"/>
              <w:right w:w="70" w:type="dxa"/>
            </w:tcMar>
          </w:tcPr>
          <w:p w14:paraId="65D037B6"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6"/>
              </w:rPr>
              <w:t>Day 5 (21/08)</w:t>
            </w:r>
          </w:p>
        </w:tc>
        <w:tc>
          <w:tcPr>
            <w:tcW w:w="1170" w:type="dxa"/>
            <w:shd w:val="clear" w:color="auto" w:fill="112B4E"/>
            <w:tcMar>
              <w:top w:w="60" w:type="dxa"/>
              <w:left w:w="70" w:type="dxa"/>
              <w:bottom w:w="60" w:type="dxa"/>
              <w:right w:w="70" w:type="dxa"/>
            </w:tcMar>
          </w:tcPr>
          <w:p w14:paraId="7FF6255E" w14:textId="77777777" w:rsidR="00B677BD" w:rsidRPr="00C11AF6" w:rsidRDefault="00000000">
            <w:pPr>
              <w:spacing w:after="0" w:line="240" w:lineRule="auto"/>
              <w:jc w:val="right"/>
              <w:rPr>
                <w:rFonts w:cs="Times New Roman"/>
                <w:color w:val="FFFFFF" w:themeColor="background1"/>
              </w:rPr>
            </w:pPr>
            <w:r w:rsidRPr="00C11AF6">
              <w:rPr>
                <w:rFonts w:cs="Times New Roman"/>
                <w:b/>
                <w:color w:val="FFFFFF" w:themeColor="background1"/>
                <w:sz w:val="16"/>
              </w:rPr>
              <w:t>Day 6 (22/08)</w:t>
            </w:r>
          </w:p>
        </w:tc>
      </w:tr>
      <w:tr w:rsidR="00B677BD" w:rsidRPr="00C11AF6" w14:paraId="0722D0B8" w14:textId="77777777">
        <w:trPr>
          <w:jc w:val="center"/>
        </w:trPr>
        <w:tc>
          <w:tcPr>
            <w:tcW w:w="1170" w:type="dxa"/>
            <w:shd w:val="clear" w:color="auto" w:fill="F4F6F9"/>
            <w:tcMar>
              <w:top w:w="60" w:type="dxa"/>
              <w:left w:w="70" w:type="dxa"/>
              <w:bottom w:w="60" w:type="dxa"/>
              <w:right w:w="70" w:type="dxa"/>
            </w:tcMar>
          </w:tcPr>
          <w:p w14:paraId="45FD171D"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Hemoglobin (g/dL)</w:t>
            </w:r>
          </w:p>
        </w:tc>
        <w:tc>
          <w:tcPr>
            <w:tcW w:w="1170" w:type="dxa"/>
            <w:shd w:val="clear" w:color="auto" w:fill="F4F6F9"/>
            <w:tcMar>
              <w:top w:w="60" w:type="dxa"/>
              <w:left w:w="70" w:type="dxa"/>
              <w:bottom w:w="60" w:type="dxa"/>
              <w:right w:w="70" w:type="dxa"/>
            </w:tcMar>
          </w:tcPr>
          <w:p w14:paraId="196C9671"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12.2–18.0</w:t>
            </w:r>
          </w:p>
        </w:tc>
        <w:tc>
          <w:tcPr>
            <w:tcW w:w="1170" w:type="dxa"/>
            <w:shd w:val="clear" w:color="auto" w:fill="F4F6F9"/>
            <w:tcMar>
              <w:top w:w="60" w:type="dxa"/>
              <w:left w:w="70" w:type="dxa"/>
              <w:bottom w:w="60" w:type="dxa"/>
              <w:right w:w="70" w:type="dxa"/>
            </w:tcMar>
          </w:tcPr>
          <w:p w14:paraId="75D43DE5"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10.4</w:t>
            </w:r>
          </w:p>
        </w:tc>
        <w:tc>
          <w:tcPr>
            <w:tcW w:w="1170" w:type="dxa"/>
            <w:shd w:val="clear" w:color="auto" w:fill="F4F6F9"/>
            <w:tcMar>
              <w:top w:w="60" w:type="dxa"/>
              <w:left w:w="70" w:type="dxa"/>
              <w:bottom w:w="60" w:type="dxa"/>
              <w:right w:w="70" w:type="dxa"/>
            </w:tcMar>
          </w:tcPr>
          <w:p w14:paraId="6A577A0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10.4</w:t>
            </w:r>
          </w:p>
        </w:tc>
        <w:tc>
          <w:tcPr>
            <w:tcW w:w="1170" w:type="dxa"/>
            <w:shd w:val="clear" w:color="auto" w:fill="F4F6F9"/>
            <w:tcMar>
              <w:top w:w="60" w:type="dxa"/>
              <w:left w:w="70" w:type="dxa"/>
              <w:bottom w:w="60" w:type="dxa"/>
              <w:right w:w="70" w:type="dxa"/>
            </w:tcMar>
          </w:tcPr>
          <w:p w14:paraId="38F0E729"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7.6 (Nadir)</w:t>
            </w:r>
          </w:p>
        </w:tc>
        <w:tc>
          <w:tcPr>
            <w:tcW w:w="1170" w:type="dxa"/>
            <w:shd w:val="clear" w:color="auto" w:fill="F4F6F9"/>
            <w:tcMar>
              <w:top w:w="60" w:type="dxa"/>
              <w:left w:w="70" w:type="dxa"/>
              <w:bottom w:w="60" w:type="dxa"/>
              <w:right w:w="70" w:type="dxa"/>
            </w:tcMar>
          </w:tcPr>
          <w:p w14:paraId="0CE0E57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12.0 (Post-Tx)</w:t>
            </w:r>
          </w:p>
        </w:tc>
        <w:tc>
          <w:tcPr>
            <w:tcW w:w="1170" w:type="dxa"/>
            <w:shd w:val="clear" w:color="auto" w:fill="F4F6F9"/>
            <w:tcMar>
              <w:top w:w="60" w:type="dxa"/>
              <w:left w:w="70" w:type="dxa"/>
              <w:bottom w:w="60" w:type="dxa"/>
              <w:right w:w="70" w:type="dxa"/>
            </w:tcMar>
          </w:tcPr>
          <w:p w14:paraId="2ACFCA5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11.8</w:t>
            </w:r>
          </w:p>
        </w:tc>
        <w:tc>
          <w:tcPr>
            <w:tcW w:w="1170" w:type="dxa"/>
            <w:shd w:val="clear" w:color="auto" w:fill="F4F6F9"/>
            <w:tcMar>
              <w:top w:w="60" w:type="dxa"/>
              <w:left w:w="70" w:type="dxa"/>
              <w:bottom w:w="60" w:type="dxa"/>
              <w:right w:w="70" w:type="dxa"/>
            </w:tcMar>
          </w:tcPr>
          <w:p w14:paraId="009249B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11.0</w:t>
            </w:r>
          </w:p>
        </w:tc>
      </w:tr>
      <w:tr w:rsidR="00B677BD" w:rsidRPr="00C11AF6" w14:paraId="641C5DB8" w14:textId="77777777">
        <w:trPr>
          <w:jc w:val="center"/>
        </w:trPr>
        <w:tc>
          <w:tcPr>
            <w:tcW w:w="1170" w:type="dxa"/>
            <w:tcMar>
              <w:top w:w="60" w:type="dxa"/>
              <w:left w:w="70" w:type="dxa"/>
              <w:bottom w:w="60" w:type="dxa"/>
              <w:right w:w="70" w:type="dxa"/>
            </w:tcMar>
          </w:tcPr>
          <w:p w14:paraId="5DADD126"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RBC Count (x10^6/µL)</w:t>
            </w:r>
          </w:p>
        </w:tc>
        <w:tc>
          <w:tcPr>
            <w:tcW w:w="1170" w:type="dxa"/>
            <w:tcMar>
              <w:top w:w="60" w:type="dxa"/>
              <w:left w:w="70" w:type="dxa"/>
              <w:bottom w:w="60" w:type="dxa"/>
              <w:right w:w="70" w:type="dxa"/>
            </w:tcMar>
          </w:tcPr>
          <w:p w14:paraId="703D8DE2"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3.4–5.0</w:t>
            </w:r>
          </w:p>
        </w:tc>
        <w:tc>
          <w:tcPr>
            <w:tcW w:w="1170" w:type="dxa"/>
            <w:tcMar>
              <w:top w:w="60" w:type="dxa"/>
              <w:left w:w="70" w:type="dxa"/>
              <w:bottom w:w="60" w:type="dxa"/>
              <w:right w:w="70" w:type="dxa"/>
            </w:tcMar>
          </w:tcPr>
          <w:p w14:paraId="04790EF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3.2</w:t>
            </w:r>
          </w:p>
        </w:tc>
        <w:tc>
          <w:tcPr>
            <w:tcW w:w="1170" w:type="dxa"/>
            <w:tcMar>
              <w:top w:w="60" w:type="dxa"/>
              <w:left w:w="70" w:type="dxa"/>
              <w:bottom w:w="60" w:type="dxa"/>
              <w:right w:w="70" w:type="dxa"/>
            </w:tcMar>
          </w:tcPr>
          <w:p w14:paraId="3340CB5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3.2</w:t>
            </w:r>
          </w:p>
        </w:tc>
        <w:tc>
          <w:tcPr>
            <w:tcW w:w="1170" w:type="dxa"/>
            <w:tcMar>
              <w:top w:w="60" w:type="dxa"/>
              <w:left w:w="70" w:type="dxa"/>
              <w:bottom w:w="60" w:type="dxa"/>
              <w:right w:w="70" w:type="dxa"/>
            </w:tcMar>
          </w:tcPr>
          <w:p w14:paraId="57C6854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2.4</w:t>
            </w:r>
          </w:p>
        </w:tc>
        <w:tc>
          <w:tcPr>
            <w:tcW w:w="1170" w:type="dxa"/>
            <w:tcMar>
              <w:top w:w="60" w:type="dxa"/>
              <w:left w:w="70" w:type="dxa"/>
              <w:bottom w:w="60" w:type="dxa"/>
              <w:right w:w="70" w:type="dxa"/>
            </w:tcMar>
          </w:tcPr>
          <w:p w14:paraId="75F2D99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3.9</w:t>
            </w:r>
          </w:p>
        </w:tc>
        <w:tc>
          <w:tcPr>
            <w:tcW w:w="1170" w:type="dxa"/>
            <w:tcMar>
              <w:top w:w="60" w:type="dxa"/>
              <w:left w:w="70" w:type="dxa"/>
              <w:bottom w:w="60" w:type="dxa"/>
              <w:right w:w="70" w:type="dxa"/>
            </w:tcMar>
          </w:tcPr>
          <w:p w14:paraId="0093556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3.7</w:t>
            </w:r>
          </w:p>
        </w:tc>
        <w:tc>
          <w:tcPr>
            <w:tcW w:w="1170" w:type="dxa"/>
            <w:tcMar>
              <w:top w:w="60" w:type="dxa"/>
              <w:left w:w="70" w:type="dxa"/>
              <w:bottom w:w="60" w:type="dxa"/>
              <w:right w:w="70" w:type="dxa"/>
            </w:tcMar>
          </w:tcPr>
          <w:p w14:paraId="2F40CD9A"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3.5</w:t>
            </w:r>
          </w:p>
        </w:tc>
      </w:tr>
      <w:tr w:rsidR="00B677BD" w:rsidRPr="00C11AF6" w14:paraId="3DBED7B9" w14:textId="77777777">
        <w:trPr>
          <w:jc w:val="center"/>
        </w:trPr>
        <w:tc>
          <w:tcPr>
            <w:tcW w:w="1170" w:type="dxa"/>
            <w:shd w:val="clear" w:color="auto" w:fill="F4F6F9"/>
            <w:tcMar>
              <w:top w:w="60" w:type="dxa"/>
              <w:left w:w="70" w:type="dxa"/>
              <w:bottom w:w="60" w:type="dxa"/>
              <w:right w:w="70" w:type="dxa"/>
            </w:tcMar>
          </w:tcPr>
          <w:p w14:paraId="2F4439D8"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Total Leukocytes (/µL)</w:t>
            </w:r>
          </w:p>
        </w:tc>
        <w:tc>
          <w:tcPr>
            <w:tcW w:w="1170" w:type="dxa"/>
            <w:shd w:val="clear" w:color="auto" w:fill="F4F6F9"/>
            <w:tcMar>
              <w:top w:w="60" w:type="dxa"/>
              <w:left w:w="70" w:type="dxa"/>
              <w:bottom w:w="60" w:type="dxa"/>
              <w:right w:w="70" w:type="dxa"/>
            </w:tcMar>
          </w:tcPr>
          <w:p w14:paraId="676BD51B"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6,000–18,000</w:t>
            </w:r>
          </w:p>
        </w:tc>
        <w:tc>
          <w:tcPr>
            <w:tcW w:w="1170" w:type="dxa"/>
            <w:shd w:val="clear" w:color="auto" w:fill="F4F6F9"/>
            <w:tcMar>
              <w:top w:w="60" w:type="dxa"/>
              <w:left w:w="70" w:type="dxa"/>
              <w:bottom w:w="60" w:type="dxa"/>
              <w:right w:w="70" w:type="dxa"/>
            </w:tcMar>
          </w:tcPr>
          <w:p w14:paraId="2EDB4B25"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15,490</w:t>
            </w:r>
          </w:p>
        </w:tc>
        <w:tc>
          <w:tcPr>
            <w:tcW w:w="1170" w:type="dxa"/>
            <w:shd w:val="clear" w:color="auto" w:fill="F4F6F9"/>
            <w:tcMar>
              <w:top w:w="60" w:type="dxa"/>
              <w:left w:w="70" w:type="dxa"/>
              <w:bottom w:w="60" w:type="dxa"/>
              <w:right w:w="70" w:type="dxa"/>
            </w:tcMar>
          </w:tcPr>
          <w:p w14:paraId="2DDE983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15,490</w:t>
            </w:r>
          </w:p>
        </w:tc>
        <w:tc>
          <w:tcPr>
            <w:tcW w:w="1170" w:type="dxa"/>
            <w:shd w:val="clear" w:color="auto" w:fill="F4F6F9"/>
            <w:tcMar>
              <w:top w:w="60" w:type="dxa"/>
              <w:left w:w="70" w:type="dxa"/>
              <w:bottom w:w="60" w:type="dxa"/>
              <w:right w:w="70" w:type="dxa"/>
            </w:tcMar>
          </w:tcPr>
          <w:p w14:paraId="4F8264A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11,030</w:t>
            </w:r>
          </w:p>
        </w:tc>
        <w:tc>
          <w:tcPr>
            <w:tcW w:w="1170" w:type="dxa"/>
            <w:shd w:val="clear" w:color="auto" w:fill="F4F6F9"/>
            <w:tcMar>
              <w:top w:w="60" w:type="dxa"/>
              <w:left w:w="70" w:type="dxa"/>
              <w:bottom w:w="60" w:type="dxa"/>
              <w:right w:w="70" w:type="dxa"/>
            </w:tcMar>
          </w:tcPr>
          <w:p w14:paraId="585C190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13,320</w:t>
            </w:r>
          </w:p>
        </w:tc>
        <w:tc>
          <w:tcPr>
            <w:tcW w:w="1170" w:type="dxa"/>
            <w:shd w:val="clear" w:color="auto" w:fill="F4F6F9"/>
            <w:tcMar>
              <w:top w:w="60" w:type="dxa"/>
              <w:left w:w="70" w:type="dxa"/>
              <w:bottom w:w="60" w:type="dxa"/>
              <w:right w:w="70" w:type="dxa"/>
            </w:tcMar>
          </w:tcPr>
          <w:p w14:paraId="6038405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10,670</w:t>
            </w:r>
          </w:p>
        </w:tc>
        <w:tc>
          <w:tcPr>
            <w:tcW w:w="1170" w:type="dxa"/>
            <w:shd w:val="clear" w:color="auto" w:fill="F4F6F9"/>
            <w:tcMar>
              <w:top w:w="60" w:type="dxa"/>
              <w:left w:w="70" w:type="dxa"/>
              <w:bottom w:w="60" w:type="dxa"/>
              <w:right w:w="70" w:type="dxa"/>
            </w:tcMar>
          </w:tcPr>
          <w:p w14:paraId="6909F31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12,630</w:t>
            </w:r>
          </w:p>
        </w:tc>
      </w:tr>
      <w:tr w:rsidR="00B677BD" w:rsidRPr="00C11AF6" w14:paraId="7884769C" w14:textId="77777777">
        <w:trPr>
          <w:jc w:val="center"/>
        </w:trPr>
        <w:tc>
          <w:tcPr>
            <w:tcW w:w="1170" w:type="dxa"/>
            <w:tcMar>
              <w:top w:w="60" w:type="dxa"/>
              <w:left w:w="70" w:type="dxa"/>
              <w:bottom w:w="60" w:type="dxa"/>
              <w:right w:w="70" w:type="dxa"/>
            </w:tcMar>
          </w:tcPr>
          <w:p w14:paraId="5D66BA68"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Neutrophils / Lymph (%)</w:t>
            </w:r>
          </w:p>
        </w:tc>
        <w:tc>
          <w:tcPr>
            <w:tcW w:w="1170" w:type="dxa"/>
            <w:tcMar>
              <w:top w:w="60" w:type="dxa"/>
              <w:left w:w="70" w:type="dxa"/>
              <w:bottom w:w="60" w:type="dxa"/>
              <w:right w:w="70" w:type="dxa"/>
            </w:tcMar>
          </w:tcPr>
          <w:p w14:paraId="490A1EB1"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13–44 / 20–45</w:t>
            </w:r>
          </w:p>
        </w:tc>
        <w:tc>
          <w:tcPr>
            <w:tcW w:w="1170" w:type="dxa"/>
            <w:tcMar>
              <w:top w:w="60" w:type="dxa"/>
              <w:left w:w="70" w:type="dxa"/>
              <w:bottom w:w="60" w:type="dxa"/>
              <w:right w:w="70" w:type="dxa"/>
            </w:tcMar>
          </w:tcPr>
          <w:p w14:paraId="2448504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62 / 36</w:t>
            </w:r>
          </w:p>
        </w:tc>
        <w:tc>
          <w:tcPr>
            <w:tcW w:w="1170" w:type="dxa"/>
            <w:tcMar>
              <w:top w:w="60" w:type="dxa"/>
              <w:left w:w="70" w:type="dxa"/>
              <w:bottom w:w="60" w:type="dxa"/>
              <w:right w:w="70" w:type="dxa"/>
            </w:tcMar>
          </w:tcPr>
          <w:p w14:paraId="053BB34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62 / 36</w:t>
            </w:r>
          </w:p>
        </w:tc>
        <w:tc>
          <w:tcPr>
            <w:tcW w:w="1170" w:type="dxa"/>
            <w:tcMar>
              <w:top w:w="60" w:type="dxa"/>
              <w:left w:w="70" w:type="dxa"/>
              <w:bottom w:w="60" w:type="dxa"/>
              <w:right w:w="70" w:type="dxa"/>
            </w:tcMar>
          </w:tcPr>
          <w:p w14:paraId="5E5A0A6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35 / 55</w:t>
            </w:r>
          </w:p>
        </w:tc>
        <w:tc>
          <w:tcPr>
            <w:tcW w:w="1170" w:type="dxa"/>
            <w:tcMar>
              <w:top w:w="60" w:type="dxa"/>
              <w:left w:w="70" w:type="dxa"/>
              <w:bottom w:w="60" w:type="dxa"/>
              <w:right w:w="70" w:type="dxa"/>
            </w:tcMar>
          </w:tcPr>
          <w:p w14:paraId="3F4D05A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35 / 51</w:t>
            </w:r>
          </w:p>
        </w:tc>
        <w:tc>
          <w:tcPr>
            <w:tcW w:w="1170" w:type="dxa"/>
            <w:tcMar>
              <w:top w:w="60" w:type="dxa"/>
              <w:left w:w="70" w:type="dxa"/>
              <w:bottom w:w="60" w:type="dxa"/>
              <w:right w:w="70" w:type="dxa"/>
            </w:tcMar>
          </w:tcPr>
          <w:p w14:paraId="08DFA0E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47 / 41</w:t>
            </w:r>
          </w:p>
        </w:tc>
        <w:tc>
          <w:tcPr>
            <w:tcW w:w="1170" w:type="dxa"/>
            <w:tcMar>
              <w:top w:w="60" w:type="dxa"/>
              <w:left w:w="70" w:type="dxa"/>
              <w:bottom w:w="60" w:type="dxa"/>
              <w:right w:w="70" w:type="dxa"/>
            </w:tcMar>
          </w:tcPr>
          <w:p w14:paraId="062C9CB5"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23 / 50</w:t>
            </w:r>
          </w:p>
        </w:tc>
      </w:tr>
      <w:tr w:rsidR="00B677BD" w:rsidRPr="00C11AF6" w14:paraId="687D0E79" w14:textId="77777777">
        <w:trPr>
          <w:jc w:val="center"/>
        </w:trPr>
        <w:tc>
          <w:tcPr>
            <w:tcW w:w="1170" w:type="dxa"/>
            <w:shd w:val="clear" w:color="auto" w:fill="F4F6F9"/>
            <w:tcMar>
              <w:top w:w="60" w:type="dxa"/>
              <w:left w:w="70" w:type="dxa"/>
              <w:bottom w:w="60" w:type="dxa"/>
              <w:right w:w="70" w:type="dxa"/>
            </w:tcMar>
          </w:tcPr>
          <w:p w14:paraId="0CC73AFB"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Platelet Count (Lakhs/µL)</w:t>
            </w:r>
          </w:p>
        </w:tc>
        <w:tc>
          <w:tcPr>
            <w:tcW w:w="1170" w:type="dxa"/>
            <w:shd w:val="clear" w:color="auto" w:fill="F4F6F9"/>
            <w:tcMar>
              <w:top w:w="60" w:type="dxa"/>
              <w:left w:w="70" w:type="dxa"/>
              <w:bottom w:w="60" w:type="dxa"/>
              <w:right w:w="70" w:type="dxa"/>
            </w:tcMar>
          </w:tcPr>
          <w:p w14:paraId="522E6FD9"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1.5–3.5</w:t>
            </w:r>
          </w:p>
        </w:tc>
        <w:tc>
          <w:tcPr>
            <w:tcW w:w="1170" w:type="dxa"/>
            <w:shd w:val="clear" w:color="auto" w:fill="F4F6F9"/>
            <w:tcMar>
              <w:top w:w="60" w:type="dxa"/>
              <w:left w:w="70" w:type="dxa"/>
              <w:bottom w:w="60" w:type="dxa"/>
              <w:right w:w="70" w:type="dxa"/>
            </w:tcMar>
          </w:tcPr>
          <w:p w14:paraId="5A85A84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6.81</w:t>
            </w:r>
          </w:p>
        </w:tc>
        <w:tc>
          <w:tcPr>
            <w:tcW w:w="1170" w:type="dxa"/>
            <w:shd w:val="clear" w:color="auto" w:fill="F4F6F9"/>
            <w:tcMar>
              <w:top w:w="60" w:type="dxa"/>
              <w:left w:w="70" w:type="dxa"/>
              <w:bottom w:w="60" w:type="dxa"/>
              <w:right w:w="70" w:type="dxa"/>
            </w:tcMar>
          </w:tcPr>
          <w:p w14:paraId="5496955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6.81</w:t>
            </w:r>
          </w:p>
        </w:tc>
        <w:tc>
          <w:tcPr>
            <w:tcW w:w="1170" w:type="dxa"/>
            <w:shd w:val="clear" w:color="auto" w:fill="F4F6F9"/>
            <w:tcMar>
              <w:top w:w="60" w:type="dxa"/>
              <w:left w:w="70" w:type="dxa"/>
              <w:bottom w:w="60" w:type="dxa"/>
              <w:right w:w="70" w:type="dxa"/>
            </w:tcMar>
          </w:tcPr>
          <w:p w14:paraId="2FEB549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4.73</w:t>
            </w:r>
          </w:p>
        </w:tc>
        <w:tc>
          <w:tcPr>
            <w:tcW w:w="1170" w:type="dxa"/>
            <w:shd w:val="clear" w:color="auto" w:fill="F4F6F9"/>
            <w:tcMar>
              <w:top w:w="60" w:type="dxa"/>
              <w:left w:w="70" w:type="dxa"/>
              <w:bottom w:w="60" w:type="dxa"/>
              <w:right w:w="70" w:type="dxa"/>
            </w:tcMar>
          </w:tcPr>
          <w:p w14:paraId="7218EA9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3.62</w:t>
            </w:r>
          </w:p>
        </w:tc>
        <w:tc>
          <w:tcPr>
            <w:tcW w:w="1170" w:type="dxa"/>
            <w:shd w:val="clear" w:color="auto" w:fill="F4F6F9"/>
            <w:tcMar>
              <w:top w:w="60" w:type="dxa"/>
              <w:left w:w="70" w:type="dxa"/>
              <w:bottom w:w="60" w:type="dxa"/>
              <w:right w:w="70" w:type="dxa"/>
            </w:tcMar>
          </w:tcPr>
          <w:p w14:paraId="40ED66F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2.31</w:t>
            </w:r>
          </w:p>
        </w:tc>
        <w:tc>
          <w:tcPr>
            <w:tcW w:w="1170" w:type="dxa"/>
            <w:shd w:val="clear" w:color="auto" w:fill="F4F6F9"/>
            <w:tcMar>
              <w:top w:w="60" w:type="dxa"/>
              <w:left w:w="70" w:type="dxa"/>
              <w:bottom w:w="60" w:type="dxa"/>
              <w:right w:w="70" w:type="dxa"/>
            </w:tcMar>
          </w:tcPr>
          <w:p w14:paraId="6E951615"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1.58</w:t>
            </w:r>
          </w:p>
        </w:tc>
      </w:tr>
      <w:tr w:rsidR="00B677BD" w:rsidRPr="00C11AF6" w14:paraId="1C7053BB" w14:textId="77777777">
        <w:trPr>
          <w:jc w:val="center"/>
        </w:trPr>
        <w:tc>
          <w:tcPr>
            <w:tcW w:w="1170" w:type="dxa"/>
            <w:tcMar>
              <w:top w:w="60" w:type="dxa"/>
              <w:left w:w="70" w:type="dxa"/>
              <w:bottom w:w="60" w:type="dxa"/>
              <w:right w:w="70" w:type="dxa"/>
            </w:tcMar>
          </w:tcPr>
          <w:p w14:paraId="20A13910"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Serum Sodium (mmol/L)</w:t>
            </w:r>
          </w:p>
        </w:tc>
        <w:tc>
          <w:tcPr>
            <w:tcW w:w="1170" w:type="dxa"/>
            <w:tcMar>
              <w:top w:w="60" w:type="dxa"/>
              <w:left w:w="70" w:type="dxa"/>
              <w:bottom w:w="60" w:type="dxa"/>
              <w:right w:w="70" w:type="dxa"/>
            </w:tcMar>
          </w:tcPr>
          <w:p w14:paraId="6416CD03"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133–152</w:t>
            </w:r>
          </w:p>
        </w:tc>
        <w:tc>
          <w:tcPr>
            <w:tcW w:w="1170" w:type="dxa"/>
            <w:tcMar>
              <w:top w:w="60" w:type="dxa"/>
              <w:left w:w="70" w:type="dxa"/>
              <w:bottom w:w="60" w:type="dxa"/>
              <w:right w:w="70" w:type="dxa"/>
            </w:tcMar>
          </w:tcPr>
          <w:p w14:paraId="59C3E0C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165.1</w:t>
            </w:r>
          </w:p>
        </w:tc>
        <w:tc>
          <w:tcPr>
            <w:tcW w:w="1170" w:type="dxa"/>
            <w:tcMar>
              <w:top w:w="60" w:type="dxa"/>
              <w:left w:w="70" w:type="dxa"/>
              <w:bottom w:w="60" w:type="dxa"/>
              <w:right w:w="70" w:type="dxa"/>
            </w:tcMar>
          </w:tcPr>
          <w:p w14:paraId="4A921ED5"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163.6–165.3</w:t>
            </w:r>
          </w:p>
        </w:tc>
        <w:tc>
          <w:tcPr>
            <w:tcW w:w="1170" w:type="dxa"/>
            <w:tcMar>
              <w:top w:w="60" w:type="dxa"/>
              <w:left w:w="70" w:type="dxa"/>
              <w:bottom w:w="60" w:type="dxa"/>
              <w:right w:w="70" w:type="dxa"/>
            </w:tcMar>
          </w:tcPr>
          <w:p w14:paraId="62B5BF99"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152.7</w:t>
            </w:r>
          </w:p>
        </w:tc>
        <w:tc>
          <w:tcPr>
            <w:tcW w:w="1170" w:type="dxa"/>
            <w:tcMar>
              <w:top w:w="60" w:type="dxa"/>
              <w:left w:w="70" w:type="dxa"/>
              <w:bottom w:w="60" w:type="dxa"/>
              <w:right w:w="70" w:type="dxa"/>
            </w:tcMar>
          </w:tcPr>
          <w:p w14:paraId="718431D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148.6–149.5</w:t>
            </w:r>
          </w:p>
        </w:tc>
        <w:tc>
          <w:tcPr>
            <w:tcW w:w="1170" w:type="dxa"/>
            <w:tcMar>
              <w:top w:w="60" w:type="dxa"/>
              <w:left w:w="70" w:type="dxa"/>
              <w:bottom w:w="60" w:type="dxa"/>
              <w:right w:w="70" w:type="dxa"/>
            </w:tcMar>
          </w:tcPr>
          <w:p w14:paraId="7778D61A"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144.7</w:t>
            </w:r>
          </w:p>
        </w:tc>
        <w:tc>
          <w:tcPr>
            <w:tcW w:w="1170" w:type="dxa"/>
            <w:tcMar>
              <w:top w:w="60" w:type="dxa"/>
              <w:left w:w="70" w:type="dxa"/>
              <w:bottom w:w="60" w:type="dxa"/>
              <w:right w:w="70" w:type="dxa"/>
            </w:tcMar>
          </w:tcPr>
          <w:p w14:paraId="71BA8AE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143.5</w:t>
            </w:r>
          </w:p>
        </w:tc>
      </w:tr>
      <w:tr w:rsidR="00B677BD" w:rsidRPr="00C11AF6" w14:paraId="341EF22C" w14:textId="77777777">
        <w:trPr>
          <w:jc w:val="center"/>
        </w:trPr>
        <w:tc>
          <w:tcPr>
            <w:tcW w:w="1170" w:type="dxa"/>
            <w:shd w:val="clear" w:color="auto" w:fill="F4F6F9"/>
            <w:tcMar>
              <w:top w:w="60" w:type="dxa"/>
              <w:left w:w="70" w:type="dxa"/>
              <w:bottom w:w="60" w:type="dxa"/>
              <w:right w:w="70" w:type="dxa"/>
            </w:tcMar>
          </w:tcPr>
          <w:p w14:paraId="1C48F83D"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Serum Potassium (mmol/L)</w:t>
            </w:r>
          </w:p>
        </w:tc>
        <w:tc>
          <w:tcPr>
            <w:tcW w:w="1170" w:type="dxa"/>
            <w:shd w:val="clear" w:color="auto" w:fill="F4F6F9"/>
            <w:tcMar>
              <w:top w:w="60" w:type="dxa"/>
              <w:left w:w="70" w:type="dxa"/>
              <w:bottom w:w="60" w:type="dxa"/>
              <w:right w:w="70" w:type="dxa"/>
            </w:tcMar>
          </w:tcPr>
          <w:p w14:paraId="366804B1"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3.5–5.5</w:t>
            </w:r>
          </w:p>
        </w:tc>
        <w:tc>
          <w:tcPr>
            <w:tcW w:w="1170" w:type="dxa"/>
            <w:shd w:val="clear" w:color="auto" w:fill="F4F6F9"/>
            <w:tcMar>
              <w:top w:w="60" w:type="dxa"/>
              <w:left w:w="70" w:type="dxa"/>
              <w:bottom w:w="60" w:type="dxa"/>
              <w:right w:w="70" w:type="dxa"/>
            </w:tcMar>
          </w:tcPr>
          <w:p w14:paraId="4F88CD8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2.69</w:t>
            </w:r>
          </w:p>
        </w:tc>
        <w:tc>
          <w:tcPr>
            <w:tcW w:w="1170" w:type="dxa"/>
            <w:shd w:val="clear" w:color="auto" w:fill="F4F6F9"/>
            <w:tcMar>
              <w:top w:w="60" w:type="dxa"/>
              <w:left w:w="70" w:type="dxa"/>
              <w:bottom w:w="60" w:type="dxa"/>
              <w:right w:w="70" w:type="dxa"/>
            </w:tcMar>
          </w:tcPr>
          <w:p w14:paraId="4E42462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2.43–2.90</w:t>
            </w:r>
          </w:p>
        </w:tc>
        <w:tc>
          <w:tcPr>
            <w:tcW w:w="1170" w:type="dxa"/>
            <w:shd w:val="clear" w:color="auto" w:fill="F4F6F9"/>
            <w:tcMar>
              <w:top w:w="60" w:type="dxa"/>
              <w:left w:w="70" w:type="dxa"/>
              <w:bottom w:w="60" w:type="dxa"/>
              <w:right w:w="70" w:type="dxa"/>
            </w:tcMar>
          </w:tcPr>
          <w:p w14:paraId="5F894AC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3.31</w:t>
            </w:r>
          </w:p>
        </w:tc>
        <w:tc>
          <w:tcPr>
            <w:tcW w:w="1170" w:type="dxa"/>
            <w:shd w:val="clear" w:color="auto" w:fill="F4F6F9"/>
            <w:tcMar>
              <w:top w:w="60" w:type="dxa"/>
              <w:left w:w="70" w:type="dxa"/>
              <w:bottom w:w="60" w:type="dxa"/>
              <w:right w:w="70" w:type="dxa"/>
            </w:tcMar>
          </w:tcPr>
          <w:p w14:paraId="3105EE7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3.35–3.89</w:t>
            </w:r>
          </w:p>
        </w:tc>
        <w:tc>
          <w:tcPr>
            <w:tcW w:w="1170" w:type="dxa"/>
            <w:shd w:val="clear" w:color="auto" w:fill="F4F6F9"/>
            <w:tcMar>
              <w:top w:w="60" w:type="dxa"/>
              <w:left w:w="70" w:type="dxa"/>
              <w:bottom w:w="60" w:type="dxa"/>
              <w:right w:w="70" w:type="dxa"/>
            </w:tcMar>
          </w:tcPr>
          <w:p w14:paraId="4B99F39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3.66</w:t>
            </w:r>
          </w:p>
        </w:tc>
        <w:tc>
          <w:tcPr>
            <w:tcW w:w="1170" w:type="dxa"/>
            <w:shd w:val="clear" w:color="auto" w:fill="F4F6F9"/>
            <w:tcMar>
              <w:top w:w="60" w:type="dxa"/>
              <w:left w:w="70" w:type="dxa"/>
              <w:bottom w:w="60" w:type="dxa"/>
              <w:right w:w="70" w:type="dxa"/>
            </w:tcMar>
          </w:tcPr>
          <w:p w14:paraId="6C23CA9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2.82</w:t>
            </w:r>
          </w:p>
        </w:tc>
      </w:tr>
      <w:tr w:rsidR="00B677BD" w:rsidRPr="00C11AF6" w14:paraId="5AD7A55A" w14:textId="77777777">
        <w:trPr>
          <w:jc w:val="center"/>
        </w:trPr>
        <w:tc>
          <w:tcPr>
            <w:tcW w:w="1170" w:type="dxa"/>
            <w:tcMar>
              <w:top w:w="60" w:type="dxa"/>
              <w:left w:w="70" w:type="dxa"/>
              <w:bottom w:w="60" w:type="dxa"/>
              <w:right w:w="70" w:type="dxa"/>
            </w:tcMar>
          </w:tcPr>
          <w:p w14:paraId="223D3F34"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Serum Chloride (mmol/L)</w:t>
            </w:r>
          </w:p>
        </w:tc>
        <w:tc>
          <w:tcPr>
            <w:tcW w:w="1170" w:type="dxa"/>
            <w:tcMar>
              <w:top w:w="60" w:type="dxa"/>
              <w:left w:w="70" w:type="dxa"/>
              <w:bottom w:w="60" w:type="dxa"/>
              <w:right w:w="70" w:type="dxa"/>
            </w:tcMar>
          </w:tcPr>
          <w:p w14:paraId="22AE70BB"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96–106</w:t>
            </w:r>
          </w:p>
        </w:tc>
        <w:tc>
          <w:tcPr>
            <w:tcW w:w="1170" w:type="dxa"/>
            <w:tcMar>
              <w:top w:w="60" w:type="dxa"/>
              <w:left w:w="70" w:type="dxa"/>
              <w:bottom w:w="60" w:type="dxa"/>
              <w:right w:w="70" w:type="dxa"/>
            </w:tcMar>
          </w:tcPr>
          <w:p w14:paraId="19276A5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137.60</w:t>
            </w:r>
          </w:p>
        </w:tc>
        <w:tc>
          <w:tcPr>
            <w:tcW w:w="1170" w:type="dxa"/>
            <w:tcMar>
              <w:top w:w="60" w:type="dxa"/>
              <w:left w:w="70" w:type="dxa"/>
              <w:bottom w:w="60" w:type="dxa"/>
              <w:right w:w="70" w:type="dxa"/>
            </w:tcMar>
          </w:tcPr>
          <w:p w14:paraId="1826314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129.7–132.1</w:t>
            </w:r>
          </w:p>
        </w:tc>
        <w:tc>
          <w:tcPr>
            <w:tcW w:w="1170" w:type="dxa"/>
            <w:tcMar>
              <w:top w:w="60" w:type="dxa"/>
              <w:left w:w="70" w:type="dxa"/>
              <w:bottom w:w="60" w:type="dxa"/>
              <w:right w:w="70" w:type="dxa"/>
            </w:tcMar>
          </w:tcPr>
          <w:p w14:paraId="0C3CCC0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116.45</w:t>
            </w:r>
          </w:p>
        </w:tc>
        <w:tc>
          <w:tcPr>
            <w:tcW w:w="1170" w:type="dxa"/>
            <w:tcMar>
              <w:top w:w="60" w:type="dxa"/>
              <w:left w:w="70" w:type="dxa"/>
              <w:bottom w:w="60" w:type="dxa"/>
              <w:right w:w="70" w:type="dxa"/>
            </w:tcMar>
          </w:tcPr>
          <w:p w14:paraId="136B151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109.6–114.7</w:t>
            </w:r>
          </w:p>
        </w:tc>
        <w:tc>
          <w:tcPr>
            <w:tcW w:w="1170" w:type="dxa"/>
            <w:tcMar>
              <w:top w:w="60" w:type="dxa"/>
              <w:left w:w="70" w:type="dxa"/>
              <w:bottom w:w="60" w:type="dxa"/>
              <w:right w:w="70" w:type="dxa"/>
            </w:tcMar>
          </w:tcPr>
          <w:p w14:paraId="0E14B4DA"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108.44</w:t>
            </w:r>
          </w:p>
        </w:tc>
        <w:tc>
          <w:tcPr>
            <w:tcW w:w="1170" w:type="dxa"/>
            <w:tcMar>
              <w:top w:w="60" w:type="dxa"/>
              <w:left w:w="70" w:type="dxa"/>
              <w:bottom w:w="60" w:type="dxa"/>
              <w:right w:w="70" w:type="dxa"/>
            </w:tcMar>
          </w:tcPr>
          <w:p w14:paraId="4B6ACA1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106.70</w:t>
            </w:r>
          </w:p>
        </w:tc>
      </w:tr>
      <w:tr w:rsidR="00B677BD" w:rsidRPr="00C11AF6" w14:paraId="5A2037F8" w14:textId="77777777">
        <w:trPr>
          <w:jc w:val="center"/>
        </w:trPr>
        <w:tc>
          <w:tcPr>
            <w:tcW w:w="1170" w:type="dxa"/>
            <w:shd w:val="clear" w:color="auto" w:fill="F4F6F9"/>
            <w:tcMar>
              <w:top w:w="60" w:type="dxa"/>
              <w:left w:w="70" w:type="dxa"/>
              <w:bottom w:w="60" w:type="dxa"/>
              <w:right w:w="70" w:type="dxa"/>
            </w:tcMar>
          </w:tcPr>
          <w:p w14:paraId="1DEF5519"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Blood Urea (mg/dL)</w:t>
            </w:r>
          </w:p>
        </w:tc>
        <w:tc>
          <w:tcPr>
            <w:tcW w:w="1170" w:type="dxa"/>
            <w:shd w:val="clear" w:color="auto" w:fill="F4F6F9"/>
            <w:tcMar>
              <w:top w:w="60" w:type="dxa"/>
              <w:left w:w="70" w:type="dxa"/>
              <w:bottom w:w="60" w:type="dxa"/>
              <w:right w:w="70" w:type="dxa"/>
            </w:tcMar>
          </w:tcPr>
          <w:p w14:paraId="01A06D0A"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8.4–25.8</w:t>
            </w:r>
          </w:p>
        </w:tc>
        <w:tc>
          <w:tcPr>
            <w:tcW w:w="1170" w:type="dxa"/>
            <w:shd w:val="clear" w:color="auto" w:fill="F4F6F9"/>
            <w:tcMar>
              <w:top w:w="60" w:type="dxa"/>
              <w:left w:w="70" w:type="dxa"/>
              <w:bottom w:w="60" w:type="dxa"/>
              <w:right w:w="70" w:type="dxa"/>
            </w:tcMar>
          </w:tcPr>
          <w:p w14:paraId="0283BAA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89.9</w:t>
            </w:r>
          </w:p>
        </w:tc>
        <w:tc>
          <w:tcPr>
            <w:tcW w:w="1170" w:type="dxa"/>
            <w:shd w:val="clear" w:color="auto" w:fill="F4F6F9"/>
            <w:tcMar>
              <w:top w:w="60" w:type="dxa"/>
              <w:left w:w="70" w:type="dxa"/>
              <w:bottom w:w="60" w:type="dxa"/>
              <w:right w:w="70" w:type="dxa"/>
            </w:tcMar>
          </w:tcPr>
          <w:p w14:paraId="129C5DF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81.0</w:t>
            </w:r>
          </w:p>
        </w:tc>
        <w:tc>
          <w:tcPr>
            <w:tcW w:w="1170" w:type="dxa"/>
            <w:shd w:val="clear" w:color="auto" w:fill="F4F6F9"/>
            <w:tcMar>
              <w:top w:w="60" w:type="dxa"/>
              <w:left w:w="70" w:type="dxa"/>
              <w:bottom w:w="60" w:type="dxa"/>
              <w:right w:w="70" w:type="dxa"/>
            </w:tcMar>
          </w:tcPr>
          <w:p w14:paraId="13CE25D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24.0</w:t>
            </w:r>
          </w:p>
        </w:tc>
        <w:tc>
          <w:tcPr>
            <w:tcW w:w="1170" w:type="dxa"/>
            <w:shd w:val="clear" w:color="auto" w:fill="F4F6F9"/>
            <w:tcMar>
              <w:top w:w="60" w:type="dxa"/>
              <w:left w:w="70" w:type="dxa"/>
              <w:bottom w:w="60" w:type="dxa"/>
              <w:right w:w="70" w:type="dxa"/>
            </w:tcMar>
          </w:tcPr>
          <w:p w14:paraId="668E3E0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17.4</w:t>
            </w:r>
          </w:p>
        </w:tc>
        <w:tc>
          <w:tcPr>
            <w:tcW w:w="1170" w:type="dxa"/>
            <w:shd w:val="clear" w:color="auto" w:fill="F4F6F9"/>
            <w:tcMar>
              <w:top w:w="60" w:type="dxa"/>
              <w:left w:w="70" w:type="dxa"/>
              <w:bottom w:w="60" w:type="dxa"/>
              <w:right w:w="70" w:type="dxa"/>
            </w:tcMar>
          </w:tcPr>
          <w:p w14:paraId="79EF367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16.8</w:t>
            </w:r>
          </w:p>
        </w:tc>
        <w:tc>
          <w:tcPr>
            <w:tcW w:w="1170" w:type="dxa"/>
            <w:shd w:val="clear" w:color="auto" w:fill="F4F6F9"/>
            <w:tcMar>
              <w:top w:w="60" w:type="dxa"/>
              <w:left w:w="70" w:type="dxa"/>
              <w:bottom w:w="60" w:type="dxa"/>
              <w:right w:w="70" w:type="dxa"/>
            </w:tcMar>
          </w:tcPr>
          <w:p w14:paraId="690AB07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15.2</w:t>
            </w:r>
          </w:p>
        </w:tc>
      </w:tr>
      <w:tr w:rsidR="00B677BD" w:rsidRPr="00C11AF6" w14:paraId="7659A24C" w14:textId="77777777">
        <w:trPr>
          <w:jc w:val="center"/>
        </w:trPr>
        <w:tc>
          <w:tcPr>
            <w:tcW w:w="1170" w:type="dxa"/>
            <w:tcMar>
              <w:top w:w="60" w:type="dxa"/>
              <w:left w:w="70" w:type="dxa"/>
              <w:bottom w:w="60" w:type="dxa"/>
              <w:right w:w="70" w:type="dxa"/>
            </w:tcMar>
          </w:tcPr>
          <w:p w14:paraId="210FF92A"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Serum Creatinine (mg/dL)</w:t>
            </w:r>
          </w:p>
        </w:tc>
        <w:tc>
          <w:tcPr>
            <w:tcW w:w="1170" w:type="dxa"/>
            <w:tcMar>
              <w:top w:w="60" w:type="dxa"/>
              <w:left w:w="70" w:type="dxa"/>
              <w:bottom w:w="60" w:type="dxa"/>
              <w:right w:w="70" w:type="dxa"/>
            </w:tcMar>
          </w:tcPr>
          <w:p w14:paraId="7CD69273"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0.15–0.37</w:t>
            </w:r>
          </w:p>
        </w:tc>
        <w:tc>
          <w:tcPr>
            <w:tcW w:w="1170" w:type="dxa"/>
            <w:tcMar>
              <w:top w:w="60" w:type="dxa"/>
              <w:left w:w="70" w:type="dxa"/>
              <w:bottom w:w="60" w:type="dxa"/>
              <w:right w:w="70" w:type="dxa"/>
            </w:tcMar>
          </w:tcPr>
          <w:p w14:paraId="4EBD4FF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0.55</w:t>
            </w:r>
          </w:p>
        </w:tc>
        <w:tc>
          <w:tcPr>
            <w:tcW w:w="1170" w:type="dxa"/>
            <w:tcMar>
              <w:top w:w="60" w:type="dxa"/>
              <w:left w:w="70" w:type="dxa"/>
              <w:bottom w:w="60" w:type="dxa"/>
              <w:right w:w="70" w:type="dxa"/>
            </w:tcMar>
          </w:tcPr>
          <w:p w14:paraId="4FB0CEA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0.80</w:t>
            </w:r>
          </w:p>
        </w:tc>
        <w:tc>
          <w:tcPr>
            <w:tcW w:w="1170" w:type="dxa"/>
            <w:tcMar>
              <w:top w:w="60" w:type="dxa"/>
              <w:left w:w="70" w:type="dxa"/>
              <w:bottom w:w="60" w:type="dxa"/>
              <w:right w:w="70" w:type="dxa"/>
            </w:tcMar>
          </w:tcPr>
          <w:p w14:paraId="4CF4D16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0.40</w:t>
            </w:r>
          </w:p>
        </w:tc>
        <w:tc>
          <w:tcPr>
            <w:tcW w:w="1170" w:type="dxa"/>
            <w:tcMar>
              <w:top w:w="60" w:type="dxa"/>
              <w:left w:w="70" w:type="dxa"/>
              <w:bottom w:w="60" w:type="dxa"/>
              <w:right w:w="70" w:type="dxa"/>
            </w:tcMar>
          </w:tcPr>
          <w:p w14:paraId="67125C7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0.37</w:t>
            </w:r>
          </w:p>
        </w:tc>
        <w:tc>
          <w:tcPr>
            <w:tcW w:w="1170" w:type="dxa"/>
            <w:tcMar>
              <w:top w:w="60" w:type="dxa"/>
              <w:left w:w="70" w:type="dxa"/>
              <w:bottom w:w="60" w:type="dxa"/>
              <w:right w:w="70" w:type="dxa"/>
            </w:tcMar>
          </w:tcPr>
          <w:p w14:paraId="467251B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0.32</w:t>
            </w:r>
          </w:p>
        </w:tc>
        <w:tc>
          <w:tcPr>
            <w:tcW w:w="1170" w:type="dxa"/>
            <w:tcMar>
              <w:top w:w="60" w:type="dxa"/>
              <w:left w:w="70" w:type="dxa"/>
              <w:bottom w:w="60" w:type="dxa"/>
              <w:right w:w="70" w:type="dxa"/>
            </w:tcMar>
          </w:tcPr>
          <w:p w14:paraId="2AB4D4E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0.30</w:t>
            </w:r>
          </w:p>
        </w:tc>
      </w:tr>
      <w:tr w:rsidR="00B677BD" w:rsidRPr="00C11AF6" w14:paraId="40D07BAA" w14:textId="77777777">
        <w:trPr>
          <w:jc w:val="center"/>
        </w:trPr>
        <w:tc>
          <w:tcPr>
            <w:tcW w:w="1170" w:type="dxa"/>
            <w:shd w:val="clear" w:color="auto" w:fill="F4F6F9"/>
            <w:tcMar>
              <w:top w:w="60" w:type="dxa"/>
              <w:left w:w="70" w:type="dxa"/>
              <w:bottom w:w="60" w:type="dxa"/>
              <w:right w:w="70" w:type="dxa"/>
            </w:tcMar>
          </w:tcPr>
          <w:p w14:paraId="67B436C4"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Total / Direct Bili (mg/dL)</w:t>
            </w:r>
          </w:p>
        </w:tc>
        <w:tc>
          <w:tcPr>
            <w:tcW w:w="1170" w:type="dxa"/>
            <w:shd w:val="clear" w:color="auto" w:fill="F4F6F9"/>
            <w:tcMar>
              <w:top w:w="60" w:type="dxa"/>
              <w:left w:w="70" w:type="dxa"/>
              <w:bottom w:w="60" w:type="dxa"/>
              <w:right w:w="70" w:type="dxa"/>
            </w:tcMar>
          </w:tcPr>
          <w:p w14:paraId="07A5F278"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0.3–1.2 / &lt;0.2</w:t>
            </w:r>
          </w:p>
        </w:tc>
        <w:tc>
          <w:tcPr>
            <w:tcW w:w="1170" w:type="dxa"/>
            <w:shd w:val="clear" w:color="auto" w:fill="F4F6F9"/>
            <w:tcMar>
              <w:top w:w="60" w:type="dxa"/>
              <w:left w:w="70" w:type="dxa"/>
              <w:bottom w:w="60" w:type="dxa"/>
              <w:right w:w="70" w:type="dxa"/>
            </w:tcMar>
          </w:tcPr>
          <w:p w14:paraId="0453A35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0.9 / 0.4</w:t>
            </w:r>
          </w:p>
        </w:tc>
        <w:tc>
          <w:tcPr>
            <w:tcW w:w="1170" w:type="dxa"/>
            <w:shd w:val="clear" w:color="auto" w:fill="F4F6F9"/>
            <w:tcMar>
              <w:top w:w="60" w:type="dxa"/>
              <w:left w:w="70" w:type="dxa"/>
              <w:bottom w:w="60" w:type="dxa"/>
              <w:right w:w="70" w:type="dxa"/>
            </w:tcMar>
          </w:tcPr>
          <w:p w14:paraId="17ADE77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0596B10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0.6 / 0.2</w:t>
            </w:r>
          </w:p>
        </w:tc>
        <w:tc>
          <w:tcPr>
            <w:tcW w:w="1170" w:type="dxa"/>
            <w:shd w:val="clear" w:color="auto" w:fill="F4F6F9"/>
            <w:tcMar>
              <w:top w:w="60" w:type="dxa"/>
              <w:left w:w="70" w:type="dxa"/>
              <w:bottom w:w="60" w:type="dxa"/>
              <w:right w:w="70" w:type="dxa"/>
            </w:tcMar>
          </w:tcPr>
          <w:p w14:paraId="011234B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327DC5F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1E1FB0D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r>
      <w:tr w:rsidR="00B677BD" w:rsidRPr="00C11AF6" w14:paraId="738BD89A" w14:textId="77777777">
        <w:trPr>
          <w:jc w:val="center"/>
        </w:trPr>
        <w:tc>
          <w:tcPr>
            <w:tcW w:w="1170" w:type="dxa"/>
            <w:tcMar>
              <w:top w:w="60" w:type="dxa"/>
              <w:left w:w="70" w:type="dxa"/>
              <w:bottom w:w="60" w:type="dxa"/>
              <w:right w:w="70" w:type="dxa"/>
            </w:tcMar>
          </w:tcPr>
          <w:p w14:paraId="19251080"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AST / SGOT (U/L)</w:t>
            </w:r>
          </w:p>
        </w:tc>
        <w:tc>
          <w:tcPr>
            <w:tcW w:w="1170" w:type="dxa"/>
            <w:tcMar>
              <w:top w:w="60" w:type="dxa"/>
              <w:left w:w="70" w:type="dxa"/>
              <w:bottom w:w="60" w:type="dxa"/>
              <w:right w:w="70" w:type="dxa"/>
            </w:tcMar>
          </w:tcPr>
          <w:p w14:paraId="3DF6B14D"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15–60</w:t>
            </w:r>
          </w:p>
        </w:tc>
        <w:tc>
          <w:tcPr>
            <w:tcW w:w="1170" w:type="dxa"/>
            <w:tcMar>
              <w:top w:w="60" w:type="dxa"/>
              <w:left w:w="70" w:type="dxa"/>
              <w:bottom w:w="60" w:type="dxa"/>
              <w:right w:w="70" w:type="dxa"/>
            </w:tcMar>
          </w:tcPr>
          <w:p w14:paraId="3BFCB6A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121.0</w:t>
            </w:r>
          </w:p>
        </w:tc>
        <w:tc>
          <w:tcPr>
            <w:tcW w:w="1170" w:type="dxa"/>
            <w:tcMar>
              <w:top w:w="60" w:type="dxa"/>
              <w:left w:w="70" w:type="dxa"/>
              <w:bottom w:w="60" w:type="dxa"/>
              <w:right w:w="70" w:type="dxa"/>
            </w:tcMar>
          </w:tcPr>
          <w:p w14:paraId="68F82325"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126933A9"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42.0</w:t>
            </w:r>
          </w:p>
        </w:tc>
        <w:tc>
          <w:tcPr>
            <w:tcW w:w="1170" w:type="dxa"/>
            <w:tcMar>
              <w:top w:w="60" w:type="dxa"/>
              <w:left w:w="70" w:type="dxa"/>
              <w:bottom w:w="60" w:type="dxa"/>
              <w:right w:w="70" w:type="dxa"/>
            </w:tcMar>
          </w:tcPr>
          <w:p w14:paraId="68EF9F7A"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4BC5F74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04ACC84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r>
      <w:tr w:rsidR="00B677BD" w:rsidRPr="00C11AF6" w14:paraId="68468315" w14:textId="77777777">
        <w:trPr>
          <w:jc w:val="center"/>
        </w:trPr>
        <w:tc>
          <w:tcPr>
            <w:tcW w:w="1170" w:type="dxa"/>
            <w:shd w:val="clear" w:color="auto" w:fill="F4F6F9"/>
            <w:tcMar>
              <w:top w:w="60" w:type="dxa"/>
              <w:left w:w="70" w:type="dxa"/>
              <w:bottom w:w="60" w:type="dxa"/>
              <w:right w:w="70" w:type="dxa"/>
            </w:tcMar>
          </w:tcPr>
          <w:p w14:paraId="57018E78"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ALT / SGPT (U/L)</w:t>
            </w:r>
          </w:p>
        </w:tc>
        <w:tc>
          <w:tcPr>
            <w:tcW w:w="1170" w:type="dxa"/>
            <w:shd w:val="clear" w:color="auto" w:fill="F4F6F9"/>
            <w:tcMar>
              <w:top w:w="60" w:type="dxa"/>
              <w:left w:w="70" w:type="dxa"/>
              <w:bottom w:w="60" w:type="dxa"/>
              <w:right w:w="70" w:type="dxa"/>
            </w:tcMar>
          </w:tcPr>
          <w:p w14:paraId="71C37B9D"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13–45</w:t>
            </w:r>
          </w:p>
        </w:tc>
        <w:tc>
          <w:tcPr>
            <w:tcW w:w="1170" w:type="dxa"/>
            <w:shd w:val="clear" w:color="auto" w:fill="F4F6F9"/>
            <w:tcMar>
              <w:top w:w="60" w:type="dxa"/>
              <w:left w:w="70" w:type="dxa"/>
              <w:bottom w:w="60" w:type="dxa"/>
              <w:right w:w="70" w:type="dxa"/>
            </w:tcMar>
          </w:tcPr>
          <w:p w14:paraId="736A370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308.3</w:t>
            </w:r>
          </w:p>
        </w:tc>
        <w:tc>
          <w:tcPr>
            <w:tcW w:w="1170" w:type="dxa"/>
            <w:shd w:val="clear" w:color="auto" w:fill="F4F6F9"/>
            <w:tcMar>
              <w:top w:w="60" w:type="dxa"/>
              <w:left w:w="70" w:type="dxa"/>
              <w:bottom w:w="60" w:type="dxa"/>
              <w:right w:w="70" w:type="dxa"/>
            </w:tcMar>
          </w:tcPr>
          <w:p w14:paraId="4CCF328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43D3786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164.2</w:t>
            </w:r>
          </w:p>
        </w:tc>
        <w:tc>
          <w:tcPr>
            <w:tcW w:w="1170" w:type="dxa"/>
            <w:shd w:val="clear" w:color="auto" w:fill="F4F6F9"/>
            <w:tcMar>
              <w:top w:w="60" w:type="dxa"/>
              <w:left w:w="70" w:type="dxa"/>
              <w:bottom w:w="60" w:type="dxa"/>
              <w:right w:w="70" w:type="dxa"/>
            </w:tcMar>
          </w:tcPr>
          <w:p w14:paraId="22BE18A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71C56CDA"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3DEDD66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r>
      <w:tr w:rsidR="00B677BD" w:rsidRPr="00C11AF6" w14:paraId="65601C56" w14:textId="77777777">
        <w:trPr>
          <w:jc w:val="center"/>
        </w:trPr>
        <w:tc>
          <w:tcPr>
            <w:tcW w:w="1170" w:type="dxa"/>
            <w:tcMar>
              <w:top w:w="60" w:type="dxa"/>
              <w:left w:w="70" w:type="dxa"/>
              <w:bottom w:w="60" w:type="dxa"/>
              <w:right w:w="70" w:type="dxa"/>
            </w:tcMar>
          </w:tcPr>
          <w:p w14:paraId="741FA4C7"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ALP (U/L)</w:t>
            </w:r>
          </w:p>
        </w:tc>
        <w:tc>
          <w:tcPr>
            <w:tcW w:w="1170" w:type="dxa"/>
            <w:tcMar>
              <w:top w:w="60" w:type="dxa"/>
              <w:left w:w="70" w:type="dxa"/>
              <w:bottom w:w="60" w:type="dxa"/>
              <w:right w:w="70" w:type="dxa"/>
            </w:tcMar>
          </w:tcPr>
          <w:p w14:paraId="7D015290"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75–383</w:t>
            </w:r>
          </w:p>
        </w:tc>
        <w:tc>
          <w:tcPr>
            <w:tcW w:w="1170" w:type="dxa"/>
            <w:tcMar>
              <w:top w:w="60" w:type="dxa"/>
              <w:left w:w="70" w:type="dxa"/>
              <w:bottom w:w="60" w:type="dxa"/>
              <w:right w:w="70" w:type="dxa"/>
            </w:tcMar>
          </w:tcPr>
          <w:p w14:paraId="36C94A49"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265.4</w:t>
            </w:r>
          </w:p>
        </w:tc>
        <w:tc>
          <w:tcPr>
            <w:tcW w:w="1170" w:type="dxa"/>
            <w:tcMar>
              <w:top w:w="60" w:type="dxa"/>
              <w:left w:w="70" w:type="dxa"/>
              <w:bottom w:w="60" w:type="dxa"/>
              <w:right w:w="70" w:type="dxa"/>
            </w:tcMar>
          </w:tcPr>
          <w:p w14:paraId="6333A29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4EF267E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185.2</w:t>
            </w:r>
          </w:p>
        </w:tc>
        <w:tc>
          <w:tcPr>
            <w:tcW w:w="1170" w:type="dxa"/>
            <w:tcMar>
              <w:top w:w="60" w:type="dxa"/>
              <w:left w:w="70" w:type="dxa"/>
              <w:bottom w:w="60" w:type="dxa"/>
              <w:right w:w="70" w:type="dxa"/>
            </w:tcMar>
          </w:tcPr>
          <w:p w14:paraId="4489075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57EABF09"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63AFABD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r>
      <w:tr w:rsidR="00B677BD" w:rsidRPr="00C11AF6" w14:paraId="77EF4419" w14:textId="77777777">
        <w:trPr>
          <w:jc w:val="center"/>
        </w:trPr>
        <w:tc>
          <w:tcPr>
            <w:tcW w:w="1170" w:type="dxa"/>
            <w:shd w:val="clear" w:color="auto" w:fill="F4F6F9"/>
            <w:tcMar>
              <w:top w:w="60" w:type="dxa"/>
              <w:left w:w="70" w:type="dxa"/>
              <w:bottom w:w="60" w:type="dxa"/>
              <w:right w:w="70" w:type="dxa"/>
            </w:tcMar>
          </w:tcPr>
          <w:p w14:paraId="332C0927"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GGT (U/L)</w:t>
            </w:r>
          </w:p>
        </w:tc>
        <w:tc>
          <w:tcPr>
            <w:tcW w:w="1170" w:type="dxa"/>
            <w:shd w:val="clear" w:color="auto" w:fill="F4F6F9"/>
            <w:tcMar>
              <w:top w:w="60" w:type="dxa"/>
              <w:left w:w="70" w:type="dxa"/>
              <w:bottom w:w="60" w:type="dxa"/>
              <w:right w:w="70" w:type="dxa"/>
            </w:tcMar>
          </w:tcPr>
          <w:p w14:paraId="3B67E4F3"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&lt; 38</w:t>
            </w:r>
          </w:p>
        </w:tc>
        <w:tc>
          <w:tcPr>
            <w:tcW w:w="1170" w:type="dxa"/>
            <w:shd w:val="clear" w:color="auto" w:fill="F4F6F9"/>
            <w:tcMar>
              <w:top w:w="60" w:type="dxa"/>
              <w:left w:w="70" w:type="dxa"/>
              <w:bottom w:w="60" w:type="dxa"/>
              <w:right w:w="70" w:type="dxa"/>
            </w:tcMar>
          </w:tcPr>
          <w:p w14:paraId="1BC7189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135.0</w:t>
            </w:r>
          </w:p>
        </w:tc>
        <w:tc>
          <w:tcPr>
            <w:tcW w:w="1170" w:type="dxa"/>
            <w:shd w:val="clear" w:color="auto" w:fill="F4F6F9"/>
            <w:tcMar>
              <w:top w:w="60" w:type="dxa"/>
              <w:left w:w="70" w:type="dxa"/>
              <w:bottom w:w="60" w:type="dxa"/>
              <w:right w:w="70" w:type="dxa"/>
            </w:tcMar>
          </w:tcPr>
          <w:p w14:paraId="400647C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4BFD1DC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73.0</w:t>
            </w:r>
          </w:p>
        </w:tc>
        <w:tc>
          <w:tcPr>
            <w:tcW w:w="1170" w:type="dxa"/>
            <w:shd w:val="clear" w:color="auto" w:fill="F4F6F9"/>
            <w:tcMar>
              <w:top w:w="60" w:type="dxa"/>
              <w:left w:w="70" w:type="dxa"/>
              <w:bottom w:w="60" w:type="dxa"/>
              <w:right w:w="70" w:type="dxa"/>
            </w:tcMar>
          </w:tcPr>
          <w:p w14:paraId="486C056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73181D6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7F2CE23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r>
      <w:tr w:rsidR="00B677BD" w:rsidRPr="00C11AF6" w14:paraId="28BC54C0" w14:textId="77777777">
        <w:trPr>
          <w:jc w:val="center"/>
        </w:trPr>
        <w:tc>
          <w:tcPr>
            <w:tcW w:w="1170" w:type="dxa"/>
            <w:tcMar>
              <w:top w:w="60" w:type="dxa"/>
              <w:left w:w="70" w:type="dxa"/>
              <w:bottom w:w="60" w:type="dxa"/>
              <w:right w:w="70" w:type="dxa"/>
            </w:tcMar>
          </w:tcPr>
          <w:p w14:paraId="3114777B"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Total Protein / Alb (g/dL)</w:t>
            </w:r>
          </w:p>
        </w:tc>
        <w:tc>
          <w:tcPr>
            <w:tcW w:w="1170" w:type="dxa"/>
            <w:tcMar>
              <w:top w:w="60" w:type="dxa"/>
              <w:left w:w="70" w:type="dxa"/>
              <w:bottom w:w="60" w:type="dxa"/>
              <w:right w:w="70" w:type="dxa"/>
            </w:tcMar>
          </w:tcPr>
          <w:p w14:paraId="79388205"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6.6–8.3 / 3.5–5.2</w:t>
            </w:r>
          </w:p>
        </w:tc>
        <w:tc>
          <w:tcPr>
            <w:tcW w:w="1170" w:type="dxa"/>
            <w:tcMar>
              <w:top w:w="60" w:type="dxa"/>
              <w:left w:w="70" w:type="dxa"/>
              <w:bottom w:w="60" w:type="dxa"/>
              <w:right w:w="70" w:type="dxa"/>
            </w:tcMar>
          </w:tcPr>
          <w:p w14:paraId="07E0FFF1"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5.7 / 3.6</w:t>
            </w:r>
          </w:p>
        </w:tc>
        <w:tc>
          <w:tcPr>
            <w:tcW w:w="1170" w:type="dxa"/>
            <w:tcMar>
              <w:top w:w="60" w:type="dxa"/>
              <w:left w:w="70" w:type="dxa"/>
              <w:bottom w:w="60" w:type="dxa"/>
              <w:right w:w="70" w:type="dxa"/>
            </w:tcMar>
          </w:tcPr>
          <w:p w14:paraId="5DC7796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4889F8E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4.3 / 2.7</w:t>
            </w:r>
          </w:p>
        </w:tc>
        <w:tc>
          <w:tcPr>
            <w:tcW w:w="1170" w:type="dxa"/>
            <w:tcMar>
              <w:top w:w="60" w:type="dxa"/>
              <w:left w:w="70" w:type="dxa"/>
              <w:bottom w:w="60" w:type="dxa"/>
              <w:right w:w="70" w:type="dxa"/>
            </w:tcMar>
          </w:tcPr>
          <w:p w14:paraId="701E997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60F3865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79756BFA"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r>
      <w:tr w:rsidR="00B677BD" w:rsidRPr="00C11AF6" w14:paraId="410B1D1F" w14:textId="77777777">
        <w:trPr>
          <w:jc w:val="center"/>
        </w:trPr>
        <w:tc>
          <w:tcPr>
            <w:tcW w:w="1170" w:type="dxa"/>
            <w:shd w:val="clear" w:color="auto" w:fill="F4F6F9"/>
            <w:tcMar>
              <w:top w:w="60" w:type="dxa"/>
              <w:left w:w="70" w:type="dxa"/>
              <w:bottom w:w="60" w:type="dxa"/>
              <w:right w:w="70" w:type="dxa"/>
            </w:tcMar>
          </w:tcPr>
          <w:p w14:paraId="5C0C1833"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lastRenderedPageBreak/>
              <w:t>PT (s) / INR</w:t>
            </w:r>
          </w:p>
        </w:tc>
        <w:tc>
          <w:tcPr>
            <w:tcW w:w="1170" w:type="dxa"/>
            <w:shd w:val="clear" w:color="auto" w:fill="F4F6F9"/>
            <w:tcMar>
              <w:top w:w="60" w:type="dxa"/>
              <w:left w:w="70" w:type="dxa"/>
              <w:bottom w:w="60" w:type="dxa"/>
              <w:right w:w="70" w:type="dxa"/>
            </w:tcMar>
          </w:tcPr>
          <w:p w14:paraId="57093D2F"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10.3–14.3 / 0.9–1.3</w:t>
            </w:r>
          </w:p>
        </w:tc>
        <w:tc>
          <w:tcPr>
            <w:tcW w:w="1170" w:type="dxa"/>
            <w:shd w:val="clear" w:color="auto" w:fill="F4F6F9"/>
            <w:tcMar>
              <w:top w:w="60" w:type="dxa"/>
              <w:left w:w="70" w:type="dxa"/>
              <w:bottom w:w="60" w:type="dxa"/>
              <w:right w:w="70" w:type="dxa"/>
            </w:tcMar>
          </w:tcPr>
          <w:p w14:paraId="187D1A0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25.1 / 2.1</w:t>
            </w:r>
          </w:p>
        </w:tc>
        <w:tc>
          <w:tcPr>
            <w:tcW w:w="1170" w:type="dxa"/>
            <w:shd w:val="clear" w:color="auto" w:fill="F4F6F9"/>
            <w:tcMar>
              <w:top w:w="60" w:type="dxa"/>
              <w:left w:w="70" w:type="dxa"/>
              <w:bottom w:w="60" w:type="dxa"/>
              <w:right w:w="70" w:type="dxa"/>
            </w:tcMar>
          </w:tcPr>
          <w:p w14:paraId="125D46B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21.2 / 1.8</w:t>
            </w:r>
          </w:p>
        </w:tc>
        <w:tc>
          <w:tcPr>
            <w:tcW w:w="1170" w:type="dxa"/>
            <w:shd w:val="clear" w:color="auto" w:fill="F4F6F9"/>
            <w:tcMar>
              <w:top w:w="60" w:type="dxa"/>
              <w:left w:w="70" w:type="dxa"/>
              <w:bottom w:w="60" w:type="dxa"/>
              <w:right w:w="70" w:type="dxa"/>
            </w:tcMar>
          </w:tcPr>
          <w:p w14:paraId="1F6F3DE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15.7 / 1.3</w:t>
            </w:r>
          </w:p>
        </w:tc>
        <w:tc>
          <w:tcPr>
            <w:tcW w:w="1170" w:type="dxa"/>
            <w:shd w:val="clear" w:color="auto" w:fill="F4F6F9"/>
            <w:tcMar>
              <w:top w:w="60" w:type="dxa"/>
              <w:left w:w="70" w:type="dxa"/>
              <w:bottom w:w="60" w:type="dxa"/>
              <w:right w:w="70" w:type="dxa"/>
            </w:tcMar>
          </w:tcPr>
          <w:p w14:paraId="09A6120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430E1A84"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0F1C057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r>
      <w:tr w:rsidR="00B677BD" w:rsidRPr="00C11AF6" w14:paraId="5AC25254" w14:textId="77777777">
        <w:trPr>
          <w:jc w:val="center"/>
        </w:trPr>
        <w:tc>
          <w:tcPr>
            <w:tcW w:w="1170" w:type="dxa"/>
            <w:tcMar>
              <w:top w:w="60" w:type="dxa"/>
              <w:left w:w="70" w:type="dxa"/>
              <w:bottom w:w="60" w:type="dxa"/>
              <w:right w:w="70" w:type="dxa"/>
            </w:tcMar>
          </w:tcPr>
          <w:p w14:paraId="6268F524"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APTT (s)</w:t>
            </w:r>
          </w:p>
        </w:tc>
        <w:tc>
          <w:tcPr>
            <w:tcW w:w="1170" w:type="dxa"/>
            <w:tcMar>
              <w:top w:w="60" w:type="dxa"/>
              <w:left w:w="70" w:type="dxa"/>
              <w:bottom w:w="60" w:type="dxa"/>
              <w:right w:w="70" w:type="dxa"/>
            </w:tcMar>
          </w:tcPr>
          <w:p w14:paraId="6F915FD6"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25.1–34.7</w:t>
            </w:r>
          </w:p>
        </w:tc>
        <w:tc>
          <w:tcPr>
            <w:tcW w:w="1170" w:type="dxa"/>
            <w:tcMar>
              <w:top w:w="60" w:type="dxa"/>
              <w:left w:w="70" w:type="dxa"/>
              <w:bottom w:w="60" w:type="dxa"/>
              <w:right w:w="70" w:type="dxa"/>
            </w:tcMar>
          </w:tcPr>
          <w:p w14:paraId="371674F3"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28.8</w:t>
            </w:r>
          </w:p>
        </w:tc>
        <w:tc>
          <w:tcPr>
            <w:tcW w:w="1170" w:type="dxa"/>
            <w:tcMar>
              <w:top w:w="60" w:type="dxa"/>
              <w:left w:w="70" w:type="dxa"/>
              <w:bottom w:w="60" w:type="dxa"/>
              <w:right w:w="70" w:type="dxa"/>
            </w:tcMar>
          </w:tcPr>
          <w:p w14:paraId="739170CE"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23.1</w:t>
            </w:r>
          </w:p>
        </w:tc>
        <w:tc>
          <w:tcPr>
            <w:tcW w:w="1170" w:type="dxa"/>
            <w:tcMar>
              <w:top w:w="60" w:type="dxa"/>
              <w:left w:w="70" w:type="dxa"/>
              <w:bottom w:w="60" w:type="dxa"/>
              <w:right w:w="70" w:type="dxa"/>
            </w:tcMar>
          </w:tcPr>
          <w:p w14:paraId="2DA1899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27.2</w:t>
            </w:r>
          </w:p>
        </w:tc>
        <w:tc>
          <w:tcPr>
            <w:tcW w:w="1170" w:type="dxa"/>
            <w:tcMar>
              <w:top w:w="60" w:type="dxa"/>
              <w:left w:w="70" w:type="dxa"/>
              <w:bottom w:w="60" w:type="dxa"/>
              <w:right w:w="70" w:type="dxa"/>
            </w:tcMar>
          </w:tcPr>
          <w:p w14:paraId="29276DE6"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68AFCB7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3B1CCBC7"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r>
      <w:tr w:rsidR="00B677BD" w:rsidRPr="00C11AF6" w14:paraId="0D96F33B" w14:textId="77777777">
        <w:trPr>
          <w:jc w:val="center"/>
        </w:trPr>
        <w:tc>
          <w:tcPr>
            <w:tcW w:w="1170" w:type="dxa"/>
            <w:shd w:val="clear" w:color="auto" w:fill="F4F6F9"/>
            <w:tcMar>
              <w:top w:w="60" w:type="dxa"/>
              <w:left w:w="70" w:type="dxa"/>
              <w:bottom w:w="60" w:type="dxa"/>
              <w:right w:w="70" w:type="dxa"/>
            </w:tcMar>
          </w:tcPr>
          <w:p w14:paraId="6BDD53D4"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C-Reactive Protein (mg/L)</w:t>
            </w:r>
          </w:p>
        </w:tc>
        <w:tc>
          <w:tcPr>
            <w:tcW w:w="1170" w:type="dxa"/>
            <w:shd w:val="clear" w:color="auto" w:fill="F4F6F9"/>
            <w:tcMar>
              <w:top w:w="60" w:type="dxa"/>
              <w:left w:w="70" w:type="dxa"/>
              <w:bottom w:w="60" w:type="dxa"/>
              <w:right w:w="70" w:type="dxa"/>
            </w:tcMar>
          </w:tcPr>
          <w:p w14:paraId="24E5DAC3"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&lt; 5.0</w:t>
            </w:r>
          </w:p>
        </w:tc>
        <w:tc>
          <w:tcPr>
            <w:tcW w:w="1170" w:type="dxa"/>
            <w:shd w:val="clear" w:color="auto" w:fill="F4F6F9"/>
            <w:tcMar>
              <w:top w:w="60" w:type="dxa"/>
              <w:left w:w="70" w:type="dxa"/>
              <w:bottom w:w="60" w:type="dxa"/>
              <w:right w:w="70" w:type="dxa"/>
            </w:tcMar>
          </w:tcPr>
          <w:p w14:paraId="2106304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10.07</w:t>
            </w:r>
          </w:p>
        </w:tc>
        <w:tc>
          <w:tcPr>
            <w:tcW w:w="1170" w:type="dxa"/>
            <w:shd w:val="clear" w:color="auto" w:fill="F4F6F9"/>
            <w:tcMar>
              <w:top w:w="60" w:type="dxa"/>
              <w:left w:w="70" w:type="dxa"/>
              <w:bottom w:w="60" w:type="dxa"/>
              <w:right w:w="70" w:type="dxa"/>
            </w:tcMar>
          </w:tcPr>
          <w:p w14:paraId="0577BC10"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5D766D3B"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23494BD9"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4DEF8E63"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shd w:val="clear" w:color="auto" w:fill="F4F6F9"/>
            <w:tcMar>
              <w:top w:w="60" w:type="dxa"/>
              <w:left w:w="70" w:type="dxa"/>
              <w:bottom w:w="60" w:type="dxa"/>
              <w:right w:w="70" w:type="dxa"/>
            </w:tcMar>
          </w:tcPr>
          <w:p w14:paraId="7A363B89"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r>
      <w:tr w:rsidR="00B677BD" w:rsidRPr="00C11AF6" w14:paraId="535ABA49" w14:textId="77777777">
        <w:trPr>
          <w:jc w:val="center"/>
        </w:trPr>
        <w:tc>
          <w:tcPr>
            <w:tcW w:w="1170" w:type="dxa"/>
            <w:tcMar>
              <w:top w:w="60" w:type="dxa"/>
              <w:left w:w="70" w:type="dxa"/>
              <w:bottom w:w="60" w:type="dxa"/>
              <w:right w:w="70" w:type="dxa"/>
            </w:tcMar>
          </w:tcPr>
          <w:p w14:paraId="72FDC6AB"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Blood Ammonia (µg/dL)</w:t>
            </w:r>
          </w:p>
        </w:tc>
        <w:tc>
          <w:tcPr>
            <w:tcW w:w="1170" w:type="dxa"/>
            <w:tcMar>
              <w:top w:w="60" w:type="dxa"/>
              <w:left w:w="70" w:type="dxa"/>
              <w:bottom w:w="60" w:type="dxa"/>
              <w:right w:w="70" w:type="dxa"/>
            </w:tcMar>
          </w:tcPr>
          <w:p w14:paraId="0CBB7CB8"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31–123</w:t>
            </w:r>
          </w:p>
        </w:tc>
        <w:tc>
          <w:tcPr>
            <w:tcW w:w="1170" w:type="dxa"/>
            <w:tcMar>
              <w:top w:w="60" w:type="dxa"/>
              <w:left w:w="70" w:type="dxa"/>
              <w:bottom w:w="60" w:type="dxa"/>
              <w:right w:w="70" w:type="dxa"/>
            </w:tcMar>
          </w:tcPr>
          <w:p w14:paraId="0FAC5638"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87.0</w:t>
            </w:r>
          </w:p>
        </w:tc>
        <w:tc>
          <w:tcPr>
            <w:tcW w:w="1170" w:type="dxa"/>
            <w:tcMar>
              <w:top w:w="60" w:type="dxa"/>
              <w:left w:w="70" w:type="dxa"/>
              <w:bottom w:w="60" w:type="dxa"/>
              <w:right w:w="70" w:type="dxa"/>
            </w:tcMar>
          </w:tcPr>
          <w:p w14:paraId="61745EBC"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48633B92"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21F131BF"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3D0E40D5"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c>
          <w:tcPr>
            <w:tcW w:w="1170" w:type="dxa"/>
            <w:tcMar>
              <w:top w:w="60" w:type="dxa"/>
              <w:left w:w="70" w:type="dxa"/>
              <w:bottom w:w="60" w:type="dxa"/>
              <w:right w:w="70" w:type="dxa"/>
            </w:tcMar>
          </w:tcPr>
          <w:p w14:paraId="66D9FA0D" w14:textId="77777777" w:rsidR="00B677BD" w:rsidRPr="00C11AF6" w:rsidRDefault="00000000">
            <w:pPr>
              <w:spacing w:after="0" w:line="240" w:lineRule="auto"/>
              <w:jc w:val="right"/>
              <w:rPr>
                <w:rFonts w:cs="Times New Roman"/>
                <w:color w:val="000000" w:themeColor="text1"/>
              </w:rPr>
            </w:pPr>
            <w:r w:rsidRPr="00C11AF6">
              <w:rPr>
                <w:rFonts w:cs="Times New Roman"/>
                <w:color w:val="000000" w:themeColor="text1"/>
                <w:sz w:val="16"/>
              </w:rPr>
              <w:t>--</w:t>
            </w:r>
          </w:p>
        </w:tc>
      </w:tr>
    </w:tbl>
    <w:p w14:paraId="5AA95C22" w14:textId="77777777" w:rsidR="00B677BD" w:rsidRPr="00C11AF6" w:rsidRDefault="00000000">
      <w:pPr>
        <w:spacing w:before="60" w:after="160"/>
        <w:rPr>
          <w:rFonts w:cs="Times New Roman"/>
          <w:color w:val="000000" w:themeColor="text1"/>
        </w:rPr>
      </w:pPr>
      <w:r w:rsidRPr="00C11AF6">
        <w:rPr>
          <w:rFonts w:cs="Times New Roman"/>
          <w:i/>
          <w:color w:val="000000" w:themeColor="text1"/>
          <w:sz w:val="16"/>
        </w:rPr>
        <w:t>Abbreviations: Tx: Transfusion (Packed Red Blood Cells); AST: Aspartate Aminotransferase; ALT: Alanine Aminotransferase; ALP: Alkaline Phosphatase; GGT: Gamma-Glutamyl Transpeptidase; PT: Prothrombin Time; INR: International Normalized Ratio; APTT: Activated Partial Thromboplastin Time; -- : Not tested.</w:t>
      </w:r>
    </w:p>
    <w:p w14:paraId="2E40677C" w14:textId="77777777" w:rsidR="00B677BD" w:rsidRDefault="00000000">
      <w:pPr>
        <w:pStyle w:val="Heading2"/>
        <w:spacing w:after="80"/>
        <w:rPr>
          <w:rFonts w:ascii="Times New Roman" w:hAnsi="Times New Roman" w:cs="Times New Roman"/>
          <w:color w:val="000000" w:themeColor="text1"/>
          <w:sz w:val="23"/>
        </w:rPr>
      </w:pPr>
      <w:r w:rsidRPr="00C11AF6">
        <w:rPr>
          <w:rFonts w:ascii="Times New Roman" w:hAnsi="Times New Roman" w:cs="Times New Roman"/>
          <w:color w:val="000000" w:themeColor="text1"/>
          <w:sz w:val="23"/>
        </w:rPr>
        <w:t>2.6 Radiological Evaluation</w:t>
      </w:r>
    </w:p>
    <w:p w14:paraId="777F3711" w14:textId="5AE09C80" w:rsidR="00BB65D3" w:rsidRPr="00BB65D3" w:rsidRDefault="00BB65D3" w:rsidP="00BB65D3">
      <w:pPr>
        <w:rPr>
          <w:lang w:val="en-IN"/>
        </w:rPr>
      </w:pPr>
      <w:r w:rsidRPr="00BB65D3">
        <w:rPr>
          <w:lang w:val="en-IN"/>
        </w:rPr>
        <w:t xml:space="preserve">Bedside anteroposterior (AP) chest x-ray done on admission (17/08/2026) demonstrated that ET was in the correct position with tip of ET which was radio-opaque in the mid-trachea above carina (approximate level T2). NG was passing through oesophagus into the stomach. Both lung fields showed a symmetrical, near-uniform, diffuse haziness of the perihilar regions with prominent </w:t>
      </w:r>
      <w:proofErr w:type="spellStart"/>
      <w:r w:rsidRPr="00BB65D3">
        <w:rPr>
          <w:lang w:val="en-IN"/>
        </w:rPr>
        <w:t>bronchovascular</w:t>
      </w:r>
      <w:proofErr w:type="spellEnd"/>
      <w:r w:rsidRPr="00BB65D3">
        <w:rPr>
          <w:lang w:val="en-IN"/>
        </w:rPr>
        <w:t xml:space="preserve"> markings consistent with chemical pneumonitis and aspirate pneumonia. No focal lobar consolidation, pneumatoceles, pneumothorax or pleural effusion. The cardiothoracic ratio was normal, no delineation of right or left heart borders and both </w:t>
      </w:r>
      <w:proofErr w:type="gramStart"/>
      <w:r w:rsidRPr="00BB65D3">
        <w:rPr>
          <w:lang w:val="en-IN"/>
        </w:rPr>
        <w:t>pleura</w:t>
      </w:r>
      <w:proofErr w:type="gramEnd"/>
      <w:r w:rsidRPr="00BB65D3">
        <w:rPr>
          <w:lang w:val="en-IN"/>
        </w:rPr>
        <w:t xml:space="preserve"> were intact with sharp and clear costophrenic angles (Figure 1).</w:t>
      </w:r>
    </w:p>
    <w:p w14:paraId="54B057E9" w14:textId="77777777" w:rsidR="00BB65D3" w:rsidRPr="00BB65D3" w:rsidRDefault="00BB65D3" w:rsidP="00BB65D3"/>
    <w:p w14:paraId="5192F8CA" w14:textId="77777777" w:rsidR="00B677BD" w:rsidRPr="00C11AF6" w:rsidRDefault="00000000">
      <w:pPr>
        <w:spacing w:before="120" w:after="80"/>
        <w:jc w:val="center"/>
        <w:rPr>
          <w:rFonts w:cs="Times New Roman"/>
          <w:color w:val="000000" w:themeColor="text1"/>
        </w:rPr>
      </w:pPr>
      <w:r w:rsidRPr="00C11AF6">
        <w:rPr>
          <w:rFonts w:cs="Times New Roman"/>
          <w:noProof/>
          <w:color w:val="000000" w:themeColor="text1"/>
        </w:rPr>
        <w:drawing>
          <wp:inline distT="0" distB="0" distL="0" distR="0" wp14:anchorId="6B59D62C" wp14:editId="707A4ACC">
            <wp:extent cx="2468880" cy="16703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6"/>
                    <a:stretch>
                      <a:fillRect/>
                    </a:stretch>
                  </pic:blipFill>
                  <pic:spPr>
                    <a:xfrm>
                      <a:off x="0" y="0"/>
                      <a:ext cx="2468880" cy="1670352"/>
                    </a:xfrm>
                    <a:prstGeom prst="rect">
                      <a:avLst/>
                    </a:prstGeom>
                  </pic:spPr>
                </pic:pic>
              </a:graphicData>
            </a:graphic>
          </wp:inline>
        </w:drawing>
      </w:r>
      <w:r w:rsidRPr="00C11AF6">
        <w:rPr>
          <w:rFonts w:cs="Times New Roman"/>
          <w:color w:val="000000" w:themeColor="text1"/>
        </w:rPr>
        <w:t xml:space="preserve">   </w:t>
      </w:r>
      <w:r w:rsidRPr="00C11AF6">
        <w:rPr>
          <w:rFonts w:cs="Times New Roman"/>
          <w:noProof/>
          <w:color w:val="000000" w:themeColor="text1"/>
        </w:rPr>
        <w:drawing>
          <wp:inline distT="0" distB="0" distL="0" distR="0" wp14:anchorId="1E9454D8" wp14:editId="3B87A920">
            <wp:extent cx="2468880" cy="20657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7"/>
                    <a:stretch>
                      <a:fillRect/>
                    </a:stretch>
                  </pic:blipFill>
                  <pic:spPr>
                    <a:xfrm>
                      <a:off x="0" y="0"/>
                      <a:ext cx="2468880" cy="2065758"/>
                    </a:xfrm>
                    <a:prstGeom prst="rect">
                      <a:avLst/>
                    </a:prstGeom>
                  </pic:spPr>
                </pic:pic>
              </a:graphicData>
            </a:graphic>
          </wp:inline>
        </w:drawing>
      </w:r>
    </w:p>
    <w:p w14:paraId="0E5F33C7" w14:textId="77777777" w:rsidR="00B677BD" w:rsidRPr="00C11AF6" w:rsidRDefault="00000000">
      <w:pPr>
        <w:spacing w:after="200"/>
        <w:jc w:val="center"/>
        <w:rPr>
          <w:rFonts w:cs="Times New Roman"/>
          <w:color w:val="000000" w:themeColor="text1"/>
        </w:rPr>
      </w:pPr>
      <w:r w:rsidRPr="00C11AF6">
        <w:rPr>
          <w:rFonts w:cs="Times New Roman"/>
          <w:b/>
          <w:color w:val="000000" w:themeColor="text1"/>
          <w:sz w:val="19"/>
        </w:rPr>
        <w:t xml:space="preserve">Figure 1. </w:t>
      </w:r>
      <w:r w:rsidRPr="00C11AF6">
        <w:rPr>
          <w:rFonts w:cs="Times New Roman"/>
          <w:i/>
          <w:color w:val="000000" w:themeColor="text1"/>
          <w:sz w:val="19"/>
        </w:rPr>
        <w:t>Serial bedside anteroposterior chest radiographs obtained on admission (left) and hospital day 2 (right), demonstrating the endotracheal tube in the mid-trachea, nasogastric tube in situ, normal cardiac silhouette, and bilateral perihilar bronchovascular infiltrates consistent with aspiration pneumonitis.</w:t>
      </w:r>
    </w:p>
    <w:p w14:paraId="75521D53" w14:textId="77777777" w:rsidR="00B677BD" w:rsidRPr="00C11AF6" w:rsidRDefault="00000000">
      <w:pPr>
        <w:pStyle w:val="Heading2"/>
        <w:spacing w:after="80"/>
        <w:rPr>
          <w:rFonts w:ascii="Times New Roman" w:hAnsi="Times New Roman" w:cs="Times New Roman"/>
          <w:color w:val="000000" w:themeColor="text1"/>
        </w:rPr>
      </w:pPr>
      <w:r w:rsidRPr="00C11AF6">
        <w:rPr>
          <w:rFonts w:ascii="Times New Roman" w:hAnsi="Times New Roman" w:cs="Times New Roman"/>
          <w:color w:val="000000" w:themeColor="text1"/>
          <w:sz w:val="23"/>
        </w:rPr>
        <w:t>2.7 Multimodal Pediatric Critical Care Management</w:t>
      </w:r>
    </w:p>
    <w:p w14:paraId="6A3BF6A8" w14:textId="77777777" w:rsidR="00B677BD" w:rsidRPr="00C11AF6" w:rsidRDefault="00000000">
      <w:pPr>
        <w:spacing w:after="80"/>
        <w:rPr>
          <w:rFonts w:cs="Times New Roman"/>
          <w:color w:val="000000" w:themeColor="text1"/>
        </w:rPr>
      </w:pPr>
      <w:r w:rsidRPr="00C11AF6">
        <w:rPr>
          <w:rFonts w:cs="Times New Roman"/>
          <w:color w:val="000000" w:themeColor="text1"/>
        </w:rPr>
        <w:t>The infant required immediate, multipronged critical care resuscitation addressing acute respiratory failure, extreme hypernatremic dehydration, severe metabolic acidosis, hypokalemia, shock, coagulopathy, and prerenal failure:</w:t>
      </w:r>
    </w:p>
    <w:p w14:paraId="19726E77" w14:textId="27A0532B" w:rsidR="00B677BD" w:rsidRPr="00BB65D3" w:rsidRDefault="00000000">
      <w:pPr>
        <w:spacing w:after="100"/>
        <w:rPr>
          <w:color w:val="000000" w:themeColor="text1"/>
          <w:lang w:val="en-IN"/>
        </w:rPr>
      </w:pPr>
      <w:r w:rsidRPr="00C11AF6">
        <w:rPr>
          <w:rFonts w:cs="Times New Roman"/>
          <w:b/>
          <w:color w:val="000000" w:themeColor="text1"/>
        </w:rPr>
        <w:t>1. Mechanical Ventilation and Airway Support:</w:t>
      </w:r>
      <w:r w:rsidR="00BB65D3">
        <w:rPr>
          <w:rFonts w:cs="Times New Roman"/>
          <w:b/>
          <w:color w:val="000000" w:themeColor="text1"/>
        </w:rPr>
        <w:t xml:space="preserve"> </w:t>
      </w:r>
      <w:r w:rsidR="00BB65D3" w:rsidRPr="00BB65D3">
        <w:rPr>
          <w:color w:val="000000" w:themeColor="text1"/>
          <w:lang w:val="en-IN"/>
        </w:rPr>
        <w:t xml:space="preserve">Mechanical ventilatory support was commenced in Synchronized Intermittent Mandatory Ventilation (SIMV) with pressure control (initial settings: Fraction of inspired oxygen (Fi02) 0.40-0.50, Positive end-expiratory pressure (PEEP) 5 cmH20, Peak inspiratory pressure (PIP) 10-12 cmH20, Respiratory rate 35 breaths /min). On day 2 of her admission (18/08/2026 00:00), she suffered an acute unplanned endotracheal tube displacement, heralded by a sudden </w:t>
      </w:r>
      <w:r w:rsidR="00BB65D3" w:rsidRPr="00BB65D3">
        <w:rPr>
          <w:color w:val="000000" w:themeColor="text1"/>
          <w:lang w:val="en-IN"/>
        </w:rPr>
        <w:lastRenderedPageBreak/>
        <w:t xml:space="preserve">desaturation to 88% and bradycardia (heart rate 100 beats/min). She was immediately and successfully re-intubated with an uncuffed endotracheal tube of 3.0 mm inserted at 8 cm at the lips and the copious thick endobronchial secretions suctioned out, resulting in instantaneous bilateral chest expansion and desaturation to 98-99%. </w:t>
      </w:r>
      <w:r w:rsidR="00BB65D3" w:rsidRPr="00BB65D3">
        <w:rPr>
          <w:rFonts w:cs="Times New Roman"/>
          <w:color w:val="000000" w:themeColor="text1"/>
          <w:lang w:val="en-IN"/>
        </w:rPr>
        <w:t>She remained sedated and anaesthetised with a continuous infusion of fentanyl (1 g/kg/hr) (she was given the fentanyl concentration by reconstituting 50 g (1 mL) of fentanyl with 23 mL normal saline 0.9% and infused at 1 mL/hr, which was equivalent to the dose of fentanyl given her weight of 2.02 kg) and normal saline, IV dilute, as needed with morphine (0.1-0.2 mg), as the lung mechanics and her clinical/metabolic parameters improved. She was changed to CPAP</w:t>
      </w:r>
      <w:r w:rsidR="00BB65D3" w:rsidRPr="00BB65D3">
        <w:t xml:space="preserve"> </w:t>
      </w:r>
      <w:r w:rsidR="00BB65D3">
        <w:t>(</w:t>
      </w:r>
      <w:r w:rsidR="00BB65D3" w:rsidRPr="00BB65D3">
        <w:rPr>
          <w:rFonts w:cs="Times New Roman"/>
          <w:color w:val="000000" w:themeColor="text1"/>
          <w:lang w:val="en-IN"/>
        </w:rPr>
        <w:t>Continuous Positive Airway Pressure</w:t>
      </w:r>
      <w:r w:rsidR="00BB65D3">
        <w:rPr>
          <w:rFonts w:cs="Times New Roman"/>
          <w:color w:val="000000" w:themeColor="text1"/>
          <w:lang w:val="en-IN"/>
        </w:rPr>
        <w:t>)</w:t>
      </w:r>
      <w:r w:rsidR="00BB65D3" w:rsidRPr="00BB65D3">
        <w:rPr>
          <w:rFonts w:cs="Times New Roman"/>
          <w:color w:val="000000" w:themeColor="text1"/>
          <w:lang w:val="en-IN"/>
        </w:rPr>
        <w:t xml:space="preserve"> with pressure support on day 3 of her admission as her condition improved. She was successfully extubated to low flow nasal prong oxygen on day 4 (20/08/2026) with nebulization for salbutamol, ipratropium bromide and budesonide in the peri-</w:t>
      </w:r>
      <w:proofErr w:type="spellStart"/>
      <w:r w:rsidR="00BB65D3" w:rsidRPr="00BB65D3">
        <w:rPr>
          <w:rFonts w:cs="Times New Roman"/>
          <w:color w:val="000000" w:themeColor="text1"/>
          <w:lang w:val="en-IN"/>
        </w:rPr>
        <w:t>extubation</w:t>
      </w:r>
      <w:proofErr w:type="spellEnd"/>
      <w:r w:rsidR="00BB65D3" w:rsidRPr="00BB65D3">
        <w:rPr>
          <w:rFonts w:cs="Times New Roman"/>
          <w:color w:val="000000" w:themeColor="text1"/>
          <w:lang w:val="en-IN"/>
        </w:rPr>
        <w:t xml:space="preserve"> period in an attempt to prevent stridor and airway oedema following </w:t>
      </w:r>
      <w:proofErr w:type="spellStart"/>
      <w:r w:rsidR="00BB65D3" w:rsidRPr="00BB65D3">
        <w:rPr>
          <w:rFonts w:cs="Times New Roman"/>
          <w:color w:val="000000" w:themeColor="text1"/>
          <w:lang w:val="en-IN"/>
        </w:rPr>
        <w:t>extubation</w:t>
      </w:r>
      <w:proofErr w:type="spellEnd"/>
      <w:r w:rsidR="00BB65D3" w:rsidRPr="00BB65D3">
        <w:rPr>
          <w:rFonts w:cs="Times New Roman"/>
          <w:color w:val="000000" w:themeColor="text1"/>
          <w:lang w:val="en-IN"/>
        </w:rPr>
        <w:t>. She was weaned onto room air on day 5.</w:t>
      </w:r>
    </w:p>
    <w:p w14:paraId="56048021" w14:textId="4160D026" w:rsidR="00B677BD" w:rsidRPr="00BB65D3" w:rsidRDefault="00000000">
      <w:pPr>
        <w:spacing w:after="100"/>
        <w:rPr>
          <w:b/>
          <w:color w:val="000000" w:themeColor="text1"/>
          <w:lang w:val="en-IN"/>
        </w:rPr>
      </w:pPr>
      <w:r w:rsidRPr="00C11AF6">
        <w:rPr>
          <w:rFonts w:cs="Times New Roman"/>
          <w:b/>
          <w:color w:val="000000" w:themeColor="text1"/>
        </w:rPr>
        <w:t xml:space="preserve">2. Fluid Resuscitation and Controlled Deficit Correction of Severe Hypernatremia: </w:t>
      </w:r>
      <w:r w:rsidR="00BB65D3" w:rsidRPr="00BB65D3">
        <w:rPr>
          <w:bCs/>
          <w:color w:val="000000" w:themeColor="text1"/>
          <w:lang w:val="en-IN"/>
        </w:rPr>
        <w:t>With the admission serum sodium of 165.1 mmol/L, rehydration was achieved in a slow and cautious manner in order to prevent devastating cerebral oedema, brain herniation and pontine demyelination. Free water deficit was replenished gradually over 48-72 hours using IV fluids with 1.5 x maintenance infusion (i.e. 150 mL/kg/day). Serial monitoring of serum electrolytes at 4-6 hours interval was performed in order to avoid a reduction in serum sodium &gt;0.5 mmol/L/h, i.e., &lt;10-12 mmol/L over 24 hours. A gradual linear decline of serum sodium was obtained over a 6-day course: 165.1 mmol/L on Admission (Day 1), 163.6 mmol/L (Day 2), 152.7 mmol/L (Day 3), 148.6 mmol/L (Day 4), 144.7 mmol/L (Day 5), 143.5 mmol/L (Day 6), with no neurological sequela or seizure</w:t>
      </w:r>
      <w:r w:rsidR="00BB65D3" w:rsidRPr="00BB65D3">
        <w:rPr>
          <w:b/>
          <w:color w:val="000000" w:themeColor="text1"/>
          <w:lang w:val="en-IN"/>
        </w:rPr>
        <w:t>.</w:t>
      </w:r>
    </w:p>
    <w:p w14:paraId="05B454F9" w14:textId="77777777" w:rsidR="00B677BD" w:rsidRPr="00C11AF6" w:rsidRDefault="00000000">
      <w:pPr>
        <w:spacing w:after="100"/>
        <w:rPr>
          <w:rFonts w:cs="Times New Roman"/>
          <w:color w:val="000000" w:themeColor="text1"/>
        </w:rPr>
      </w:pPr>
      <w:r w:rsidRPr="00C11AF6">
        <w:rPr>
          <w:rFonts w:cs="Times New Roman"/>
          <w:b/>
          <w:color w:val="000000" w:themeColor="text1"/>
        </w:rPr>
        <w:t xml:space="preserve">3. Titrated Bicarbonate Deficit Correction: </w:t>
      </w:r>
      <w:r w:rsidRPr="00C11AF6">
        <w:rPr>
          <w:rFonts w:cs="Times New Roman"/>
          <w:color w:val="000000" w:themeColor="text1"/>
        </w:rPr>
        <w:t>The severe metabolic acidemia (admission ABG: pH 7.22, HCO3- 6.5 mmol/L, Base Excess -21.2 mmol/L) warranted cautious, titrated bicarbonate replacement. Following initial emergency resuscitation and peripheral stabilization, a repeat venous/capillary blood gas at the initiation of formal deficit therapy showed a measured HCO3- of 9.8 mmol/L. The base deficit was computed using the standard pediatric formula: Bicarbonate Deficit (mEq) = 0.5 × Body Weight (kg) × (Target HCO3- [22 mmol/L] – Measured HCO3- [9.8 mmol/L]) = 0.5 × 2.02 × 12.2 = 12.3 mEq. To mitigate the risks of excessive sodium loading, hyperosmolality, acute hypocalcemia, and paradoxical intracellular/cerebrospinal fluid acidosis, one-half of the calculated deficit (6.0 mEq) was infused slowly over 6 hours diluted in 5% dextrose in 0.2% normal saline, followed by the remaining 6.3 mEq infused over the subsequent 18 hours. Serial monitoring demonstrated steady correction of base excess (-10.1 mmol/L at 02:16, -10.2 mmol/L at 07:44, and +0.3 mmol/L at 20:23 on Day 2), allowing complete discontinuation of bicarbonate therapy by hospital day 2.</w:t>
      </w:r>
    </w:p>
    <w:p w14:paraId="722C85E8" w14:textId="3EB639FB" w:rsidR="00B677BD" w:rsidRPr="002C482A" w:rsidRDefault="00000000">
      <w:pPr>
        <w:spacing w:after="100"/>
        <w:rPr>
          <w:bCs/>
          <w:color w:val="000000" w:themeColor="text1"/>
          <w:lang w:val="en-IN"/>
        </w:rPr>
      </w:pPr>
      <w:r w:rsidRPr="00C11AF6">
        <w:rPr>
          <w:rFonts w:cs="Times New Roman"/>
          <w:b/>
          <w:color w:val="000000" w:themeColor="text1"/>
        </w:rPr>
        <w:t xml:space="preserve">4. Intensive Potassium Repletion: </w:t>
      </w:r>
      <w:r w:rsidR="002C482A" w:rsidRPr="002C482A">
        <w:rPr>
          <w:bCs/>
          <w:color w:val="000000" w:themeColor="text1"/>
          <w:lang w:val="en-IN"/>
        </w:rPr>
        <w:t xml:space="preserve">The infant's life was at risk from malignant ventricular arrhythmias and paralytic ileus as a result of severe hypokalaemia (serum potassium peak of 1.3-1.8 mmol/l on blood gas, 2.43-2.69 on automated biochemistry) and this level was treated with continuous intravenous KCl potassium chloride supplement through a locked syringe pump at a flow of 0.3-0.5 </w:t>
      </w:r>
      <w:proofErr w:type="spellStart"/>
      <w:r w:rsidR="002C482A" w:rsidRPr="002C482A">
        <w:rPr>
          <w:bCs/>
          <w:color w:val="000000" w:themeColor="text1"/>
          <w:lang w:val="en-IN"/>
        </w:rPr>
        <w:t>mEq</w:t>
      </w:r>
      <w:proofErr w:type="spellEnd"/>
      <w:r w:rsidR="002C482A" w:rsidRPr="002C482A">
        <w:rPr>
          <w:bCs/>
          <w:color w:val="000000" w:themeColor="text1"/>
          <w:lang w:val="en-IN"/>
        </w:rPr>
        <w:t xml:space="preserve">/kg/h (Dilution 1 part KCl to 9 parts normal saline) after measurement of urine output, and 20-40 </w:t>
      </w:r>
      <w:proofErr w:type="spellStart"/>
      <w:r w:rsidR="002C482A" w:rsidRPr="002C482A">
        <w:rPr>
          <w:bCs/>
          <w:color w:val="000000" w:themeColor="text1"/>
          <w:lang w:val="en-IN"/>
        </w:rPr>
        <w:t>mEq</w:t>
      </w:r>
      <w:proofErr w:type="spellEnd"/>
      <w:r w:rsidR="002C482A" w:rsidRPr="002C482A">
        <w:rPr>
          <w:bCs/>
          <w:color w:val="000000" w:themeColor="text1"/>
          <w:lang w:val="en-IN"/>
        </w:rPr>
        <w:t>/l KCl was added to all maintenance fluids. Repeated serum levels of potassium demonstrated steady levels: 2.69 mmol/l (Day 1) 2.90 mmol/l (Day 2) 3.31 mmol/l (Day 3) 3.89 mmol/l (Day 4) 3.66 mmol/l (Day 5).</w:t>
      </w:r>
    </w:p>
    <w:p w14:paraId="311A10FD" w14:textId="77777777" w:rsidR="00B677BD" w:rsidRPr="00C11AF6" w:rsidRDefault="00000000">
      <w:pPr>
        <w:spacing w:after="100"/>
        <w:rPr>
          <w:rFonts w:cs="Times New Roman"/>
          <w:color w:val="000000" w:themeColor="text1"/>
        </w:rPr>
      </w:pPr>
      <w:r w:rsidRPr="00C11AF6">
        <w:rPr>
          <w:rFonts w:cs="Times New Roman"/>
          <w:b/>
          <w:color w:val="000000" w:themeColor="text1"/>
        </w:rPr>
        <w:t xml:space="preserve">5. Hemodynamic Optimization and Inotropic Support: </w:t>
      </w:r>
      <w:r w:rsidRPr="00C11AF6">
        <w:rPr>
          <w:rFonts w:cs="Times New Roman"/>
          <w:color w:val="000000" w:themeColor="text1"/>
        </w:rPr>
        <w:t xml:space="preserve">In view of cold extremities, delayed capillary refill (2–3 seconds), and borderline perfusion at presentation, continuous inotropic support with an intravenous adrenaline (epinephrine) infusion was initiated at 0.1 µg/kg/min (prepared as 0.3 mL of </w:t>
      </w:r>
      <w:r w:rsidRPr="00C11AF6">
        <w:rPr>
          <w:rFonts w:cs="Times New Roman"/>
          <w:color w:val="000000" w:themeColor="text1"/>
        </w:rPr>
        <w:lastRenderedPageBreak/>
        <w:t>1:1,000 adrenaline [0.3 mg = 300 µg] diluted in 23.7 mL of normal saline to yield a total volume of 24 mL [12.5 µg/mL], infused at 1.0 mL/h, delivering ~0.1 µg/kg/min for her 2.02 kg weight). Peripheral perfusion rapidly normalized, capillary refill time shortened to &lt; 2 seconds, mean arterial pressures stabilized within the age-appropriate reference range (50–55 mmHg), and adrenaline was successfully tapered and discontinued within 24 hours.</w:t>
      </w:r>
    </w:p>
    <w:p w14:paraId="500A8F8D" w14:textId="02402217" w:rsidR="00B677BD" w:rsidRPr="002C482A" w:rsidRDefault="00000000">
      <w:pPr>
        <w:spacing w:after="100"/>
        <w:rPr>
          <w:bCs/>
          <w:color w:val="000000" w:themeColor="text1"/>
          <w:lang w:val="en-IN"/>
        </w:rPr>
      </w:pPr>
      <w:r w:rsidRPr="00C11AF6">
        <w:rPr>
          <w:rFonts w:cs="Times New Roman"/>
          <w:b/>
          <w:color w:val="000000" w:themeColor="text1"/>
        </w:rPr>
        <w:t xml:space="preserve">6. Coagulopathy Reversal and Blood Product Transfusion: </w:t>
      </w:r>
      <w:r w:rsidR="002C482A" w:rsidRPr="002C482A">
        <w:rPr>
          <w:bCs/>
          <w:color w:val="000000" w:themeColor="text1"/>
          <w:lang w:val="en-IN"/>
        </w:rPr>
        <w:t xml:space="preserve">Disseminated coagulopathy (PT 25.1 s, INR 2.1) secondary to ischemic hepatic hypoperfusion and underlying nutritional depletion was corrected acutely with IV vitamin K (2mg IV stat) and a fresh frozen plasma (FFP) transfusion (10ml/kg). Repeat coagulation profiling demonstrated rapid correction (PT 21.2 s, INR 1.8 on Day 2; PT 15.7 s, INR 1.3 on Day 3). Severe </w:t>
      </w:r>
      <w:proofErr w:type="spellStart"/>
      <w:r w:rsidR="002C482A" w:rsidRPr="002C482A">
        <w:rPr>
          <w:bCs/>
          <w:color w:val="000000" w:themeColor="text1"/>
          <w:lang w:val="en-IN"/>
        </w:rPr>
        <w:t>hemodilutional</w:t>
      </w:r>
      <w:proofErr w:type="spellEnd"/>
      <w:r w:rsidR="002C482A" w:rsidRPr="002C482A">
        <w:rPr>
          <w:bCs/>
          <w:color w:val="000000" w:themeColor="text1"/>
          <w:lang w:val="en-IN"/>
        </w:rPr>
        <w:t xml:space="preserve"> anaemia – delayed by acute rehydration, blood loss from phlebotomy, and pre-existing nutritional iron/folate deficiency – dropped the haemoglobin to a nadir of 7.6 g/dL (haematocrit 22.8%) on Day 3. </w:t>
      </w:r>
      <w:r w:rsidR="002C482A" w:rsidRPr="002C482A">
        <w:rPr>
          <w:rFonts w:cs="Times New Roman"/>
          <w:bCs/>
          <w:color w:val="000000" w:themeColor="text1"/>
          <w:lang w:val="en-IN"/>
        </w:rPr>
        <w:t>A transfusion of PRBCs (10ml/kg) was performed with close hemodynamic monitoring and resulted in the haemoglobin concentration increasing to 12.0 g/dL and haematocrit to 36% on Day 4. No transfusion reactions occurred.</w:t>
      </w:r>
    </w:p>
    <w:p w14:paraId="403205AA" w14:textId="501F7C4B" w:rsidR="00B677BD" w:rsidRPr="002C482A" w:rsidRDefault="00000000">
      <w:pPr>
        <w:spacing w:after="100"/>
        <w:rPr>
          <w:bCs/>
          <w:color w:val="000000" w:themeColor="text1"/>
          <w:lang w:val="en-IN"/>
        </w:rPr>
      </w:pPr>
      <w:r w:rsidRPr="00C11AF6">
        <w:rPr>
          <w:rFonts w:cs="Times New Roman"/>
          <w:b/>
          <w:color w:val="000000" w:themeColor="text1"/>
        </w:rPr>
        <w:t xml:space="preserve">7. Antimicrobial Stewardship: </w:t>
      </w:r>
      <w:r w:rsidR="002C482A" w:rsidRPr="002C482A">
        <w:rPr>
          <w:bCs/>
          <w:color w:val="000000" w:themeColor="text1"/>
          <w:lang w:val="en-IN"/>
        </w:rPr>
        <w:t>Empiric parenteral antimicrobial therapy was commenced on day 6 with 150 mg IV every 8 hours (225 mg/kg/day) of cefotaxime to treat community acquired aspiration pneumonia with prophylaxis against secondary neonatal sepsis. Antibiotics were continued as a 7-day treatment course for stage III neonatal sepsis after sterilization of blood cultures, radiographic resolution of pulmonary infiltrates and uninterrupted clinical cure.</w:t>
      </w:r>
    </w:p>
    <w:p w14:paraId="5A1024BF" w14:textId="77777777" w:rsidR="00B677BD" w:rsidRPr="00C11AF6" w:rsidRDefault="00000000">
      <w:pPr>
        <w:pStyle w:val="Heading2"/>
        <w:spacing w:after="80"/>
        <w:rPr>
          <w:rFonts w:ascii="Times New Roman" w:hAnsi="Times New Roman" w:cs="Times New Roman"/>
          <w:color w:val="000000" w:themeColor="text1"/>
        </w:rPr>
      </w:pPr>
      <w:r w:rsidRPr="00C11AF6">
        <w:rPr>
          <w:rFonts w:ascii="Times New Roman" w:hAnsi="Times New Roman" w:cs="Times New Roman"/>
          <w:color w:val="000000" w:themeColor="text1"/>
          <w:sz w:val="23"/>
        </w:rPr>
        <w:t>2.8 Clinical Course, Weaning, and Enteral Nutritional Rehabilitation</w:t>
      </w:r>
    </w:p>
    <w:p w14:paraId="385E92FF" w14:textId="77777777" w:rsidR="00B677BD" w:rsidRPr="00C11AF6" w:rsidRDefault="00000000">
      <w:pPr>
        <w:rPr>
          <w:rFonts w:cs="Times New Roman"/>
          <w:color w:val="000000" w:themeColor="text1"/>
        </w:rPr>
      </w:pPr>
      <w:r w:rsidRPr="00C11AF6">
        <w:rPr>
          <w:rFonts w:cs="Times New Roman"/>
          <w:color w:val="000000" w:themeColor="text1"/>
        </w:rPr>
        <w:t>By hospital day 4 (20/08/2026), the infant demonstrated dramatic clinical and biochemical stabilization. Acidosis had completely resolved (ABG: pH 7.38, HCO3- 29.6 mmol/L, Base Excess +4.5 mmol/L), serum sodium had safely declined to 148.6 mmol/L, blood urea had normalized to 17.4 mg/dL, and serum creatinine was 0.37 mg/dL. The infant was successfully extubated to nasal prong oxygen and transferred on day 5 to the pediatric step-down ward, maintaining normal oxygen saturation (98–99%) on room air.</w:t>
      </w:r>
    </w:p>
    <w:p w14:paraId="1F3A11C9" w14:textId="77777777" w:rsidR="00B677BD" w:rsidRPr="00C11AF6" w:rsidRDefault="00000000">
      <w:pPr>
        <w:rPr>
          <w:rFonts w:cs="Times New Roman"/>
          <w:color w:val="000000" w:themeColor="text1"/>
        </w:rPr>
      </w:pPr>
      <w:r w:rsidRPr="00C11AF6">
        <w:rPr>
          <w:rFonts w:cs="Times New Roman"/>
          <w:color w:val="000000" w:themeColor="text1"/>
        </w:rPr>
        <w:t>Enteral nutrition was initiated cautiously via an orogastric feeding tube on day 4 using small trophic volumes (15–20 mL every 2 hours) of expressed breast milk (EBM) and standard starter infant formula (Lactogen-1). Feeding was progressively advanced to direct breastfeeding complemented with bottle formula feeds. Pre- and post-feed test weighing was instituted to quantify milk intake and verify caloric adequacy. Feeding volumes were escalated incrementally from 20 mL every 2 hours to 30 mL every 2 hours, reaching 40–45 mL every 2–3 hours by day 7. The infant demonstrated vigorous sucking and swallowing coordination, with excellent enteral tolerance and no abdominal distention or vomiting. Her body weight increased consistently: 2.02 kg at admission → 2.21 kg on day 6 of feeds → 2.27 kg on day 7 → 2.30 kg on day 8 → 2.33 kg on day 11 (representing a net gain of 310 g during hospitalization).</w:t>
      </w:r>
    </w:p>
    <w:p w14:paraId="11C91AFF" w14:textId="77777777" w:rsidR="00B677BD" w:rsidRPr="00C11AF6" w:rsidRDefault="00000000">
      <w:pPr>
        <w:spacing w:before="160" w:after="80"/>
        <w:rPr>
          <w:rFonts w:cs="Times New Roman"/>
          <w:color w:val="000000" w:themeColor="text1"/>
        </w:rPr>
      </w:pPr>
      <w:r w:rsidRPr="00C11AF6">
        <w:rPr>
          <w:rFonts w:cs="Times New Roman"/>
          <w:b/>
          <w:color w:val="000000" w:themeColor="text1"/>
          <w:sz w:val="20"/>
        </w:rPr>
        <w:t>Table 3. Chronological Timeline of Major Clinical Milestones and Therapeutic Interventions</w:t>
      </w:r>
    </w:p>
    <w:tbl>
      <w:tblPr>
        <w:tblW w:w="0" w:type="auto"/>
        <w:jc w:val="center"/>
        <w:tblLook w:val="04A0" w:firstRow="1" w:lastRow="0" w:firstColumn="1" w:lastColumn="0" w:noHBand="0" w:noVBand="1"/>
      </w:tblPr>
      <w:tblGrid>
        <w:gridCol w:w="2340"/>
        <w:gridCol w:w="2340"/>
        <w:gridCol w:w="2340"/>
        <w:gridCol w:w="2340"/>
      </w:tblGrid>
      <w:tr w:rsidR="00B677BD" w:rsidRPr="00C11AF6" w14:paraId="21FDAC65" w14:textId="77777777">
        <w:trPr>
          <w:jc w:val="center"/>
        </w:trPr>
        <w:tc>
          <w:tcPr>
            <w:tcW w:w="2340" w:type="dxa"/>
            <w:shd w:val="clear" w:color="auto" w:fill="112B4E"/>
            <w:tcMar>
              <w:top w:w="60" w:type="dxa"/>
              <w:left w:w="70" w:type="dxa"/>
              <w:bottom w:w="60" w:type="dxa"/>
              <w:right w:w="70" w:type="dxa"/>
            </w:tcMar>
          </w:tcPr>
          <w:p w14:paraId="6B1D6D58" w14:textId="77777777" w:rsidR="00B677BD" w:rsidRPr="00C11AF6" w:rsidRDefault="00000000">
            <w:pPr>
              <w:spacing w:after="0" w:line="240" w:lineRule="auto"/>
              <w:rPr>
                <w:rFonts w:cs="Times New Roman"/>
                <w:color w:val="FFFFFF" w:themeColor="background1"/>
              </w:rPr>
            </w:pPr>
            <w:r w:rsidRPr="00C11AF6">
              <w:rPr>
                <w:rFonts w:cs="Times New Roman"/>
                <w:b/>
                <w:color w:val="FFFFFF" w:themeColor="background1"/>
                <w:sz w:val="16"/>
              </w:rPr>
              <w:t>Hospital Day &amp; Date</w:t>
            </w:r>
          </w:p>
        </w:tc>
        <w:tc>
          <w:tcPr>
            <w:tcW w:w="2340" w:type="dxa"/>
            <w:shd w:val="clear" w:color="auto" w:fill="112B4E"/>
            <w:tcMar>
              <w:top w:w="60" w:type="dxa"/>
              <w:left w:w="70" w:type="dxa"/>
              <w:bottom w:w="60" w:type="dxa"/>
              <w:right w:w="70" w:type="dxa"/>
            </w:tcMar>
          </w:tcPr>
          <w:p w14:paraId="62F8B876" w14:textId="77777777" w:rsidR="00B677BD" w:rsidRPr="00C11AF6" w:rsidRDefault="00000000">
            <w:pPr>
              <w:spacing w:after="0" w:line="240" w:lineRule="auto"/>
              <w:rPr>
                <w:rFonts w:cs="Times New Roman"/>
                <w:color w:val="FFFFFF" w:themeColor="background1"/>
              </w:rPr>
            </w:pPr>
            <w:r w:rsidRPr="00C11AF6">
              <w:rPr>
                <w:rFonts w:cs="Times New Roman"/>
                <w:b/>
                <w:color w:val="FFFFFF" w:themeColor="background1"/>
                <w:sz w:val="16"/>
              </w:rPr>
              <w:t>Clinical Status &amp; Ventilation</w:t>
            </w:r>
          </w:p>
        </w:tc>
        <w:tc>
          <w:tcPr>
            <w:tcW w:w="2340" w:type="dxa"/>
            <w:shd w:val="clear" w:color="auto" w:fill="112B4E"/>
            <w:tcMar>
              <w:top w:w="60" w:type="dxa"/>
              <w:left w:w="70" w:type="dxa"/>
              <w:bottom w:w="60" w:type="dxa"/>
              <w:right w:w="70" w:type="dxa"/>
            </w:tcMar>
          </w:tcPr>
          <w:p w14:paraId="7AC96B7E" w14:textId="77777777" w:rsidR="00B677BD" w:rsidRPr="00C11AF6" w:rsidRDefault="00000000">
            <w:pPr>
              <w:spacing w:after="0" w:line="240" w:lineRule="auto"/>
              <w:rPr>
                <w:rFonts w:cs="Times New Roman"/>
                <w:color w:val="FFFFFF" w:themeColor="background1"/>
              </w:rPr>
            </w:pPr>
            <w:r w:rsidRPr="00C11AF6">
              <w:rPr>
                <w:rFonts w:cs="Times New Roman"/>
                <w:b/>
                <w:color w:val="FFFFFF" w:themeColor="background1"/>
                <w:sz w:val="16"/>
              </w:rPr>
              <w:t>Biochemical &amp; Metabolic Profile</w:t>
            </w:r>
          </w:p>
        </w:tc>
        <w:tc>
          <w:tcPr>
            <w:tcW w:w="2340" w:type="dxa"/>
            <w:shd w:val="clear" w:color="auto" w:fill="112B4E"/>
            <w:tcMar>
              <w:top w:w="60" w:type="dxa"/>
              <w:left w:w="70" w:type="dxa"/>
              <w:bottom w:w="60" w:type="dxa"/>
              <w:right w:w="70" w:type="dxa"/>
            </w:tcMar>
          </w:tcPr>
          <w:p w14:paraId="1C2DBECE" w14:textId="77777777" w:rsidR="00B677BD" w:rsidRPr="00C11AF6" w:rsidRDefault="00000000">
            <w:pPr>
              <w:spacing w:after="0" w:line="240" w:lineRule="auto"/>
              <w:rPr>
                <w:rFonts w:cs="Times New Roman"/>
                <w:color w:val="FFFFFF" w:themeColor="background1"/>
              </w:rPr>
            </w:pPr>
            <w:r w:rsidRPr="00C11AF6">
              <w:rPr>
                <w:rFonts w:cs="Times New Roman"/>
                <w:b/>
                <w:color w:val="FFFFFF" w:themeColor="background1"/>
                <w:sz w:val="16"/>
              </w:rPr>
              <w:t>Key Interventions &amp; Nutrition</w:t>
            </w:r>
          </w:p>
        </w:tc>
      </w:tr>
      <w:tr w:rsidR="00B677BD" w:rsidRPr="00C11AF6" w14:paraId="326AC1FF" w14:textId="77777777">
        <w:trPr>
          <w:jc w:val="center"/>
        </w:trPr>
        <w:tc>
          <w:tcPr>
            <w:tcW w:w="2340" w:type="dxa"/>
            <w:shd w:val="clear" w:color="auto" w:fill="F4F6F9"/>
            <w:tcMar>
              <w:top w:w="60" w:type="dxa"/>
              <w:left w:w="70" w:type="dxa"/>
              <w:bottom w:w="60" w:type="dxa"/>
              <w:right w:w="70" w:type="dxa"/>
            </w:tcMar>
          </w:tcPr>
          <w:p w14:paraId="1BCB6414" w14:textId="77777777" w:rsidR="00B677BD" w:rsidRPr="00C11AF6" w:rsidRDefault="00000000">
            <w:pPr>
              <w:spacing w:after="0" w:line="240" w:lineRule="auto"/>
              <w:rPr>
                <w:rFonts w:cs="Times New Roman"/>
                <w:color w:val="000000" w:themeColor="text1"/>
              </w:rPr>
            </w:pPr>
            <w:r w:rsidRPr="00C11AF6">
              <w:rPr>
                <w:rFonts w:cs="Times New Roman"/>
                <w:b/>
                <w:color w:val="000000" w:themeColor="text1"/>
                <w:sz w:val="16"/>
              </w:rPr>
              <w:t>Day 1 (17/08/2026)</w:t>
            </w:r>
          </w:p>
        </w:tc>
        <w:tc>
          <w:tcPr>
            <w:tcW w:w="2340" w:type="dxa"/>
            <w:shd w:val="clear" w:color="auto" w:fill="F4F6F9"/>
            <w:tcMar>
              <w:top w:w="60" w:type="dxa"/>
              <w:left w:w="70" w:type="dxa"/>
              <w:bottom w:w="60" w:type="dxa"/>
              <w:right w:w="70" w:type="dxa"/>
            </w:tcMar>
          </w:tcPr>
          <w:p w14:paraId="64CB0E62"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Admitted in decompensated shock, tachypneic (RR 48), feeble pulses, CRT 2–3s; mechanically ventilated (SIMV)</w:t>
            </w:r>
          </w:p>
        </w:tc>
        <w:tc>
          <w:tcPr>
            <w:tcW w:w="2340" w:type="dxa"/>
            <w:shd w:val="clear" w:color="auto" w:fill="F4F6F9"/>
            <w:tcMar>
              <w:top w:w="60" w:type="dxa"/>
              <w:left w:w="70" w:type="dxa"/>
              <w:bottom w:w="60" w:type="dxa"/>
              <w:right w:w="70" w:type="dxa"/>
            </w:tcMar>
          </w:tcPr>
          <w:p w14:paraId="5CF3AB81"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pH 7.22, HCO3 6.5, BE -21.2, Na 165.1, K 1.8–2.69, Urea 89.9, Cr 0.55, PT 25.1 (INR 2.1), CRP 10.07</w:t>
            </w:r>
          </w:p>
        </w:tc>
        <w:tc>
          <w:tcPr>
            <w:tcW w:w="2340" w:type="dxa"/>
            <w:shd w:val="clear" w:color="auto" w:fill="F4F6F9"/>
            <w:tcMar>
              <w:top w:w="60" w:type="dxa"/>
              <w:left w:w="70" w:type="dxa"/>
              <w:bottom w:w="60" w:type="dxa"/>
              <w:right w:w="70" w:type="dxa"/>
            </w:tcMar>
          </w:tcPr>
          <w:p w14:paraId="0B074EE8"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Intubation; IV 1.5x maintenance; slow NaHCO3 deficit repletion; IV KCl; Adrenaline; Inj. Vit K; IV Cefotaxime</w:t>
            </w:r>
          </w:p>
        </w:tc>
      </w:tr>
      <w:tr w:rsidR="00B677BD" w:rsidRPr="00C11AF6" w14:paraId="2E7EC13E" w14:textId="77777777">
        <w:trPr>
          <w:jc w:val="center"/>
        </w:trPr>
        <w:tc>
          <w:tcPr>
            <w:tcW w:w="2340" w:type="dxa"/>
            <w:tcMar>
              <w:top w:w="60" w:type="dxa"/>
              <w:left w:w="70" w:type="dxa"/>
              <w:bottom w:w="60" w:type="dxa"/>
              <w:right w:w="70" w:type="dxa"/>
            </w:tcMar>
          </w:tcPr>
          <w:p w14:paraId="44A11174" w14:textId="77777777" w:rsidR="00B677BD" w:rsidRPr="00C11AF6" w:rsidRDefault="00000000">
            <w:pPr>
              <w:spacing w:after="0" w:line="240" w:lineRule="auto"/>
              <w:rPr>
                <w:rFonts w:cs="Times New Roman"/>
                <w:color w:val="000000" w:themeColor="text1"/>
              </w:rPr>
            </w:pPr>
            <w:r w:rsidRPr="00C11AF6">
              <w:rPr>
                <w:rFonts w:cs="Times New Roman"/>
                <w:b/>
                <w:color w:val="000000" w:themeColor="text1"/>
                <w:sz w:val="16"/>
              </w:rPr>
              <w:t>Day 2 (18/08/2026)</w:t>
            </w:r>
          </w:p>
        </w:tc>
        <w:tc>
          <w:tcPr>
            <w:tcW w:w="2340" w:type="dxa"/>
            <w:tcMar>
              <w:top w:w="60" w:type="dxa"/>
              <w:left w:w="70" w:type="dxa"/>
              <w:bottom w:w="60" w:type="dxa"/>
              <w:right w:w="70" w:type="dxa"/>
            </w:tcMar>
          </w:tcPr>
          <w:p w14:paraId="7227635B"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 xml:space="preserve">Accidental ET displacement at 00:00; emergent re-intubation </w:t>
            </w:r>
            <w:r w:rsidRPr="00C11AF6">
              <w:rPr>
                <w:rFonts w:cs="Times New Roman"/>
                <w:color w:val="000000" w:themeColor="text1"/>
                <w:sz w:val="16"/>
              </w:rPr>
              <w:lastRenderedPageBreak/>
              <w:t>(3.0 uncuffed at 8 cm); secretions cleared</w:t>
            </w:r>
          </w:p>
        </w:tc>
        <w:tc>
          <w:tcPr>
            <w:tcW w:w="2340" w:type="dxa"/>
            <w:tcMar>
              <w:top w:w="60" w:type="dxa"/>
              <w:left w:w="70" w:type="dxa"/>
              <w:bottom w:w="60" w:type="dxa"/>
              <w:right w:w="70" w:type="dxa"/>
            </w:tcMar>
          </w:tcPr>
          <w:p w14:paraId="6C1BA08D"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lastRenderedPageBreak/>
              <w:t xml:space="preserve">pH 7.30–7.44, HCO3 16.2–24.5, Na 163.6, K 2.43–2.90, Urea </w:t>
            </w:r>
            <w:r w:rsidRPr="00C11AF6">
              <w:rPr>
                <w:rFonts w:cs="Times New Roman"/>
                <w:color w:val="000000" w:themeColor="text1"/>
                <w:sz w:val="16"/>
              </w:rPr>
              <w:lastRenderedPageBreak/>
              <w:t>81.0, Cr 0.80, PT 21.2 (INR 1.8)</w:t>
            </w:r>
          </w:p>
        </w:tc>
        <w:tc>
          <w:tcPr>
            <w:tcW w:w="2340" w:type="dxa"/>
            <w:tcMar>
              <w:top w:w="60" w:type="dxa"/>
              <w:left w:w="70" w:type="dxa"/>
              <w:bottom w:w="60" w:type="dxa"/>
              <w:right w:w="70" w:type="dxa"/>
            </w:tcMar>
          </w:tcPr>
          <w:p w14:paraId="7AEB4338"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lastRenderedPageBreak/>
              <w:t xml:space="preserve">SIMV continued; fentanyl infusion (1 µg/kg/h); FFP </w:t>
            </w:r>
            <w:r w:rsidRPr="00C11AF6">
              <w:rPr>
                <w:rFonts w:cs="Times New Roman"/>
                <w:color w:val="000000" w:themeColor="text1"/>
                <w:sz w:val="16"/>
              </w:rPr>
              <w:lastRenderedPageBreak/>
              <w:t>transfusion (10 mL/kg); controlled Na+ reduction; IV KCl</w:t>
            </w:r>
          </w:p>
        </w:tc>
      </w:tr>
      <w:tr w:rsidR="00B677BD" w:rsidRPr="00C11AF6" w14:paraId="048F19E0" w14:textId="77777777">
        <w:trPr>
          <w:jc w:val="center"/>
        </w:trPr>
        <w:tc>
          <w:tcPr>
            <w:tcW w:w="2340" w:type="dxa"/>
            <w:shd w:val="clear" w:color="auto" w:fill="F4F6F9"/>
            <w:tcMar>
              <w:top w:w="60" w:type="dxa"/>
              <w:left w:w="70" w:type="dxa"/>
              <w:bottom w:w="60" w:type="dxa"/>
              <w:right w:w="70" w:type="dxa"/>
            </w:tcMar>
          </w:tcPr>
          <w:p w14:paraId="4FC831C7" w14:textId="77777777" w:rsidR="00B677BD" w:rsidRPr="00C11AF6" w:rsidRDefault="00000000">
            <w:pPr>
              <w:spacing w:after="0" w:line="240" w:lineRule="auto"/>
              <w:rPr>
                <w:rFonts w:cs="Times New Roman"/>
                <w:color w:val="000000" w:themeColor="text1"/>
              </w:rPr>
            </w:pPr>
            <w:r w:rsidRPr="00C11AF6">
              <w:rPr>
                <w:rFonts w:cs="Times New Roman"/>
                <w:b/>
                <w:color w:val="000000" w:themeColor="text1"/>
                <w:sz w:val="16"/>
              </w:rPr>
              <w:lastRenderedPageBreak/>
              <w:t>Day 3 (19/08/2026)</w:t>
            </w:r>
          </w:p>
        </w:tc>
        <w:tc>
          <w:tcPr>
            <w:tcW w:w="2340" w:type="dxa"/>
            <w:shd w:val="clear" w:color="auto" w:fill="F4F6F9"/>
            <w:tcMar>
              <w:top w:w="60" w:type="dxa"/>
              <w:left w:w="70" w:type="dxa"/>
              <w:bottom w:w="60" w:type="dxa"/>
              <w:right w:w="70" w:type="dxa"/>
            </w:tcMar>
          </w:tcPr>
          <w:p w14:paraId="4E2A795B"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Hemodynamically stable; SIMV weaned to CPAP / pressure support; sedation tapered</w:t>
            </w:r>
          </w:p>
        </w:tc>
        <w:tc>
          <w:tcPr>
            <w:tcW w:w="2340" w:type="dxa"/>
            <w:shd w:val="clear" w:color="auto" w:fill="F4F6F9"/>
            <w:tcMar>
              <w:top w:w="60" w:type="dxa"/>
              <w:left w:w="70" w:type="dxa"/>
              <w:bottom w:w="60" w:type="dxa"/>
              <w:right w:w="70" w:type="dxa"/>
            </w:tcMar>
          </w:tcPr>
          <w:p w14:paraId="4E7E7EA3"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pH 7.39, HCO3 26.0, Na 152.7, K 3.31, Urea 24.0, Cr 0.40, Hb 7.6 g/dL (nadir), PT 15.7 (INR 1.3)</w:t>
            </w:r>
          </w:p>
        </w:tc>
        <w:tc>
          <w:tcPr>
            <w:tcW w:w="2340" w:type="dxa"/>
            <w:shd w:val="clear" w:color="auto" w:fill="F4F6F9"/>
            <w:tcMar>
              <w:top w:w="60" w:type="dxa"/>
              <w:left w:w="70" w:type="dxa"/>
              <w:bottom w:w="60" w:type="dxa"/>
              <w:right w:w="70" w:type="dxa"/>
            </w:tcMar>
          </w:tcPr>
          <w:p w14:paraId="65CD003D"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PRBC transfusion (10 mL/kg); NaHCO3 stopped; IV fluids tapered; metabolic screening samples processed</w:t>
            </w:r>
          </w:p>
        </w:tc>
      </w:tr>
      <w:tr w:rsidR="00B677BD" w:rsidRPr="00C11AF6" w14:paraId="72962069" w14:textId="77777777">
        <w:trPr>
          <w:jc w:val="center"/>
        </w:trPr>
        <w:tc>
          <w:tcPr>
            <w:tcW w:w="2340" w:type="dxa"/>
            <w:tcMar>
              <w:top w:w="60" w:type="dxa"/>
              <w:left w:w="70" w:type="dxa"/>
              <w:bottom w:w="60" w:type="dxa"/>
              <w:right w:w="70" w:type="dxa"/>
            </w:tcMar>
          </w:tcPr>
          <w:p w14:paraId="00E06791" w14:textId="77777777" w:rsidR="00B677BD" w:rsidRPr="00C11AF6" w:rsidRDefault="00000000">
            <w:pPr>
              <w:spacing w:after="0" w:line="240" w:lineRule="auto"/>
              <w:rPr>
                <w:rFonts w:cs="Times New Roman"/>
                <w:color w:val="000000" w:themeColor="text1"/>
              </w:rPr>
            </w:pPr>
            <w:r w:rsidRPr="00C11AF6">
              <w:rPr>
                <w:rFonts w:cs="Times New Roman"/>
                <w:b/>
                <w:color w:val="000000" w:themeColor="text1"/>
                <w:sz w:val="16"/>
              </w:rPr>
              <w:t>Day 4 (20/08/2026)</w:t>
            </w:r>
          </w:p>
        </w:tc>
        <w:tc>
          <w:tcPr>
            <w:tcW w:w="2340" w:type="dxa"/>
            <w:tcMar>
              <w:top w:w="60" w:type="dxa"/>
              <w:left w:w="70" w:type="dxa"/>
              <w:bottom w:w="60" w:type="dxa"/>
              <w:right w:w="70" w:type="dxa"/>
            </w:tcMar>
          </w:tcPr>
          <w:p w14:paraId="3BF1DA33"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Successful extubation to nasal prong O2 (FiO2 0.30); active, reactive pupils; resonant lung fields</w:t>
            </w:r>
          </w:p>
        </w:tc>
        <w:tc>
          <w:tcPr>
            <w:tcW w:w="2340" w:type="dxa"/>
            <w:tcMar>
              <w:top w:w="60" w:type="dxa"/>
              <w:left w:w="70" w:type="dxa"/>
              <w:bottom w:w="60" w:type="dxa"/>
              <w:right w:w="70" w:type="dxa"/>
            </w:tcMar>
          </w:tcPr>
          <w:p w14:paraId="484CBD08"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pH 7.38, HCO3 29.6, Na 148.6, K 3.89, Urea 17.4, Cr 0.37, Hb 12.0 g/dL, Platelets 3.62L</w:t>
            </w:r>
          </w:p>
        </w:tc>
        <w:tc>
          <w:tcPr>
            <w:tcW w:w="2340" w:type="dxa"/>
            <w:tcMar>
              <w:top w:w="60" w:type="dxa"/>
              <w:left w:w="70" w:type="dxa"/>
              <w:bottom w:w="60" w:type="dxa"/>
              <w:right w:w="70" w:type="dxa"/>
            </w:tcMar>
          </w:tcPr>
          <w:p w14:paraId="42FCAD6E"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Nebulized ipratropium / salbutamol / budesonide peri-extubation; initiated enteral trophic feeds (15–20 mL)</w:t>
            </w:r>
          </w:p>
        </w:tc>
      </w:tr>
      <w:tr w:rsidR="00B677BD" w:rsidRPr="00C11AF6" w14:paraId="53004728" w14:textId="77777777">
        <w:trPr>
          <w:jc w:val="center"/>
        </w:trPr>
        <w:tc>
          <w:tcPr>
            <w:tcW w:w="2340" w:type="dxa"/>
            <w:shd w:val="clear" w:color="auto" w:fill="F4F6F9"/>
            <w:tcMar>
              <w:top w:w="60" w:type="dxa"/>
              <w:left w:w="70" w:type="dxa"/>
              <w:bottom w:w="60" w:type="dxa"/>
              <w:right w:w="70" w:type="dxa"/>
            </w:tcMar>
          </w:tcPr>
          <w:p w14:paraId="046658FB" w14:textId="77777777" w:rsidR="00B677BD" w:rsidRPr="00C11AF6" w:rsidRDefault="00000000">
            <w:pPr>
              <w:spacing w:after="0" w:line="240" w:lineRule="auto"/>
              <w:rPr>
                <w:rFonts w:cs="Times New Roman"/>
                <w:color w:val="000000" w:themeColor="text1"/>
              </w:rPr>
            </w:pPr>
            <w:r w:rsidRPr="00C11AF6">
              <w:rPr>
                <w:rFonts w:cs="Times New Roman"/>
                <w:b/>
                <w:color w:val="000000" w:themeColor="text1"/>
                <w:sz w:val="16"/>
              </w:rPr>
              <w:t>Day 5 (21/08/2026)</w:t>
            </w:r>
          </w:p>
        </w:tc>
        <w:tc>
          <w:tcPr>
            <w:tcW w:w="2340" w:type="dxa"/>
            <w:shd w:val="clear" w:color="auto" w:fill="F4F6F9"/>
            <w:tcMar>
              <w:top w:w="60" w:type="dxa"/>
              <w:left w:w="70" w:type="dxa"/>
              <w:bottom w:w="60" w:type="dxa"/>
              <w:right w:w="70" w:type="dxa"/>
            </w:tcMar>
          </w:tcPr>
          <w:p w14:paraId="657039F9"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Weaned to room air (SpO2 98–99%); transferred to step-down ward; vigorous suck reflex</w:t>
            </w:r>
          </w:p>
        </w:tc>
        <w:tc>
          <w:tcPr>
            <w:tcW w:w="2340" w:type="dxa"/>
            <w:shd w:val="clear" w:color="auto" w:fill="F4F6F9"/>
            <w:tcMar>
              <w:top w:w="60" w:type="dxa"/>
              <w:left w:w="70" w:type="dxa"/>
              <w:bottom w:w="60" w:type="dxa"/>
              <w:right w:w="70" w:type="dxa"/>
            </w:tcMar>
          </w:tcPr>
          <w:p w14:paraId="1D6CE66B"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pH 7.48, HCO3 20.9, Na 144.7, K 3.66, Cr 0.32, Total leukocytes 10,670, Platelets 2.31L</w:t>
            </w:r>
          </w:p>
        </w:tc>
        <w:tc>
          <w:tcPr>
            <w:tcW w:w="2340" w:type="dxa"/>
            <w:shd w:val="clear" w:color="auto" w:fill="F4F6F9"/>
            <w:tcMar>
              <w:top w:w="60" w:type="dxa"/>
              <w:left w:w="70" w:type="dxa"/>
              <w:bottom w:w="60" w:type="dxa"/>
              <w:right w:w="70" w:type="dxa"/>
            </w:tcMar>
          </w:tcPr>
          <w:p w14:paraId="75D04BFE"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Enteral feeds advanced to 30 mL 2-hourly; pre- and post-feed test weighing; IV fluids discontinued</w:t>
            </w:r>
          </w:p>
        </w:tc>
      </w:tr>
      <w:tr w:rsidR="00B677BD" w:rsidRPr="00C11AF6" w14:paraId="09981E57" w14:textId="77777777">
        <w:trPr>
          <w:jc w:val="center"/>
        </w:trPr>
        <w:tc>
          <w:tcPr>
            <w:tcW w:w="2340" w:type="dxa"/>
            <w:tcMar>
              <w:top w:w="60" w:type="dxa"/>
              <w:left w:w="70" w:type="dxa"/>
              <w:bottom w:w="60" w:type="dxa"/>
              <w:right w:w="70" w:type="dxa"/>
            </w:tcMar>
          </w:tcPr>
          <w:p w14:paraId="4CB6BB59" w14:textId="77777777" w:rsidR="00B677BD" w:rsidRPr="00C11AF6" w:rsidRDefault="00000000">
            <w:pPr>
              <w:spacing w:after="0" w:line="240" w:lineRule="auto"/>
              <w:rPr>
                <w:rFonts w:cs="Times New Roman"/>
                <w:color w:val="000000" w:themeColor="text1"/>
              </w:rPr>
            </w:pPr>
            <w:r w:rsidRPr="00C11AF6">
              <w:rPr>
                <w:rFonts w:cs="Times New Roman"/>
                <w:b/>
                <w:color w:val="000000" w:themeColor="text1"/>
                <w:sz w:val="16"/>
              </w:rPr>
              <w:t>Days 6–10 (22–26/08)</w:t>
            </w:r>
          </w:p>
        </w:tc>
        <w:tc>
          <w:tcPr>
            <w:tcW w:w="2340" w:type="dxa"/>
            <w:tcMar>
              <w:top w:w="60" w:type="dxa"/>
              <w:left w:w="70" w:type="dxa"/>
              <w:bottom w:w="60" w:type="dxa"/>
              <w:right w:w="70" w:type="dxa"/>
            </w:tcMar>
          </w:tcPr>
          <w:p w14:paraId="193E1BCD"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Active, alert, smiling; no respiratory distress; afebrile; mother trained in lactation &amp; formula prep</w:t>
            </w:r>
          </w:p>
        </w:tc>
        <w:tc>
          <w:tcPr>
            <w:tcW w:w="2340" w:type="dxa"/>
            <w:tcMar>
              <w:top w:w="60" w:type="dxa"/>
              <w:left w:w="70" w:type="dxa"/>
              <w:bottom w:w="60" w:type="dxa"/>
              <w:right w:w="70" w:type="dxa"/>
            </w:tcMar>
          </w:tcPr>
          <w:p w14:paraId="7EBD5279"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Na 140–143.5, K 2.82–4.6, Urea 15.2, Cr 0.30, normal AST/ALT, sterile blood culture, normal TMS</w:t>
            </w:r>
          </w:p>
        </w:tc>
        <w:tc>
          <w:tcPr>
            <w:tcW w:w="2340" w:type="dxa"/>
            <w:tcMar>
              <w:top w:w="60" w:type="dxa"/>
              <w:left w:w="70" w:type="dxa"/>
              <w:bottom w:w="60" w:type="dxa"/>
              <w:right w:w="70" w:type="dxa"/>
            </w:tcMar>
          </w:tcPr>
          <w:p w14:paraId="4011E557"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Direct breastfeeding + Formula (40–45 mL 2–3h); daily weight gain 25–35 g/day; completed IV Cefotaxime</w:t>
            </w:r>
          </w:p>
        </w:tc>
      </w:tr>
      <w:tr w:rsidR="00B677BD" w:rsidRPr="00C11AF6" w14:paraId="1A611A32" w14:textId="77777777">
        <w:trPr>
          <w:jc w:val="center"/>
        </w:trPr>
        <w:tc>
          <w:tcPr>
            <w:tcW w:w="2340" w:type="dxa"/>
            <w:shd w:val="clear" w:color="auto" w:fill="F4F6F9"/>
            <w:tcMar>
              <w:top w:w="60" w:type="dxa"/>
              <w:left w:w="70" w:type="dxa"/>
              <w:bottom w:w="60" w:type="dxa"/>
              <w:right w:w="70" w:type="dxa"/>
            </w:tcMar>
          </w:tcPr>
          <w:p w14:paraId="2BD09A04" w14:textId="77777777" w:rsidR="00B677BD" w:rsidRPr="00C11AF6" w:rsidRDefault="00000000">
            <w:pPr>
              <w:spacing w:after="0" w:line="240" w:lineRule="auto"/>
              <w:rPr>
                <w:rFonts w:cs="Times New Roman"/>
                <w:color w:val="000000" w:themeColor="text1"/>
              </w:rPr>
            </w:pPr>
            <w:r w:rsidRPr="00C11AF6">
              <w:rPr>
                <w:rFonts w:cs="Times New Roman"/>
                <w:b/>
                <w:color w:val="000000" w:themeColor="text1"/>
                <w:sz w:val="16"/>
              </w:rPr>
              <w:t>Day 11 (28/08/2026)</w:t>
            </w:r>
          </w:p>
        </w:tc>
        <w:tc>
          <w:tcPr>
            <w:tcW w:w="2340" w:type="dxa"/>
            <w:shd w:val="clear" w:color="auto" w:fill="F4F6F9"/>
            <w:tcMar>
              <w:top w:w="60" w:type="dxa"/>
              <w:left w:w="70" w:type="dxa"/>
              <w:bottom w:w="60" w:type="dxa"/>
              <w:right w:w="70" w:type="dxa"/>
            </w:tcMar>
          </w:tcPr>
          <w:p w14:paraId="7CB15DF2"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Discharged in excellent clinical condition; weight 2.33 kg (+310 g gain); full oral feeds</w:t>
            </w:r>
          </w:p>
        </w:tc>
        <w:tc>
          <w:tcPr>
            <w:tcW w:w="2340" w:type="dxa"/>
            <w:shd w:val="clear" w:color="auto" w:fill="F4F6F9"/>
            <w:tcMar>
              <w:top w:w="60" w:type="dxa"/>
              <w:left w:w="70" w:type="dxa"/>
              <w:bottom w:w="60" w:type="dxa"/>
              <w:right w:w="70" w:type="dxa"/>
            </w:tcMar>
          </w:tcPr>
          <w:p w14:paraId="3B6E0C98"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Electrolytes and renal panel completely normal; acute metabolic screen negative for organic acidemias</w:t>
            </w:r>
          </w:p>
        </w:tc>
        <w:tc>
          <w:tcPr>
            <w:tcW w:w="2340" w:type="dxa"/>
            <w:shd w:val="clear" w:color="auto" w:fill="F4F6F9"/>
            <w:tcMar>
              <w:top w:w="60" w:type="dxa"/>
              <w:left w:w="70" w:type="dxa"/>
              <w:bottom w:w="60" w:type="dxa"/>
              <w:right w:w="70" w:type="dxa"/>
            </w:tcMar>
          </w:tcPr>
          <w:p w14:paraId="07E5EA7B" w14:textId="77777777" w:rsidR="00B677BD" w:rsidRPr="00C11AF6" w:rsidRDefault="00000000">
            <w:pPr>
              <w:spacing w:after="0" w:line="240" w:lineRule="auto"/>
              <w:rPr>
                <w:rFonts w:cs="Times New Roman"/>
                <w:color w:val="000000" w:themeColor="text1"/>
              </w:rPr>
            </w:pPr>
            <w:r w:rsidRPr="00C11AF6">
              <w:rPr>
                <w:rFonts w:cs="Times New Roman"/>
                <w:color w:val="000000" w:themeColor="text1"/>
                <w:sz w:val="16"/>
              </w:rPr>
              <w:t>Discharge on oral vitamin D3 drops; genetic counseling; outpatient whole-genome sequencing planned</w:t>
            </w:r>
          </w:p>
        </w:tc>
      </w:tr>
    </w:tbl>
    <w:p w14:paraId="1A36BBC5" w14:textId="77777777" w:rsidR="00B677BD" w:rsidRPr="00C11AF6" w:rsidRDefault="00000000">
      <w:pPr>
        <w:spacing w:before="60" w:after="160"/>
        <w:rPr>
          <w:rFonts w:cs="Times New Roman"/>
          <w:color w:val="000000" w:themeColor="text1"/>
        </w:rPr>
      </w:pPr>
      <w:r w:rsidRPr="00C11AF6">
        <w:rPr>
          <w:rFonts w:cs="Times New Roman"/>
          <w:i/>
          <w:color w:val="000000" w:themeColor="text1"/>
          <w:sz w:val="16"/>
        </w:rPr>
        <w:t>Abbreviations: SIMV: Synchronized Intermittent Mandatory Ventilation; CPAP: Continuous Positive Airway Pressure; ET: Endotracheal Tube; NaHCO3: Sodium Bicarbonate; KCl: Potassium Chloride; FFP: Fresh Frozen Plasma; PRBC: Packed Red Blood Cells; DBF: Direct Breastfeeding; TMS: Tandem Mass Spectrometry.</w:t>
      </w:r>
    </w:p>
    <w:p w14:paraId="40CE329B" w14:textId="77777777" w:rsidR="00B677BD" w:rsidRDefault="00000000">
      <w:pPr>
        <w:pStyle w:val="Heading2"/>
        <w:spacing w:after="80"/>
        <w:rPr>
          <w:rFonts w:ascii="Times New Roman" w:hAnsi="Times New Roman" w:cs="Times New Roman"/>
          <w:color w:val="000000" w:themeColor="text1"/>
          <w:sz w:val="23"/>
        </w:rPr>
      </w:pPr>
      <w:r w:rsidRPr="00C11AF6">
        <w:rPr>
          <w:rFonts w:ascii="Times New Roman" w:hAnsi="Times New Roman" w:cs="Times New Roman"/>
          <w:color w:val="000000" w:themeColor="text1"/>
          <w:sz w:val="23"/>
        </w:rPr>
        <w:t>2.9 Discharge and Post-Discharge Follow-Up Plan</w:t>
      </w:r>
    </w:p>
    <w:p w14:paraId="3A7241E3" w14:textId="2EC0E9FD" w:rsidR="002C482A" w:rsidRPr="002C482A" w:rsidRDefault="002C482A" w:rsidP="002C482A">
      <w:pPr>
        <w:rPr>
          <w:lang w:val="en-IN"/>
        </w:rPr>
      </w:pPr>
      <w:r w:rsidRPr="002C482A">
        <w:rPr>
          <w:lang w:val="en-IN"/>
        </w:rPr>
        <w:t xml:space="preserve">The infant was discharged in a stable, vigorous clinical state on 28 Aug 26 (hospital day 11), with a discharge body weight of 2.33 kg (net gain of 310 g on admission body weight). Results of newborn metabolic screening by dried blood spot (Tandem MS) were received before discharge and demonstrated normal acylcarnitine and amino acid profile consistent with exclusion of classical organic acidaemia’s and most common fatty acid oxidation disorders in the acute state. However, organic acid profile on urinary GC-MS was uninformative, since the sample was obtained after administration of large volumes of intravenous fluids, subsequent therapeutic alkalinisation, and feeding, all common precipitants of reduced endogenous organic acid output. Due to geographical variations in parental consanguinity and concerns of atypical / late-onset IEM, outpatient whole-genome sequencing (WGS) was arranged at 1 </w:t>
      </w:r>
      <w:proofErr w:type="spellStart"/>
      <w:proofErr w:type="gramStart"/>
      <w:r w:rsidRPr="002C482A">
        <w:rPr>
          <w:lang w:val="en-IN"/>
        </w:rPr>
        <w:t>month.Discharge</w:t>
      </w:r>
      <w:proofErr w:type="spellEnd"/>
      <w:proofErr w:type="gramEnd"/>
      <w:r w:rsidRPr="002C482A">
        <w:rPr>
          <w:lang w:val="en-IN"/>
        </w:rPr>
        <w:t xml:space="preserve"> home, the mother received multiple sessions of low-intensity, guideline-oriented lactation counselling. The feeding plan consisted of follow-on volume-enriched breastfeeding alone (with only standard infant formula-Lactogen-1 and no unprocessed animal milk and no starvation), with additional services provided through professional counselling, education, and closely monitored "growth charts" on an outpatient basis. The caregivers were advised to contact the 24/7, in-hospital "red flag" service if the infant's temperature &gt;38.0C, listless and/or unconscious, not eating, tachypnoeic, or vomiting. Follow-up at 1 week showed another excellent weight gain from 2.33 to 2.42 (+90 g/week), normal attitude and tone, attainment of age-appropriate milestones, and no clinical nor biological relapse.</w:t>
      </w:r>
    </w:p>
    <w:p w14:paraId="7F95C867" w14:textId="77777777" w:rsidR="00B677BD" w:rsidRPr="00C11AF6" w:rsidRDefault="00000000">
      <w:pPr>
        <w:pStyle w:val="Heading1"/>
        <w:spacing w:before="280" w:after="120"/>
        <w:rPr>
          <w:rFonts w:ascii="Times New Roman" w:hAnsi="Times New Roman" w:cs="Times New Roman"/>
          <w:color w:val="000000" w:themeColor="text1"/>
        </w:rPr>
      </w:pPr>
      <w:r w:rsidRPr="00C11AF6">
        <w:rPr>
          <w:rFonts w:ascii="Times New Roman" w:hAnsi="Times New Roman" w:cs="Times New Roman"/>
          <w:color w:val="000000" w:themeColor="text1"/>
          <w:sz w:val="26"/>
        </w:rPr>
        <w:t>3. DISCUSSION</w:t>
      </w:r>
    </w:p>
    <w:p w14:paraId="3AF0F88D" w14:textId="7F41FC28" w:rsidR="002C482A" w:rsidRPr="002C482A" w:rsidRDefault="00000000" w:rsidP="002C482A">
      <w:pPr>
        <w:spacing w:after="100"/>
        <w:rPr>
          <w:bCs/>
          <w:color w:val="000000" w:themeColor="text1"/>
          <w:lang w:val="en-IN"/>
        </w:rPr>
      </w:pPr>
      <w:r w:rsidRPr="00C11AF6">
        <w:rPr>
          <w:rFonts w:cs="Times New Roman"/>
          <w:b/>
          <w:color w:val="000000" w:themeColor="text1"/>
        </w:rPr>
        <w:t xml:space="preserve">1. Pathophysiology of Animal Milk-Induced Hypernatremic Dehydration: </w:t>
      </w:r>
      <w:r w:rsidR="002C482A" w:rsidRPr="002C482A">
        <w:rPr>
          <w:bCs/>
          <w:color w:val="000000" w:themeColor="text1"/>
          <w:lang w:val="en-IN"/>
        </w:rPr>
        <w:t xml:space="preserve">Until recent years, unmodified animal milk-predominantly bovine and caprine milk-was an under-acknowledged, but significant, contributor to severe </w:t>
      </w:r>
      <w:proofErr w:type="spellStart"/>
      <w:r w:rsidR="002C482A" w:rsidRPr="002C482A">
        <w:rPr>
          <w:bCs/>
          <w:color w:val="000000" w:themeColor="text1"/>
          <w:lang w:val="en-IN"/>
        </w:rPr>
        <w:t>hypernatremic</w:t>
      </w:r>
      <w:proofErr w:type="spellEnd"/>
      <w:r w:rsidR="002C482A" w:rsidRPr="002C482A">
        <w:rPr>
          <w:bCs/>
          <w:color w:val="000000" w:themeColor="text1"/>
          <w:lang w:val="en-IN"/>
        </w:rPr>
        <w:t xml:space="preserve"> dehydration and acute metabolic disarray in low- and middle-income countries [7,8,15]. Unaltered cow's milk has 3.3 g/100 mL of protein (mostly casein) and </w:t>
      </w:r>
      <w:r w:rsidR="002C482A" w:rsidRPr="002C482A">
        <w:rPr>
          <w:bCs/>
          <w:color w:val="000000" w:themeColor="text1"/>
          <w:lang w:val="en-IN"/>
        </w:rPr>
        <w:lastRenderedPageBreak/>
        <w:t xml:space="preserve">high mineral loads (sodium 22 </w:t>
      </w:r>
      <w:proofErr w:type="spellStart"/>
      <w:r w:rsidR="002C482A" w:rsidRPr="002C482A">
        <w:rPr>
          <w:bCs/>
          <w:color w:val="000000" w:themeColor="text1"/>
          <w:lang w:val="en-IN"/>
        </w:rPr>
        <w:t>mEq</w:t>
      </w:r>
      <w:proofErr w:type="spellEnd"/>
      <w:r w:rsidR="002C482A" w:rsidRPr="002C482A">
        <w:rPr>
          <w:bCs/>
          <w:color w:val="000000" w:themeColor="text1"/>
          <w:lang w:val="en-IN"/>
        </w:rPr>
        <w:t xml:space="preserve">/100 mL, potassium 36 </w:t>
      </w:r>
      <w:proofErr w:type="spellStart"/>
      <w:r w:rsidR="002C482A" w:rsidRPr="002C482A">
        <w:rPr>
          <w:bCs/>
          <w:color w:val="000000" w:themeColor="text1"/>
          <w:lang w:val="en-IN"/>
        </w:rPr>
        <w:t>mEq</w:t>
      </w:r>
      <w:proofErr w:type="spellEnd"/>
      <w:r w:rsidR="002C482A" w:rsidRPr="002C482A">
        <w:rPr>
          <w:bCs/>
          <w:color w:val="000000" w:themeColor="text1"/>
          <w:lang w:val="en-IN"/>
        </w:rPr>
        <w:t xml:space="preserve">/100 mL, phosphorus 30 </w:t>
      </w:r>
      <w:proofErr w:type="spellStart"/>
      <w:r w:rsidR="002C482A" w:rsidRPr="002C482A">
        <w:rPr>
          <w:bCs/>
          <w:color w:val="000000" w:themeColor="text1"/>
          <w:lang w:val="en-IN"/>
        </w:rPr>
        <w:t>mEq</w:t>
      </w:r>
      <w:proofErr w:type="spellEnd"/>
      <w:r w:rsidR="002C482A" w:rsidRPr="002C482A">
        <w:rPr>
          <w:bCs/>
          <w:color w:val="000000" w:themeColor="text1"/>
          <w:lang w:val="en-IN"/>
        </w:rPr>
        <w:t xml:space="preserve">/100 mL) leading to a potential renal solute load (PRSL) of 220-300 </w:t>
      </w:r>
      <w:proofErr w:type="spellStart"/>
      <w:r w:rsidR="002C482A" w:rsidRPr="002C482A">
        <w:rPr>
          <w:bCs/>
          <w:color w:val="000000" w:themeColor="text1"/>
          <w:lang w:val="en-IN"/>
        </w:rPr>
        <w:t>mOsm</w:t>
      </w:r>
      <w:proofErr w:type="spellEnd"/>
      <w:r w:rsidR="002C482A" w:rsidRPr="002C482A">
        <w:rPr>
          <w:bCs/>
          <w:color w:val="000000" w:themeColor="text1"/>
          <w:lang w:val="en-IN"/>
        </w:rPr>
        <w:t xml:space="preserve">/100 mL, compared to 60-90 </w:t>
      </w:r>
      <w:proofErr w:type="spellStart"/>
      <w:r w:rsidR="002C482A" w:rsidRPr="002C482A">
        <w:rPr>
          <w:bCs/>
          <w:color w:val="000000" w:themeColor="text1"/>
          <w:lang w:val="en-IN"/>
        </w:rPr>
        <w:t>mOsm</w:t>
      </w:r>
      <w:proofErr w:type="spellEnd"/>
      <w:r w:rsidR="002C482A" w:rsidRPr="002C482A">
        <w:rPr>
          <w:bCs/>
          <w:color w:val="000000" w:themeColor="text1"/>
          <w:lang w:val="en-IN"/>
        </w:rPr>
        <w:t>/100 mL for fully mature human breast milk [8,15]. Fresh goat's milk represents a similarly high osmolar challenge as well as a dearth of folic acid and B12 [15,16</w:t>
      </w:r>
      <w:proofErr w:type="gramStart"/>
      <w:r w:rsidR="002C482A" w:rsidRPr="002C482A">
        <w:rPr>
          <w:bCs/>
          <w:color w:val="000000" w:themeColor="text1"/>
          <w:lang w:val="en-IN"/>
        </w:rPr>
        <w:t>].</w:t>
      </w:r>
      <w:r w:rsidR="002C482A" w:rsidRPr="002C482A">
        <w:rPr>
          <w:rFonts w:cs="Times New Roman"/>
          <w:bCs/>
          <w:color w:val="000000" w:themeColor="text1"/>
          <w:lang w:val="en-IN"/>
        </w:rPr>
        <w:t>In</w:t>
      </w:r>
      <w:proofErr w:type="gramEnd"/>
      <w:r w:rsidR="002C482A" w:rsidRPr="002C482A">
        <w:rPr>
          <w:rFonts w:cs="Times New Roman"/>
          <w:bCs/>
          <w:color w:val="000000" w:themeColor="text1"/>
          <w:lang w:val="en-IN"/>
        </w:rPr>
        <w:t xml:space="preserve"> the first two months of life, neonatal nephrons are truncated-anatomically short and with low medullary tonicity-resulting in low maximum concentrating capacity of only 600-700 </w:t>
      </w:r>
      <w:proofErr w:type="spellStart"/>
      <w:r w:rsidR="002C482A" w:rsidRPr="002C482A">
        <w:rPr>
          <w:rFonts w:cs="Times New Roman"/>
          <w:bCs/>
          <w:color w:val="000000" w:themeColor="text1"/>
          <w:lang w:val="en-IN"/>
        </w:rPr>
        <w:t>mOsm</w:t>
      </w:r>
      <w:proofErr w:type="spellEnd"/>
      <w:r w:rsidR="002C482A" w:rsidRPr="002C482A">
        <w:rPr>
          <w:rFonts w:cs="Times New Roman"/>
          <w:bCs/>
          <w:color w:val="000000" w:themeColor="text1"/>
          <w:lang w:val="en-IN"/>
        </w:rPr>
        <w:t>/kg H2O [9,10]. To excrete this intense osmolar load, the infant must arbitrarily-unless sufficient free water is available-shed it as waster through obligatory osmotic diuresis [8,10]. The voiding of water through both insensible and renal routes is made impossible by combined fluid restriction, given poor maternal supply and null supplemental water. This quickly produces hypertonic hypernatremia resulting in intracellular volume contraction and thus cell dehydration in the intracellular compartment [6,14].</w:t>
      </w:r>
    </w:p>
    <w:p w14:paraId="246BF500" w14:textId="581592E4" w:rsidR="00B677BD" w:rsidRPr="00011329" w:rsidRDefault="00000000">
      <w:pPr>
        <w:spacing w:after="100"/>
        <w:rPr>
          <w:color w:val="000000" w:themeColor="text1"/>
          <w:lang w:val="en-IN"/>
        </w:rPr>
      </w:pPr>
      <w:r w:rsidRPr="00C11AF6">
        <w:rPr>
          <w:rFonts w:cs="Times New Roman"/>
          <w:b/>
          <w:color w:val="000000" w:themeColor="text1"/>
        </w:rPr>
        <w:t xml:space="preserve">2. Genesis and Interpretation of the High Anion Gap Metabolic Acidosis: </w:t>
      </w:r>
      <w:r w:rsidRPr="00C11AF6">
        <w:rPr>
          <w:rFonts w:cs="Times New Roman"/>
          <w:color w:val="000000" w:themeColor="text1"/>
        </w:rPr>
        <w:t>A central clinical dilemma in this case was the presentation of severe metabolic acidemia with an elevated anion gap (20.9 mEq/L). In our initial evaluation, the acid-base state was colloquially termed 'uncompensated'; however, formal physiological analysis reveals that the infant exhibited appropriate, marked respiratory compensation [1,11]. Based on Winter's formula (expected pCO2 = 1.5 × [HCO3-] + 8 ± 2 = 17.75 ± 2 mmHg), the observed pCO2 of 16.0 mmHg fell precisely within the anticipated compensatory range. Because the systemic pH remained distinctly acidemic (7.22) rather than fully normalized, this derangement is correctly classified as severe partially compensated metabolic acidosis.</w:t>
      </w:r>
      <w:r w:rsidRPr="00C11AF6">
        <w:rPr>
          <w:rFonts w:cs="Times New Roman"/>
          <w:color w:val="000000" w:themeColor="text1"/>
        </w:rPr>
        <w:br/>
      </w:r>
      <w:r w:rsidR="00011329" w:rsidRPr="00011329">
        <w:rPr>
          <w:color w:val="000000" w:themeColor="text1"/>
          <w:lang w:val="en-IN"/>
        </w:rPr>
        <w:t xml:space="preserve">Thus, the abnormal anion gap was secondary to a stepwise set of acquired metabolic insults, not an inherited inborn error. First, profound volume depletion induced acute prerenal azotaemia with widespread renal hypoperfusion, suppressing glomerular filtration as well as tubular removal of fixed inorganic anions (principally sulphates and phosphates) [9,11]. Second, tissue hypoperfusion and anaerobic glycolysis that occurred in association with hypovolemic shock resulted in episodic lactic acidosis (although admission serum lactate was normal at 1.3 mmol/L, the serum lactate subsequently settled to and fluctuated around an elevated level of 4.6 mmol/L during tissue wash-out and volume repletion) [11,17]. </w:t>
      </w:r>
      <w:r w:rsidR="00011329" w:rsidRPr="00011329">
        <w:rPr>
          <w:rFonts w:cs="Times New Roman"/>
          <w:color w:val="000000" w:themeColor="text1"/>
          <w:lang w:val="en-IN"/>
        </w:rPr>
        <w:t>And third, caloric deprivation triggers hepatic triglyceride mobilization and beta-oxidation during starvation in a wasting infant [17,18], producing increased concentrations of ketoacids. However, conventional urine ketone dipstick testing based on the nitroprusside reaction will miss beta-hydroxybutyrate, the most prevalent ketoacid when a hypoxic infant is calorically deficient (as serum analysis revealed in this case, the urine dipstick was negative) [17,18].</w:t>
      </w:r>
    </w:p>
    <w:p w14:paraId="5CA2B719" w14:textId="22B577D1" w:rsidR="00B677BD" w:rsidRPr="00011329" w:rsidRDefault="00000000">
      <w:pPr>
        <w:spacing w:after="100"/>
        <w:rPr>
          <w:bCs/>
          <w:color w:val="000000" w:themeColor="text1"/>
          <w:lang w:val="en-IN"/>
        </w:rPr>
      </w:pPr>
      <w:r w:rsidRPr="00C11AF6">
        <w:rPr>
          <w:rFonts w:cs="Times New Roman"/>
          <w:b/>
          <w:color w:val="000000" w:themeColor="text1"/>
        </w:rPr>
        <w:t xml:space="preserve">3. Diagnostic Distinction Between Primary IEM and Secondary Collapse: </w:t>
      </w:r>
      <w:r w:rsidR="00011329" w:rsidRPr="00011329">
        <w:rPr>
          <w:bCs/>
          <w:color w:val="000000" w:themeColor="text1"/>
          <w:lang w:val="en-IN"/>
        </w:rPr>
        <w:t xml:space="preserve">In practice, characterization of an IEM against secondary metabolic decompensation (post intensive care) in an acutely collapsed young infant is notoriously challenging with clinical phenotypes sharing phenylalanine x2, tachypnoea, vomiting, severe acidosis, etc [2,3,18]. A systematic biochemical approach is mandatory; in classic organic acidaemia’s (methylmalonic, propionic or isovaleric acidaemia) or urea cycle defect, patients tend to present with very high (150-200 mol/L) ammonia or ketonuria and/or profound hypoglycaemia [3,4,18]. Our patient had normal venous blood ammonia (87.0 g/dL), preserved blood glucose and urine reducing substances. </w:t>
      </w:r>
      <w:r w:rsidR="00011329" w:rsidRPr="00011329">
        <w:rPr>
          <w:rFonts w:cs="Times New Roman"/>
          <w:bCs/>
          <w:color w:val="000000" w:themeColor="text1"/>
          <w:lang w:val="en-IN"/>
        </w:rPr>
        <w:t xml:space="preserve">(An acute urea cycle disorder or galactosemia are very unlikely with these findings). The concomitantly performed dried blood spot TMS screen on admission revealed normal acylcarnitine and amino acid profiles [4,19], effectively excluding major </w:t>
      </w:r>
      <w:proofErr w:type="spellStart"/>
      <w:r w:rsidR="00011329" w:rsidRPr="00011329">
        <w:rPr>
          <w:rFonts w:cs="Times New Roman"/>
          <w:bCs/>
          <w:color w:val="000000" w:themeColor="text1"/>
          <w:lang w:val="en-IN"/>
        </w:rPr>
        <w:t>aminoacidopathies</w:t>
      </w:r>
      <w:proofErr w:type="spellEnd"/>
      <w:r w:rsidR="00011329" w:rsidRPr="00011329">
        <w:rPr>
          <w:rFonts w:cs="Times New Roman"/>
          <w:bCs/>
          <w:color w:val="000000" w:themeColor="text1"/>
          <w:lang w:val="en-IN"/>
        </w:rPr>
        <w:t xml:space="preserve"> and fatty acid oxidation disorders. However, as correctly pointed out by peer-reviewers, an IEM cannot be reliably ruled out using point-of-care screening alone [3,20]; in our patient, the post-hospitalization </w:t>
      </w:r>
      <w:r w:rsidR="00011329" w:rsidRPr="00011329">
        <w:rPr>
          <w:rFonts w:cs="Times New Roman"/>
          <w:bCs/>
          <w:color w:val="000000" w:themeColor="text1"/>
          <w:lang w:val="en-IN"/>
        </w:rPr>
        <w:lastRenderedPageBreak/>
        <w:t>urinary GC-MS was nondiagnostic due to the fluid resuscitation, sodium bicarbonate infusion and the nutritional rehabilitation that are thought to clear or dilute diagnostic organic acid peaks [19,20]. While the fact that the child recovered rapidly, fully and consistently on standard fluid/electrolyte and nutritional management points to an acquired cause, the presence of an underlying cryptogenic, atypical or late-onset IEM requires careful investigation including definitive outpatient genomic testing (whole-genome sequencing) [20].</w:t>
      </w:r>
    </w:p>
    <w:p w14:paraId="69571977" w14:textId="4CC055C0" w:rsidR="00B677BD" w:rsidRPr="00011329" w:rsidRDefault="00000000">
      <w:pPr>
        <w:spacing w:after="100"/>
        <w:rPr>
          <w:bCs/>
          <w:color w:val="000000" w:themeColor="text1"/>
          <w:lang w:val="en-IN"/>
        </w:rPr>
      </w:pPr>
      <w:r w:rsidRPr="00C11AF6">
        <w:rPr>
          <w:rFonts w:cs="Times New Roman"/>
          <w:b/>
          <w:color w:val="000000" w:themeColor="text1"/>
        </w:rPr>
        <w:t xml:space="preserve">4. Interplay with Aspiration Pneumonia and Multi-Organ Hypoperfusion: </w:t>
      </w:r>
      <w:r w:rsidR="00011329" w:rsidRPr="00011329">
        <w:rPr>
          <w:bCs/>
          <w:color w:val="000000" w:themeColor="text1"/>
          <w:lang w:val="en-IN"/>
        </w:rPr>
        <w:t xml:space="preserve">Pulmonary aspiration was both the consequence of profound infantile metabolic derangement and an important secondary cause of critical decompensation [12,13]. Severe (&gt; -3 SD) malnutrition produced generalized muscular wasting, pharyngeal hypotonia and bulbar incoordination [12,21]. Severe acidaemia induced heavy Kussmaul breathing. </w:t>
      </w:r>
      <w:r w:rsidR="00011329" w:rsidRPr="00011329">
        <w:rPr>
          <w:rFonts w:cs="Times New Roman"/>
          <w:bCs/>
          <w:color w:val="000000" w:themeColor="text1"/>
          <w:lang w:val="en-IN"/>
        </w:rPr>
        <w:t xml:space="preserve">Tachypnoea, compromised sensorium and the fact that the infant was fed animal milk through his mouth predisposed him to oropharyngeal aspiration [12,13]. Chemical and secondary bacterial pneumonitis precipitated profound hypoxic respiratory failure and systemic inflammatory response syndrome (SIRS) as evidenced by CRP of 10.07 mg/L [13]. Systemic hypoperfusion with shock led to ischemic transaminitis (ALT 308.3 U/L, AST 121.0 U/L) and secondary coagulopathy (PT 25.1 seconds, INR 2.1) [17,22]. The rapid resolution of these laboratory abnormalities after cardiovascular support confirmed they were due to acute hypoperfusion-induced ischemic hepatitis ('shock liver') and not an underlying metabolic hepatopathy [17,22]. The unforeseen accidental </w:t>
      </w:r>
      <w:proofErr w:type="spellStart"/>
      <w:r w:rsidR="00011329" w:rsidRPr="00011329">
        <w:rPr>
          <w:rFonts w:cs="Times New Roman"/>
          <w:bCs/>
          <w:color w:val="000000" w:themeColor="text1"/>
          <w:lang w:val="en-IN"/>
        </w:rPr>
        <w:t>extubation</w:t>
      </w:r>
      <w:proofErr w:type="spellEnd"/>
      <w:r w:rsidR="00011329" w:rsidRPr="00011329">
        <w:rPr>
          <w:rFonts w:cs="Times New Roman"/>
          <w:bCs/>
          <w:color w:val="000000" w:themeColor="text1"/>
          <w:lang w:val="en-IN"/>
        </w:rPr>
        <w:t xml:space="preserve"> of the patient was one of the hazards of paediatric airway care; however, careful reintubation with uncuffed 3.0 mm ID endotracheal tube and good pulmonary toilet obviated a devastating hypoxic cardiac arrest [22].</w:t>
      </w:r>
    </w:p>
    <w:p w14:paraId="4D78CCD6" w14:textId="52D780FB" w:rsidR="00B677BD" w:rsidRPr="00011329" w:rsidRDefault="00000000">
      <w:pPr>
        <w:spacing w:after="100"/>
        <w:rPr>
          <w:bCs/>
          <w:color w:val="000000" w:themeColor="text1"/>
          <w:lang w:val="en-IN"/>
        </w:rPr>
      </w:pPr>
      <w:r w:rsidRPr="00C11AF6">
        <w:rPr>
          <w:rFonts w:cs="Times New Roman"/>
          <w:b/>
          <w:color w:val="000000" w:themeColor="text1"/>
        </w:rPr>
        <w:t xml:space="preserve">5. Therapeutic Dilemmas in Extreme Hypernatremic Dehydration: </w:t>
      </w:r>
      <w:r w:rsidR="00011329" w:rsidRPr="00011329">
        <w:rPr>
          <w:bCs/>
          <w:color w:val="000000" w:themeColor="text1"/>
          <w:lang w:val="en-IN"/>
        </w:rPr>
        <w:t>Simultaneous correction of extreme hypernatremia (Na+ 165.1 mmol/L), severe metabolic acidosis and profound hypokalaemia (K+ 1.80 mmol/L) is an immense challenge in intensive care [6,14]. Rapid correction of hypernatremia causes rapid osmotic shift of free water into cells that have produced idiogenic osmoles, leading to fatal brain oedema, convulsions and crippling neurological injury [6,14,23]. Contemporary paediatric recommendations define a 48–72-hour slow correction of water deficit with 1.2- to 1.5-times maintenance fluids (2.85-3.44 L/24h in our patient), to aim for serum sodium decrease of no more than 0.5 mmol/l/h (less than 10-12 mmol/l/day) [14,23]. Controlled correction of serum sodium from 165.1 to 143.5 mmol/l over 6 days was achieved in our patient without neurological sequelae.</w:t>
      </w:r>
      <w:r w:rsidR="009204BF">
        <w:rPr>
          <w:bCs/>
          <w:color w:val="000000" w:themeColor="text1"/>
          <w:lang w:val="en-IN"/>
        </w:rPr>
        <w:t xml:space="preserve"> </w:t>
      </w:r>
      <w:r w:rsidR="00011329" w:rsidRPr="00011329">
        <w:rPr>
          <w:rFonts w:cs="Times New Roman"/>
          <w:bCs/>
          <w:color w:val="000000" w:themeColor="text1"/>
          <w:lang w:val="en-IN"/>
        </w:rPr>
        <w:t xml:space="preserve">Similarly, replacement of sodium bicarbonate in a case of severe metabolic acidosis must be done with extreme delicacy [14,24]. Bicarbonate boluses of 100 - 200mmol result in a sudden, hyper-osmolar sodium loading, aggravate intracellular depletion of potassium by forced intracellular shift, cause an acute ionized hypocalcaemia via increased protein binding, and may paradoxically deepen central nervous system acidosis by diffusion of CO2 across the blood-brain barrier [14,24]. In this case, by estimating the bicarbonate deficit with calculations based on the parameters of post-resuscitation (Measured HCO3- 9.8 mmol/l, Target 22mmol/l, Deficit=12.3mEq), and using a fractional dosage over 24 hours with aggressive potassium supplementation (0.3-0.5 </w:t>
      </w:r>
      <w:proofErr w:type="spellStart"/>
      <w:r w:rsidR="00011329" w:rsidRPr="00011329">
        <w:rPr>
          <w:rFonts w:cs="Times New Roman"/>
          <w:bCs/>
          <w:color w:val="000000" w:themeColor="text1"/>
          <w:lang w:val="en-IN"/>
        </w:rPr>
        <w:t>mEq</w:t>
      </w:r>
      <w:proofErr w:type="spellEnd"/>
      <w:r w:rsidR="00011329" w:rsidRPr="00011329">
        <w:rPr>
          <w:rFonts w:cs="Times New Roman"/>
          <w:bCs/>
          <w:color w:val="000000" w:themeColor="text1"/>
          <w:lang w:val="en-IN"/>
        </w:rPr>
        <w:t>/kg/h), we safely normalized the acid-base without resulting in cardiac arrhythmias or osmotic shifts [14,24].</w:t>
      </w:r>
    </w:p>
    <w:p w14:paraId="2E570915" w14:textId="09A76927" w:rsidR="00B677BD" w:rsidRPr="00011329" w:rsidRDefault="00000000">
      <w:pPr>
        <w:spacing w:after="100"/>
        <w:rPr>
          <w:bCs/>
          <w:color w:val="000000" w:themeColor="text1"/>
          <w:lang w:val="en-IN"/>
        </w:rPr>
      </w:pPr>
      <w:r w:rsidRPr="00C11AF6">
        <w:rPr>
          <w:rFonts w:cs="Times New Roman"/>
          <w:b/>
          <w:color w:val="000000" w:themeColor="text1"/>
        </w:rPr>
        <w:t xml:space="preserve">6. Nutritional Rehabilitation and Public Health Implications: </w:t>
      </w:r>
      <w:r w:rsidR="00011329" w:rsidRPr="00011329">
        <w:rPr>
          <w:bCs/>
          <w:color w:val="000000" w:themeColor="text1"/>
          <w:lang w:val="en-IN"/>
        </w:rPr>
        <w:t xml:space="preserve">The infant's rapid, uncomplicated catch-up weight gain (310 grams in hospital, 2.42 kg at 1-week follow-up) with standard infant formula and breastmilk, confirms that starvation and severe acute malnutrition were the final common pathway for her faltering growth [21,25]. This case exposes several weaknesses in neonatal care in India: suboptimal care practices and early discharge against medical advice; failure to recognize lactation failure in a timely </w:t>
      </w:r>
      <w:r w:rsidR="00011329" w:rsidRPr="00011329">
        <w:rPr>
          <w:bCs/>
          <w:color w:val="000000" w:themeColor="text1"/>
          <w:lang w:val="en-IN"/>
        </w:rPr>
        <w:lastRenderedPageBreak/>
        <w:t>fashion; delay in recognition and escalation of concern by frontline community health workers (ASHA); and ongoing use of unmodified cow and goat's milk. Mandated early postnatal titration of lactation and targeted postnatal weight monitoring, combined with an 'animal milk free' campaign to minimize early animal milk feeding, are essential to preventing similar preventable life-threatening emergencies [25,26].</w:t>
      </w:r>
    </w:p>
    <w:p w14:paraId="5C042E36" w14:textId="77777777" w:rsidR="00B677BD" w:rsidRDefault="00000000">
      <w:pPr>
        <w:pStyle w:val="Heading1"/>
        <w:spacing w:before="280" w:after="120"/>
        <w:rPr>
          <w:rFonts w:ascii="Times New Roman" w:hAnsi="Times New Roman" w:cs="Times New Roman"/>
          <w:color w:val="000000" w:themeColor="text1"/>
          <w:sz w:val="26"/>
        </w:rPr>
      </w:pPr>
      <w:r w:rsidRPr="00C11AF6">
        <w:rPr>
          <w:rFonts w:ascii="Times New Roman" w:hAnsi="Times New Roman" w:cs="Times New Roman"/>
          <w:color w:val="000000" w:themeColor="text1"/>
          <w:sz w:val="26"/>
        </w:rPr>
        <w:t>4. CONCLUSION</w:t>
      </w:r>
    </w:p>
    <w:p w14:paraId="238A4E99" w14:textId="05A984D2" w:rsidR="009204BF" w:rsidRPr="009204BF" w:rsidRDefault="009204BF" w:rsidP="009204BF">
      <w:pPr>
        <w:rPr>
          <w:lang w:val="en-IN"/>
        </w:rPr>
      </w:pPr>
      <w:r w:rsidRPr="009204BF">
        <w:rPr>
          <w:lang w:val="en-IN"/>
        </w:rPr>
        <w:t xml:space="preserve">This case clearly demonstrates that the exclusive feeding of unmodified cow and goat milk in early infancy can result in catastrophic </w:t>
      </w:r>
      <w:proofErr w:type="spellStart"/>
      <w:r w:rsidRPr="009204BF">
        <w:rPr>
          <w:lang w:val="en-IN"/>
        </w:rPr>
        <w:t>hypernatraemic</w:t>
      </w:r>
      <w:proofErr w:type="spellEnd"/>
      <w:r w:rsidRPr="009204BF">
        <w:rPr>
          <w:lang w:val="en-IN"/>
        </w:rPr>
        <w:t xml:space="preserve"> dehydration, severe failure to thrive, aspiration pneumonia and an overwhelming high-anion-gap metabolic acidosis that mimics the presentation of an inborn error of metabolism. Critical care management depends on recognizing acquired pseudo-metabolic collapse, meticulous control of the rate of serum sodium correction (&lt;0.5 mmol/L/h to prevent cerebral oedema), fractional bicarbonate and potassium repletion, provision of rapid invasive respiratory support and systematic nutritional repletion. Although acute screening by tandem mass spectrometry can help rule out classical metabolic crises, cautious interpretation and definitive follow-up testing are crucial for genetic exclusion. Broad-based educational and public health campaigns are needed to eliminate inappropriate animal-milk feeding practices and prevent devastating neonatal morbidity.</w:t>
      </w:r>
    </w:p>
    <w:p w14:paraId="39920D91" w14:textId="77777777" w:rsidR="00B677BD" w:rsidRPr="00C11AF6" w:rsidRDefault="00000000">
      <w:pPr>
        <w:pStyle w:val="Heading1"/>
        <w:spacing w:before="240" w:after="120"/>
        <w:rPr>
          <w:rFonts w:ascii="Times New Roman" w:hAnsi="Times New Roman" w:cs="Times New Roman"/>
          <w:color w:val="000000" w:themeColor="text1"/>
        </w:rPr>
      </w:pPr>
      <w:r w:rsidRPr="00C11AF6">
        <w:rPr>
          <w:rFonts w:ascii="Times New Roman" w:hAnsi="Times New Roman" w:cs="Times New Roman"/>
          <w:color w:val="000000" w:themeColor="text1"/>
          <w:sz w:val="24"/>
        </w:rPr>
        <w:t>ETHICAL APPROVAL AND INFORMED CONSENT</w:t>
      </w:r>
    </w:p>
    <w:p w14:paraId="331F45B9" w14:textId="77777777" w:rsidR="00B677BD" w:rsidRPr="00C11AF6" w:rsidRDefault="00000000">
      <w:pPr>
        <w:rPr>
          <w:rFonts w:cs="Times New Roman"/>
          <w:color w:val="000000" w:themeColor="text1"/>
        </w:rPr>
      </w:pPr>
      <w:r w:rsidRPr="00C11AF6">
        <w:rPr>
          <w:rFonts w:cs="Times New Roman"/>
          <w:color w:val="000000" w:themeColor="text1"/>
        </w:rPr>
        <w:t>Informed written consent was obtained from the infant's parents/legal guardians for the publication of this case report and any accompanying clinical images. All patient identifiers have been completely anonymized to maintain confidentiality. Institutional ethical approval was granted by the Institutional Ethics Committee of S. S. Institute of Medical Sciences &amp; Research Centre (SSIMS &amp; RC), Davangere, Karnataka, India.</w:t>
      </w:r>
    </w:p>
    <w:p w14:paraId="51C2A013" w14:textId="77777777" w:rsidR="00B677BD" w:rsidRPr="00C11AF6" w:rsidRDefault="00000000">
      <w:pPr>
        <w:pStyle w:val="Heading2"/>
        <w:spacing w:before="160" w:after="80"/>
        <w:rPr>
          <w:rFonts w:ascii="Times New Roman" w:hAnsi="Times New Roman" w:cs="Times New Roman"/>
          <w:color w:val="000000" w:themeColor="text1"/>
        </w:rPr>
      </w:pPr>
      <w:r w:rsidRPr="00C11AF6">
        <w:rPr>
          <w:rFonts w:ascii="Times New Roman" w:hAnsi="Times New Roman" w:cs="Times New Roman"/>
          <w:color w:val="000000" w:themeColor="text1"/>
          <w:sz w:val="22"/>
        </w:rPr>
        <w:t>Competing Interests</w:t>
      </w:r>
    </w:p>
    <w:p w14:paraId="3283D8E3" w14:textId="77777777" w:rsidR="00B677BD" w:rsidRPr="00C11AF6" w:rsidRDefault="00000000">
      <w:pPr>
        <w:rPr>
          <w:rFonts w:cs="Times New Roman"/>
          <w:color w:val="000000" w:themeColor="text1"/>
        </w:rPr>
      </w:pPr>
      <w:r w:rsidRPr="00C11AF6">
        <w:rPr>
          <w:rFonts w:cs="Times New Roman"/>
          <w:color w:val="000000" w:themeColor="text1"/>
        </w:rPr>
        <w:t>The authors declare that they have no competing financial, professional, or personal interests related to the publication of this work.</w:t>
      </w:r>
    </w:p>
    <w:p w14:paraId="07244A18" w14:textId="77777777" w:rsidR="00B677BD" w:rsidRPr="00C11AF6" w:rsidRDefault="00000000">
      <w:pPr>
        <w:pStyle w:val="Heading2"/>
        <w:spacing w:before="160" w:after="80"/>
        <w:rPr>
          <w:rFonts w:ascii="Times New Roman" w:hAnsi="Times New Roman" w:cs="Times New Roman"/>
          <w:color w:val="000000" w:themeColor="text1"/>
        </w:rPr>
      </w:pPr>
      <w:r w:rsidRPr="00C11AF6">
        <w:rPr>
          <w:rFonts w:ascii="Times New Roman" w:hAnsi="Times New Roman" w:cs="Times New Roman"/>
          <w:color w:val="000000" w:themeColor="text1"/>
          <w:sz w:val="22"/>
        </w:rPr>
        <w:t>Declaration of Generative AI and AI-Assisted Technologies</w:t>
      </w:r>
    </w:p>
    <w:p w14:paraId="163B3517" w14:textId="77777777" w:rsidR="00B677BD" w:rsidRPr="00C11AF6" w:rsidRDefault="00000000">
      <w:pPr>
        <w:rPr>
          <w:rFonts w:cs="Times New Roman"/>
          <w:color w:val="000000" w:themeColor="text1"/>
        </w:rPr>
      </w:pPr>
      <w:r w:rsidRPr="00C11AF6">
        <w:rPr>
          <w:rFonts w:cs="Times New Roman"/>
          <w:color w:val="000000" w:themeColor="text1"/>
        </w:rPr>
        <w:t>The authors prepared this manuscript through their primary intellectual contributions to clinical data collection, patient management, literature review, and clinical interpretation. Generative AI tools were employed solely to assist with language polishing, grammatical refinement, and reference verification during revision. The authors reviewed and edited the resulting text and assume full responsibility for the content and integrity of the final publication.</w:t>
      </w:r>
    </w:p>
    <w:p w14:paraId="787079EF" w14:textId="77777777" w:rsidR="00B677BD" w:rsidRPr="00C11AF6" w:rsidRDefault="00000000">
      <w:pPr>
        <w:pStyle w:val="Heading1"/>
        <w:spacing w:before="240" w:after="120"/>
        <w:rPr>
          <w:rFonts w:ascii="Times New Roman" w:hAnsi="Times New Roman" w:cs="Times New Roman"/>
          <w:color w:val="000000" w:themeColor="text1"/>
        </w:rPr>
      </w:pPr>
      <w:r w:rsidRPr="00C11AF6">
        <w:rPr>
          <w:rFonts w:ascii="Times New Roman" w:hAnsi="Times New Roman" w:cs="Times New Roman"/>
          <w:color w:val="000000" w:themeColor="text1"/>
          <w:sz w:val="24"/>
        </w:rPr>
        <w:t>LIMITATIONS OF THE STUDY</w:t>
      </w:r>
    </w:p>
    <w:p w14:paraId="0E02CA13" w14:textId="77777777" w:rsidR="00B677BD" w:rsidRPr="00C11AF6" w:rsidRDefault="00000000">
      <w:pPr>
        <w:spacing w:after="80"/>
        <w:rPr>
          <w:rFonts w:cs="Times New Roman"/>
          <w:color w:val="000000" w:themeColor="text1"/>
        </w:rPr>
      </w:pPr>
      <w:r w:rsidRPr="00C11AF6">
        <w:rPr>
          <w:rFonts w:cs="Times New Roman"/>
          <w:color w:val="000000" w:themeColor="text1"/>
        </w:rPr>
        <w:t>1. Inconclusive Urinary GC-MS: Urinary organic acid profiling via GC-MS was inconclusive because the sample was obtained following extensive fluid resuscitation, therapeutic alkalinization, and parenteral nutritional support, which significantly altered endogenous organic acid excretion patterns.</w:t>
      </w:r>
    </w:p>
    <w:p w14:paraId="1C0F054F" w14:textId="77777777" w:rsidR="00B677BD" w:rsidRPr="00C11AF6" w:rsidRDefault="00000000">
      <w:pPr>
        <w:spacing w:after="80"/>
        <w:rPr>
          <w:rFonts w:cs="Times New Roman"/>
          <w:color w:val="000000" w:themeColor="text1"/>
        </w:rPr>
      </w:pPr>
      <w:r w:rsidRPr="00C11AF6">
        <w:rPr>
          <w:rFonts w:cs="Times New Roman"/>
          <w:color w:val="000000" w:themeColor="text1"/>
        </w:rPr>
        <w:t>2. Lack of Immediate Genetic Confirmation: Although acute blood TMS was normal, definitive genetic exclusion of atypical, late-onset, or cryptogenic inborn errors of metabolism through whole-genome sequencing (WGS) was scheduled for outpatient follow-up and was not available during the acute hospital stay.</w:t>
      </w:r>
    </w:p>
    <w:p w14:paraId="074B6957" w14:textId="77777777" w:rsidR="00B677BD" w:rsidRPr="00C11AF6" w:rsidRDefault="00000000">
      <w:pPr>
        <w:spacing w:after="80"/>
        <w:rPr>
          <w:rFonts w:cs="Times New Roman"/>
          <w:color w:val="000000" w:themeColor="text1"/>
        </w:rPr>
      </w:pPr>
      <w:r w:rsidRPr="00C11AF6">
        <w:rPr>
          <w:rFonts w:cs="Times New Roman"/>
          <w:color w:val="000000" w:themeColor="text1"/>
        </w:rPr>
        <w:lastRenderedPageBreak/>
        <w:t>3. Semiquantitative Dipstick Ketone Assessment: Ketosis evaluation relied on urinary dipstick testing via the nitroprusside reaction, which detects acetoacetate but does not quantify beta-hydroxybutyrate—the primary circulating ketone body in pediatric starvation and hypoperfusion.</w:t>
      </w:r>
    </w:p>
    <w:p w14:paraId="7314E693" w14:textId="77777777" w:rsidR="00B677BD" w:rsidRPr="00C11AF6" w:rsidRDefault="00000000">
      <w:pPr>
        <w:spacing w:after="80"/>
        <w:rPr>
          <w:rFonts w:cs="Times New Roman"/>
          <w:color w:val="000000" w:themeColor="text1"/>
        </w:rPr>
      </w:pPr>
      <w:r w:rsidRPr="00C11AF6">
        <w:rPr>
          <w:rFonts w:cs="Times New Roman"/>
          <w:color w:val="000000" w:themeColor="text1"/>
        </w:rPr>
        <w:t>4. Follow-up Duration: Follow-up was documented up to one week post-discharge (weight 2.42 kg); comprehensive long-term neurodevelopmental evaluations and sustained longitudinal growth trajectories remain pending.</w:t>
      </w:r>
    </w:p>
    <w:p w14:paraId="03DE898C" w14:textId="77777777" w:rsidR="00B677BD" w:rsidRPr="00C11AF6" w:rsidRDefault="00000000">
      <w:pPr>
        <w:spacing w:after="80"/>
        <w:rPr>
          <w:rFonts w:cs="Times New Roman"/>
          <w:color w:val="000000" w:themeColor="text1"/>
        </w:rPr>
      </w:pPr>
      <w:r w:rsidRPr="00C11AF6">
        <w:rPr>
          <w:rFonts w:cs="Times New Roman"/>
          <w:color w:val="000000" w:themeColor="text1"/>
        </w:rPr>
        <w:t>5. Generalizability: As a single case report, these observations illustrate the biochemical and clinical mimicry of an IEM occurring in the setting of severe hypernatremic dehydration and nutritional deprivation, providing an educational differential rather than prescriptive guidelines for all clinical scenarios.</w:t>
      </w:r>
    </w:p>
    <w:p w14:paraId="0B4F61F5" w14:textId="77777777" w:rsidR="00B677BD" w:rsidRPr="00C11AF6" w:rsidRDefault="00000000">
      <w:pPr>
        <w:pStyle w:val="Heading1"/>
        <w:spacing w:before="280" w:after="120"/>
        <w:rPr>
          <w:rFonts w:ascii="Times New Roman" w:hAnsi="Times New Roman" w:cs="Times New Roman"/>
          <w:color w:val="000000" w:themeColor="text1"/>
        </w:rPr>
      </w:pPr>
      <w:r w:rsidRPr="00C11AF6">
        <w:rPr>
          <w:rFonts w:ascii="Times New Roman" w:hAnsi="Times New Roman" w:cs="Times New Roman"/>
          <w:color w:val="000000" w:themeColor="text1"/>
          <w:sz w:val="24"/>
        </w:rPr>
        <w:t>REFERENCES</w:t>
      </w:r>
    </w:p>
    <w:p w14:paraId="7F6D99EA"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t>1. Kliegman RM, St. Geme JW, Blum NJ, Shah SS, Tasker RC, Wilson KM, editors. Nelson Textbook of Pediatrics. 21st ed. Philadelphia: Elsevier; 2020. p. 412-428.</w:t>
      </w:r>
    </w:p>
    <w:p w14:paraId="2AB6A2C4"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t>2. Saudubray JM, Baumgartner MR, Walter J, editors. Inborn Metabolic Diseases: Diagnosis and Treatment. 6th ed. Berlin: Springer-Verlag; 2016. p. 3-28.</w:t>
      </w:r>
    </w:p>
    <w:p w14:paraId="3B8EFD50"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t>3. Ferreira CR, van Karnebeek CD, Vockley J, Blau N. A proposed nosology of inborn errors of metabolism. Genet Med. 2019;21(1):102-106.</w:t>
      </w:r>
    </w:p>
    <w:p w14:paraId="7798C42B"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t>4. Chapman KA. Emergency management of organic acidemias and urea cycle disorders. Crit Care Clin. 2013;29(2):275-292.</w:t>
      </w:r>
    </w:p>
    <w:p w14:paraId="3AAAAB38"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t>5. Dionisi-Vici C, Rizzo C, Burlina AB, Caruso U, Sabetta G, Uziel G, et al. Inborn errors of metabolism in the Italian pediatric population: a national collaborative survey. J Pediatr. 2002;140(3):321-327.</w:t>
      </w:r>
    </w:p>
    <w:p w14:paraId="40775817"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t>6. Moritz ML, Ayus JC. Disorders of water metabolism in children: hyponatremia and hypernatremia. Pediatr Rev. 2002;23(11):371-380.</w:t>
      </w:r>
    </w:p>
    <w:p w14:paraId="3D7B2E8A"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t>7. Basnet S, Schneider J, Gazit A, Mander G, Doctor A. Severe hypernatremic dehydration in exclusively breastfed infants: a report of four cases and review of literature. Pediatr Emerg Care. 2010;26(10):749-752.</w:t>
      </w:r>
    </w:p>
    <w:p w14:paraId="39B54936"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t>8. Fomon SJ, Ziegler EE. Renal solute load and potential renal solute load for infants. J Pediatr. 1999;134(1):11-14.</w:t>
      </w:r>
    </w:p>
    <w:p w14:paraId="7AC677BA"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t>9. Bolat F, Oflaz MB, Güven AS, Özdemir G, Alaygut D, Doğan MT, et al. What is the severe complication of hypernatremic dehydration in newborns? Pediatr Int. 2013;55(6):708-713.</w:t>
      </w:r>
    </w:p>
    <w:p w14:paraId="2AEC15FB"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t>10. Marik PE. Pulmonary aspiration syndromes: a comprehensive review. Chest. 2001;119(4):1224-1232.</w:t>
      </w:r>
    </w:p>
    <w:p w14:paraId="3E13F7F4"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t>11. Kraut JA, Madias NE. Metabolic acidosis: pathophysiology, diagnosis and management. Nat Rev Nephrol. 2010;6(5):274-285.</w:t>
      </w:r>
    </w:p>
    <w:p w14:paraId="1F1C2735"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t>12. Weir K, McMahon S, Taylor S, Chang AB. Oropharyngeal aspiration and pneumonia in children. Pediatr Pulmonol. 2007;42(11):1024-1031.</w:t>
      </w:r>
    </w:p>
    <w:p w14:paraId="1618CE62"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t>13. Curley MA, Wypij D, Watson RS, Grant MJ, Asaro LA, Cheifetz IM, et al. Protocolized sedation versus usual care in pediatric patients mechanically ventilated for acute respiratory failure: a randomized clinical trial. JAMA. 2015;313(4):379-389.</w:t>
      </w:r>
    </w:p>
    <w:p w14:paraId="50B24CEF"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lastRenderedPageBreak/>
        <w:t>14. Greenbaum LA. Pathophysiology and management of electrolyte disorders in pediatric critical care. In: Fuhrman BP, Zimmerman JJ, editors. Pediatric Critical Care. 5th ed. Philadelphia: Elsevier; 2017. p. 936-954.</w:t>
      </w:r>
    </w:p>
    <w:p w14:paraId="633E43AA"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t>15. Infante D, Tormo R. Risk of inadequate nutrition in infants fed cow's milk or goat's milk based formula. Acta Paediatr. 2000;89(10):1182-1185.</w:t>
      </w:r>
    </w:p>
    <w:p w14:paraId="66B6BE9A"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t>16. Basulto J, Babio N, Vandevijvere S, et al. Nutritional hazards of goat's milk infant feeding: renal solute load and megaloblastic anemia. Eur J Clin Nutr. 2014;68(6):745-748.</w:t>
      </w:r>
    </w:p>
    <w:p w14:paraId="0BBAFEBA"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t>17. Fang C, Mao J, Dai Y, Ji C, Shen H. Severe hypernatremic dehydration in an infant fed with excessive salt: successful management and prevention of neurological sequelae. BMC Pediatr. 2017;17(1):156.</w:t>
      </w:r>
    </w:p>
    <w:p w14:paraId="1FCAE4D0"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t>18. Burton BK. Inborn errors of metabolism in infancy: a guide to diagnosis. Pediatrics. 1998;102(6):e69.</w:t>
      </w:r>
    </w:p>
    <w:p w14:paraId="45B8BEBA"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t>19. Chace DH, Kalas TA, Naylor EW. Use of tandem mass spectrometry for multianalyte screening of dried blood specimens from newborns. Clin Chem. 2003;49(11):1797-1817.</w:t>
      </w:r>
    </w:p>
    <w:p w14:paraId="5B79C421"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t>20. Soden SE, Saunders CJ, Willig LK, Farrow EG, Smith LD, Petrikin JE, et al. Effectiveness of exome and genome sequencing in critically ill pediatric patients. Sci Transl Med. 2014;6(265):265ra168.</w:t>
      </w:r>
    </w:p>
    <w:p w14:paraId="696608AB"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t>21. World Health Organization. Guideline: Updates on the management of severe acute malnutrition in infants and children. Geneva: World Health Organization; 2013. p. 1-124.</w:t>
      </w:r>
    </w:p>
    <w:p w14:paraId="0A676A6E"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t>22. Asad A, Qureshi AW, Zaka-ur-Rab Z. Fluid management in neonatal hypernatremic dehydration: current perspectives. Paediatr Int Child Health. 2020;40(3):141-149.</w:t>
      </w:r>
    </w:p>
    <w:p w14:paraId="3C6ABD6D"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t>23. Lavagno C, Camozzi P, Renzi S, Lava SA, Simonetti GD, Bianchetti MG, Milani GP. Serum sodium correction rate and complications in pediatric hypernatremia: a systematic review. Pediatr Res. 2017;82(6):909-913.</w:t>
      </w:r>
    </w:p>
    <w:p w14:paraId="65F1D2AA"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t>24. Adeva-Andany MM, Fernández-Fernández C, Mouriño-Bayolo D, Castro-Quintás E, Domínguez-Montero A. Sodium bicarbonate therapy in patients with metabolic acidosis. Sci World J. 2014;2014:627673.</w:t>
      </w:r>
    </w:p>
    <w:p w14:paraId="092BBC52"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t>25. Victora CG, Bahl R, Barros AJ, França GV, Horton S, Krasevec J, et al. Breastfeeding in the 21st century: epidemiology, mechanisms, and lifelong effect. Lancet. 2016;387(10017):475-490.</w:t>
      </w:r>
    </w:p>
    <w:p w14:paraId="6DE4533A" w14:textId="77777777" w:rsidR="00B677BD" w:rsidRPr="00C11AF6" w:rsidRDefault="00000000">
      <w:pPr>
        <w:spacing w:after="80"/>
        <w:ind w:left="432" w:hanging="432"/>
        <w:rPr>
          <w:rFonts w:cs="Times New Roman"/>
          <w:color w:val="000000" w:themeColor="text1"/>
        </w:rPr>
      </w:pPr>
      <w:r w:rsidRPr="00C11AF6">
        <w:rPr>
          <w:rFonts w:cs="Times New Roman"/>
          <w:color w:val="000000" w:themeColor="text1"/>
        </w:rPr>
        <w:t>26. Black RE, Allen LH, Bhutta ZA, Caulfield LE, de Onis M, Ezzati M, et al. Maternal and child undernutrition: global and regional exposures and health consequences. Lancet. 2008;371(9608):243-260.</w:t>
      </w:r>
    </w:p>
    <w:sectPr w:rsidR="00B677BD" w:rsidRPr="00C11AF6"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7774022">
    <w:abstractNumId w:val="8"/>
  </w:num>
  <w:num w:numId="2" w16cid:durableId="825703075">
    <w:abstractNumId w:val="6"/>
  </w:num>
  <w:num w:numId="3" w16cid:durableId="1538665198">
    <w:abstractNumId w:val="5"/>
  </w:num>
  <w:num w:numId="4" w16cid:durableId="1394893769">
    <w:abstractNumId w:val="4"/>
  </w:num>
  <w:num w:numId="5" w16cid:durableId="991182022">
    <w:abstractNumId w:val="7"/>
  </w:num>
  <w:num w:numId="6" w16cid:durableId="786705769">
    <w:abstractNumId w:val="3"/>
  </w:num>
  <w:num w:numId="7" w16cid:durableId="1430736744">
    <w:abstractNumId w:val="2"/>
  </w:num>
  <w:num w:numId="8" w16cid:durableId="1725254771">
    <w:abstractNumId w:val="1"/>
  </w:num>
  <w:num w:numId="9" w16cid:durableId="792208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329"/>
    <w:rsid w:val="00031B5E"/>
    <w:rsid w:val="00034616"/>
    <w:rsid w:val="0006063C"/>
    <w:rsid w:val="0015074B"/>
    <w:rsid w:val="00156555"/>
    <w:rsid w:val="0029639D"/>
    <w:rsid w:val="002C482A"/>
    <w:rsid w:val="00326F90"/>
    <w:rsid w:val="003547B3"/>
    <w:rsid w:val="003A4315"/>
    <w:rsid w:val="00416D8B"/>
    <w:rsid w:val="005E6E23"/>
    <w:rsid w:val="009204BF"/>
    <w:rsid w:val="0098254C"/>
    <w:rsid w:val="00AA1D8D"/>
    <w:rsid w:val="00B47730"/>
    <w:rsid w:val="00B677BD"/>
    <w:rsid w:val="00BB65D3"/>
    <w:rsid w:val="00C11AF6"/>
    <w:rsid w:val="00CB0664"/>
    <w:rsid w:val="00E258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5F746B"/>
  <w14:defaultImageDpi w14:val="300"/>
  <w15:docId w15:val="{A210B16C-5FBF-4434-ABB0-CA0F5E4F3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C11AF6"/>
    <w:rPr>
      <w:rFonts w:cs="Times New Roman"/>
      <w:sz w:val="24"/>
      <w:szCs w:val="24"/>
    </w:rPr>
  </w:style>
  <w:style w:type="character" w:styleId="Hyperlink">
    <w:name w:val="Hyperlink"/>
    <w:basedOn w:val="DefaultParagraphFont"/>
    <w:uiPriority w:val="99"/>
    <w:unhideWhenUsed/>
    <w:rsid w:val="00416D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15</Pages>
  <Words>7886</Words>
  <Characters>44953</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52734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1022</cp:lastModifiedBy>
  <cp:revision>7</cp:revision>
  <dcterms:created xsi:type="dcterms:W3CDTF">2013-12-23T23:15:00Z</dcterms:created>
  <dcterms:modified xsi:type="dcterms:W3CDTF">2026-09-18T06:32:00Z</dcterms:modified>
  <cp:category/>
</cp:coreProperties>
</file>