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BC1B7" w14:textId="6D4CFACC" w:rsidR="002F07C4" w:rsidRPr="0021110A" w:rsidRDefault="00000000">
      <w:pPr>
        <w:pStyle w:val="Title"/>
        <w:rPr>
          <w:color w:val="auto"/>
        </w:rPr>
      </w:pPr>
      <w:r w:rsidRPr="0021110A">
        <w:rPr>
          <w:color w:val="auto"/>
        </w:rPr>
        <w:t>Backyard Poultry Farming and Household Food Security in Rural Delta State, Nigeria: Mechanisms, Evidence and Policy Trade-offs</w:t>
      </w:r>
    </w:p>
    <w:p w14:paraId="41C36C76" w14:textId="77777777" w:rsidR="002F07C4" w:rsidRPr="0021110A" w:rsidRDefault="00000000">
      <w:pPr>
        <w:pStyle w:val="Heading1"/>
        <w:rPr>
          <w:color w:val="auto"/>
        </w:rPr>
      </w:pPr>
      <w:r w:rsidRPr="0021110A">
        <w:rPr>
          <w:color w:val="auto"/>
        </w:rPr>
        <w:t>Abstract</w:t>
      </w:r>
    </w:p>
    <w:p w14:paraId="0124C2B0" w14:textId="77777777" w:rsidR="002F07C4" w:rsidRPr="0021110A" w:rsidRDefault="00000000">
      <w:pPr>
        <w:pStyle w:val="AbstractBody"/>
        <w:rPr>
          <w:color w:val="auto"/>
        </w:rPr>
      </w:pPr>
      <w:r w:rsidRPr="0021110A">
        <w:rPr>
          <w:color w:val="auto"/>
        </w:rPr>
        <w:t>Backyard poultry is frequently proposed as an accessible livelihood and nutrition strategy for rural households, yet poultry ownership does not necessarily produce more secure access to nutritious food. This critical narrative review examines how household chicken production could influence food availability, economic access, dietary utilisation and livelihood stability in Delta State, Nigeria. It differentiates scavenging and semi-intensive backyard flocks from market-oriented poultry enterprises, integrates place-specific evidence with Nigerian and international research, and appraises competing nutritional, economic, gender, animal-health and environmental mechanisms. A targeted appraisal of peer-reviewed studies and institutional evidence published up to 24 August 2026 was organised around causal pathways, study design and contextual transferability. Delta State surveys document small-flock production, extension and finance constraints, while regional food-security studies reveal broader structural determinants; few link independently measured backyard poultry exposure to robust household food-security outcomes. International trials demonstrate that poultry-related interventions can improve egg consumption under certain conditions, but effects on dietary diversity and child growth are heterogeneous and often depend on complementary nutrition support, disease control, household allocation and implementation fidelity. Women's responsibility for flock care does not automatically confer control over sales or income. Newcastle disease, market volatility, contaminated domestic environments and Niger Delta livelihood shocks can weaken or reverse anticipated benefits. The evidence therefore supports a conditional rather than universal contribution of backyard poultry to food security. For Delta State, integrated and locally evaluated packages combining animal health, practical husbandry, safe flock–household separation and gender-responsive nutrition support appear more defensible than flock expansion alone. Priorities include longitudinal household measurement, controlled intervention evaluations and transparent analysis of costs, equity and health trade-offs. These findings provide a framework for evaluating poultry as one component of a broader rural food-security strategy.</w:t>
      </w:r>
    </w:p>
    <w:p w14:paraId="7A4D88EA" w14:textId="77777777" w:rsidR="002F07C4" w:rsidRPr="0021110A" w:rsidRDefault="00000000">
      <w:pPr>
        <w:pStyle w:val="KeywordsBody"/>
        <w:rPr>
          <w:color w:val="auto"/>
        </w:rPr>
      </w:pPr>
      <w:r w:rsidRPr="0021110A">
        <w:rPr>
          <w:b/>
          <w:color w:val="auto"/>
        </w:rPr>
        <w:t xml:space="preserve">Keywords: </w:t>
      </w:r>
      <w:r w:rsidRPr="0021110A">
        <w:rPr>
          <w:color w:val="auto"/>
        </w:rPr>
        <w:t>Village chickens; food and nutrition security; rural livelihoods; egg consumption; women’s agency; Newcastle disease; One Health; Niger Delta</w:t>
      </w:r>
    </w:p>
    <w:p w14:paraId="0B8A74F2" w14:textId="77777777" w:rsidR="002F07C4" w:rsidRPr="0021110A" w:rsidRDefault="00000000">
      <w:pPr>
        <w:pStyle w:val="Heading1"/>
        <w:rPr>
          <w:color w:val="auto"/>
        </w:rPr>
      </w:pPr>
      <w:r w:rsidRPr="0021110A">
        <w:rPr>
          <w:color w:val="auto"/>
        </w:rPr>
        <w:t>1. Introduction</w:t>
      </w:r>
    </w:p>
    <w:p w14:paraId="59B51133" w14:textId="77777777" w:rsidR="002F07C4" w:rsidRPr="0021110A" w:rsidRDefault="00000000">
      <w:pPr>
        <w:jc w:val="both"/>
        <w:rPr>
          <w:color w:val="auto"/>
        </w:rPr>
      </w:pPr>
      <w:r w:rsidRPr="0021110A">
        <w:rPr>
          <w:color w:val="auto"/>
        </w:rPr>
        <w:t>Food security is not simply the presence of food within a household or a locality. It also concerns the capacity to obtain food, convert consumption into adequate nutrition and withstand disruptions over time. The widely used distinction among availability, access, utilisation and stability is analytically important in smallholder livestock research because livestock ownership may affect each dimension through different, sometimes conflicting mechanisms (Food and Agriculture Organization of the United Nations, 2008). A chicken sold at short notice can strengthen purchasing power without increasing that household’s intake of eggs. Conversely, eggs eaten by a child can increase animal-source-food consumption without generating cash. Whether either event improves sustained food security depends on baseline needs, intra-household allocation, disease exposure and the cost of replacing productive animals. Evaluating backyard poultry consequently requires attention to the pathways linking a flock to actual household outcomes rather than assuming that keeping birds signifies nutritional sufficiency.</w:t>
      </w:r>
    </w:p>
    <w:p w14:paraId="1261AE97" w14:textId="77777777" w:rsidR="002F07C4" w:rsidRPr="0021110A" w:rsidRDefault="00000000">
      <w:pPr>
        <w:jc w:val="both"/>
        <w:rPr>
          <w:color w:val="auto"/>
        </w:rPr>
      </w:pPr>
      <w:r w:rsidRPr="0021110A">
        <w:rPr>
          <w:color w:val="auto"/>
        </w:rPr>
        <w:t>The domestic chicken (</w:t>
      </w:r>
      <w:r w:rsidRPr="0021110A">
        <w:rPr>
          <w:i/>
          <w:color w:val="auto"/>
        </w:rPr>
        <w:t>Gallus gallus domesticus</w:t>
      </w:r>
      <w:r w:rsidRPr="0021110A">
        <w:rPr>
          <w:color w:val="auto"/>
        </w:rPr>
        <w:t xml:space="preserve">) is the main species considered here. The term backyard poultry describes a range of low-capital, household-associated systems, including indigenous birds scavenging during the day, flocks receiving intermittent supplementation and small semi-confined operations. Their small </w:t>
      </w:r>
      <w:r w:rsidRPr="0021110A">
        <w:rPr>
          <w:color w:val="auto"/>
        </w:rPr>
        <w:lastRenderedPageBreak/>
        <w:t>scale and ability to use available local resources have made them prominent in discussions of rural African livelihoods. Yet chickens remain biological assets requiring labour, protection, disease management and some combination of purchased or locally sourced feed. Research on village poultry documents marked heterogeneity in management efficiency and constraints, making a single assumed production model inappropriate even within broadly similar farming communities (Birhanu et al., 2021; Gueye, 2000). Market-oriented poultry enterprises, by comparison, may rely heavily on commercial feed, investment credit, improved stock and intensive husbandry. Describing both as 'backyard poultry' can obscure fundamentally different risk and food-security profiles (Adesehinwa et al., 2016; Ovwigho et al., 2009).</w:t>
      </w:r>
    </w:p>
    <w:p w14:paraId="4873A142" w14:textId="77777777" w:rsidR="002F07C4" w:rsidRPr="0021110A" w:rsidRDefault="00000000">
      <w:pPr>
        <w:jc w:val="both"/>
        <w:rPr>
          <w:color w:val="auto"/>
        </w:rPr>
      </w:pPr>
      <w:r w:rsidRPr="0021110A">
        <w:rPr>
          <w:color w:val="auto"/>
        </w:rPr>
        <w:t>Delta State offers a substantively important setting because household food production and market participation occur alongside differentiated rural livelihoods and environmental pressures within the wider Niger Delta. Research on oil-related livelihood disruption shows that food-security experiences in the region cannot be reduced to agricultural output alone. Environmental change, household income and broader institutional circumstances influence what food rural residents can produce or afford (Babatunde, 2020; Inoni et al., 2006). It would nevertheless be inappropriate to infer that every Delta State locality or poultry-keeping household experiences the same exposure. Coastal and inland settlements, communities with distinct market connectivity and households combining crop cultivation, fishing, wage work and poultry keeping may face quite different constraints. A useful review must therefore treat 'Delta State' as an empirical context requiring within-state differentiation, not a homogeneous agricultural unit.</w:t>
      </w:r>
      <w:r>
        <w:rPr>
          <w:highlight w:val="yellow"/>
        </w:rPr>
        <w:t xml:space="preserve"> A study of smallholder poultry farmers in north-eastern Nigeria also documented adaptation responses to weather-related risks, although its findings should not be assumed to represent backyard flocks in Delta State (Barnabas et al., 2026).</w:t>
      </w:r>
    </w:p>
    <w:p w14:paraId="16FE48FB" w14:textId="77777777" w:rsidR="002F07C4" w:rsidRPr="0021110A" w:rsidRDefault="00000000">
      <w:pPr>
        <w:jc w:val="both"/>
        <w:rPr>
          <w:color w:val="auto"/>
        </w:rPr>
      </w:pPr>
      <w:r w:rsidRPr="0021110A">
        <w:rPr>
          <w:color w:val="auto"/>
        </w:rPr>
        <w:t>Direct evidence from Delta State illustrates the need for this distinction. An earlier survey compared extensive, semi-intensive and intensive chicken production systems and identified constraints that varied by system, including finance-related problems (Ovwigho et al., 2009). Research in Oshimili North documented small, largely free-range household flocks and limited poultry-related extension contact (Koyenikan, 2011). A later analysis of a poultry credit initiative in Oshimili South concerned participating producers operating under a selected financing arrangement, not a representative sample of all backyard keepers (Odum &amp; Chukwuji, 2022). These studies illuminate operational conditions, but they do not provide a controlled estimate of how adopting household poultry changes the probability of experiencing food insecurity. Their contribution is primarily descriptive and contextual, which should guide rather than overextend policy interpretation.</w:t>
      </w:r>
    </w:p>
    <w:p w14:paraId="34427D28" w14:textId="77777777" w:rsidR="002F07C4" w:rsidRPr="0021110A" w:rsidRDefault="00000000">
      <w:pPr>
        <w:jc w:val="both"/>
        <w:rPr>
          <w:color w:val="auto"/>
        </w:rPr>
      </w:pPr>
      <w:r w:rsidRPr="0021110A">
        <w:rPr>
          <w:color w:val="auto"/>
        </w:rPr>
        <w:t>Food-security research from Delta and neighbouring Edo State adds a second strand of evidence. Associations of household food-security measures with income, education, extension exposure and household characteristics indicate that poultry operates within a wider configuration of human and economic resources (Ehiwario et al., 2024). Contemporary Delta research also examines determinants of farming-household food security without isolating the effect of flock ownership (Odor et al., 2026). Thus, even where rural poultry and food insecurity have both been studied, their relationship may remain statistically unidentified. Combining these literatures without separating exposure, outcome and confounding would create a misleading impression of causal knowledge. The central problem is not whether poultry can produce eggs, meat or cash, which is uncontroversial, but when and for whom these outputs translate into measurable food-security gains.</w:t>
      </w:r>
      <w:r>
        <w:rPr>
          <w:highlight w:val="yellow"/>
        </w:rPr>
        <w:t xml:space="preserve"> Panel evidence from six African countries found small positive associations between farm-production diversity and household dietary diversity, while identifying market access as a more important correlate; these findings do not isolate the effect of backyard poultry (Nguyen &amp; Qaim, 2025).</w:t>
      </w:r>
    </w:p>
    <w:p w14:paraId="75C8354E" w14:textId="77777777" w:rsidR="002F07C4" w:rsidRPr="0021110A" w:rsidRDefault="00000000">
      <w:pPr>
        <w:jc w:val="both"/>
        <w:rPr>
          <w:color w:val="auto"/>
        </w:rPr>
      </w:pPr>
      <w:r w:rsidRPr="0021110A">
        <w:rPr>
          <w:color w:val="auto"/>
        </w:rPr>
        <w:t xml:space="preserve">An international evidence base provides both support and reasons for caution. Village-chicken vaccination studies have explored changes in flock survival and food consumption, while cluster-randomised programmes have combined poultry inputs with nutrition-related interventions. Their measured outcomes differ, and the findings should not be flattened into a single affirmative conclusion (Knueppel et al., 2010; Passarelli et al., 2020). More recent controlled evaluations indicate that household dietary diversity and the diets of individual </w:t>
      </w:r>
      <w:r w:rsidRPr="0021110A">
        <w:rPr>
          <w:color w:val="auto"/>
        </w:rPr>
        <w:lastRenderedPageBreak/>
        <w:t>women may respond differently, even where an intervention expands production opportunities (He et al., 2026). Research on poultry-associated sanitation risk introduces a further tension: proximity between chickens and young children can provide opportunities for egg consumption but also for faecal exposure (Bardosh et al., 2020; Headey &amp; Hirvonen, 2016). These linked benefits and hazards call for a combined food-systems and One Health perspective rather than a livestock-production-only account.</w:t>
      </w:r>
      <w:r>
        <w:rPr>
          <w:highlight w:val="yellow"/>
        </w:rPr>
        <w:t xml:space="preserve"> A cluster-randomised evaluation of a nutrition- and gender-sensitive poultry market programme in Burkina Faso did not find improvements in measured maternal and child dietary outcomes, emphasising that poultry-related support does not guarantee nutritional gains (Becquey et al., 2025). A household survey in Maputo, Mozambique, also observed chicken faeces in domestic spaces where live birds were raised, illustrating a potential exposure pathway rather than an established effect on child health (Shioda et al., 2024).</w:t>
      </w:r>
    </w:p>
    <w:p w14:paraId="1CB1E002" w14:textId="77777777" w:rsidR="002F07C4" w:rsidRPr="0021110A" w:rsidRDefault="00000000">
      <w:pPr>
        <w:jc w:val="both"/>
        <w:rPr>
          <w:color w:val="auto"/>
        </w:rPr>
      </w:pPr>
      <w:r w:rsidRPr="0021110A">
        <w:rPr>
          <w:color w:val="auto"/>
        </w:rPr>
        <w:t>Prior synthesis has examined sustainable family poultry, nutrition and One Health through a broader planetary-health lens, establishing the need to match husbandry and infection control to household conditions (Alders et al., 2018). A later bibliometric review described international trends in research on village chickens and food security (Idamokoro &amp; Hosu, 2022). These publications offer useful orientation, but neither a broad thematic account nor bibliometric coverage substitutes for a Delta-specific appraisal of causal identification, competing pathways and the local applicability of tested interventions. Meanwhile, Nigerian studies remain dispersed across production economics, extension services, veterinary disease and rural food-security analysis. The resulting disciplinary fragmentation can conceal decisive differences between profitable poultry sales, improved household access to food and actual nutritional improvements for women and children. Integrative scrutiny is especially necessary where policies are proposed for very small flocks using evidence gathered from larger, financed enterprises or other countries.</w:t>
      </w:r>
    </w:p>
    <w:p w14:paraId="6EEB6B24" w14:textId="77777777" w:rsidR="002F07C4" w:rsidRPr="0021110A" w:rsidRDefault="00000000">
      <w:pPr>
        <w:pStyle w:val="Heading2"/>
        <w:rPr>
          <w:color w:val="auto"/>
        </w:rPr>
      </w:pPr>
      <w:r w:rsidRPr="0021110A">
        <w:rPr>
          <w:color w:val="auto"/>
        </w:rPr>
        <w:t>1.1 Scope, Research Gap and Objectives</w:t>
      </w:r>
    </w:p>
    <w:p w14:paraId="587A29AE" w14:textId="77777777" w:rsidR="002F07C4" w:rsidRPr="0021110A" w:rsidRDefault="00000000">
      <w:pPr>
        <w:jc w:val="both"/>
        <w:rPr>
          <w:color w:val="auto"/>
        </w:rPr>
      </w:pPr>
      <w:r w:rsidRPr="0021110A">
        <w:rPr>
          <w:color w:val="auto"/>
        </w:rPr>
        <w:t>This review examines household-associated chicken production in rural Delta State, with primary attention to extensively managed and semi-intensive backyard flocks. Market-oriented smallholder enterprises are considered only where they clarify economic contrasts or institutional constraints. The outcomes of interest are household food availability, access to diverse foods, individual dietary consumption, food utilisation and capacity to absorb livelihood shocks. Relevant mediators include flock survival, egg and meat production, sales, feed costs, veterinary access, gendered control of resources, market connectivity and environmental exposure. Commercial broiler performance in isolation, national food balances and clinical treatment of poultry diseases fall outside the principal scope unless they inform a specific household-level mechanism.</w:t>
      </w:r>
    </w:p>
    <w:p w14:paraId="619DDDBD" w14:textId="77777777" w:rsidR="002F07C4" w:rsidRPr="0021110A" w:rsidRDefault="00000000">
      <w:pPr>
        <w:jc w:val="both"/>
        <w:rPr>
          <w:color w:val="auto"/>
        </w:rPr>
      </w:pPr>
      <w:r w:rsidRPr="0021110A">
        <w:rPr>
          <w:color w:val="auto"/>
        </w:rPr>
        <w:t>The unresolved gap is a lack of adequately comparable, locally grounded evidence connecting backyard poultry exposure to food-security outcomes while distinguishing selection effects, household allocation and competing health risks. This review therefore evaluates the directness and quality of the Delta State evidence, tests the plausibility of proposed pathways against stronger research elsewhere, identifies where results disagree or cannot be transferred, and derives a prioritised research and implementation agenda. Its distinct contribution is a conditional framework for deciding which backyard-poultry investments are likely to be useful, for which households, and under what safeguards, rather than treating poultry ownership as a sufficient explanation of food security.</w:t>
      </w:r>
    </w:p>
    <w:p w14:paraId="00507A39" w14:textId="77777777" w:rsidR="002F07C4" w:rsidRPr="0021110A" w:rsidRDefault="00000000">
      <w:pPr>
        <w:pStyle w:val="Heading1"/>
        <w:rPr>
          <w:color w:val="auto"/>
        </w:rPr>
      </w:pPr>
      <w:r w:rsidRPr="0021110A">
        <w:rPr>
          <w:color w:val="auto"/>
        </w:rPr>
        <w:t>2. Methods for Literature Selection</w:t>
      </w:r>
    </w:p>
    <w:p w14:paraId="2A6D9907" w14:textId="77777777" w:rsidR="002F07C4" w:rsidRPr="0021110A" w:rsidRDefault="00000000">
      <w:pPr>
        <w:jc w:val="both"/>
        <w:rPr>
          <w:color w:val="auto"/>
        </w:rPr>
      </w:pPr>
      <w:r w:rsidRPr="0021110A">
        <w:rPr>
          <w:color w:val="auto"/>
        </w:rPr>
        <w:t xml:space="preserve">The review adopted an interpretive, question-driven approach to evidence retrieval and comparison. A single standardised exposure or outcome was not imposed because the literature encompasses livelihood surveys, poultry-production assessments, veterinary studies, ethnography, observational nutrition research and randomised interventions. The methods distinguish direct evidence for rural Delta State from evidence used to understand a mechanism or evaluate a possible programme. That distinction is retained throughout the synthesis: </w:t>
      </w:r>
      <w:r w:rsidRPr="0021110A">
        <w:rPr>
          <w:color w:val="auto"/>
        </w:rPr>
        <w:lastRenderedPageBreak/>
        <w:t>externally observed relationships are discussed for their analytical relevance, not presented as established local effect sizes.</w:t>
      </w:r>
    </w:p>
    <w:p w14:paraId="49945D7D" w14:textId="77777777" w:rsidR="002F07C4" w:rsidRPr="0021110A" w:rsidRDefault="00000000">
      <w:pPr>
        <w:pStyle w:val="Heading2"/>
        <w:rPr>
          <w:color w:val="auto"/>
        </w:rPr>
      </w:pPr>
      <w:r w:rsidRPr="0021110A">
        <w:rPr>
          <w:color w:val="auto"/>
        </w:rPr>
        <w:t>2.1 Review Design and Rationale</w:t>
      </w:r>
    </w:p>
    <w:p w14:paraId="5BD35242" w14:textId="77777777" w:rsidR="002F07C4" w:rsidRPr="0021110A" w:rsidRDefault="00000000">
      <w:pPr>
        <w:jc w:val="both"/>
        <w:rPr>
          <w:color w:val="auto"/>
        </w:rPr>
      </w:pPr>
      <w:r w:rsidRPr="0021110A">
        <w:rPr>
          <w:color w:val="auto"/>
        </w:rPr>
        <w:t>A critical narrative design was chosen because a narrowly pooled estimate would be misleading across studies that measure flock ownership, farm profitability, egg consumption, household food-insecurity status and child growth as though they were equivalent endpoints. The analytical objective was instead to evaluate whether the proposed mechanisms are credible, which study designs establish their direction, and how setting-specific constraints alter likely outcomes. The Scale for the Assessment of Narrative Review Articles provides methodological guidance on the importance of a clearly stated aim, a defensible literature search, scientific reasoning and an appropriately balanced evidence presentation (Baethge et al., 2019). This review used those principles as quality prompts rather than representing its selection as an exhaustive systematic search or claiming a formal numerical quality score. Transparency about source choice and inference remains essential even when meta-analysis is not feasible.</w:t>
      </w:r>
    </w:p>
    <w:p w14:paraId="5507A39D" w14:textId="77777777" w:rsidR="002F07C4" w:rsidRPr="0021110A" w:rsidRDefault="00000000">
      <w:pPr>
        <w:jc w:val="both"/>
        <w:rPr>
          <w:color w:val="auto"/>
        </w:rPr>
      </w:pPr>
      <w:r w:rsidRPr="0021110A">
        <w:rPr>
          <w:color w:val="auto"/>
        </w:rPr>
        <w:t>The unit of interpretation was generally the household, but the review separates household and individual outcomes. An increase in farm profit does not identify who receives food; a rise in children's egg intake does not reveal changes in women's diets; and an observed association between poultry ownership and child growth does not necessarily reflect the effect of poultry husbandry. Empirical studies were therefore judged against the outcome they actually measured, with intervention allocation, baseline comparability, follow-up duration and plausible confounding considered before interpreting apparent effects.</w:t>
      </w:r>
    </w:p>
    <w:p w14:paraId="211C9E9F" w14:textId="77777777" w:rsidR="002F07C4" w:rsidRPr="0021110A" w:rsidRDefault="00000000">
      <w:pPr>
        <w:pStyle w:val="Heading2"/>
        <w:rPr>
          <w:color w:val="auto"/>
        </w:rPr>
      </w:pPr>
      <w:r w:rsidRPr="0021110A">
        <w:rPr>
          <w:color w:val="auto"/>
        </w:rPr>
        <w:t>2.2 Information Sources</w:t>
      </w:r>
    </w:p>
    <w:p w14:paraId="61FDF268" w14:textId="77777777" w:rsidR="002F07C4" w:rsidRPr="0021110A" w:rsidRDefault="00000000">
      <w:pPr>
        <w:jc w:val="both"/>
        <w:rPr>
          <w:color w:val="auto"/>
        </w:rPr>
      </w:pPr>
      <w:r w:rsidRPr="0021110A">
        <w:rPr>
          <w:color w:val="auto"/>
        </w:rPr>
        <w:t>Information was sought through accessible records and indexed literature in AGRIS, PubMed, DOAJ, OpenAlex and Semantic Scholar, with supplementary searches of African Journals Online for regionally published work. Relevant institutional material was sought from the Food and Agriculture Organization of the United Nations and from public journal records, article abstracts and accessible full texts. Targeted scholarly web searches identified Delta State studies and traced prominent village-poultry trials and veterinary papers. Searches were supplemented by following relevant citations and checking accessible article metadata and DOI landing records. These avenues were used to triangulate bibliographic identities and topic relevance; discovery in an index was not, by itself, treated as validation of study conclusions.</w:t>
      </w:r>
    </w:p>
    <w:p w14:paraId="664965E8" w14:textId="77777777" w:rsidR="002F07C4" w:rsidRPr="0021110A" w:rsidRDefault="00000000">
      <w:pPr>
        <w:jc w:val="both"/>
        <w:rPr>
          <w:color w:val="auto"/>
        </w:rPr>
      </w:pPr>
      <w:r w:rsidRPr="0021110A">
        <w:rPr>
          <w:color w:val="auto"/>
        </w:rPr>
        <w:t>Regional search attention was necessary because research specific to Delta State is relatively dispersed across agricultural extension, farm-management, rural development and food-security outlets. The review did not infer that a locally published item was peer reviewed merely because it appeared in a regional index. When metadata, journal identity, source authenticity or the relationship between a reported finding and its citation could not be established, the item was not used to support a factual assertion. Institutional evidence served to define analytic concepts rather than to substitute for measured local effects.</w:t>
      </w:r>
    </w:p>
    <w:p w14:paraId="28D7653A" w14:textId="77777777" w:rsidR="002F07C4" w:rsidRPr="0021110A" w:rsidRDefault="00000000">
      <w:pPr>
        <w:pStyle w:val="Heading2"/>
        <w:rPr>
          <w:color w:val="auto"/>
        </w:rPr>
      </w:pPr>
      <w:r w:rsidRPr="0021110A">
        <w:rPr>
          <w:color w:val="auto"/>
        </w:rPr>
        <w:t>2.3 Search Strategy and Search Period</w:t>
      </w:r>
    </w:p>
    <w:p w14:paraId="6A5323C8" w14:textId="77777777" w:rsidR="002F07C4" w:rsidRPr="0021110A" w:rsidRDefault="00000000">
      <w:pPr>
        <w:jc w:val="both"/>
        <w:rPr>
          <w:color w:val="auto"/>
        </w:rPr>
      </w:pPr>
      <w:r w:rsidRPr="0021110A">
        <w:rPr>
          <w:color w:val="auto"/>
        </w:rPr>
        <w:t xml:space="preserve">The principal publication window was 2000 to 24 August 2026. This starting point captures the expansion of interdisciplinary literature linking family poultry to livelihoods and nutrition while allowing inclusion of older foundational studies when necessary, notably early field work on Newcastle disease vaccination. Search concepts combined household production terms ('backyard poultry', 'village chicken', 'family poultry', 'local </w:t>
      </w:r>
      <w:r w:rsidRPr="0021110A">
        <w:rPr>
          <w:color w:val="auto"/>
        </w:rPr>
        <w:lastRenderedPageBreak/>
        <w:t>chicken', 'indigenous chicken'), food-security terms ('food insecurity', 'dietary diversity', 'egg consumption', 'nutrition', 'livelihood', 'resilience'), and geographical terms ('Delta State', 'Niger Delta', 'Nigeria', 'West Africa'). A representative combined formulation was ('backyard poultry' OR 'village chicken*' OR 'family poultry' OR 'indigenous chicken*') AND ('food secur*' OR 'dietary divers*' OR 'egg consumption' OR livelihood* OR resilience) AND (Nigeria OR 'Delta State' OR Africa).</w:t>
      </w:r>
    </w:p>
    <w:p w14:paraId="129094F6" w14:textId="77777777" w:rsidR="002F07C4" w:rsidRPr="0021110A" w:rsidRDefault="00000000">
      <w:pPr>
        <w:jc w:val="both"/>
        <w:rPr>
          <w:color w:val="auto"/>
        </w:rPr>
      </w:pPr>
      <w:r w:rsidRPr="0021110A">
        <w:rPr>
          <w:color w:val="auto"/>
        </w:rPr>
        <w:t>Complementary searches linked '(Newcastle disease OR avian influenza OR biosecurity OR gender OR extension OR flood*)' with '(smallholder poultry OR village chicken* OR backyard poultry)', while targeted searches traced the named Delta studies and selected intervention trials. Terms were simplified where a platform did not support Boolean syntax consistently. Publications available by 24 August 2026 were eligible, including papers with a verified online publication date before that endpoint even when subsequent print issue assignment occurred later. Bibliographic dates were checked against publication records rather than inferred from a volume number. English-language publications formed the evidence base. The resulting selection was purposive and relevance-driven; no claim is made that every potentially eligible report was retrieved.</w:t>
      </w:r>
    </w:p>
    <w:p w14:paraId="4FAF6B05" w14:textId="77777777" w:rsidR="002F07C4" w:rsidRPr="0021110A" w:rsidRDefault="00000000">
      <w:pPr>
        <w:pStyle w:val="Heading2"/>
        <w:rPr>
          <w:color w:val="auto"/>
        </w:rPr>
      </w:pPr>
      <w:r w:rsidRPr="0021110A">
        <w:rPr>
          <w:color w:val="auto"/>
        </w:rPr>
        <w:t>2.4 Eligibility Criteria</w:t>
      </w:r>
    </w:p>
    <w:p w14:paraId="17A98DDD" w14:textId="77777777" w:rsidR="002F07C4" w:rsidRPr="0021110A" w:rsidRDefault="00000000">
      <w:pPr>
        <w:jc w:val="both"/>
        <w:rPr>
          <w:color w:val="auto"/>
        </w:rPr>
      </w:pPr>
      <w:r w:rsidRPr="0021110A">
        <w:rPr>
          <w:color w:val="auto"/>
        </w:rPr>
        <w:t>Eligible sources included peer-reviewed original studies and high-quality reviews bearing directly on smallholder poultry, household food security, nutrition-sensitive livestock interventions, poultry-related gender relations or relevant animal and environmental health. Delta State studies were prioritised to establish production context and locally measured food-security determinants. Nigerian studies outside the state were used to illuminate plausible institutional and veterinary mechanisms, while controlled studies from other countries informed causal expectations and limits to transfer. Inclusion depended on identifying the study design, population or setting, outcome and substantive finding with sufficient reliability to support interpretation.</w:t>
      </w:r>
    </w:p>
    <w:p w14:paraId="5EB4121A" w14:textId="77777777" w:rsidR="002F07C4" w:rsidRPr="0021110A" w:rsidRDefault="00000000">
      <w:pPr>
        <w:jc w:val="both"/>
        <w:rPr>
          <w:color w:val="auto"/>
        </w:rPr>
      </w:pPr>
      <w:r w:rsidRPr="0021110A">
        <w:rPr>
          <w:color w:val="auto"/>
        </w:rPr>
        <w:t>Articles on large commercial production were retained only where comparison of margins, financing or market structure was necessary. Poultry performance outcomes without a plausible household welfare link, speculative intervention proposals without evaluation, promotional materials, unverified citations and papers without substantiated bibliographic identity were excluded from the argument. Studies from other populations were not treated as if their outcome estimates applied directly to rural Delta households. Older work was included when it remained conceptually relevant or documented foundational field experience not displaced by newer evidence.</w:t>
      </w:r>
    </w:p>
    <w:p w14:paraId="3D275FD7" w14:textId="77777777" w:rsidR="002F07C4" w:rsidRPr="0021110A" w:rsidRDefault="00000000">
      <w:pPr>
        <w:pStyle w:val="Heading2"/>
        <w:rPr>
          <w:color w:val="auto"/>
        </w:rPr>
      </w:pPr>
      <w:r w:rsidRPr="0021110A">
        <w:rPr>
          <w:color w:val="auto"/>
        </w:rPr>
        <w:t>2.5 Screening, Duplicate Handling and Study Selection</w:t>
      </w:r>
    </w:p>
    <w:p w14:paraId="2A948044" w14:textId="77777777" w:rsidR="002F07C4" w:rsidRPr="0021110A" w:rsidRDefault="00000000">
      <w:pPr>
        <w:jc w:val="both"/>
        <w:rPr>
          <w:color w:val="auto"/>
        </w:rPr>
      </w:pPr>
      <w:r w:rsidRPr="0021110A">
        <w:rPr>
          <w:color w:val="auto"/>
        </w:rPr>
        <w:t>Titles and descriptions were first assessed for conceptual fit. Abstracts and accessible full texts were subsequently examined for clarity of the production system, location, study design and outcome. Multiple records of the same article were reconciled through author names, title, year and DOI so that their evidence was not counted twice. Bibliographic inconsistencies were resolved using accessible journal or DOI records. Study selection was iterative because references identified in an initial group of papers often exposed new mechanisms requiring targeted follow-up, such as household faecal exposure or intra-household control of poultry income.</w:t>
      </w:r>
    </w:p>
    <w:p w14:paraId="1E097D48" w14:textId="77777777" w:rsidR="002F07C4" w:rsidRPr="0021110A" w:rsidRDefault="00000000">
      <w:pPr>
        <w:jc w:val="both"/>
        <w:rPr>
          <w:color w:val="auto"/>
        </w:rPr>
      </w:pPr>
      <w:r w:rsidRPr="0021110A">
        <w:rPr>
          <w:color w:val="auto"/>
        </w:rPr>
        <w:t xml:space="preserve">No exhaustive database export with preserved deduplication and eligibility decisions was created; accordingly, no identification, exclusion or inclusion counts are supplied, and no PRISMA-style flow diagram is implied. Where full-text access was restricted, claims were confined to conclusions, design details or metadata that were actually verifiable. English-language selection may have missed relevant work in other languages, although the regional emphasis was expected to capture some otherwise less visible Nigerian studies. The retained material </w:t>
      </w:r>
      <w:r w:rsidRPr="0021110A">
        <w:rPr>
          <w:color w:val="auto"/>
        </w:rPr>
        <w:lastRenderedPageBreak/>
        <w:t>was treated as an analytically selected evidence corpus, not as a statistically representative sample of the entire literature.</w:t>
      </w:r>
    </w:p>
    <w:p w14:paraId="6D17FF0E" w14:textId="77777777" w:rsidR="002F07C4" w:rsidRPr="0021110A" w:rsidRDefault="00000000">
      <w:pPr>
        <w:pStyle w:val="Heading2"/>
        <w:rPr>
          <w:color w:val="auto"/>
        </w:rPr>
      </w:pPr>
      <w:r w:rsidRPr="0021110A">
        <w:rPr>
          <w:color w:val="auto"/>
        </w:rPr>
        <w:t>2.6 Critical Appraisal and Evidence Synthesis</w:t>
      </w:r>
    </w:p>
    <w:p w14:paraId="4CA0BC5D" w14:textId="77777777" w:rsidR="002F07C4" w:rsidRPr="0021110A" w:rsidRDefault="00000000">
      <w:pPr>
        <w:jc w:val="both"/>
        <w:rPr>
          <w:color w:val="auto"/>
        </w:rPr>
      </w:pPr>
      <w:r w:rsidRPr="0021110A">
        <w:rPr>
          <w:color w:val="auto"/>
        </w:rPr>
        <w:t>Each empirical source was assessed in relation to the question it was asked to answer. Descriptive farm surveys were useful for classifying flock systems and identifying reported constraints but weak for causal attribution. Observational household models were appraised for potential confounding by wealth, education, household size, livelihood portfolios and market proximity, especially where these factors could influence both poultry keeping and food security. Economic studies were judged by cost coverage, sample selection and whether profitability captured family labour and losses. Intervention trials were evaluated for allocation, comparators, treatment bundling, measured adherence and whether the primary outcome concerned production, diets, biomarkers or growth. The review did not apply a numerical risk-of-bias instrument to studies for which full assessment data were insufficient.</w:t>
      </w:r>
    </w:p>
    <w:p w14:paraId="4D67146D" w14:textId="77777777" w:rsidR="002F07C4" w:rsidRPr="0021110A" w:rsidRDefault="00000000">
      <w:pPr>
        <w:jc w:val="both"/>
        <w:rPr>
          <w:color w:val="auto"/>
        </w:rPr>
      </w:pPr>
      <w:r w:rsidRPr="0021110A">
        <w:rPr>
          <w:color w:val="auto"/>
        </w:rPr>
        <w:t>Findings were organised under production-system differentiation, food-security pathways, the Delta evidence base, animal-health and environmental risks, institutions and markets, and the strength of causal inference. Convergence was judged more persuasive when independent study designs pointed towards the same mechanism. Disagreement was interpreted in light of follow-up length, baseline food insecurity, production input intensity, women’s actual control over flock decisions, differences in dietary measures and local infection pressures. Importantly, the synthesis does not infer that failure to detect an effect demonstrates that no effect is possible; it distinguishes an imprecise or null study result from a well-supported absence of benefit.</w:t>
      </w:r>
    </w:p>
    <w:p w14:paraId="06876EDF" w14:textId="77777777" w:rsidR="002F07C4" w:rsidRPr="0021110A" w:rsidRDefault="00000000">
      <w:pPr>
        <w:pStyle w:val="Heading1"/>
        <w:rPr>
          <w:color w:val="auto"/>
        </w:rPr>
      </w:pPr>
      <w:r w:rsidRPr="0021110A">
        <w:rPr>
          <w:color w:val="auto"/>
        </w:rPr>
        <w:t>3. Backyard Poultry as a Differentiated Production System</w:t>
      </w:r>
    </w:p>
    <w:p w14:paraId="14B50940" w14:textId="77777777" w:rsidR="002F07C4" w:rsidRPr="0021110A" w:rsidRDefault="00000000">
      <w:pPr>
        <w:jc w:val="both"/>
        <w:rPr>
          <w:color w:val="auto"/>
        </w:rPr>
      </w:pPr>
      <w:r w:rsidRPr="0021110A">
        <w:rPr>
          <w:color w:val="auto"/>
        </w:rPr>
        <w:t>The production system determines the conditions under which poultry can contribute to food security. A free-ranging hen, a partially confined mixed flock and a credit-financed enterprise may all be described as smallholder poultry, yet their financial exposures, labour requirements and capacities to supply a stable stream of eggs differ considerably. Evidence from Delta State itself has long distinguished extensive, semi-intensive and intensive production systems, indicating that variation is a local empirical issue rather than a conceptual refinement imported from another setting (Ovwigho et al., 2009). Critical policy analysis must classify these systems before comparing their returns or nutritional outcomes. Otherwise the apparent success of a selected enterprise can become an inappropriate estimate of what would happen if a cash-constrained household merely acquired a few chicks.</w:t>
      </w:r>
    </w:p>
    <w:p w14:paraId="0030A47C" w14:textId="77777777" w:rsidR="002F07C4" w:rsidRPr="0021110A" w:rsidRDefault="00000000">
      <w:pPr>
        <w:pStyle w:val="Heading2"/>
        <w:rPr>
          <w:color w:val="auto"/>
        </w:rPr>
      </w:pPr>
      <w:r w:rsidRPr="0021110A">
        <w:rPr>
          <w:color w:val="auto"/>
        </w:rPr>
        <w:t>3.1 Extensive, Semi-intensive and Market-oriented Flocks</w:t>
      </w:r>
    </w:p>
    <w:p w14:paraId="6522E06B" w14:textId="77777777" w:rsidR="002F07C4" w:rsidRPr="0021110A" w:rsidRDefault="00000000">
      <w:pPr>
        <w:jc w:val="both"/>
        <w:rPr>
          <w:color w:val="auto"/>
        </w:rPr>
      </w:pPr>
      <w:r w:rsidRPr="0021110A">
        <w:rPr>
          <w:color w:val="auto"/>
        </w:rPr>
        <w:t>In an extensive system, poultry largely scavenge, supplement their diets with kitchen scraps and crop residues, and are commonly exposed to variable shelter and health protection. Such flocks may remain accessible to households unable to purchase regular compound feed, but low purchased costs should not be mistaken for zero opportunity cost. Time spent tending birds, replacing losses, searching for medicines, protecting young chicks and managing damage to crops is part of the production equation. Under a scavenging model, output is also less predictable because nutrient intake, seasonal forage and disease exposure vary. The attractions of liquidity and flexible management described in African family-poultry research coexist with limited control over biological productivity (Birhanu et al., 2021; Gueye, 2000).</w:t>
      </w:r>
    </w:p>
    <w:p w14:paraId="06084BA2" w14:textId="77777777" w:rsidR="002F07C4" w:rsidRPr="0021110A" w:rsidRDefault="00000000">
      <w:pPr>
        <w:jc w:val="both"/>
        <w:rPr>
          <w:color w:val="auto"/>
        </w:rPr>
      </w:pPr>
      <w:r w:rsidRPr="0021110A">
        <w:rPr>
          <w:color w:val="auto"/>
        </w:rPr>
        <w:lastRenderedPageBreak/>
        <w:t>Semi-intensive husbandry can mitigate some uncertainty through night shelter, supplementation, deliberate nesting areas and routine animal-health care. In principle, this can produce more marketable or consumable output per bird. Yet each additional purchased input creates a financing requirement and, potentially, a new route to vulnerability if feed or vaccines are intermittently unavailable. Evidence on smallholder production efficiency across African settings demonstrates variation in the relationship between resources used and output produced; the performance of a particular technical package cannot be assumed constant across countries or household types (Birhanu et al., 2021). A measured increase in egg output also has to be valued against incremental cash costs and who assumes the additional work.</w:t>
      </w:r>
    </w:p>
    <w:p w14:paraId="074A30CA" w14:textId="77777777" w:rsidR="002F07C4" w:rsidRPr="0021110A" w:rsidRDefault="00000000">
      <w:pPr>
        <w:jc w:val="both"/>
        <w:rPr>
          <w:color w:val="auto"/>
        </w:rPr>
      </w:pPr>
      <w:r w:rsidRPr="0021110A">
        <w:rPr>
          <w:color w:val="auto"/>
        </w:rPr>
        <w:t>The boundary with commercial or market-oriented smallholder poultry is especially consequential in Nigerian evidence. Investigations in the south-west describe specialised production and input-market constraints that do not necessarily characterise a village household’s roaming indigenous flock (Adesehinwa et al., 2016). Farm-budget studies can demonstrate that a specified enterprise generated positive accounting returns under observed prices. They cannot establish that a poorer household without credit, secure housing or assured buyers would achieve comparable margins. Market-oriented operations may also compete with household consumption goals when virtually all saleable eggs are destined for trade. For Delta State, small-scale commercial experiences should serve as an economic counterfactual, not a proxy for subsistence backyard husbandry.</w:t>
      </w:r>
    </w:p>
    <w:p w14:paraId="443E6BEE" w14:textId="77777777" w:rsidR="002F07C4" w:rsidRPr="0021110A" w:rsidRDefault="00000000">
      <w:pPr>
        <w:pStyle w:val="Heading2"/>
        <w:rPr>
          <w:color w:val="auto"/>
        </w:rPr>
      </w:pPr>
      <w:r w:rsidRPr="0021110A">
        <w:rPr>
          <w:color w:val="auto"/>
        </w:rPr>
        <w:t>3.2 Flock Composition, Seasonality and Hidden Costs</w:t>
      </w:r>
    </w:p>
    <w:p w14:paraId="29BF6C4B" w14:textId="77777777" w:rsidR="002F07C4" w:rsidRPr="0021110A" w:rsidRDefault="00000000">
      <w:pPr>
        <w:jc w:val="both"/>
        <w:rPr>
          <w:color w:val="auto"/>
        </w:rPr>
      </w:pPr>
      <w:r w:rsidRPr="0021110A">
        <w:rPr>
          <w:color w:val="auto"/>
        </w:rPr>
        <w:t>Flock numbers alone provide an incomplete indicator of potential food-security contribution. Age and sex composition determine current egg-laying capacity, while the number of chicks may indicate future productive assets rather than immediately edible food. A household with many immature birds could report substantial poultry ownership but have few eggs available during the survey period. Conversely, a smaller flock of laying hens may provide more regular, nutritionally relevant output. Attrition from disease and predation further separates initial stock from realised production. Survey instruments that register ownership without live-bird histories, egg yields and mortality risk misclassifying the exposure that is supposedly related to food security. The biological production unit and the household welfare unit therefore require linked but separate measurements.</w:t>
      </w:r>
    </w:p>
    <w:p w14:paraId="2FAA4320" w14:textId="77777777" w:rsidR="002F07C4" w:rsidRPr="0021110A" w:rsidRDefault="00000000">
      <w:pPr>
        <w:jc w:val="both"/>
        <w:rPr>
          <w:color w:val="auto"/>
        </w:rPr>
      </w:pPr>
      <w:r w:rsidRPr="0021110A">
        <w:rPr>
          <w:color w:val="auto"/>
        </w:rPr>
        <w:t>Seasonality also complicates economic interpretation. Demand for live birds may increase around festivals or family ceremonies, while feed availability and market access fluctuate in response to rainfall, agricultural calendars and local transport conditions. Consumption and marketing patterns observed in Ethiopian village poultry illustrate how household choices can depend on religious occasions, gender and the ease of reaching markets (Aklilu et al., 2007). The transfer to Delta State lies in the mechanism, not in the calendar or numerical estimates. Without observing transactions through the year, a survey may overstate annual income by annualising a favourable market week or understate the value of birds deliberately held as a reserve. Seasonal field observation should therefore document both physical flock stocks and the reasons households choose not to sell or eat available birds.</w:t>
      </w:r>
    </w:p>
    <w:p w14:paraId="31DE0036" w14:textId="77777777" w:rsidR="002F07C4" w:rsidRPr="0021110A" w:rsidRDefault="00000000">
      <w:pPr>
        <w:jc w:val="both"/>
        <w:rPr>
          <w:color w:val="auto"/>
        </w:rPr>
      </w:pPr>
      <w:r w:rsidRPr="0021110A">
        <w:rPr>
          <w:color w:val="auto"/>
        </w:rPr>
        <w:t xml:space="preserve">The valuation of family labour requires particular care. Egg collection, housing maintenance, feeding young chicks and attending to sick birds can be dispersed among women, older relatives and children, making this effort easy to omit from farm budgets. African qualitative work shows that the household member who rears poultry does not necessarily hold the power to dispose of birds or manage the proceeds (Dumas et al., 2018). An enterprise may appear financially viable when family labour is not priced, while the person providing that labour experiences an additional time burden. Neither outcome automatically indicates failure: unpaid time and </w:t>
      </w:r>
      <w:r w:rsidRPr="0021110A">
        <w:rPr>
          <w:color w:val="auto"/>
        </w:rPr>
        <w:lastRenderedPageBreak/>
        <w:t>household asset accumulation can be jointly valued through non-market preferences. What matters is transparency about whether the reported return is a cash margin, an economic profit including labour or a household welfare change.</w:t>
      </w:r>
    </w:p>
    <w:p w14:paraId="2CBAEC70" w14:textId="77777777" w:rsidR="002F07C4" w:rsidRPr="0021110A" w:rsidRDefault="00000000">
      <w:pPr>
        <w:pStyle w:val="Heading2"/>
        <w:rPr>
          <w:color w:val="auto"/>
        </w:rPr>
      </w:pPr>
      <w:r w:rsidRPr="0021110A">
        <w:rPr>
          <w:color w:val="auto"/>
        </w:rPr>
        <w:t>3.3 Classification as a Prerequisite for Evaluation</w:t>
      </w:r>
    </w:p>
    <w:p w14:paraId="1A0D4FD8" w14:textId="77777777" w:rsidR="002F07C4" w:rsidRPr="0021110A" w:rsidRDefault="00000000">
      <w:pPr>
        <w:jc w:val="both"/>
        <w:rPr>
          <w:color w:val="auto"/>
        </w:rPr>
      </w:pPr>
      <w:r w:rsidRPr="0021110A">
        <w:rPr>
          <w:color w:val="auto"/>
        </w:rPr>
        <w:t>Differences across production systems have implications for sampling and programme targeting. A survey that combines scavenging and commercial farmers without stratification will tend to obscure the distribution of output, disease losses, feed expenditure and credit access. A programme evaluated among existing enterprise owners may display high adoption because participants already possess housing and market connections. The same package may have lower uptake among the most food-insecure households, especially if it requires upfront spending or reliable access to veterinary services. Nigerian evidence from market-oriented projects and local household flocks therefore needs to be read jointly but not merged uncritically (Adesehinwa et al., 2016; Koyenikan, 2011; Odum &amp; Chukwuji, 2022).</w:t>
      </w:r>
    </w:p>
    <w:p w14:paraId="0BBCCC11" w14:textId="77777777" w:rsidR="002F07C4" w:rsidRPr="0021110A" w:rsidRDefault="00000000">
      <w:pPr>
        <w:jc w:val="both"/>
        <w:rPr>
          <w:color w:val="auto"/>
        </w:rPr>
      </w:pPr>
      <w:r w:rsidRPr="0021110A">
        <w:rPr>
          <w:color w:val="auto"/>
        </w:rPr>
        <w:t>Table 1 synthesises these distinctions as a basis for subsequent causal analysis. Its principal implication is that poultry ownership is a heterogeneous exposure: different flock systems plausibly affect food availability, purchasing power and vulnerability through different combinations of output, cost and risk. A policy decision based on the table should first identify the intended production system and the food-security dimension to be changed, rather than assume that all systems follow the same pathway.</w:t>
      </w:r>
    </w:p>
    <w:p w14:paraId="64ED5D4C" w14:textId="77777777" w:rsidR="002F07C4" w:rsidRPr="0021110A" w:rsidRDefault="00000000">
      <w:pPr>
        <w:pStyle w:val="TableCaption"/>
        <w:rPr>
          <w:color w:val="auto"/>
        </w:rPr>
      </w:pPr>
      <w:r w:rsidRPr="0021110A">
        <w:rPr>
          <w:color w:val="auto"/>
        </w:rPr>
        <w:t>Table 1. Production-system distinctions and food-security pathways relevant to rural Delta State</w:t>
      </w:r>
    </w:p>
    <w:tbl>
      <w:tblPr>
        <w:tblW w:w="0" w:type="auto"/>
        <w:jc w:val="center"/>
        <w:tblBorders>
          <w:top w:val="single" w:sz="5" w:space="0" w:color="AEBAC0"/>
          <w:left w:val="nil"/>
          <w:bottom w:val="single" w:sz="5" w:space="0" w:color="AEBAC0"/>
          <w:right w:val="nil"/>
          <w:insideH w:val="single" w:sz="2" w:space="0" w:color="DFE6E9"/>
          <w:insideV w:val="nil"/>
        </w:tblBorders>
        <w:tblLayout w:type="fixed"/>
        <w:tblLook w:val="04A0" w:firstRow="1" w:lastRow="0" w:firstColumn="1" w:lastColumn="0" w:noHBand="0" w:noVBand="1"/>
      </w:tblPr>
      <w:tblGrid>
        <w:gridCol w:w="1406"/>
        <w:gridCol w:w="2303"/>
        <w:gridCol w:w="2209"/>
        <w:gridCol w:w="2209"/>
        <w:gridCol w:w="1767"/>
      </w:tblGrid>
      <w:tr w:rsidR="0021110A" w:rsidRPr="0021110A" w14:paraId="7D5FE21C" w14:textId="77777777">
        <w:trPr>
          <w:tblHeader/>
          <w:jc w:val="center"/>
        </w:trPr>
        <w:tc>
          <w:tcPr>
            <w:tcW w:w="1406" w:type="dxa"/>
            <w:shd w:val="clear" w:color="auto" w:fill="E5EAED"/>
            <w:tcMar>
              <w:top w:w="100" w:type="dxa"/>
              <w:left w:w="90" w:type="dxa"/>
              <w:bottom w:w="100" w:type="dxa"/>
              <w:right w:w="90" w:type="dxa"/>
            </w:tcMar>
            <w:vAlign w:val="center"/>
          </w:tcPr>
          <w:p w14:paraId="01212480" w14:textId="77777777" w:rsidR="002F07C4" w:rsidRPr="0021110A" w:rsidRDefault="00000000">
            <w:pPr>
              <w:spacing w:after="0" w:line="259" w:lineRule="auto"/>
              <w:rPr>
                <w:color w:val="auto"/>
              </w:rPr>
            </w:pPr>
            <w:r w:rsidRPr="0021110A">
              <w:rPr>
                <w:b/>
                <w:color w:val="auto"/>
                <w:sz w:val="16"/>
              </w:rPr>
              <w:t>System or construct</w:t>
            </w:r>
          </w:p>
        </w:tc>
        <w:tc>
          <w:tcPr>
            <w:tcW w:w="2303" w:type="dxa"/>
            <w:shd w:val="clear" w:color="auto" w:fill="E5EAED"/>
            <w:tcMar>
              <w:top w:w="100" w:type="dxa"/>
              <w:left w:w="90" w:type="dxa"/>
              <w:bottom w:w="100" w:type="dxa"/>
              <w:right w:w="90" w:type="dxa"/>
            </w:tcMar>
            <w:vAlign w:val="center"/>
          </w:tcPr>
          <w:p w14:paraId="6F81E796" w14:textId="77777777" w:rsidR="002F07C4" w:rsidRPr="0021110A" w:rsidRDefault="00000000">
            <w:pPr>
              <w:spacing w:after="0" w:line="259" w:lineRule="auto"/>
              <w:rPr>
                <w:color w:val="auto"/>
              </w:rPr>
            </w:pPr>
            <w:r w:rsidRPr="0021110A">
              <w:rPr>
                <w:b/>
                <w:color w:val="auto"/>
                <w:sz w:val="16"/>
              </w:rPr>
              <w:t>Typical characteristics and boundary</w:t>
            </w:r>
          </w:p>
        </w:tc>
        <w:tc>
          <w:tcPr>
            <w:tcW w:w="2209" w:type="dxa"/>
            <w:shd w:val="clear" w:color="auto" w:fill="E5EAED"/>
            <w:tcMar>
              <w:top w:w="100" w:type="dxa"/>
              <w:left w:w="90" w:type="dxa"/>
              <w:bottom w:w="100" w:type="dxa"/>
              <w:right w:w="90" w:type="dxa"/>
            </w:tcMar>
            <w:vAlign w:val="center"/>
          </w:tcPr>
          <w:p w14:paraId="659E6252" w14:textId="77777777" w:rsidR="002F07C4" w:rsidRPr="0021110A" w:rsidRDefault="00000000">
            <w:pPr>
              <w:spacing w:after="0" w:line="259" w:lineRule="auto"/>
              <w:rPr>
                <w:color w:val="auto"/>
              </w:rPr>
            </w:pPr>
            <w:r w:rsidRPr="0021110A">
              <w:rPr>
                <w:b/>
                <w:color w:val="auto"/>
                <w:sz w:val="16"/>
              </w:rPr>
              <w:t>Plausible food-security contribution</w:t>
            </w:r>
          </w:p>
        </w:tc>
        <w:tc>
          <w:tcPr>
            <w:tcW w:w="2209" w:type="dxa"/>
            <w:shd w:val="clear" w:color="auto" w:fill="E5EAED"/>
            <w:tcMar>
              <w:top w:w="100" w:type="dxa"/>
              <w:left w:w="90" w:type="dxa"/>
              <w:bottom w:w="100" w:type="dxa"/>
              <w:right w:w="90" w:type="dxa"/>
            </w:tcMar>
            <w:vAlign w:val="center"/>
          </w:tcPr>
          <w:p w14:paraId="082EE0B3" w14:textId="77777777" w:rsidR="002F07C4" w:rsidRPr="0021110A" w:rsidRDefault="00000000">
            <w:pPr>
              <w:spacing w:after="0" w:line="259" w:lineRule="auto"/>
              <w:rPr>
                <w:color w:val="auto"/>
              </w:rPr>
            </w:pPr>
            <w:r w:rsidRPr="0021110A">
              <w:rPr>
                <w:b/>
                <w:color w:val="auto"/>
                <w:sz w:val="16"/>
              </w:rPr>
              <w:t>Principal caveat</w:t>
            </w:r>
          </w:p>
        </w:tc>
        <w:tc>
          <w:tcPr>
            <w:tcW w:w="1767" w:type="dxa"/>
            <w:shd w:val="clear" w:color="auto" w:fill="E5EAED"/>
            <w:tcMar>
              <w:top w:w="100" w:type="dxa"/>
              <w:left w:w="90" w:type="dxa"/>
              <w:bottom w:w="100" w:type="dxa"/>
              <w:right w:w="90" w:type="dxa"/>
            </w:tcMar>
            <w:vAlign w:val="center"/>
          </w:tcPr>
          <w:p w14:paraId="096EDEA4" w14:textId="77777777" w:rsidR="002F07C4" w:rsidRPr="0021110A" w:rsidRDefault="00000000">
            <w:pPr>
              <w:spacing w:after="0" w:line="259" w:lineRule="auto"/>
              <w:rPr>
                <w:color w:val="auto"/>
              </w:rPr>
            </w:pPr>
            <w:r w:rsidRPr="0021110A">
              <w:rPr>
                <w:b/>
                <w:color w:val="auto"/>
                <w:sz w:val="16"/>
              </w:rPr>
              <w:t>Supporting references</w:t>
            </w:r>
          </w:p>
        </w:tc>
      </w:tr>
      <w:tr w:rsidR="0021110A" w:rsidRPr="0021110A" w14:paraId="793CF80F" w14:textId="77777777">
        <w:trPr>
          <w:jc w:val="center"/>
        </w:trPr>
        <w:tc>
          <w:tcPr>
            <w:tcW w:w="1406" w:type="dxa"/>
            <w:tcMar>
              <w:top w:w="85" w:type="dxa"/>
              <w:left w:w="85" w:type="dxa"/>
              <w:bottom w:w="85" w:type="dxa"/>
              <w:right w:w="85" w:type="dxa"/>
            </w:tcMar>
            <w:vAlign w:val="center"/>
          </w:tcPr>
          <w:p w14:paraId="627256A3" w14:textId="77777777" w:rsidR="002F07C4" w:rsidRPr="0021110A" w:rsidRDefault="00000000">
            <w:pPr>
              <w:spacing w:after="0" w:line="257" w:lineRule="auto"/>
              <w:rPr>
                <w:color w:val="auto"/>
              </w:rPr>
            </w:pPr>
            <w:r w:rsidRPr="0021110A">
              <w:rPr>
                <w:color w:val="auto"/>
                <w:sz w:val="16"/>
              </w:rPr>
              <w:t>Scavenging household flock</w:t>
            </w:r>
          </w:p>
        </w:tc>
        <w:tc>
          <w:tcPr>
            <w:tcW w:w="2303" w:type="dxa"/>
            <w:tcMar>
              <w:top w:w="85" w:type="dxa"/>
              <w:left w:w="85" w:type="dxa"/>
              <w:bottom w:w="85" w:type="dxa"/>
              <w:right w:w="85" w:type="dxa"/>
            </w:tcMar>
            <w:vAlign w:val="center"/>
          </w:tcPr>
          <w:p w14:paraId="57729ED4" w14:textId="77777777" w:rsidR="002F07C4" w:rsidRPr="0021110A" w:rsidRDefault="00000000">
            <w:pPr>
              <w:spacing w:after="0" w:line="257" w:lineRule="auto"/>
              <w:rPr>
                <w:color w:val="auto"/>
              </w:rPr>
            </w:pPr>
            <w:r w:rsidRPr="0021110A">
              <w:rPr>
                <w:color w:val="auto"/>
                <w:sz w:val="16"/>
              </w:rPr>
              <w:t>Small, mixed-age flock; daytime ranging and household scraps; occasional night shelter.</w:t>
            </w:r>
          </w:p>
        </w:tc>
        <w:tc>
          <w:tcPr>
            <w:tcW w:w="2209" w:type="dxa"/>
            <w:tcMar>
              <w:top w:w="85" w:type="dxa"/>
              <w:left w:w="85" w:type="dxa"/>
              <w:bottom w:w="85" w:type="dxa"/>
              <w:right w:w="85" w:type="dxa"/>
            </w:tcMar>
            <w:vAlign w:val="center"/>
          </w:tcPr>
          <w:p w14:paraId="63440F45" w14:textId="77777777" w:rsidR="002F07C4" w:rsidRPr="0021110A" w:rsidRDefault="00000000">
            <w:pPr>
              <w:spacing w:after="0" w:line="257" w:lineRule="auto"/>
              <w:rPr>
                <w:color w:val="auto"/>
              </w:rPr>
            </w:pPr>
            <w:r w:rsidRPr="0021110A">
              <w:rPr>
                <w:color w:val="auto"/>
                <w:sz w:val="16"/>
              </w:rPr>
              <w:t>Saleable live birds, occasional eggs or meat; low purchased-input exposure.</w:t>
            </w:r>
          </w:p>
        </w:tc>
        <w:tc>
          <w:tcPr>
            <w:tcW w:w="2209" w:type="dxa"/>
            <w:tcMar>
              <w:top w:w="85" w:type="dxa"/>
              <w:left w:w="85" w:type="dxa"/>
              <w:bottom w:w="85" w:type="dxa"/>
              <w:right w:w="85" w:type="dxa"/>
            </w:tcMar>
            <w:vAlign w:val="center"/>
          </w:tcPr>
          <w:p w14:paraId="450AA541" w14:textId="77777777" w:rsidR="002F07C4" w:rsidRPr="0021110A" w:rsidRDefault="00000000">
            <w:pPr>
              <w:spacing w:after="0" w:line="257" w:lineRule="auto"/>
              <w:rPr>
                <w:color w:val="auto"/>
              </w:rPr>
            </w:pPr>
            <w:r w:rsidRPr="0021110A">
              <w:rPr>
                <w:color w:val="auto"/>
                <w:sz w:val="16"/>
              </w:rPr>
              <w:t>Disease, predation, seasonal feed gaps and child contact with faeces.</w:t>
            </w:r>
          </w:p>
        </w:tc>
        <w:tc>
          <w:tcPr>
            <w:tcW w:w="1767" w:type="dxa"/>
            <w:tcMar>
              <w:top w:w="85" w:type="dxa"/>
              <w:left w:w="85" w:type="dxa"/>
              <w:bottom w:w="85" w:type="dxa"/>
              <w:right w:w="85" w:type="dxa"/>
            </w:tcMar>
            <w:vAlign w:val="center"/>
          </w:tcPr>
          <w:p w14:paraId="44728AA0" w14:textId="77777777" w:rsidR="002F07C4" w:rsidRPr="0021110A" w:rsidRDefault="00000000">
            <w:pPr>
              <w:spacing w:after="0" w:line="257" w:lineRule="auto"/>
              <w:rPr>
                <w:color w:val="auto"/>
              </w:rPr>
            </w:pPr>
            <w:r w:rsidRPr="0021110A">
              <w:rPr>
                <w:color w:val="auto"/>
                <w:sz w:val="16"/>
              </w:rPr>
              <w:t>(Gueye, 2000; Koyenikan, 2011; Ovwigho et al., 2009)</w:t>
            </w:r>
          </w:p>
        </w:tc>
      </w:tr>
      <w:tr w:rsidR="0021110A" w:rsidRPr="0021110A" w14:paraId="08092416" w14:textId="77777777">
        <w:trPr>
          <w:jc w:val="center"/>
        </w:trPr>
        <w:tc>
          <w:tcPr>
            <w:tcW w:w="1406" w:type="dxa"/>
            <w:tcMar>
              <w:top w:w="85" w:type="dxa"/>
              <w:left w:w="85" w:type="dxa"/>
              <w:bottom w:w="85" w:type="dxa"/>
              <w:right w:w="85" w:type="dxa"/>
            </w:tcMar>
            <w:vAlign w:val="center"/>
          </w:tcPr>
          <w:p w14:paraId="330552C8" w14:textId="77777777" w:rsidR="002F07C4" w:rsidRPr="0021110A" w:rsidRDefault="00000000">
            <w:pPr>
              <w:spacing w:after="0" w:line="257" w:lineRule="auto"/>
              <w:rPr>
                <w:color w:val="auto"/>
              </w:rPr>
            </w:pPr>
            <w:r w:rsidRPr="0021110A">
              <w:rPr>
                <w:color w:val="auto"/>
                <w:sz w:val="16"/>
              </w:rPr>
              <w:t>Semi-intensive household flock</w:t>
            </w:r>
          </w:p>
        </w:tc>
        <w:tc>
          <w:tcPr>
            <w:tcW w:w="2303" w:type="dxa"/>
            <w:tcMar>
              <w:top w:w="85" w:type="dxa"/>
              <w:left w:w="85" w:type="dxa"/>
              <w:bottom w:w="85" w:type="dxa"/>
              <w:right w:w="85" w:type="dxa"/>
            </w:tcMar>
            <w:vAlign w:val="center"/>
          </w:tcPr>
          <w:p w14:paraId="6E459BE5" w14:textId="77777777" w:rsidR="002F07C4" w:rsidRPr="0021110A" w:rsidRDefault="00000000">
            <w:pPr>
              <w:spacing w:after="0" w:line="257" w:lineRule="auto"/>
              <w:rPr>
                <w:color w:val="auto"/>
              </w:rPr>
            </w:pPr>
            <w:r w:rsidRPr="0021110A">
              <w:rPr>
                <w:color w:val="auto"/>
                <w:sz w:val="16"/>
              </w:rPr>
              <w:t>Some confinement, feed supplementation and more deliberate breeding or vaccination.</w:t>
            </w:r>
          </w:p>
        </w:tc>
        <w:tc>
          <w:tcPr>
            <w:tcW w:w="2209" w:type="dxa"/>
            <w:tcMar>
              <w:top w:w="85" w:type="dxa"/>
              <w:left w:w="85" w:type="dxa"/>
              <w:bottom w:w="85" w:type="dxa"/>
              <w:right w:w="85" w:type="dxa"/>
            </w:tcMar>
            <w:vAlign w:val="center"/>
          </w:tcPr>
          <w:p w14:paraId="7F7A86D7" w14:textId="77777777" w:rsidR="002F07C4" w:rsidRPr="0021110A" w:rsidRDefault="00000000">
            <w:pPr>
              <w:spacing w:after="0" w:line="257" w:lineRule="auto"/>
              <w:rPr>
                <w:color w:val="auto"/>
              </w:rPr>
            </w:pPr>
            <w:r w:rsidRPr="0021110A">
              <w:rPr>
                <w:color w:val="auto"/>
                <w:sz w:val="16"/>
              </w:rPr>
              <w:t>More controllable egg flow and potentially higher sale or consumption frequency.</w:t>
            </w:r>
          </w:p>
        </w:tc>
        <w:tc>
          <w:tcPr>
            <w:tcW w:w="2209" w:type="dxa"/>
            <w:tcMar>
              <w:top w:w="85" w:type="dxa"/>
              <w:left w:w="85" w:type="dxa"/>
              <w:bottom w:w="85" w:type="dxa"/>
              <w:right w:w="85" w:type="dxa"/>
            </w:tcMar>
            <w:vAlign w:val="center"/>
          </w:tcPr>
          <w:p w14:paraId="1A93E09E" w14:textId="77777777" w:rsidR="002F07C4" w:rsidRPr="0021110A" w:rsidRDefault="00000000">
            <w:pPr>
              <w:spacing w:after="0" w:line="257" w:lineRule="auto"/>
              <w:rPr>
                <w:color w:val="auto"/>
              </w:rPr>
            </w:pPr>
            <w:r w:rsidRPr="0021110A">
              <w:rPr>
                <w:color w:val="auto"/>
                <w:sz w:val="16"/>
              </w:rPr>
              <w:t>Feed cash costs and labour rise; benefits depend on reliable health services.</w:t>
            </w:r>
          </w:p>
        </w:tc>
        <w:tc>
          <w:tcPr>
            <w:tcW w:w="1767" w:type="dxa"/>
            <w:tcMar>
              <w:top w:w="85" w:type="dxa"/>
              <w:left w:w="85" w:type="dxa"/>
              <w:bottom w:w="85" w:type="dxa"/>
              <w:right w:w="85" w:type="dxa"/>
            </w:tcMar>
            <w:vAlign w:val="center"/>
          </w:tcPr>
          <w:p w14:paraId="361CC047" w14:textId="77777777" w:rsidR="002F07C4" w:rsidRPr="0021110A" w:rsidRDefault="00000000">
            <w:pPr>
              <w:spacing w:after="0" w:line="257" w:lineRule="auto"/>
              <w:rPr>
                <w:color w:val="auto"/>
              </w:rPr>
            </w:pPr>
            <w:r w:rsidRPr="0021110A">
              <w:rPr>
                <w:color w:val="auto"/>
                <w:sz w:val="16"/>
              </w:rPr>
              <w:t>(Birhanu et al., 2021; Dione et al., 2025)</w:t>
            </w:r>
          </w:p>
        </w:tc>
      </w:tr>
      <w:tr w:rsidR="0021110A" w:rsidRPr="0021110A" w14:paraId="2153B866" w14:textId="77777777">
        <w:trPr>
          <w:jc w:val="center"/>
        </w:trPr>
        <w:tc>
          <w:tcPr>
            <w:tcW w:w="1406" w:type="dxa"/>
            <w:tcMar>
              <w:top w:w="85" w:type="dxa"/>
              <w:left w:w="85" w:type="dxa"/>
              <w:bottom w:w="85" w:type="dxa"/>
              <w:right w:w="85" w:type="dxa"/>
            </w:tcMar>
            <w:vAlign w:val="center"/>
          </w:tcPr>
          <w:p w14:paraId="61BA0D9F" w14:textId="77777777" w:rsidR="002F07C4" w:rsidRPr="0021110A" w:rsidRDefault="00000000">
            <w:pPr>
              <w:spacing w:after="0" w:line="257" w:lineRule="auto"/>
              <w:rPr>
                <w:color w:val="auto"/>
              </w:rPr>
            </w:pPr>
            <w:r w:rsidRPr="0021110A">
              <w:rPr>
                <w:color w:val="auto"/>
                <w:sz w:val="16"/>
              </w:rPr>
              <w:t>Market-oriented smallholder poultry</w:t>
            </w:r>
          </w:p>
        </w:tc>
        <w:tc>
          <w:tcPr>
            <w:tcW w:w="2303" w:type="dxa"/>
            <w:tcMar>
              <w:top w:w="85" w:type="dxa"/>
              <w:left w:w="85" w:type="dxa"/>
              <w:bottom w:w="85" w:type="dxa"/>
              <w:right w:w="85" w:type="dxa"/>
            </w:tcMar>
            <w:vAlign w:val="center"/>
          </w:tcPr>
          <w:p w14:paraId="39A97E5B" w14:textId="77777777" w:rsidR="002F07C4" w:rsidRPr="0021110A" w:rsidRDefault="00000000">
            <w:pPr>
              <w:spacing w:after="0" w:line="257" w:lineRule="auto"/>
              <w:rPr>
                <w:color w:val="auto"/>
              </w:rPr>
            </w:pPr>
            <w:r w:rsidRPr="0021110A">
              <w:rPr>
                <w:color w:val="auto"/>
                <w:sz w:val="16"/>
              </w:rPr>
              <w:t>Purchased chicks, compound feed, commercial egg or meat marketing; may operate near homestead.</w:t>
            </w:r>
          </w:p>
        </w:tc>
        <w:tc>
          <w:tcPr>
            <w:tcW w:w="2209" w:type="dxa"/>
            <w:tcMar>
              <w:top w:w="85" w:type="dxa"/>
              <w:left w:w="85" w:type="dxa"/>
              <w:bottom w:w="85" w:type="dxa"/>
              <w:right w:w="85" w:type="dxa"/>
            </w:tcMar>
            <w:vAlign w:val="center"/>
          </w:tcPr>
          <w:p w14:paraId="36612A9F" w14:textId="77777777" w:rsidR="002F07C4" w:rsidRPr="0021110A" w:rsidRDefault="00000000">
            <w:pPr>
              <w:spacing w:after="0" w:line="257" w:lineRule="auto"/>
              <w:rPr>
                <w:color w:val="auto"/>
              </w:rPr>
            </w:pPr>
            <w:r w:rsidRPr="0021110A">
              <w:rPr>
                <w:color w:val="auto"/>
                <w:sz w:val="16"/>
              </w:rPr>
              <w:t>Regular cash revenue and local market supply under viable prices.</w:t>
            </w:r>
          </w:p>
        </w:tc>
        <w:tc>
          <w:tcPr>
            <w:tcW w:w="2209" w:type="dxa"/>
            <w:tcMar>
              <w:top w:w="85" w:type="dxa"/>
              <w:left w:w="85" w:type="dxa"/>
              <w:bottom w:w="85" w:type="dxa"/>
              <w:right w:w="85" w:type="dxa"/>
            </w:tcMar>
            <w:vAlign w:val="center"/>
          </w:tcPr>
          <w:p w14:paraId="48ACED21" w14:textId="77777777" w:rsidR="002F07C4" w:rsidRPr="0021110A" w:rsidRDefault="00000000">
            <w:pPr>
              <w:spacing w:after="0" w:line="257" w:lineRule="auto"/>
              <w:rPr>
                <w:color w:val="auto"/>
              </w:rPr>
            </w:pPr>
            <w:r w:rsidRPr="0021110A">
              <w:rPr>
                <w:color w:val="auto"/>
                <w:sz w:val="16"/>
              </w:rPr>
              <w:t>Profitability, volatility and financial risk differ markedly from backyard scavenging.</w:t>
            </w:r>
          </w:p>
        </w:tc>
        <w:tc>
          <w:tcPr>
            <w:tcW w:w="1767" w:type="dxa"/>
            <w:tcMar>
              <w:top w:w="85" w:type="dxa"/>
              <w:left w:w="85" w:type="dxa"/>
              <w:bottom w:w="85" w:type="dxa"/>
              <w:right w:w="85" w:type="dxa"/>
            </w:tcMar>
            <w:vAlign w:val="center"/>
          </w:tcPr>
          <w:p w14:paraId="2D11DCE3" w14:textId="77777777" w:rsidR="002F07C4" w:rsidRPr="0021110A" w:rsidRDefault="00000000">
            <w:pPr>
              <w:spacing w:after="0" w:line="257" w:lineRule="auto"/>
              <w:rPr>
                <w:color w:val="auto"/>
              </w:rPr>
            </w:pPr>
            <w:r w:rsidRPr="0021110A">
              <w:rPr>
                <w:color w:val="auto"/>
                <w:sz w:val="16"/>
              </w:rPr>
              <w:t>(Adesehinwa et al., 2016, 2020; Odum &amp; Chukwuji, 2022)</w:t>
            </w:r>
          </w:p>
        </w:tc>
      </w:tr>
      <w:tr w:rsidR="0021110A" w:rsidRPr="0021110A" w14:paraId="5B87C4F2" w14:textId="77777777">
        <w:trPr>
          <w:jc w:val="center"/>
        </w:trPr>
        <w:tc>
          <w:tcPr>
            <w:tcW w:w="1406" w:type="dxa"/>
            <w:tcMar>
              <w:top w:w="85" w:type="dxa"/>
              <w:left w:w="85" w:type="dxa"/>
              <w:bottom w:w="85" w:type="dxa"/>
              <w:right w:w="85" w:type="dxa"/>
            </w:tcMar>
            <w:vAlign w:val="center"/>
          </w:tcPr>
          <w:p w14:paraId="23D5E2EB" w14:textId="77777777" w:rsidR="002F07C4" w:rsidRPr="0021110A" w:rsidRDefault="00000000">
            <w:pPr>
              <w:spacing w:after="0" w:line="257" w:lineRule="auto"/>
              <w:rPr>
                <w:color w:val="auto"/>
              </w:rPr>
            </w:pPr>
            <w:r w:rsidRPr="0021110A">
              <w:rPr>
                <w:color w:val="auto"/>
                <w:sz w:val="16"/>
              </w:rPr>
              <w:t>Food-security outcome</w:t>
            </w:r>
          </w:p>
        </w:tc>
        <w:tc>
          <w:tcPr>
            <w:tcW w:w="2303" w:type="dxa"/>
            <w:tcMar>
              <w:top w:w="85" w:type="dxa"/>
              <w:left w:w="85" w:type="dxa"/>
              <w:bottom w:w="85" w:type="dxa"/>
              <w:right w:w="85" w:type="dxa"/>
            </w:tcMar>
            <w:vAlign w:val="center"/>
          </w:tcPr>
          <w:p w14:paraId="5F6F1E3F" w14:textId="77777777" w:rsidR="002F07C4" w:rsidRPr="0021110A" w:rsidRDefault="00000000">
            <w:pPr>
              <w:spacing w:after="0" w:line="257" w:lineRule="auto"/>
              <w:rPr>
                <w:color w:val="auto"/>
              </w:rPr>
            </w:pPr>
            <w:r w:rsidRPr="0021110A">
              <w:rPr>
                <w:color w:val="auto"/>
                <w:sz w:val="16"/>
              </w:rPr>
              <w:t>Availability, access, utilisation and stability are distinct analytic dimensions.</w:t>
            </w:r>
          </w:p>
        </w:tc>
        <w:tc>
          <w:tcPr>
            <w:tcW w:w="2209" w:type="dxa"/>
            <w:tcMar>
              <w:top w:w="85" w:type="dxa"/>
              <w:left w:w="85" w:type="dxa"/>
              <w:bottom w:w="85" w:type="dxa"/>
              <w:right w:w="85" w:type="dxa"/>
            </w:tcMar>
            <w:vAlign w:val="center"/>
          </w:tcPr>
          <w:p w14:paraId="44E83EAA" w14:textId="77777777" w:rsidR="002F07C4" w:rsidRPr="0021110A" w:rsidRDefault="00000000">
            <w:pPr>
              <w:spacing w:after="0" w:line="257" w:lineRule="auto"/>
              <w:rPr>
                <w:color w:val="auto"/>
              </w:rPr>
            </w:pPr>
            <w:r w:rsidRPr="0021110A">
              <w:rPr>
                <w:color w:val="auto"/>
                <w:sz w:val="16"/>
              </w:rPr>
              <w:t>Consumption, purchasing power, nutrition and shock buffering can be tested separately.</w:t>
            </w:r>
          </w:p>
        </w:tc>
        <w:tc>
          <w:tcPr>
            <w:tcW w:w="2209" w:type="dxa"/>
            <w:tcMar>
              <w:top w:w="85" w:type="dxa"/>
              <w:left w:w="85" w:type="dxa"/>
              <w:bottom w:w="85" w:type="dxa"/>
              <w:right w:w="85" w:type="dxa"/>
            </w:tcMar>
            <w:vAlign w:val="center"/>
          </w:tcPr>
          <w:p w14:paraId="1CB8C931" w14:textId="77777777" w:rsidR="002F07C4" w:rsidRPr="0021110A" w:rsidRDefault="00000000">
            <w:pPr>
              <w:spacing w:after="0" w:line="257" w:lineRule="auto"/>
              <w:rPr>
                <w:color w:val="auto"/>
              </w:rPr>
            </w:pPr>
            <w:r w:rsidRPr="0021110A">
              <w:rPr>
                <w:color w:val="auto"/>
                <w:sz w:val="16"/>
              </w:rPr>
              <w:t>Ownership or flock size alone establishes none of these outcomes.</w:t>
            </w:r>
          </w:p>
        </w:tc>
        <w:tc>
          <w:tcPr>
            <w:tcW w:w="1767" w:type="dxa"/>
            <w:tcMar>
              <w:top w:w="85" w:type="dxa"/>
              <w:left w:w="85" w:type="dxa"/>
              <w:bottom w:w="85" w:type="dxa"/>
              <w:right w:w="85" w:type="dxa"/>
            </w:tcMar>
            <w:vAlign w:val="center"/>
          </w:tcPr>
          <w:p w14:paraId="780B1093" w14:textId="77777777" w:rsidR="002F07C4" w:rsidRPr="0021110A" w:rsidRDefault="00000000">
            <w:pPr>
              <w:spacing w:after="0" w:line="257" w:lineRule="auto"/>
              <w:rPr>
                <w:color w:val="auto"/>
              </w:rPr>
            </w:pPr>
            <w:r w:rsidRPr="0021110A">
              <w:rPr>
                <w:color w:val="auto"/>
                <w:sz w:val="16"/>
              </w:rPr>
              <w:t>(Food and Agriculture Organization of the United Nations, 2008; He et al., 2026)</w:t>
            </w:r>
          </w:p>
        </w:tc>
      </w:tr>
    </w:tbl>
    <w:p w14:paraId="029B6756" w14:textId="77777777" w:rsidR="002F07C4" w:rsidRPr="0021110A" w:rsidRDefault="00000000">
      <w:pPr>
        <w:pStyle w:val="TableNote"/>
        <w:spacing w:after="180"/>
        <w:rPr>
          <w:color w:val="auto"/>
        </w:rPr>
      </w:pPr>
      <w:r w:rsidRPr="0021110A">
        <w:rPr>
          <w:color w:val="auto"/>
        </w:rPr>
        <w:t>Note. The entries synthesise representative evidence and are not pooled effect estimates.</w:t>
      </w:r>
    </w:p>
    <w:p w14:paraId="1ED8058B" w14:textId="77777777" w:rsidR="002F07C4" w:rsidRPr="0021110A" w:rsidRDefault="00000000">
      <w:pPr>
        <w:pStyle w:val="Heading1"/>
        <w:rPr>
          <w:color w:val="auto"/>
        </w:rPr>
      </w:pPr>
      <w:r w:rsidRPr="0021110A">
        <w:rPr>
          <w:color w:val="auto"/>
        </w:rPr>
        <w:t>4. Pathways Linking Household Poultry to Food Security</w:t>
      </w:r>
    </w:p>
    <w:p w14:paraId="60595AEC" w14:textId="77777777" w:rsidR="002F07C4" w:rsidRPr="0021110A" w:rsidRDefault="00000000">
      <w:pPr>
        <w:jc w:val="both"/>
        <w:rPr>
          <w:color w:val="auto"/>
        </w:rPr>
      </w:pPr>
      <w:r w:rsidRPr="0021110A">
        <w:rPr>
          <w:color w:val="auto"/>
        </w:rPr>
        <w:t xml:space="preserve">The often-stated claim that backyard poultry improves food security is best unpacked into distinct hypotheses. Productive birds might supply animal-source food for home consumption, generate income that purchases other foods, function as saleable assets in an emergency, or change the bargaining position of a household member who influences food allocation. They might also redirect resources away from food expenditure or introduce domestic-health risks. These channels may operate together, offset one another or benefit different people. The conceptual pillars of food security encourage assessment of availability, access, utilisation and stability </w:t>
      </w:r>
      <w:r w:rsidRPr="0021110A">
        <w:rPr>
          <w:color w:val="auto"/>
        </w:rPr>
        <w:lastRenderedPageBreak/>
        <w:t>separately, but empirical measurement must extend beyond those labels to the food decisions that actually occur within households (Food and Agriculture Organization of the United Nations, 2008).</w:t>
      </w:r>
    </w:p>
    <w:p w14:paraId="5F01EDC5" w14:textId="77777777" w:rsidR="002F07C4" w:rsidRPr="0021110A" w:rsidRDefault="00000000">
      <w:pPr>
        <w:pStyle w:val="Heading2"/>
        <w:rPr>
          <w:color w:val="auto"/>
        </w:rPr>
      </w:pPr>
      <w:r w:rsidRPr="0021110A">
        <w:rPr>
          <w:color w:val="auto"/>
        </w:rPr>
        <w:t>4.1 Direct Consumption and Diet Quality</w:t>
      </w:r>
    </w:p>
    <w:p w14:paraId="680B76D4" w14:textId="77777777" w:rsidR="002F07C4" w:rsidRPr="0021110A" w:rsidRDefault="00000000">
      <w:pPr>
        <w:jc w:val="both"/>
        <w:rPr>
          <w:color w:val="auto"/>
        </w:rPr>
      </w:pPr>
      <w:r w:rsidRPr="0021110A">
        <w:rPr>
          <w:color w:val="auto"/>
        </w:rPr>
        <w:t>Eggs offer a potentially direct connection between keeping chickens and consuming nutrient-dense food. Yet a biological supply of eggs does not guarantee that they will reach vulnerable household members. Egg production has to be sufficient and sufficiently regular; the keeper must be willing and able to retain some output; and the household must consider eggs suitable for the intended consumer. In market-constrained households, retaining eggs has an opportunity cost equal to the income forgone. In financially strained households that value immediate purchases of staples, selling eggs may be rational even when children’s diets lack animal-source foods. Ethnographic evidence from Ethiopia makes the distinction clear: local beliefs about child feeding, the cash value of eggs and environmental circumstances shaped how eggs were used, and ownership did not ensure that young children consumed them (Bardosh et al., 2020). This is a behavioural allocation problem as well as a production problem.</w:t>
      </w:r>
    </w:p>
    <w:p w14:paraId="1ADAA22C" w14:textId="77777777" w:rsidR="002F07C4" w:rsidRPr="0021110A" w:rsidRDefault="00000000">
      <w:pPr>
        <w:jc w:val="both"/>
        <w:rPr>
          <w:color w:val="auto"/>
        </w:rPr>
      </w:pPr>
      <w:r w:rsidRPr="0021110A">
        <w:rPr>
          <w:color w:val="auto"/>
        </w:rPr>
        <w:t>Controlled interventions demonstrate the plausibility of changing egg consumption through household poultry programmes, but the intervention package matters. A cluster-randomised evaluation in Bangladesh reported effects on poultry-related behaviours and egg consumption through a homestead food-production programme, indicating that livestock-related support can alter diets under specified implementation conditions (Lambrecht et al., 2023). In a separate Ethiopian randomised comparison, a poultry package raised egg consumption relative to a control while a cash grant of equivalent value did not produce the same dietary response, suggesting that production and consumption decisions cannot always be treated as separable (Alderman et al., 2022). That comparison concerns women in a social-protection programme, however, and does not establish an equivalent effect among all Delta State households. Trials in Ethiopia have separately examined chickens, nutrition behaviour-change activities and child food intake, with some positive dietary and growth signals that require attention to the exact comparison group and follow-up period (Omer et al., 2022b; Passarelli et al., 2020). Such results should not be extrapolated as universal biological effects of acquiring birds, because households received programme support that may have changed knowledge, care practices or food allocation alongside production.</w:t>
      </w:r>
    </w:p>
    <w:p w14:paraId="508C2ED3" w14:textId="77777777" w:rsidR="002F07C4" w:rsidRPr="0021110A" w:rsidRDefault="00000000">
      <w:pPr>
        <w:jc w:val="both"/>
        <w:rPr>
          <w:color w:val="auto"/>
        </w:rPr>
      </w:pPr>
      <w:r w:rsidRPr="0021110A">
        <w:rPr>
          <w:color w:val="auto"/>
        </w:rPr>
        <w:t>Evidence from egg-feeding trials provides an instructive, but different, kind of causal comparison. A randomised study of early complementary feeding found that providing eggs directly to young children could affect growth outcomes in the Ecuadorian setting studied (Iannotti et al., 2017). This establishes that egg consumption can matter nutritionally in some circumstances; it does not show that keeping chickens is a reliable method of delivering those eggs. The programme pathway is longer and more fragile: successful rearing must be followed by sustained laying, home retention, equitable distribution and safe food handling. It is therefore methodologically inappropriate to cite an egg-feeding trial as direct evidence of the food-security effect of backyard poultry adoption in Delta State.</w:t>
      </w:r>
    </w:p>
    <w:p w14:paraId="2CED4160" w14:textId="77777777" w:rsidR="002F07C4" w:rsidRPr="0021110A" w:rsidRDefault="00000000">
      <w:pPr>
        <w:jc w:val="both"/>
        <w:rPr>
          <w:color w:val="auto"/>
        </w:rPr>
      </w:pPr>
      <w:r w:rsidRPr="0021110A">
        <w:rPr>
          <w:color w:val="auto"/>
        </w:rPr>
        <w:t xml:space="preserve">Dietary diversity also needs more careful interpretation than a single household score permits. If new poultry revenue funds staples but not animal-source foods, household caloric access may improve without substantial change in dietary diversity. Conversely, adding eggs to one child’s meals can improve individual nutrient intake while leaving the household food-insecurity experience unchanged. The recent Ethiopian cluster-randomised evaluation reported that an integrated poultry and nutrition-sensitive package could improve household dietary diversity, while equivalent benefits for women’s dietary diversity were not consistently observed (He et al., 2026). The divergence is a substantive finding about food allocation, not simply a measurement inconvenience. </w:t>
      </w:r>
      <w:r w:rsidRPr="0021110A">
        <w:rPr>
          <w:color w:val="auto"/>
        </w:rPr>
        <w:lastRenderedPageBreak/>
        <w:t>A Delta State study should report the diet of women and young children as well as aggregate food availability, especially when its intervention claims a nutrition-sensitive benefit.</w:t>
      </w:r>
    </w:p>
    <w:p w14:paraId="24F1C8DB" w14:textId="77777777" w:rsidR="002F07C4" w:rsidRPr="0021110A" w:rsidRDefault="00000000">
      <w:pPr>
        <w:jc w:val="both"/>
        <w:rPr>
          <w:color w:val="auto"/>
        </w:rPr>
      </w:pPr>
      <w:r w:rsidRPr="0021110A">
        <w:rPr>
          <w:color w:val="auto"/>
        </w:rPr>
        <w:t>Comparative observational evidence reinforces this point. Ownership of livestock in rural Ethiopia has been examined against animal-source-food consumption among young children and their mothers, illustrating the need to measure ownership and individual diets as separate variables (Kebede et al., 2023). However, wealth, local norms, access to markets and the quality of other household food sources can jointly determine both. The current literature supports a biologically plausible and sometimes intervention-responsive pathway from backyard poultry to egg consumption. Confidence is lower that an additional flock by itself can achieve a durable improvement in nutritional status, and still lower that a particular effect size obtained elsewhere describes the counterfactual for Delta State.</w:t>
      </w:r>
    </w:p>
    <w:p w14:paraId="6AB35040" w14:textId="77777777" w:rsidR="002F07C4" w:rsidRPr="0021110A" w:rsidRDefault="00000000">
      <w:pPr>
        <w:pStyle w:val="Heading2"/>
        <w:rPr>
          <w:color w:val="auto"/>
        </w:rPr>
      </w:pPr>
      <w:r w:rsidRPr="0021110A">
        <w:rPr>
          <w:color w:val="auto"/>
        </w:rPr>
        <w:t>4.2 Sales, Purchasing Power and the Limits of Profit Measures</w:t>
      </w:r>
    </w:p>
    <w:p w14:paraId="7C1A8728" w14:textId="77777777" w:rsidR="002F07C4" w:rsidRPr="0021110A" w:rsidRDefault="00000000">
      <w:pPr>
        <w:jc w:val="both"/>
        <w:rPr>
          <w:color w:val="auto"/>
        </w:rPr>
      </w:pPr>
      <w:r w:rsidRPr="0021110A">
        <w:rPr>
          <w:color w:val="auto"/>
        </w:rPr>
        <w:t>Poultry may affect food security even when most birds or eggs are sold. Small transactions can provide cash for staples, vegetables, fish, medical care or schooling and thereby stabilise consumption when crops yield little immediate income. Market studies of village poultry highlight the social and economic roles of bird sales, while Nigerian smallholder enterprise research shows that productive performance is only one component of realised farm earnings (Adesehinwa et al., 2020; Aklilu et al., 2007). The economic channel should therefore be represented as a sequence from marketable output to net disposable proceeds and from household expenditure decisions to realised food access. Gross sales or the market value of a standing flock cannot substitute for observed food expenditure.</w:t>
      </w:r>
    </w:p>
    <w:p w14:paraId="20BFF68E" w14:textId="77777777" w:rsidR="002F07C4" w:rsidRPr="0021110A" w:rsidRDefault="00000000">
      <w:pPr>
        <w:jc w:val="both"/>
        <w:rPr>
          <w:color w:val="auto"/>
        </w:rPr>
      </w:pPr>
      <w:r w:rsidRPr="0021110A">
        <w:rPr>
          <w:color w:val="auto"/>
        </w:rPr>
        <w:t>An important source of uncertainty is the treatment of inputs. When households buy feed, chicks, medicine, transport and housing materials, growth in output can coexist with a decline in net returns. An increase in sale prices can similarly benefit producers and harm non-producing consumers within the same rural community. A farm-budget evaluation that records a positive margin among selected participants cannot establish that distributing chicks to poorer households improves food security. The ability to finance feed between sale periods is itself a selection factor. Evidence from smallholder egg operations in Nigeria may illuminate the costs of moving beyond scavenging production, but it does not eliminate the need to measure local price variability and cash-flow constraints (Adesehinwa et al., 2020; Odum &amp; Chukwuji, 2022).</w:t>
      </w:r>
    </w:p>
    <w:p w14:paraId="7F626426" w14:textId="77777777" w:rsidR="002F07C4" w:rsidRPr="0021110A" w:rsidRDefault="00000000">
      <w:pPr>
        <w:jc w:val="both"/>
        <w:rPr>
          <w:color w:val="auto"/>
        </w:rPr>
      </w:pPr>
      <w:r w:rsidRPr="0021110A">
        <w:rPr>
          <w:color w:val="auto"/>
        </w:rPr>
        <w:t>Poultry may also indirectly reduce exposure to adverse coping strategies by supplying a liquid but divisible asset. Unlike a single large animal, a bird can potentially be sold to meet a modest urgent need without disposing of all household livestock. Yet that flexibility has limits. The bird sold for emergency food or healthcare no longer contributes to future egg output and may require replacement at a higher price. A large disease event can simultaneously destroy the household’s consumption and financial reserve. Research on production shocks among chicken-rearing Nigerian households underscores the importance of analysing a flock as an asset exposed to correlated biological risks rather than as assured insurance (Olutegbe et al., 2026). Demonstrating resilience requires observing the severity and duration of consumption shortfalls following shocks, not merely asserting that a household owns a saleable animal.</w:t>
      </w:r>
    </w:p>
    <w:p w14:paraId="7CA8F957" w14:textId="77777777" w:rsidR="002F07C4" w:rsidRPr="0021110A" w:rsidRDefault="00000000">
      <w:pPr>
        <w:pStyle w:val="Heading2"/>
        <w:rPr>
          <w:color w:val="auto"/>
        </w:rPr>
      </w:pPr>
      <w:r w:rsidRPr="0021110A">
        <w:rPr>
          <w:color w:val="auto"/>
        </w:rPr>
        <w:t>4.3 Intra-household Allocation, Gender and Agency</w:t>
      </w:r>
    </w:p>
    <w:p w14:paraId="79728267" w14:textId="77777777" w:rsidR="002F07C4" w:rsidRPr="0021110A" w:rsidRDefault="00000000">
      <w:pPr>
        <w:jc w:val="both"/>
        <w:rPr>
          <w:color w:val="auto"/>
        </w:rPr>
      </w:pPr>
      <w:r w:rsidRPr="0021110A">
        <w:rPr>
          <w:color w:val="auto"/>
        </w:rPr>
        <w:t xml:space="preserve">The frequent association between village poultry and women’s economic activity is central to the food-security argument, but the connection is neither automatic nor uniform. Across rural African settings, women have often been responsible for everyday care, while men may exercise greater authority over sales of high-value birds or </w:t>
      </w:r>
      <w:r w:rsidRPr="0021110A">
        <w:rPr>
          <w:color w:val="auto"/>
        </w:rPr>
        <w:lastRenderedPageBreak/>
        <w:t>the destination of the proceeds. A review of women and family poultry production established the significance of this activity to rural livelihoods, but its broad regional observations need to be refined by local household organisation (Gueye, 2000). Research in Nigeria and Cameroon likewise demonstrates that gendered responsibility and ownership patterns vary across communities and may not reproduce stereotypes derived from a single setting (Abubakar et al., 2007). Neither the presence of female poultry keepers nor an increase in production justifies a claim of empowerment without evidence about actual decision-making.</w:t>
      </w:r>
    </w:p>
    <w:p w14:paraId="390196BD" w14:textId="77777777" w:rsidR="002F07C4" w:rsidRPr="0021110A" w:rsidRDefault="00000000">
      <w:pPr>
        <w:jc w:val="both"/>
        <w:rPr>
          <w:color w:val="auto"/>
        </w:rPr>
      </w:pPr>
      <w:r w:rsidRPr="0021110A">
        <w:rPr>
          <w:color w:val="auto"/>
        </w:rPr>
        <w:t>Detailed qualitative work from Kenya reveals the practical difference between doing the work of rearing chickens and determining when animals are eaten, sold or used for household expenses (Dumas et al., 2018). The implications reach beyond fairness within a farm enterprise. A woman managing birds may prefer to reserve eggs for children yet have limited influence over a sale initiated by another household member. Conversely, a woman controlling poultry revenue may invest it in non-food needs that support welfare over a longer horizon. The relevant empirical questions concern control over assets, autonomy in exchange, command of proceeds, unpaid labour and individual dietary adequacy. These variables need to be measured separately; treating 'female participation' as one binary predictor can conceal opposing mechanisms.</w:t>
      </w:r>
    </w:p>
    <w:p w14:paraId="0D00AB1A" w14:textId="77777777" w:rsidR="002F07C4" w:rsidRPr="0021110A" w:rsidRDefault="00000000">
      <w:pPr>
        <w:jc w:val="both"/>
        <w:rPr>
          <w:color w:val="auto"/>
        </w:rPr>
      </w:pPr>
      <w:r w:rsidRPr="0021110A">
        <w:rPr>
          <w:color w:val="auto"/>
        </w:rPr>
        <w:t>A recent study of rural chicken systems in Burkina Faso illustrates that management and One Health practices may have gender-specific dimensions as well as direct implications for food security (Dione et al., 2025). At the same time, a randomised Ethiopian trial found that improvements in household dietary diversity need not deliver comparable improvements for women (He et al., 2026). These findings come from distinct populations and study designs, but jointly undermine the assumption that household-level gains are necessarily equitably distributed. In Delta State, future programme monitoring should interview women and men about actual control over eggs, culling decisions and sale proceeds, and assess women’s dietary outcomes independently. Such measurements should also allow for households headed by women, men or extended kin without assuming that 'household head' fully captures decision authority.</w:t>
      </w:r>
    </w:p>
    <w:p w14:paraId="6DB0C123" w14:textId="77777777" w:rsidR="002F07C4" w:rsidRPr="0021110A" w:rsidRDefault="00000000">
      <w:pPr>
        <w:pStyle w:val="Heading2"/>
        <w:rPr>
          <w:color w:val="auto"/>
        </w:rPr>
      </w:pPr>
      <w:r w:rsidRPr="0021110A">
        <w:rPr>
          <w:color w:val="auto"/>
        </w:rPr>
        <w:t>4.4 Stability, Social Functions and Exposure to Shocks</w:t>
      </w:r>
    </w:p>
    <w:p w14:paraId="30EE3A80" w14:textId="77777777" w:rsidR="002F07C4" w:rsidRPr="0021110A" w:rsidRDefault="00000000">
      <w:pPr>
        <w:jc w:val="both"/>
        <w:rPr>
          <w:color w:val="auto"/>
        </w:rPr>
      </w:pPr>
      <w:r w:rsidRPr="0021110A">
        <w:rPr>
          <w:color w:val="auto"/>
        </w:rPr>
        <w:t>Poultry can play a social role extending beyond current income or food intake. Birds may be kept for ceremonies, hospitality, gifts or obligations, and these uses can help households maintain reciprocal relationships. Ethnographic and market research on village chicken production suggests that household choices are influenced by cultural calendars and social valuation as well as by price (Aklilu et al., 2007; Bardosh et al., 2020). Social exchange may strengthen resilience indirectly through future support, but such a benefit should not be assumed simply because birds are gifted. An adequate evaluation would identify whether reciprocal networks actually reduce severe food shortfalls and how those gains compare with the foregone value of immediate consumption.</w:t>
      </w:r>
    </w:p>
    <w:p w14:paraId="3E4711CC" w14:textId="77777777" w:rsidR="002F07C4" w:rsidRPr="0021110A" w:rsidRDefault="00000000">
      <w:pPr>
        <w:jc w:val="both"/>
        <w:rPr>
          <w:color w:val="auto"/>
        </w:rPr>
      </w:pPr>
      <w:r w:rsidRPr="0021110A">
        <w:rPr>
          <w:color w:val="auto"/>
        </w:rPr>
        <w:t>The stability dimension is particularly relevant when wider livelihoods are disrupted. Food-security work in the Niger Delta reports how environmental pressures can shape the options available to rural communities (Babatunde, 2020). Crop-yield and income effects observed in Delta State after oil-related agricultural contamination demonstrate that poultry keeping may take place alongside other stressed livelihood activities rather than replacing them (Inoni et al., 2006). Households depending on both crop production and poultry can sometimes diversify risk, but a common event such as flooding may affect crops, housing, roads, disease exposure and feed access simultaneously. Whether diversified activities provide genuine insurance depends on the correlation between their failures.</w:t>
      </w:r>
    </w:p>
    <w:p w14:paraId="47829C05" w14:textId="77777777" w:rsidR="002F07C4" w:rsidRPr="0021110A" w:rsidRDefault="00000000">
      <w:pPr>
        <w:jc w:val="both"/>
        <w:rPr>
          <w:color w:val="auto"/>
        </w:rPr>
      </w:pPr>
      <w:r w:rsidRPr="0021110A">
        <w:rPr>
          <w:color w:val="auto"/>
        </w:rPr>
        <w:lastRenderedPageBreak/>
        <w:t>The practical value of a backyard flock should therefore be analysed over time, not inferred from its nominal asset value. A household might report improved food access during an egg-production period yet fall into deficit after disease mortality or a flood-induced disruption of local markets. A cross-sectional survey cannot distinguish temporary advantage from sustained resilience. National Nigerian analysis linking chicken production to shocks and food-security conditions indicates an empirical agenda, but locally repeated observations are needed before inferring how much protection backyard flocks provide for Delta farming households (Olutegbe et al., 2026). Table 2 places the potentially favourable pathways beside the mechanisms that can counteract them. It shows why production, allocation, income and infection exposure belong within one evaluative framework, while remaining separate empirical endpoints.</w:t>
      </w:r>
    </w:p>
    <w:p w14:paraId="78A84EA5" w14:textId="77777777" w:rsidR="002F07C4" w:rsidRPr="0021110A" w:rsidRDefault="00000000">
      <w:pPr>
        <w:pStyle w:val="TableCaption"/>
        <w:rPr>
          <w:color w:val="auto"/>
        </w:rPr>
      </w:pPr>
      <w:r w:rsidRPr="0021110A">
        <w:rPr>
          <w:color w:val="auto"/>
        </w:rPr>
        <w:t>Table 2. Competing pathways from household poultry to food and nutrition security</w:t>
      </w:r>
    </w:p>
    <w:tbl>
      <w:tblPr>
        <w:tblW w:w="0" w:type="auto"/>
        <w:jc w:val="center"/>
        <w:tblBorders>
          <w:top w:val="single" w:sz="5" w:space="0" w:color="AEBAC0"/>
          <w:left w:val="nil"/>
          <w:bottom w:val="single" w:sz="5" w:space="0" w:color="AEBAC0"/>
          <w:right w:val="nil"/>
          <w:insideH w:val="single" w:sz="2" w:space="0" w:color="DFE6E9"/>
          <w:insideV w:val="nil"/>
        </w:tblBorders>
        <w:tblLayout w:type="fixed"/>
        <w:tblLook w:val="04A0" w:firstRow="1" w:lastRow="0" w:firstColumn="1" w:lastColumn="0" w:noHBand="0" w:noVBand="1"/>
      </w:tblPr>
      <w:tblGrid>
        <w:gridCol w:w="1432"/>
        <w:gridCol w:w="2570"/>
        <w:gridCol w:w="1914"/>
        <w:gridCol w:w="2262"/>
        <w:gridCol w:w="1714"/>
      </w:tblGrid>
      <w:tr w:rsidR="0021110A" w:rsidRPr="0021110A" w14:paraId="7F7026DD" w14:textId="77777777">
        <w:trPr>
          <w:tblHeader/>
          <w:jc w:val="center"/>
        </w:trPr>
        <w:tc>
          <w:tcPr>
            <w:tcW w:w="1432" w:type="dxa"/>
            <w:shd w:val="clear" w:color="auto" w:fill="E5EAED"/>
            <w:tcMar>
              <w:top w:w="100" w:type="dxa"/>
              <w:left w:w="90" w:type="dxa"/>
              <w:bottom w:w="100" w:type="dxa"/>
              <w:right w:w="90" w:type="dxa"/>
            </w:tcMar>
            <w:vAlign w:val="center"/>
          </w:tcPr>
          <w:p w14:paraId="6BDE002F" w14:textId="77777777" w:rsidR="002F07C4" w:rsidRPr="0021110A" w:rsidRDefault="00000000">
            <w:pPr>
              <w:spacing w:after="0" w:line="259" w:lineRule="auto"/>
              <w:rPr>
                <w:color w:val="auto"/>
              </w:rPr>
            </w:pPr>
            <w:r w:rsidRPr="0021110A">
              <w:rPr>
                <w:b/>
                <w:color w:val="auto"/>
                <w:sz w:val="16"/>
              </w:rPr>
              <w:t>Pathway</w:t>
            </w:r>
          </w:p>
        </w:tc>
        <w:tc>
          <w:tcPr>
            <w:tcW w:w="2570" w:type="dxa"/>
            <w:shd w:val="clear" w:color="auto" w:fill="E5EAED"/>
            <w:tcMar>
              <w:top w:w="100" w:type="dxa"/>
              <w:left w:w="90" w:type="dxa"/>
              <w:bottom w:w="100" w:type="dxa"/>
              <w:right w:w="90" w:type="dxa"/>
            </w:tcMar>
            <w:vAlign w:val="center"/>
          </w:tcPr>
          <w:p w14:paraId="3EB9E8CF" w14:textId="77777777" w:rsidR="002F07C4" w:rsidRPr="0021110A" w:rsidRDefault="00000000">
            <w:pPr>
              <w:spacing w:after="0" w:line="259" w:lineRule="auto"/>
              <w:rPr>
                <w:color w:val="auto"/>
              </w:rPr>
            </w:pPr>
            <w:r w:rsidRPr="0021110A">
              <w:rPr>
                <w:b/>
                <w:color w:val="auto"/>
                <w:sz w:val="16"/>
              </w:rPr>
              <w:t>Evidence most directly bearing on it</w:t>
            </w:r>
          </w:p>
        </w:tc>
        <w:tc>
          <w:tcPr>
            <w:tcW w:w="1914" w:type="dxa"/>
            <w:shd w:val="clear" w:color="auto" w:fill="E5EAED"/>
            <w:tcMar>
              <w:top w:w="100" w:type="dxa"/>
              <w:left w:w="90" w:type="dxa"/>
              <w:bottom w:w="100" w:type="dxa"/>
              <w:right w:w="90" w:type="dxa"/>
            </w:tcMar>
            <w:vAlign w:val="center"/>
          </w:tcPr>
          <w:p w14:paraId="7D253007" w14:textId="77777777" w:rsidR="002F07C4" w:rsidRPr="0021110A" w:rsidRDefault="00000000">
            <w:pPr>
              <w:spacing w:after="0" w:line="259" w:lineRule="auto"/>
              <w:rPr>
                <w:color w:val="auto"/>
              </w:rPr>
            </w:pPr>
            <w:r w:rsidRPr="0021110A">
              <w:rPr>
                <w:b/>
                <w:color w:val="auto"/>
                <w:sz w:val="16"/>
              </w:rPr>
              <w:t>Interpretation for Delta State</w:t>
            </w:r>
          </w:p>
        </w:tc>
        <w:tc>
          <w:tcPr>
            <w:tcW w:w="2262" w:type="dxa"/>
            <w:shd w:val="clear" w:color="auto" w:fill="E5EAED"/>
            <w:tcMar>
              <w:top w:w="100" w:type="dxa"/>
              <w:left w:w="90" w:type="dxa"/>
              <w:bottom w:w="100" w:type="dxa"/>
              <w:right w:w="90" w:type="dxa"/>
            </w:tcMar>
            <w:vAlign w:val="center"/>
          </w:tcPr>
          <w:p w14:paraId="16B06CCA" w14:textId="77777777" w:rsidR="002F07C4" w:rsidRPr="0021110A" w:rsidRDefault="00000000">
            <w:pPr>
              <w:spacing w:after="0" w:line="259" w:lineRule="auto"/>
              <w:rPr>
                <w:color w:val="auto"/>
              </w:rPr>
            </w:pPr>
            <w:r w:rsidRPr="0021110A">
              <w:rPr>
                <w:b/>
                <w:color w:val="auto"/>
                <w:sz w:val="16"/>
              </w:rPr>
              <w:t>Countervailing mechanism or uncertainty</w:t>
            </w:r>
          </w:p>
        </w:tc>
        <w:tc>
          <w:tcPr>
            <w:tcW w:w="1714" w:type="dxa"/>
            <w:shd w:val="clear" w:color="auto" w:fill="E5EAED"/>
            <w:tcMar>
              <w:top w:w="100" w:type="dxa"/>
              <w:left w:w="90" w:type="dxa"/>
              <w:bottom w:w="100" w:type="dxa"/>
              <w:right w:w="90" w:type="dxa"/>
            </w:tcMar>
            <w:vAlign w:val="center"/>
          </w:tcPr>
          <w:p w14:paraId="094A38C2" w14:textId="77777777" w:rsidR="002F07C4" w:rsidRPr="0021110A" w:rsidRDefault="00000000">
            <w:pPr>
              <w:spacing w:after="0" w:line="259" w:lineRule="auto"/>
              <w:rPr>
                <w:color w:val="auto"/>
              </w:rPr>
            </w:pPr>
            <w:r w:rsidRPr="0021110A">
              <w:rPr>
                <w:b/>
                <w:color w:val="auto"/>
                <w:sz w:val="16"/>
              </w:rPr>
              <w:t>Supporting references</w:t>
            </w:r>
          </w:p>
        </w:tc>
      </w:tr>
      <w:tr w:rsidR="0021110A" w:rsidRPr="0021110A" w14:paraId="73265ED2" w14:textId="77777777">
        <w:trPr>
          <w:jc w:val="center"/>
        </w:trPr>
        <w:tc>
          <w:tcPr>
            <w:tcW w:w="1432" w:type="dxa"/>
            <w:tcMar>
              <w:top w:w="85" w:type="dxa"/>
              <w:left w:w="85" w:type="dxa"/>
              <w:bottom w:w="85" w:type="dxa"/>
              <w:right w:w="85" w:type="dxa"/>
            </w:tcMar>
            <w:vAlign w:val="center"/>
          </w:tcPr>
          <w:p w14:paraId="0C8FFBED" w14:textId="77777777" w:rsidR="002F07C4" w:rsidRPr="0021110A" w:rsidRDefault="00000000">
            <w:pPr>
              <w:spacing w:after="0" w:line="257" w:lineRule="auto"/>
              <w:rPr>
                <w:color w:val="auto"/>
              </w:rPr>
            </w:pPr>
            <w:r w:rsidRPr="0021110A">
              <w:rPr>
                <w:color w:val="auto"/>
                <w:sz w:val="16"/>
              </w:rPr>
              <w:t>Own consumption</w:t>
            </w:r>
          </w:p>
        </w:tc>
        <w:tc>
          <w:tcPr>
            <w:tcW w:w="2570" w:type="dxa"/>
            <w:tcMar>
              <w:top w:w="85" w:type="dxa"/>
              <w:left w:w="85" w:type="dxa"/>
              <w:bottom w:w="85" w:type="dxa"/>
              <w:right w:w="85" w:type="dxa"/>
            </w:tcMar>
            <w:vAlign w:val="center"/>
          </w:tcPr>
          <w:p w14:paraId="0AC06E85" w14:textId="77777777" w:rsidR="002F07C4" w:rsidRPr="0021110A" w:rsidRDefault="00000000">
            <w:pPr>
              <w:spacing w:after="0" w:line="257" w:lineRule="auto"/>
              <w:rPr>
                <w:color w:val="auto"/>
              </w:rPr>
            </w:pPr>
            <w:r w:rsidRPr="0021110A">
              <w:rPr>
                <w:color w:val="auto"/>
                <w:sz w:val="16"/>
              </w:rPr>
              <w:t>Egg and chicken interventions have raised consumption in controlled trials.</w:t>
            </w:r>
          </w:p>
        </w:tc>
        <w:tc>
          <w:tcPr>
            <w:tcW w:w="1914" w:type="dxa"/>
            <w:tcMar>
              <w:top w:w="85" w:type="dxa"/>
              <w:left w:w="85" w:type="dxa"/>
              <w:bottom w:w="85" w:type="dxa"/>
              <w:right w:w="85" w:type="dxa"/>
            </w:tcMar>
            <w:vAlign w:val="center"/>
          </w:tcPr>
          <w:p w14:paraId="135C995E" w14:textId="77777777" w:rsidR="002F07C4" w:rsidRPr="0021110A" w:rsidRDefault="00000000">
            <w:pPr>
              <w:spacing w:after="0" w:line="257" w:lineRule="auto"/>
              <w:rPr>
                <w:color w:val="auto"/>
              </w:rPr>
            </w:pPr>
            <w:r w:rsidRPr="0021110A">
              <w:rPr>
                <w:color w:val="auto"/>
                <w:sz w:val="16"/>
              </w:rPr>
              <w:t>A feasible nutrition route where eggs remain available for household use.</w:t>
            </w:r>
          </w:p>
        </w:tc>
        <w:tc>
          <w:tcPr>
            <w:tcW w:w="2262" w:type="dxa"/>
            <w:tcMar>
              <w:top w:w="85" w:type="dxa"/>
              <w:left w:w="85" w:type="dxa"/>
              <w:bottom w:w="85" w:type="dxa"/>
              <w:right w:w="85" w:type="dxa"/>
            </w:tcMar>
            <w:vAlign w:val="center"/>
          </w:tcPr>
          <w:p w14:paraId="627475B3" w14:textId="77777777" w:rsidR="002F07C4" w:rsidRPr="0021110A" w:rsidRDefault="00000000">
            <w:pPr>
              <w:spacing w:after="0" w:line="257" w:lineRule="auto"/>
              <w:rPr>
                <w:color w:val="auto"/>
              </w:rPr>
            </w:pPr>
            <w:r w:rsidRPr="0021110A">
              <w:rPr>
                <w:color w:val="auto"/>
                <w:sz w:val="16"/>
              </w:rPr>
              <w:t>Sales, cultural valuation, unequal allocation and seasonal output constrain intake.</w:t>
            </w:r>
          </w:p>
        </w:tc>
        <w:tc>
          <w:tcPr>
            <w:tcW w:w="1714" w:type="dxa"/>
            <w:tcMar>
              <w:top w:w="85" w:type="dxa"/>
              <w:left w:w="85" w:type="dxa"/>
              <w:bottom w:w="85" w:type="dxa"/>
              <w:right w:w="85" w:type="dxa"/>
            </w:tcMar>
            <w:vAlign w:val="center"/>
          </w:tcPr>
          <w:p w14:paraId="28D449F7" w14:textId="77777777" w:rsidR="002F07C4" w:rsidRPr="0021110A" w:rsidRDefault="00000000">
            <w:pPr>
              <w:spacing w:after="0" w:line="257" w:lineRule="auto"/>
              <w:rPr>
                <w:color w:val="auto"/>
              </w:rPr>
            </w:pPr>
            <w:r w:rsidRPr="0021110A">
              <w:rPr>
                <w:color w:val="auto"/>
                <w:sz w:val="16"/>
              </w:rPr>
              <w:t>(Lambrecht et al., 2023; Omer et al., 2022b; Passarelli et al., 2020)</w:t>
            </w:r>
          </w:p>
        </w:tc>
      </w:tr>
      <w:tr w:rsidR="0021110A" w:rsidRPr="0021110A" w14:paraId="7B02948F" w14:textId="77777777">
        <w:trPr>
          <w:jc w:val="center"/>
        </w:trPr>
        <w:tc>
          <w:tcPr>
            <w:tcW w:w="1432" w:type="dxa"/>
            <w:tcMar>
              <w:top w:w="85" w:type="dxa"/>
              <w:left w:w="85" w:type="dxa"/>
              <w:bottom w:w="85" w:type="dxa"/>
              <w:right w:w="85" w:type="dxa"/>
            </w:tcMar>
            <w:vAlign w:val="center"/>
          </w:tcPr>
          <w:p w14:paraId="2210932E" w14:textId="77777777" w:rsidR="002F07C4" w:rsidRPr="0021110A" w:rsidRDefault="00000000">
            <w:pPr>
              <w:spacing w:after="0" w:line="257" w:lineRule="auto"/>
              <w:rPr>
                <w:color w:val="auto"/>
              </w:rPr>
            </w:pPr>
            <w:r w:rsidRPr="0021110A">
              <w:rPr>
                <w:color w:val="auto"/>
                <w:sz w:val="16"/>
              </w:rPr>
              <w:t>Income and exchange</w:t>
            </w:r>
          </w:p>
        </w:tc>
        <w:tc>
          <w:tcPr>
            <w:tcW w:w="2570" w:type="dxa"/>
            <w:tcMar>
              <w:top w:w="85" w:type="dxa"/>
              <w:left w:w="85" w:type="dxa"/>
              <w:bottom w:w="85" w:type="dxa"/>
              <w:right w:w="85" w:type="dxa"/>
            </w:tcMar>
            <w:vAlign w:val="center"/>
          </w:tcPr>
          <w:p w14:paraId="70EB0CF9" w14:textId="77777777" w:rsidR="002F07C4" w:rsidRPr="0021110A" w:rsidRDefault="00000000">
            <w:pPr>
              <w:spacing w:after="0" w:line="257" w:lineRule="auto"/>
              <w:rPr>
                <w:color w:val="auto"/>
              </w:rPr>
            </w:pPr>
            <w:r w:rsidRPr="0021110A">
              <w:rPr>
                <w:color w:val="auto"/>
                <w:sz w:val="16"/>
              </w:rPr>
              <w:t>Market access and flock sales can supply cash for diverse foods.</w:t>
            </w:r>
          </w:p>
        </w:tc>
        <w:tc>
          <w:tcPr>
            <w:tcW w:w="1914" w:type="dxa"/>
            <w:tcMar>
              <w:top w:w="85" w:type="dxa"/>
              <w:left w:w="85" w:type="dxa"/>
              <w:bottom w:w="85" w:type="dxa"/>
              <w:right w:w="85" w:type="dxa"/>
            </w:tcMar>
            <w:vAlign w:val="center"/>
          </w:tcPr>
          <w:p w14:paraId="045D8E51" w14:textId="77777777" w:rsidR="002F07C4" w:rsidRPr="0021110A" w:rsidRDefault="00000000">
            <w:pPr>
              <w:spacing w:after="0" w:line="257" w:lineRule="auto"/>
              <w:rPr>
                <w:color w:val="auto"/>
              </w:rPr>
            </w:pPr>
            <w:r w:rsidRPr="0021110A">
              <w:rPr>
                <w:color w:val="auto"/>
                <w:sz w:val="16"/>
              </w:rPr>
              <w:t>Liquidity may help purchase staples and pay urgent bills.</w:t>
            </w:r>
          </w:p>
        </w:tc>
        <w:tc>
          <w:tcPr>
            <w:tcW w:w="2262" w:type="dxa"/>
            <w:tcMar>
              <w:top w:w="85" w:type="dxa"/>
              <w:left w:w="85" w:type="dxa"/>
              <w:bottom w:w="85" w:type="dxa"/>
              <w:right w:w="85" w:type="dxa"/>
            </w:tcMar>
            <w:vAlign w:val="center"/>
          </w:tcPr>
          <w:p w14:paraId="14297599" w14:textId="77777777" w:rsidR="002F07C4" w:rsidRPr="0021110A" w:rsidRDefault="00000000">
            <w:pPr>
              <w:spacing w:after="0" w:line="257" w:lineRule="auto"/>
              <w:rPr>
                <w:color w:val="auto"/>
              </w:rPr>
            </w:pPr>
            <w:r w:rsidRPr="0021110A">
              <w:rPr>
                <w:color w:val="auto"/>
                <w:sz w:val="16"/>
              </w:rPr>
              <w:t>Higher income is not equivalent to improved diet; feed costs can erode margins.</w:t>
            </w:r>
          </w:p>
        </w:tc>
        <w:tc>
          <w:tcPr>
            <w:tcW w:w="1714" w:type="dxa"/>
            <w:tcMar>
              <w:top w:w="85" w:type="dxa"/>
              <w:left w:w="85" w:type="dxa"/>
              <w:bottom w:w="85" w:type="dxa"/>
              <w:right w:w="85" w:type="dxa"/>
            </w:tcMar>
            <w:vAlign w:val="center"/>
          </w:tcPr>
          <w:p w14:paraId="15911C97" w14:textId="77777777" w:rsidR="002F07C4" w:rsidRPr="0021110A" w:rsidRDefault="00000000">
            <w:pPr>
              <w:spacing w:after="0" w:line="257" w:lineRule="auto"/>
              <w:rPr>
                <w:color w:val="auto"/>
              </w:rPr>
            </w:pPr>
            <w:r w:rsidRPr="0021110A">
              <w:rPr>
                <w:color w:val="auto"/>
                <w:sz w:val="16"/>
              </w:rPr>
              <w:t>(Adesehinwa et al., 2020; Aklilu et al., 2007; Dione et al., 2025)</w:t>
            </w:r>
          </w:p>
        </w:tc>
      </w:tr>
      <w:tr w:rsidR="0021110A" w:rsidRPr="0021110A" w14:paraId="4BF1FDE7" w14:textId="77777777">
        <w:trPr>
          <w:jc w:val="center"/>
        </w:trPr>
        <w:tc>
          <w:tcPr>
            <w:tcW w:w="1432" w:type="dxa"/>
            <w:tcMar>
              <w:top w:w="85" w:type="dxa"/>
              <w:left w:w="85" w:type="dxa"/>
              <w:bottom w:w="85" w:type="dxa"/>
              <w:right w:w="85" w:type="dxa"/>
            </w:tcMar>
            <w:vAlign w:val="center"/>
          </w:tcPr>
          <w:p w14:paraId="2D0A2BA2" w14:textId="77777777" w:rsidR="002F07C4" w:rsidRPr="0021110A" w:rsidRDefault="00000000">
            <w:pPr>
              <w:spacing w:after="0" w:line="257" w:lineRule="auto"/>
              <w:rPr>
                <w:color w:val="auto"/>
              </w:rPr>
            </w:pPr>
            <w:r w:rsidRPr="0021110A">
              <w:rPr>
                <w:color w:val="auto"/>
                <w:sz w:val="16"/>
              </w:rPr>
              <w:t>Women’s agency</w:t>
            </w:r>
          </w:p>
        </w:tc>
        <w:tc>
          <w:tcPr>
            <w:tcW w:w="2570" w:type="dxa"/>
            <w:tcMar>
              <w:top w:w="85" w:type="dxa"/>
              <w:left w:w="85" w:type="dxa"/>
              <w:bottom w:w="85" w:type="dxa"/>
              <w:right w:w="85" w:type="dxa"/>
            </w:tcMar>
            <w:vAlign w:val="center"/>
          </w:tcPr>
          <w:p w14:paraId="7A38BF17" w14:textId="77777777" w:rsidR="002F07C4" w:rsidRPr="0021110A" w:rsidRDefault="00000000">
            <w:pPr>
              <w:spacing w:after="0" w:line="257" w:lineRule="auto"/>
              <w:rPr>
                <w:color w:val="auto"/>
              </w:rPr>
            </w:pPr>
            <w:r w:rsidRPr="0021110A">
              <w:rPr>
                <w:color w:val="auto"/>
                <w:sz w:val="16"/>
              </w:rPr>
              <w:t>Qualitative and intervention work shows gendered management and decision-making.</w:t>
            </w:r>
          </w:p>
        </w:tc>
        <w:tc>
          <w:tcPr>
            <w:tcW w:w="1914" w:type="dxa"/>
            <w:tcMar>
              <w:top w:w="85" w:type="dxa"/>
              <w:left w:w="85" w:type="dxa"/>
              <w:bottom w:w="85" w:type="dxa"/>
              <w:right w:w="85" w:type="dxa"/>
            </w:tcMar>
            <w:vAlign w:val="center"/>
          </w:tcPr>
          <w:p w14:paraId="6E07BC01" w14:textId="77777777" w:rsidR="002F07C4" w:rsidRPr="0021110A" w:rsidRDefault="00000000">
            <w:pPr>
              <w:spacing w:after="0" w:line="257" w:lineRule="auto"/>
              <w:rPr>
                <w:color w:val="auto"/>
              </w:rPr>
            </w:pPr>
            <w:r w:rsidRPr="0021110A">
              <w:rPr>
                <w:color w:val="auto"/>
                <w:sz w:val="16"/>
              </w:rPr>
              <w:t>Control over birds and sale proceeds may affect allocation to food or care.</w:t>
            </w:r>
          </w:p>
        </w:tc>
        <w:tc>
          <w:tcPr>
            <w:tcW w:w="2262" w:type="dxa"/>
            <w:tcMar>
              <w:top w:w="85" w:type="dxa"/>
              <w:left w:w="85" w:type="dxa"/>
              <w:bottom w:w="85" w:type="dxa"/>
              <w:right w:w="85" w:type="dxa"/>
            </w:tcMar>
            <w:vAlign w:val="center"/>
          </w:tcPr>
          <w:p w14:paraId="39C46CDF" w14:textId="77777777" w:rsidR="002F07C4" w:rsidRPr="0021110A" w:rsidRDefault="00000000">
            <w:pPr>
              <w:spacing w:after="0" w:line="257" w:lineRule="auto"/>
              <w:rPr>
                <w:color w:val="auto"/>
              </w:rPr>
            </w:pPr>
            <w:r w:rsidRPr="0021110A">
              <w:rPr>
                <w:color w:val="auto"/>
                <w:sz w:val="16"/>
              </w:rPr>
              <w:t>Care burden and nominal ownership can coexist with weak authority over income.</w:t>
            </w:r>
          </w:p>
        </w:tc>
        <w:tc>
          <w:tcPr>
            <w:tcW w:w="1714" w:type="dxa"/>
            <w:tcMar>
              <w:top w:w="85" w:type="dxa"/>
              <w:left w:w="85" w:type="dxa"/>
              <w:bottom w:w="85" w:type="dxa"/>
              <w:right w:w="85" w:type="dxa"/>
            </w:tcMar>
            <w:vAlign w:val="center"/>
          </w:tcPr>
          <w:p w14:paraId="3F918040" w14:textId="77777777" w:rsidR="002F07C4" w:rsidRPr="0021110A" w:rsidRDefault="00000000">
            <w:pPr>
              <w:spacing w:after="0" w:line="257" w:lineRule="auto"/>
              <w:rPr>
                <w:color w:val="auto"/>
              </w:rPr>
            </w:pPr>
            <w:r w:rsidRPr="0021110A">
              <w:rPr>
                <w:color w:val="auto"/>
                <w:sz w:val="16"/>
              </w:rPr>
              <w:t>(Abubakar et al., 2007; Dumas et al., 2018; He et al., 2026)</w:t>
            </w:r>
          </w:p>
        </w:tc>
      </w:tr>
      <w:tr w:rsidR="0021110A" w:rsidRPr="0021110A" w14:paraId="76259DE7" w14:textId="77777777">
        <w:trPr>
          <w:jc w:val="center"/>
        </w:trPr>
        <w:tc>
          <w:tcPr>
            <w:tcW w:w="1432" w:type="dxa"/>
            <w:tcMar>
              <w:top w:w="85" w:type="dxa"/>
              <w:left w:w="85" w:type="dxa"/>
              <w:bottom w:w="85" w:type="dxa"/>
              <w:right w:w="85" w:type="dxa"/>
            </w:tcMar>
            <w:vAlign w:val="center"/>
          </w:tcPr>
          <w:p w14:paraId="1DA65AEA" w14:textId="77777777" w:rsidR="002F07C4" w:rsidRPr="0021110A" w:rsidRDefault="00000000">
            <w:pPr>
              <w:spacing w:after="0" w:line="257" w:lineRule="auto"/>
              <w:rPr>
                <w:color w:val="auto"/>
              </w:rPr>
            </w:pPr>
            <w:r w:rsidRPr="0021110A">
              <w:rPr>
                <w:color w:val="auto"/>
                <w:sz w:val="16"/>
              </w:rPr>
              <w:t>Resilience</w:t>
            </w:r>
          </w:p>
        </w:tc>
        <w:tc>
          <w:tcPr>
            <w:tcW w:w="2570" w:type="dxa"/>
            <w:tcMar>
              <w:top w:w="85" w:type="dxa"/>
              <w:left w:w="85" w:type="dxa"/>
              <w:bottom w:w="85" w:type="dxa"/>
              <w:right w:w="85" w:type="dxa"/>
            </w:tcMar>
            <w:vAlign w:val="center"/>
          </w:tcPr>
          <w:p w14:paraId="11FA8E3D" w14:textId="77777777" w:rsidR="002F07C4" w:rsidRPr="0021110A" w:rsidRDefault="00000000">
            <w:pPr>
              <w:spacing w:after="0" w:line="257" w:lineRule="auto"/>
              <w:rPr>
                <w:color w:val="auto"/>
              </w:rPr>
            </w:pPr>
            <w:r w:rsidRPr="0021110A">
              <w:rPr>
                <w:color w:val="auto"/>
                <w:sz w:val="16"/>
              </w:rPr>
              <w:t>A tradable small asset can buffer shocks, but producers face input and disease shocks.</w:t>
            </w:r>
          </w:p>
        </w:tc>
        <w:tc>
          <w:tcPr>
            <w:tcW w:w="1914" w:type="dxa"/>
            <w:tcMar>
              <w:top w:w="85" w:type="dxa"/>
              <w:left w:w="85" w:type="dxa"/>
              <w:bottom w:w="85" w:type="dxa"/>
              <w:right w:w="85" w:type="dxa"/>
            </w:tcMar>
            <w:vAlign w:val="center"/>
          </w:tcPr>
          <w:p w14:paraId="542F7BB9" w14:textId="77777777" w:rsidR="002F07C4" w:rsidRPr="0021110A" w:rsidRDefault="00000000">
            <w:pPr>
              <w:spacing w:after="0" w:line="257" w:lineRule="auto"/>
              <w:rPr>
                <w:color w:val="auto"/>
              </w:rPr>
            </w:pPr>
            <w:r w:rsidRPr="0021110A">
              <w:rPr>
                <w:color w:val="auto"/>
                <w:sz w:val="16"/>
              </w:rPr>
              <w:t>Flocks may provide contingent cash or food, not guaranteed insurance.</w:t>
            </w:r>
          </w:p>
        </w:tc>
        <w:tc>
          <w:tcPr>
            <w:tcW w:w="2262" w:type="dxa"/>
            <w:tcMar>
              <w:top w:w="85" w:type="dxa"/>
              <w:left w:w="85" w:type="dxa"/>
              <w:bottom w:w="85" w:type="dxa"/>
              <w:right w:w="85" w:type="dxa"/>
            </w:tcMar>
            <w:vAlign w:val="center"/>
          </w:tcPr>
          <w:p w14:paraId="3CAA3F93" w14:textId="77777777" w:rsidR="002F07C4" w:rsidRPr="0021110A" w:rsidRDefault="00000000">
            <w:pPr>
              <w:spacing w:after="0" w:line="257" w:lineRule="auto"/>
              <w:rPr>
                <w:color w:val="auto"/>
              </w:rPr>
            </w:pPr>
            <w:r w:rsidRPr="0021110A">
              <w:rPr>
                <w:color w:val="auto"/>
                <w:sz w:val="16"/>
              </w:rPr>
              <w:t>Distress sales can undermine future production; national indices are not causal effects.</w:t>
            </w:r>
          </w:p>
        </w:tc>
        <w:tc>
          <w:tcPr>
            <w:tcW w:w="1714" w:type="dxa"/>
            <w:tcMar>
              <w:top w:w="85" w:type="dxa"/>
              <w:left w:w="85" w:type="dxa"/>
              <w:bottom w:w="85" w:type="dxa"/>
              <w:right w:w="85" w:type="dxa"/>
            </w:tcMar>
            <w:vAlign w:val="center"/>
          </w:tcPr>
          <w:p w14:paraId="6A55BC4C" w14:textId="77777777" w:rsidR="002F07C4" w:rsidRPr="0021110A" w:rsidRDefault="00000000">
            <w:pPr>
              <w:spacing w:after="0" w:line="257" w:lineRule="auto"/>
              <w:rPr>
                <w:color w:val="auto"/>
              </w:rPr>
            </w:pPr>
            <w:r w:rsidRPr="0021110A">
              <w:rPr>
                <w:color w:val="auto"/>
                <w:sz w:val="16"/>
              </w:rPr>
              <w:t>(Olutegbe et al., 2026; Ovwigho et al., 2009)</w:t>
            </w:r>
          </w:p>
        </w:tc>
      </w:tr>
      <w:tr w:rsidR="0021110A" w:rsidRPr="0021110A" w14:paraId="09ABA604" w14:textId="77777777">
        <w:trPr>
          <w:jc w:val="center"/>
        </w:trPr>
        <w:tc>
          <w:tcPr>
            <w:tcW w:w="1432" w:type="dxa"/>
            <w:tcMar>
              <w:top w:w="85" w:type="dxa"/>
              <w:left w:w="85" w:type="dxa"/>
              <w:bottom w:w="85" w:type="dxa"/>
              <w:right w:w="85" w:type="dxa"/>
            </w:tcMar>
            <w:vAlign w:val="center"/>
          </w:tcPr>
          <w:p w14:paraId="1C278F25" w14:textId="77777777" w:rsidR="002F07C4" w:rsidRPr="0021110A" w:rsidRDefault="00000000">
            <w:pPr>
              <w:spacing w:after="0" w:line="257" w:lineRule="auto"/>
              <w:rPr>
                <w:color w:val="auto"/>
              </w:rPr>
            </w:pPr>
            <w:r w:rsidRPr="0021110A">
              <w:rPr>
                <w:color w:val="auto"/>
                <w:sz w:val="16"/>
              </w:rPr>
              <w:t>Exposure and infection</w:t>
            </w:r>
          </w:p>
        </w:tc>
        <w:tc>
          <w:tcPr>
            <w:tcW w:w="2570" w:type="dxa"/>
            <w:tcMar>
              <w:top w:w="85" w:type="dxa"/>
              <w:left w:w="85" w:type="dxa"/>
              <w:bottom w:w="85" w:type="dxa"/>
              <w:right w:w="85" w:type="dxa"/>
            </w:tcMar>
            <w:vAlign w:val="center"/>
          </w:tcPr>
          <w:p w14:paraId="34AB4B65" w14:textId="77777777" w:rsidR="002F07C4" w:rsidRPr="0021110A" w:rsidRDefault="00000000">
            <w:pPr>
              <w:spacing w:after="0" w:line="257" w:lineRule="auto"/>
              <w:rPr>
                <w:color w:val="auto"/>
              </w:rPr>
            </w:pPr>
            <w:r w:rsidRPr="0021110A">
              <w:rPr>
                <w:color w:val="auto"/>
                <w:sz w:val="16"/>
              </w:rPr>
              <w:t>Observational studies associate indoor poultry housing with poorer child growth.</w:t>
            </w:r>
          </w:p>
        </w:tc>
        <w:tc>
          <w:tcPr>
            <w:tcW w:w="1914" w:type="dxa"/>
            <w:tcMar>
              <w:top w:w="85" w:type="dxa"/>
              <w:left w:w="85" w:type="dxa"/>
              <w:bottom w:w="85" w:type="dxa"/>
              <w:right w:w="85" w:type="dxa"/>
            </w:tcMar>
            <w:vAlign w:val="center"/>
          </w:tcPr>
          <w:p w14:paraId="2A782A13" w14:textId="77777777" w:rsidR="002F07C4" w:rsidRPr="0021110A" w:rsidRDefault="00000000">
            <w:pPr>
              <w:spacing w:after="0" w:line="257" w:lineRule="auto"/>
              <w:rPr>
                <w:color w:val="auto"/>
              </w:rPr>
            </w:pPr>
            <w:r w:rsidRPr="0021110A">
              <w:rPr>
                <w:color w:val="auto"/>
                <w:sz w:val="16"/>
              </w:rPr>
              <w:t>Separate birds from food-preparation and child-play areas.</w:t>
            </w:r>
          </w:p>
        </w:tc>
        <w:tc>
          <w:tcPr>
            <w:tcW w:w="2262" w:type="dxa"/>
            <w:tcMar>
              <w:top w:w="85" w:type="dxa"/>
              <w:left w:w="85" w:type="dxa"/>
              <w:bottom w:w="85" w:type="dxa"/>
              <w:right w:w="85" w:type="dxa"/>
            </w:tcMar>
            <w:vAlign w:val="center"/>
          </w:tcPr>
          <w:p w14:paraId="5EF2E036" w14:textId="77777777" w:rsidR="002F07C4" w:rsidRPr="0021110A" w:rsidRDefault="00000000">
            <w:pPr>
              <w:spacing w:after="0" w:line="257" w:lineRule="auto"/>
              <w:rPr>
                <w:color w:val="auto"/>
              </w:rPr>
            </w:pPr>
            <w:r w:rsidRPr="0021110A">
              <w:rPr>
                <w:color w:val="auto"/>
                <w:sz w:val="16"/>
              </w:rPr>
              <w:t>Associations are confounded; pathogen detection does not establish a flock-specific causal chain.</w:t>
            </w:r>
          </w:p>
        </w:tc>
        <w:tc>
          <w:tcPr>
            <w:tcW w:w="1714" w:type="dxa"/>
            <w:tcMar>
              <w:top w:w="85" w:type="dxa"/>
              <w:left w:w="85" w:type="dxa"/>
              <w:bottom w:w="85" w:type="dxa"/>
              <w:right w:w="85" w:type="dxa"/>
            </w:tcMar>
            <w:vAlign w:val="center"/>
          </w:tcPr>
          <w:p w14:paraId="26905222" w14:textId="77777777" w:rsidR="002F07C4" w:rsidRPr="0021110A" w:rsidRDefault="00000000">
            <w:pPr>
              <w:spacing w:after="0" w:line="257" w:lineRule="auto"/>
              <w:rPr>
                <w:color w:val="auto"/>
              </w:rPr>
            </w:pPr>
            <w:r w:rsidRPr="0021110A">
              <w:rPr>
                <w:color w:val="auto"/>
                <w:sz w:val="16"/>
              </w:rPr>
              <w:t>(Bardosh et al., 2020; Ercumen et al., 2017; Headey &amp; Hirvonen, 2016)</w:t>
            </w:r>
          </w:p>
        </w:tc>
      </w:tr>
    </w:tbl>
    <w:p w14:paraId="190C9BC1" w14:textId="77777777" w:rsidR="002F07C4" w:rsidRPr="0021110A" w:rsidRDefault="00000000">
      <w:pPr>
        <w:pStyle w:val="TableNote"/>
        <w:spacing w:after="180"/>
        <w:rPr>
          <w:color w:val="auto"/>
        </w:rPr>
      </w:pPr>
      <w:r w:rsidRPr="0021110A">
        <w:rPr>
          <w:color w:val="auto"/>
        </w:rPr>
        <w:t>Note. The entries synthesise representative evidence and are not pooled effect estimates.</w:t>
      </w:r>
    </w:p>
    <w:p w14:paraId="13C00CB7" w14:textId="77777777" w:rsidR="002F07C4" w:rsidRPr="0021110A" w:rsidRDefault="00000000">
      <w:pPr>
        <w:pStyle w:val="Heading1"/>
        <w:rPr>
          <w:color w:val="auto"/>
        </w:rPr>
      </w:pPr>
      <w:r w:rsidRPr="0021110A">
        <w:rPr>
          <w:color w:val="auto"/>
        </w:rPr>
        <w:t>5. Delta State Evidence and the Problem of Transferability</w:t>
      </w:r>
    </w:p>
    <w:p w14:paraId="49B4748A" w14:textId="77777777" w:rsidR="002F07C4" w:rsidRPr="0021110A" w:rsidRDefault="00000000">
      <w:pPr>
        <w:jc w:val="both"/>
        <w:rPr>
          <w:color w:val="auto"/>
        </w:rPr>
      </w:pPr>
      <w:r w:rsidRPr="0021110A">
        <w:rPr>
          <w:color w:val="auto"/>
        </w:rPr>
        <w:t>The principal weakness in locally grounded claims is not a complete absence of relevant research but the lack of designs that identify the effect of backyard poultry on clearly measured food-security outcomes. Studies have described production practices, analysed selected poultry enterprises and modelled food security in rural farming populations. Together these sources locate the issue socially and economically, yet they answer different questions. Their synthesis requires explicit separation between an exposure study about poultry management, an outcome study about food insecurity and an intervention study capable of comparing change with an appropriate counterfactual.</w:t>
      </w:r>
    </w:p>
    <w:p w14:paraId="2AE7A47B" w14:textId="77777777" w:rsidR="002F07C4" w:rsidRPr="0021110A" w:rsidRDefault="00000000">
      <w:pPr>
        <w:pStyle w:val="Heading2"/>
        <w:rPr>
          <w:color w:val="auto"/>
        </w:rPr>
      </w:pPr>
      <w:r w:rsidRPr="0021110A">
        <w:rPr>
          <w:color w:val="auto"/>
        </w:rPr>
        <w:t>5.1 Local Poultry Production: What the Surveys Establish</w:t>
      </w:r>
    </w:p>
    <w:p w14:paraId="139DCE11" w14:textId="77777777" w:rsidR="002F07C4" w:rsidRPr="0021110A" w:rsidRDefault="00000000">
      <w:pPr>
        <w:jc w:val="both"/>
        <w:rPr>
          <w:color w:val="auto"/>
        </w:rPr>
      </w:pPr>
      <w:r w:rsidRPr="0021110A">
        <w:rPr>
          <w:color w:val="auto"/>
        </w:rPr>
        <w:t xml:space="preserve">Ovwigho et al. (2009) examined 241 poultry farmers in Delta State drawn from extensive, semi-intensive and intensive production systems. The reported distribution was heavily weighted towards extensive farmers, with much smaller semi-intensive and intensive strata. This improves the source’s contextual relevance to the backyard sector, but the small size of one comparison group weakens confidence in differences between </w:t>
      </w:r>
      <w:r w:rsidRPr="0021110A">
        <w:rPr>
          <w:color w:val="auto"/>
        </w:rPr>
        <w:lastRenderedPageBreak/>
        <w:t>management systems. Respondents were also surveyed at one point rather than observed as they moved into different production modes. Consequently, reported production constraints can be interpreted as farm-level experiences but not as estimates of the effects of intensive or extensive management on food-security status.</w:t>
      </w:r>
    </w:p>
    <w:p w14:paraId="27F70B50" w14:textId="77777777" w:rsidR="002F07C4" w:rsidRPr="0021110A" w:rsidRDefault="00000000">
      <w:pPr>
        <w:jc w:val="both"/>
        <w:rPr>
          <w:color w:val="auto"/>
        </w:rPr>
      </w:pPr>
      <w:r w:rsidRPr="0021110A">
        <w:rPr>
          <w:color w:val="auto"/>
        </w:rPr>
        <w:t>The importance of finance among reported constraints has two possible meanings. It might indicate that access to credit would allow households to purchase better housing, feed or veterinary services. It might also indicate that farmers wish to expand output even though the net welfare return to additional investment remains uncertain. Credit is not an outcome in itself. A loan can protect productive capital if income is sufficiently stable, or it can deepen vulnerability if birds die before sale or purchasers fail to pay. The Delta survey accordingly identifies a plausible institutional bottleneck but does not establish that removing it would reduce household food insecurity (Ovwigho et al., 2009). Programme design should evaluate both adoption and borrowers’ exposure to loss.</w:t>
      </w:r>
    </w:p>
    <w:p w14:paraId="4B79CB30" w14:textId="77777777" w:rsidR="002F07C4" w:rsidRPr="0021110A" w:rsidRDefault="00000000">
      <w:pPr>
        <w:jc w:val="both"/>
        <w:rPr>
          <w:color w:val="auto"/>
        </w:rPr>
      </w:pPr>
      <w:r w:rsidRPr="0021110A">
        <w:rPr>
          <w:color w:val="auto"/>
        </w:rPr>
        <w:t>Koyenikan (2011) surveyed rural poultry rearers in Oshimili North and documented small household flocks and important deficiencies in extension contact. The paper is useful because an extensive backyard flock poses practical questions of vaccination, shelter, supplementary feed and bird marketing that generic crop-extension services may not address. Limited poultry-related advisory contact plausibly leaves households with fewer opportunities to adopt appropriate husbandry. Yet the observational design cannot determine whether extension absence caused low output, nor whether extension access alone would improve diets. Households may differ in literacy, market connections or willingness to participate, and these characteristics could influence both contact with advisers and production results.</w:t>
      </w:r>
    </w:p>
    <w:p w14:paraId="1A74C316" w14:textId="77777777" w:rsidR="002F07C4" w:rsidRPr="0021110A" w:rsidRDefault="00000000">
      <w:pPr>
        <w:jc w:val="both"/>
        <w:rPr>
          <w:color w:val="auto"/>
        </w:rPr>
      </w:pPr>
      <w:r w:rsidRPr="0021110A">
        <w:rPr>
          <w:color w:val="auto"/>
        </w:rPr>
        <w:t>The contrast between these two earlier Delta studies highlights how easily conclusions can be overstated. A reported barrier such as financing or extension should be distinguished from a demonstrated effect of addressing that barrier. It is possible, for example, that simple vaccination and predator-proof night housing would be more cost-effective than expansion through purchased feed in the smallest flocks. The local evidence does not permit a definitive ranking. The scientifically defensible inference is that household poultry management in Delta State exhibits practical constraints that should be incorporated into intervention design and tested against welfare outcomes, rather than merely used as a rationale for distributing more birds.</w:t>
      </w:r>
    </w:p>
    <w:p w14:paraId="0C6CE3E2" w14:textId="77777777" w:rsidR="002F07C4" w:rsidRPr="0021110A" w:rsidRDefault="00000000">
      <w:pPr>
        <w:pStyle w:val="Heading2"/>
        <w:rPr>
          <w:color w:val="auto"/>
        </w:rPr>
      </w:pPr>
      <w:r w:rsidRPr="0021110A">
        <w:rPr>
          <w:color w:val="auto"/>
        </w:rPr>
        <w:t>5.2 The Commercial Poultry Evidence and Selection Effects</w:t>
      </w:r>
    </w:p>
    <w:p w14:paraId="486F141E" w14:textId="77777777" w:rsidR="002F07C4" w:rsidRPr="0021110A" w:rsidRDefault="00000000">
      <w:pPr>
        <w:jc w:val="both"/>
        <w:rPr>
          <w:color w:val="auto"/>
        </w:rPr>
      </w:pPr>
      <w:r w:rsidRPr="0021110A">
        <w:rPr>
          <w:color w:val="auto"/>
        </w:rPr>
        <w:t>A study of the Nigerian Incentive-Based Risk Sharing System for Agricultural Lending-related cooperative model in Oshimili South evaluated poultry enterprises participating in a particular support arrangement (Odum &amp; Chukwuji, 2022). Such research can clarify how organised financing and marketing work among participating producers, and it may document positive enterprise returns under measured conditions. Its participants should nevertheless not be described as a random sample of all rural backyard households. The existence of a financed enterprise generally signals some willingness or capacity to participate in a commercially structured activity. Financial selection, the enterprise scale and associated technical support can all be responsible for outcomes that would differ under an unassisted scavenging production system.</w:t>
      </w:r>
    </w:p>
    <w:p w14:paraId="68639385" w14:textId="77777777" w:rsidR="002F07C4" w:rsidRPr="0021110A" w:rsidRDefault="00000000">
      <w:pPr>
        <w:jc w:val="both"/>
        <w:rPr>
          <w:color w:val="auto"/>
        </w:rPr>
      </w:pPr>
      <w:r w:rsidRPr="0021110A">
        <w:rPr>
          <w:color w:val="auto"/>
        </w:rPr>
        <w:t xml:space="preserve">The distinction is consequential for external validity. The poorest households may lack the cash to buy feed, time to attend cooperative meetings, or confidence that a production cycle will yield sales sufficient for repayment. An intervention that reports profitability among successful borrowers could systematically exclude precisely the households most exposed to severe food insecurity. Equally, commercial farms may create employment and local food supplies without directly improving the diets of their owners. The available Delta </w:t>
      </w:r>
      <w:r w:rsidRPr="0021110A">
        <w:rPr>
          <w:color w:val="auto"/>
        </w:rPr>
        <w:lastRenderedPageBreak/>
        <w:t>enterprise evaluation should therefore inform the feasibility of a market-oriented pathway, not be used to infer a backyard-poultry treatment effect. Any extension from this evidence to the rural poor requires transparent analysis of recruitment, non-participants, unsuccessful ventures and the use of generated income.</w:t>
      </w:r>
    </w:p>
    <w:p w14:paraId="4F1F403D" w14:textId="77777777" w:rsidR="002F07C4" w:rsidRPr="0021110A" w:rsidRDefault="00000000">
      <w:pPr>
        <w:pStyle w:val="Heading2"/>
        <w:rPr>
          <w:color w:val="auto"/>
        </w:rPr>
      </w:pPr>
      <w:r w:rsidRPr="0021110A">
        <w:rPr>
          <w:color w:val="auto"/>
        </w:rPr>
        <w:t>5.3 Food-insecurity Studies: Valuable Context but Missing Exposure Link</w:t>
      </w:r>
    </w:p>
    <w:p w14:paraId="7CF045B7" w14:textId="77777777" w:rsidR="002F07C4" w:rsidRPr="0021110A" w:rsidRDefault="00000000">
      <w:pPr>
        <w:jc w:val="both"/>
        <w:rPr>
          <w:color w:val="auto"/>
        </w:rPr>
      </w:pPr>
      <w:r w:rsidRPr="0021110A">
        <w:rPr>
          <w:color w:val="auto"/>
        </w:rPr>
        <w:t>Food-security analysis among farming households in Delta and Edo States identifies household characteristics and institutional factors associated with food-security outcomes (Ehiwario et al., 2024). The reported relationships with income, education, extension and household size are relevant to poultry because each may affect the opportunity to acquire and maintain a flock while also affecting food access through other routes. This makes the paper valuable for identifying confounders. It does not, however, isolate household poultry as a treatment or quantify its incremental effect. An analyst who observed that poultry keepers were more food secure in the same population would still need to explain whether the result reflected poultry itself or differences in pre-existing economic and human capital.</w:t>
      </w:r>
    </w:p>
    <w:p w14:paraId="28AF6A5A" w14:textId="77777777" w:rsidR="002F07C4" w:rsidRPr="0021110A" w:rsidRDefault="00000000">
      <w:pPr>
        <w:jc w:val="both"/>
        <w:rPr>
          <w:color w:val="auto"/>
        </w:rPr>
      </w:pPr>
      <w:r w:rsidRPr="0021110A">
        <w:rPr>
          <w:color w:val="auto"/>
        </w:rPr>
        <w:t>Odor et al. (2026) examined determinants of food-security status in a Delta State farming-household context, adding geographically specific evidence that food access cannot be explained solely by poultry supply. Interpretation should remain bounded by the sampling frame, local economic conditions and explanatory variables of the study. A single-local-government-area analysis cannot represent the entire state without information on how rural settlement types, market access and environmental exposure differ across districts. This caution applies in both directions: a locally observed problem should not automatically be assigned statewide prevalence, and the absence of a reported poultry relationship in a study not designed to test it should not be interpreted as evidence that poultry is irrelevant.</w:t>
      </w:r>
    </w:p>
    <w:p w14:paraId="6C8FD5AF" w14:textId="77777777" w:rsidR="002F07C4" w:rsidRPr="0021110A" w:rsidRDefault="00000000">
      <w:pPr>
        <w:jc w:val="both"/>
        <w:rPr>
          <w:color w:val="auto"/>
        </w:rPr>
      </w:pPr>
      <w:r w:rsidRPr="0021110A">
        <w:rPr>
          <w:color w:val="auto"/>
        </w:rPr>
        <w:t>Babatunde (2020) foregrounds local food-security perspectives across the wider Niger Delta, while research on the influence of oil spillage on crop yield and farm income in Delta State documents a distinct environmental livelihood mechanism (Inoni et al., 2006). These sources justify consideration of livelihood disruption, employment and environmental change as factors shaping the context in which poultry functions. They do not justify an unqualified claim that pollution has caused all local poultry deficits or that backyard poultry can compensate for damaged farmland. Such an assertion would require geographically linked exposure and production data. Transfer from wider Niger Delta findings should therefore be made at the level of plausible contextual mechanisms rather than assumed identical conditions in every Delta community.</w:t>
      </w:r>
    </w:p>
    <w:p w14:paraId="6505965B" w14:textId="77777777" w:rsidR="002F07C4" w:rsidRPr="0021110A" w:rsidRDefault="00000000">
      <w:pPr>
        <w:jc w:val="both"/>
        <w:rPr>
          <w:color w:val="auto"/>
        </w:rPr>
      </w:pPr>
      <w:r w:rsidRPr="0021110A">
        <w:rPr>
          <w:color w:val="auto"/>
        </w:rPr>
        <w:t>The Nigerian national analysis of chicken-rearing households likewise deserves careful positioning. It adds a broader frame for the relationship between chicken production, food insecurity and livelihood risks, with a study population spanning settings outside Delta State (Olutegbe et al., 2026). Its descriptive reach does not necessarily yield a causal estimate, and national patterns may obscure the distinctive economic and environmental circumstances of riverine communities. A national coefficient should not be treated as Delta State’s expected response to a vaccination campaign or improved housing. Instead, national evidence can inform hypotheses about which shock and household characteristics should be included in a locally tailored study.</w:t>
      </w:r>
    </w:p>
    <w:p w14:paraId="2265FD99" w14:textId="77777777" w:rsidR="002F07C4" w:rsidRPr="0021110A" w:rsidRDefault="00000000">
      <w:pPr>
        <w:pStyle w:val="Heading2"/>
        <w:rPr>
          <w:color w:val="auto"/>
        </w:rPr>
      </w:pPr>
      <w:r w:rsidRPr="0021110A">
        <w:rPr>
          <w:color w:val="auto"/>
        </w:rPr>
        <w:t>5.4 Cross-context Learning Without False Local Certainty</w:t>
      </w:r>
    </w:p>
    <w:p w14:paraId="3DBE9692" w14:textId="77777777" w:rsidR="002F07C4" w:rsidRPr="0021110A" w:rsidRDefault="00000000">
      <w:pPr>
        <w:jc w:val="both"/>
        <w:rPr>
          <w:color w:val="auto"/>
        </w:rPr>
      </w:pPr>
      <w:r w:rsidRPr="0021110A">
        <w:rPr>
          <w:color w:val="auto"/>
        </w:rPr>
        <w:t xml:space="preserve">External studies are most useful when they identify mechanisms that can be tested locally. For example, Tanzanian Newcastle disease vaccination research provides evidence that reducing flock mortality can influence poultry-related food intake and food security, but its comparison structure and setting are not identical to an intervention trial in Delta State (Knueppel et al., 2010). Ethiopian and Bangladeshi programmes establish that </w:t>
      </w:r>
      <w:r w:rsidRPr="0021110A">
        <w:rPr>
          <w:color w:val="auto"/>
        </w:rPr>
        <w:lastRenderedPageBreak/>
        <w:t>production combined with nutrition support may affect dietary outcomes; they do not prove that identical effects would follow from household-level chicken distribution in southern Nigeria (He et al., 2026; Lambrecht et al., 2023). Similarly, Kenyan and Burkina Faso evidence on gendered chicken management points to questions that should be asked of Delta participants rather than providing local estimates of control over resources (Dione et al., 2025; Dumas et al., 2018).</w:t>
      </w:r>
    </w:p>
    <w:p w14:paraId="53A33D86" w14:textId="77777777" w:rsidR="002F07C4" w:rsidRPr="0021110A" w:rsidRDefault="00000000">
      <w:pPr>
        <w:jc w:val="both"/>
        <w:rPr>
          <w:color w:val="auto"/>
        </w:rPr>
      </w:pPr>
      <w:r w:rsidRPr="0021110A">
        <w:rPr>
          <w:color w:val="auto"/>
        </w:rPr>
        <w:t>The evidence hierarchy for Delta State can consequently be expressed as three linked layers. The first layer, place-specific production descriptions, identifies who keeps birds and which constraints are salient. The second, place-specific food-security research, identifies candidate outcomes and confounding structures. The third, external intervention and mechanistic evidence, tests possible pathways more directly. None of the layers substitutes for a rigorous local linkage between poultry activities and household diets or resilience. A programme that draws on all three is better informed than one using only a generic argument that poultry is affordable and nutritious, but its claims should remain framed as hypotheses until tested locally.</w:t>
      </w:r>
    </w:p>
    <w:p w14:paraId="387C1965" w14:textId="77777777" w:rsidR="002F07C4" w:rsidRPr="0021110A" w:rsidRDefault="00000000">
      <w:pPr>
        <w:jc w:val="both"/>
        <w:rPr>
          <w:color w:val="auto"/>
        </w:rPr>
      </w:pPr>
      <w:r w:rsidRPr="0021110A">
        <w:rPr>
          <w:color w:val="auto"/>
        </w:rPr>
        <w:t>Table 3 compares representative Delta State sources with a national Nigerian study, making explicit what each paper can and cannot establish. The table illustrates that direct geographical relevance and strength of causal identification are different attributes. The most locally relevant production reports have limited food-security outcomes, while some broader investigations measure food security without a separable backyard-poultry exposure. This mismatch is the main evidentiary justification for dedicated Delta State household studies.</w:t>
      </w:r>
    </w:p>
    <w:p w14:paraId="0BE6F7C2" w14:textId="77777777" w:rsidR="002F07C4" w:rsidRPr="0021110A" w:rsidRDefault="00000000">
      <w:pPr>
        <w:pStyle w:val="TableCaption"/>
        <w:rPr>
          <w:color w:val="auto"/>
        </w:rPr>
      </w:pPr>
      <w:r w:rsidRPr="0021110A">
        <w:rPr>
          <w:color w:val="auto"/>
        </w:rPr>
        <w:t>Table 3. Representative Delta State and Nigerian evidence: directness and limitations</w:t>
      </w:r>
    </w:p>
    <w:tbl>
      <w:tblPr>
        <w:tblW w:w="0" w:type="auto"/>
        <w:jc w:val="center"/>
        <w:tblBorders>
          <w:top w:val="single" w:sz="5" w:space="0" w:color="AEBAC0"/>
          <w:left w:val="nil"/>
          <w:bottom w:val="single" w:sz="5" w:space="0" w:color="AEBAC0"/>
          <w:right w:val="nil"/>
          <w:insideH w:val="single" w:sz="2" w:space="0" w:color="DFE6E9"/>
          <w:insideV w:val="nil"/>
        </w:tblBorders>
        <w:tblLayout w:type="fixed"/>
        <w:tblLook w:val="04A0" w:firstRow="1" w:lastRow="0" w:firstColumn="1" w:lastColumn="0" w:noHBand="0" w:noVBand="1"/>
      </w:tblPr>
      <w:tblGrid>
        <w:gridCol w:w="1896"/>
        <w:gridCol w:w="1922"/>
        <w:gridCol w:w="2069"/>
        <w:gridCol w:w="2403"/>
        <w:gridCol w:w="1602"/>
      </w:tblGrid>
      <w:tr w:rsidR="0021110A" w:rsidRPr="0021110A" w14:paraId="2B6AE944" w14:textId="77777777">
        <w:trPr>
          <w:tblHeader/>
          <w:jc w:val="center"/>
        </w:trPr>
        <w:tc>
          <w:tcPr>
            <w:tcW w:w="1896" w:type="dxa"/>
            <w:shd w:val="clear" w:color="auto" w:fill="E5EAED"/>
            <w:tcMar>
              <w:top w:w="100" w:type="dxa"/>
              <w:left w:w="90" w:type="dxa"/>
              <w:bottom w:w="100" w:type="dxa"/>
              <w:right w:w="90" w:type="dxa"/>
            </w:tcMar>
            <w:vAlign w:val="center"/>
          </w:tcPr>
          <w:p w14:paraId="36BB8C91" w14:textId="77777777" w:rsidR="002F07C4" w:rsidRPr="0021110A" w:rsidRDefault="00000000">
            <w:pPr>
              <w:spacing w:after="0" w:line="259" w:lineRule="auto"/>
              <w:rPr>
                <w:color w:val="auto"/>
              </w:rPr>
            </w:pPr>
            <w:r w:rsidRPr="0021110A">
              <w:rPr>
                <w:b/>
                <w:color w:val="auto"/>
                <w:sz w:val="16"/>
              </w:rPr>
              <w:t>Study and setting</w:t>
            </w:r>
          </w:p>
        </w:tc>
        <w:tc>
          <w:tcPr>
            <w:tcW w:w="1922" w:type="dxa"/>
            <w:shd w:val="clear" w:color="auto" w:fill="E5EAED"/>
            <w:tcMar>
              <w:top w:w="100" w:type="dxa"/>
              <w:left w:w="90" w:type="dxa"/>
              <w:bottom w:w="100" w:type="dxa"/>
              <w:right w:w="90" w:type="dxa"/>
            </w:tcMar>
            <w:vAlign w:val="center"/>
          </w:tcPr>
          <w:p w14:paraId="540C6E44" w14:textId="77777777" w:rsidR="002F07C4" w:rsidRPr="0021110A" w:rsidRDefault="00000000">
            <w:pPr>
              <w:spacing w:after="0" w:line="259" w:lineRule="auto"/>
              <w:rPr>
                <w:color w:val="auto"/>
              </w:rPr>
            </w:pPr>
            <w:r w:rsidRPr="0021110A">
              <w:rPr>
                <w:b/>
                <w:color w:val="auto"/>
                <w:sz w:val="16"/>
              </w:rPr>
              <w:t>Empirical basis or topic</w:t>
            </w:r>
          </w:p>
        </w:tc>
        <w:tc>
          <w:tcPr>
            <w:tcW w:w="2069" w:type="dxa"/>
            <w:shd w:val="clear" w:color="auto" w:fill="E5EAED"/>
            <w:tcMar>
              <w:top w:w="100" w:type="dxa"/>
              <w:left w:w="90" w:type="dxa"/>
              <w:bottom w:w="100" w:type="dxa"/>
              <w:right w:w="90" w:type="dxa"/>
            </w:tcMar>
            <w:vAlign w:val="center"/>
          </w:tcPr>
          <w:p w14:paraId="7BEF0D80" w14:textId="77777777" w:rsidR="002F07C4" w:rsidRPr="0021110A" w:rsidRDefault="00000000">
            <w:pPr>
              <w:spacing w:after="0" w:line="259" w:lineRule="auto"/>
              <w:rPr>
                <w:color w:val="auto"/>
              </w:rPr>
            </w:pPr>
            <w:r w:rsidRPr="0021110A">
              <w:rPr>
                <w:b/>
                <w:color w:val="auto"/>
                <w:sz w:val="16"/>
              </w:rPr>
              <w:t>Relevant finding</w:t>
            </w:r>
          </w:p>
        </w:tc>
        <w:tc>
          <w:tcPr>
            <w:tcW w:w="2403" w:type="dxa"/>
            <w:shd w:val="clear" w:color="auto" w:fill="E5EAED"/>
            <w:tcMar>
              <w:top w:w="100" w:type="dxa"/>
              <w:left w:w="90" w:type="dxa"/>
              <w:bottom w:w="100" w:type="dxa"/>
              <w:right w:w="90" w:type="dxa"/>
            </w:tcMar>
            <w:vAlign w:val="center"/>
          </w:tcPr>
          <w:p w14:paraId="1CE5EFCC" w14:textId="77777777" w:rsidR="002F07C4" w:rsidRPr="0021110A" w:rsidRDefault="00000000">
            <w:pPr>
              <w:spacing w:after="0" w:line="259" w:lineRule="auto"/>
              <w:rPr>
                <w:color w:val="auto"/>
              </w:rPr>
            </w:pPr>
            <w:r w:rsidRPr="0021110A">
              <w:rPr>
                <w:b/>
                <w:color w:val="auto"/>
                <w:sz w:val="16"/>
              </w:rPr>
              <w:t>Inference limitation for backyard poultry–food security</w:t>
            </w:r>
          </w:p>
        </w:tc>
        <w:tc>
          <w:tcPr>
            <w:tcW w:w="1602" w:type="dxa"/>
            <w:shd w:val="clear" w:color="auto" w:fill="E5EAED"/>
            <w:tcMar>
              <w:top w:w="100" w:type="dxa"/>
              <w:left w:w="90" w:type="dxa"/>
              <w:bottom w:w="100" w:type="dxa"/>
              <w:right w:w="90" w:type="dxa"/>
            </w:tcMar>
            <w:vAlign w:val="center"/>
          </w:tcPr>
          <w:p w14:paraId="3C2D282C" w14:textId="77777777" w:rsidR="002F07C4" w:rsidRPr="0021110A" w:rsidRDefault="00000000">
            <w:pPr>
              <w:spacing w:after="0" w:line="259" w:lineRule="auto"/>
              <w:rPr>
                <w:color w:val="auto"/>
              </w:rPr>
            </w:pPr>
            <w:r w:rsidRPr="0021110A">
              <w:rPr>
                <w:b/>
                <w:color w:val="auto"/>
                <w:sz w:val="16"/>
              </w:rPr>
              <w:t>Supporting references</w:t>
            </w:r>
          </w:p>
        </w:tc>
      </w:tr>
      <w:tr w:rsidR="0021110A" w:rsidRPr="0021110A" w14:paraId="01F5FBB8" w14:textId="77777777">
        <w:trPr>
          <w:jc w:val="center"/>
        </w:trPr>
        <w:tc>
          <w:tcPr>
            <w:tcW w:w="1896" w:type="dxa"/>
            <w:tcMar>
              <w:top w:w="85" w:type="dxa"/>
              <w:left w:w="85" w:type="dxa"/>
              <w:bottom w:w="85" w:type="dxa"/>
              <w:right w:w="85" w:type="dxa"/>
            </w:tcMar>
            <w:vAlign w:val="center"/>
          </w:tcPr>
          <w:p w14:paraId="3F83A1E8" w14:textId="77777777" w:rsidR="002F07C4" w:rsidRPr="0021110A" w:rsidRDefault="00000000">
            <w:pPr>
              <w:spacing w:after="0" w:line="257" w:lineRule="auto"/>
              <w:rPr>
                <w:color w:val="auto"/>
              </w:rPr>
            </w:pPr>
            <w:r w:rsidRPr="0021110A">
              <w:rPr>
                <w:color w:val="auto"/>
                <w:sz w:val="16"/>
              </w:rPr>
              <w:t>Ovwigho et al.; Delta State</w:t>
            </w:r>
          </w:p>
        </w:tc>
        <w:tc>
          <w:tcPr>
            <w:tcW w:w="1922" w:type="dxa"/>
            <w:tcMar>
              <w:top w:w="85" w:type="dxa"/>
              <w:left w:w="85" w:type="dxa"/>
              <w:bottom w:w="85" w:type="dxa"/>
              <w:right w:w="85" w:type="dxa"/>
            </w:tcMar>
            <w:vAlign w:val="center"/>
          </w:tcPr>
          <w:p w14:paraId="37E710B5" w14:textId="77777777" w:rsidR="002F07C4" w:rsidRPr="0021110A" w:rsidRDefault="00000000">
            <w:pPr>
              <w:spacing w:after="0" w:line="257" w:lineRule="auto"/>
              <w:rPr>
                <w:color w:val="auto"/>
              </w:rPr>
            </w:pPr>
            <w:r w:rsidRPr="0021110A">
              <w:rPr>
                <w:color w:val="auto"/>
                <w:sz w:val="16"/>
              </w:rPr>
              <w:t>Survey of 241 farmers across extensive, semi-intensive and intensive systems.</w:t>
            </w:r>
          </w:p>
        </w:tc>
        <w:tc>
          <w:tcPr>
            <w:tcW w:w="2069" w:type="dxa"/>
            <w:tcMar>
              <w:top w:w="85" w:type="dxa"/>
              <w:left w:w="85" w:type="dxa"/>
              <w:bottom w:w="85" w:type="dxa"/>
              <w:right w:w="85" w:type="dxa"/>
            </w:tcMar>
            <w:vAlign w:val="center"/>
          </w:tcPr>
          <w:p w14:paraId="3678B7E9" w14:textId="77777777" w:rsidR="002F07C4" w:rsidRPr="0021110A" w:rsidRDefault="00000000">
            <w:pPr>
              <w:spacing w:after="0" w:line="257" w:lineRule="auto"/>
              <w:rPr>
                <w:color w:val="auto"/>
              </w:rPr>
            </w:pPr>
            <w:r w:rsidRPr="0021110A">
              <w:rPr>
                <w:color w:val="auto"/>
                <w:sz w:val="16"/>
              </w:rPr>
              <w:t>System-specific constraints; finance common across groups.</w:t>
            </w:r>
          </w:p>
        </w:tc>
        <w:tc>
          <w:tcPr>
            <w:tcW w:w="2403" w:type="dxa"/>
            <w:tcMar>
              <w:top w:w="85" w:type="dxa"/>
              <w:left w:w="85" w:type="dxa"/>
              <w:bottom w:w="85" w:type="dxa"/>
              <w:right w:w="85" w:type="dxa"/>
            </w:tcMar>
            <w:vAlign w:val="center"/>
          </w:tcPr>
          <w:p w14:paraId="50343C69" w14:textId="77777777" w:rsidR="002F07C4" w:rsidRPr="0021110A" w:rsidRDefault="00000000">
            <w:pPr>
              <w:spacing w:after="0" w:line="257" w:lineRule="auto"/>
              <w:rPr>
                <w:color w:val="auto"/>
              </w:rPr>
            </w:pPr>
            <w:r w:rsidRPr="0021110A">
              <w:rPr>
                <w:color w:val="auto"/>
                <w:sz w:val="16"/>
              </w:rPr>
              <w:t>Very small semi-intensive stratum and no causal food-security outcome.</w:t>
            </w:r>
          </w:p>
        </w:tc>
        <w:tc>
          <w:tcPr>
            <w:tcW w:w="1602" w:type="dxa"/>
            <w:tcMar>
              <w:top w:w="85" w:type="dxa"/>
              <w:left w:w="85" w:type="dxa"/>
              <w:bottom w:w="85" w:type="dxa"/>
              <w:right w:w="85" w:type="dxa"/>
            </w:tcMar>
            <w:vAlign w:val="center"/>
          </w:tcPr>
          <w:p w14:paraId="7EFE6F04" w14:textId="77777777" w:rsidR="002F07C4" w:rsidRPr="0021110A" w:rsidRDefault="00000000">
            <w:pPr>
              <w:spacing w:after="0" w:line="257" w:lineRule="auto"/>
              <w:rPr>
                <w:color w:val="auto"/>
              </w:rPr>
            </w:pPr>
            <w:r w:rsidRPr="0021110A">
              <w:rPr>
                <w:color w:val="auto"/>
                <w:sz w:val="16"/>
              </w:rPr>
              <w:t>(Ovwigho et al., 2009)</w:t>
            </w:r>
          </w:p>
        </w:tc>
      </w:tr>
      <w:tr w:rsidR="0021110A" w:rsidRPr="0021110A" w14:paraId="1836B1F3" w14:textId="77777777">
        <w:trPr>
          <w:jc w:val="center"/>
        </w:trPr>
        <w:tc>
          <w:tcPr>
            <w:tcW w:w="1896" w:type="dxa"/>
            <w:tcMar>
              <w:top w:w="85" w:type="dxa"/>
              <w:left w:w="85" w:type="dxa"/>
              <w:bottom w:w="85" w:type="dxa"/>
              <w:right w:w="85" w:type="dxa"/>
            </w:tcMar>
            <w:vAlign w:val="center"/>
          </w:tcPr>
          <w:p w14:paraId="54C680B5" w14:textId="77777777" w:rsidR="002F07C4" w:rsidRPr="0021110A" w:rsidRDefault="00000000">
            <w:pPr>
              <w:spacing w:after="0" w:line="257" w:lineRule="auto"/>
              <w:rPr>
                <w:color w:val="auto"/>
              </w:rPr>
            </w:pPr>
            <w:r w:rsidRPr="0021110A">
              <w:rPr>
                <w:color w:val="auto"/>
                <w:sz w:val="16"/>
              </w:rPr>
              <w:t>Koyenikan; Oshimili North</w:t>
            </w:r>
          </w:p>
        </w:tc>
        <w:tc>
          <w:tcPr>
            <w:tcW w:w="1922" w:type="dxa"/>
            <w:tcMar>
              <w:top w:w="85" w:type="dxa"/>
              <w:left w:w="85" w:type="dxa"/>
              <w:bottom w:w="85" w:type="dxa"/>
              <w:right w:w="85" w:type="dxa"/>
            </w:tcMar>
            <w:vAlign w:val="center"/>
          </w:tcPr>
          <w:p w14:paraId="5E4488CE" w14:textId="77777777" w:rsidR="002F07C4" w:rsidRPr="0021110A" w:rsidRDefault="00000000">
            <w:pPr>
              <w:spacing w:after="0" w:line="257" w:lineRule="auto"/>
              <w:rPr>
                <w:color w:val="auto"/>
              </w:rPr>
            </w:pPr>
            <w:r w:rsidRPr="0021110A">
              <w:rPr>
                <w:color w:val="auto"/>
                <w:sz w:val="16"/>
              </w:rPr>
              <w:t>Interviews with 120 household poultry rearers.</w:t>
            </w:r>
          </w:p>
        </w:tc>
        <w:tc>
          <w:tcPr>
            <w:tcW w:w="2069" w:type="dxa"/>
            <w:tcMar>
              <w:top w:w="85" w:type="dxa"/>
              <w:left w:w="85" w:type="dxa"/>
              <w:bottom w:w="85" w:type="dxa"/>
              <w:right w:w="85" w:type="dxa"/>
            </w:tcMar>
            <w:vAlign w:val="center"/>
          </w:tcPr>
          <w:p w14:paraId="06412AA5" w14:textId="77777777" w:rsidR="002F07C4" w:rsidRPr="0021110A" w:rsidRDefault="00000000">
            <w:pPr>
              <w:spacing w:after="0" w:line="257" w:lineRule="auto"/>
              <w:rPr>
                <w:color w:val="auto"/>
              </w:rPr>
            </w:pPr>
            <w:r w:rsidRPr="0021110A">
              <w:rPr>
                <w:color w:val="auto"/>
                <w:sz w:val="16"/>
              </w:rPr>
              <w:t>Small and free-range flocks; substantial unmet extension need.</w:t>
            </w:r>
          </w:p>
        </w:tc>
        <w:tc>
          <w:tcPr>
            <w:tcW w:w="2403" w:type="dxa"/>
            <w:tcMar>
              <w:top w:w="85" w:type="dxa"/>
              <w:left w:w="85" w:type="dxa"/>
              <w:bottom w:w="85" w:type="dxa"/>
              <w:right w:w="85" w:type="dxa"/>
            </w:tcMar>
            <w:vAlign w:val="center"/>
          </w:tcPr>
          <w:p w14:paraId="0D0DAD53" w14:textId="77777777" w:rsidR="002F07C4" w:rsidRPr="0021110A" w:rsidRDefault="00000000">
            <w:pPr>
              <w:spacing w:after="0" w:line="257" w:lineRule="auto"/>
              <w:rPr>
                <w:color w:val="auto"/>
              </w:rPr>
            </w:pPr>
            <w:r w:rsidRPr="0021110A">
              <w:rPr>
                <w:color w:val="auto"/>
                <w:sz w:val="16"/>
              </w:rPr>
              <w:t>Single local-government-area cross-section; food insecurity not directly measured.</w:t>
            </w:r>
          </w:p>
        </w:tc>
        <w:tc>
          <w:tcPr>
            <w:tcW w:w="1602" w:type="dxa"/>
            <w:tcMar>
              <w:top w:w="85" w:type="dxa"/>
              <w:left w:w="85" w:type="dxa"/>
              <w:bottom w:w="85" w:type="dxa"/>
              <w:right w:w="85" w:type="dxa"/>
            </w:tcMar>
            <w:vAlign w:val="center"/>
          </w:tcPr>
          <w:p w14:paraId="60BEF12A" w14:textId="77777777" w:rsidR="002F07C4" w:rsidRPr="0021110A" w:rsidRDefault="00000000">
            <w:pPr>
              <w:spacing w:after="0" w:line="257" w:lineRule="auto"/>
              <w:rPr>
                <w:color w:val="auto"/>
              </w:rPr>
            </w:pPr>
            <w:r w:rsidRPr="0021110A">
              <w:rPr>
                <w:color w:val="auto"/>
                <w:sz w:val="16"/>
              </w:rPr>
              <w:t>(Koyenikan, 2011)</w:t>
            </w:r>
          </w:p>
        </w:tc>
      </w:tr>
      <w:tr w:rsidR="0021110A" w:rsidRPr="0021110A" w14:paraId="76B51C3F" w14:textId="77777777">
        <w:trPr>
          <w:jc w:val="center"/>
        </w:trPr>
        <w:tc>
          <w:tcPr>
            <w:tcW w:w="1896" w:type="dxa"/>
            <w:tcMar>
              <w:top w:w="85" w:type="dxa"/>
              <w:left w:w="85" w:type="dxa"/>
              <w:bottom w:w="85" w:type="dxa"/>
              <w:right w:w="85" w:type="dxa"/>
            </w:tcMar>
            <w:vAlign w:val="center"/>
          </w:tcPr>
          <w:p w14:paraId="05557B04" w14:textId="77777777" w:rsidR="002F07C4" w:rsidRPr="0021110A" w:rsidRDefault="00000000">
            <w:pPr>
              <w:spacing w:after="0" w:line="257" w:lineRule="auto"/>
              <w:rPr>
                <w:color w:val="auto"/>
              </w:rPr>
            </w:pPr>
            <w:r w:rsidRPr="0021110A">
              <w:rPr>
                <w:color w:val="auto"/>
                <w:sz w:val="16"/>
              </w:rPr>
              <w:t>Odum and Chukwuji; Oshimili South</w:t>
            </w:r>
          </w:p>
        </w:tc>
        <w:tc>
          <w:tcPr>
            <w:tcW w:w="1922" w:type="dxa"/>
            <w:tcMar>
              <w:top w:w="85" w:type="dxa"/>
              <w:left w:w="85" w:type="dxa"/>
              <w:bottom w:w="85" w:type="dxa"/>
              <w:right w:w="85" w:type="dxa"/>
            </w:tcMar>
            <w:vAlign w:val="center"/>
          </w:tcPr>
          <w:p w14:paraId="3B5D03B9" w14:textId="77777777" w:rsidR="002F07C4" w:rsidRPr="0021110A" w:rsidRDefault="00000000">
            <w:pPr>
              <w:spacing w:after="0" w:line="257" w:lineRule="auto"/>
              <w:rPr>
                <w:color w:val="auto"/>
              </w:rPr>
            </w:pPr>
            <w:r w:rsidRPr="0021110A">
              <w:rPr>
                <w:color w:val="auto"/>
                <w:sz w:val="16"/>
              </w:rPr>
              <w:t>Farm-budget survey among 90 credit-programme beneficiaries.</w:t>
            </w:r>
          </w:p>
        </w:tc>
        <w:tc>
          <w:tcPr>
            <w:tcW w:w="2069" w:type="dxa"/>
            <w:tcMar>
              <w:top w:w="85" w:type="dxa"/>
              <w:left w:w="85" w:type="dxa"/>
              <w:bottom w:w="85" w:type="dxa"/>
              <w:right w:w="85" w:type="dxa"/>
            </w:tcMar>
            <w:vAlign w:val="center"/>
          </w:tcPr>
          <w:p w14:paraId="7A649DAE" w14:textId="77777777" w:rsidR="002F07C4" w:rsidRPr="0021110A" w:rsidRDefault="00000000">
            <w:pPr>
              <w:spacing w:after="0" w:line="257" w:lineRule="auto"/>
              <w:rPr>
                <w:color w:val="auto"/>
              </w:rPr>
            </w:pPr>
            <w:r w:rsidRPr="0021110A">
              <w:rPr>
                <w:color w:val="auto"/>
                <w:sz w:val="16"/>
              </w:rPr>
              <w:t>Feed costs were important and selected enterprises reported profitability.</w:t>
            </w:r>
          </w:p>
        </w:tc>
        <w:tc>
          <w:tcPr>
            <w:tcW w:w="2403" w:type="dxa"/>
            <w:tcMar>
              <w:top w:w="85" w:type="dxa"/>
              <w:left w:w="85" w:type="dxa"/>
              <w:bottom w:w="85" w:type="dxa"/>
              <w:right w:w="85" w:type="dxa"/>
            </w:tcMar>
            <w:vAlign w:val="center"/>
          </w:tcPr>
          <w:p w14:paraId="01021560" w14:textId="77777777" w:rsidR="002F07C4" w:rsidRPr="0021110A" w:rsidRDefault="00000000">
            <w:pPr>
              <w:spacing w:after="0" w:line="257" w:lineRule="auto"/>
              <w:rPr>
                <w:color w:val="auto"/>
              </w:rPr>
            </w:pPr>
            <w:r w:rsidRPr="0021110A">
              <w:rPr>
                <w:color w:val="auto"/>
                <w:sz w:val="16"/>
              </w:rPr>
              <w:t>Selected funded market-oriented farms; cannot infer gains for all scavenging households.</w:t>
            </w:r>
          </w:p>
        </w:tc>
        <w:tc>
          <w:tcPr>
            <w:tcW w:w="1602" w:type="dxa"/>
            <w:tcMar>
              <w:top w:w="85" w:type="dxa"/>
              <w:left w:w="85" w:type="dxa"/>
              <w:bottom w:w="85" w:type="dxa"/>
              <w:right w:w="85" w:type="dxa"/>
            </w:tcMar>
            <w:vAlign w:val="center"/>
          </w:tcPr>
          <w:p w14:paraId="47FAAC69" w14:textId="77777777" w:rsidR="002F07C4" w:rsidRPr="0021110A" w:rsidRDefault="00000000">
            <w:pPr>
              <w:spacing w:after="0" w:line="257" w:lineRule="auto"/>
              <w:rPr>
                <w:color w:val="auto"/>
              </w:rPr>
            </w:pPr>
            <w:r w:rsidRPr="0021110A">
              <w:rPr>
                <w:color w:val="auto"/>
                <w:sz w:val="16"/>
              </w:rPr>
              <w:t>(Odum &amp; Chukwuji, 2022)</w:t>
            </w:r>
          </w:p>
        </w:tc>
      </w:tr>
      <w:tr w:rsidR="0021110A" w:rsidRPr="0021110A" w14:paraId="2D463B93" w14:textId="77777777">
        <w:trPr>
          <w:jc w:val="center"/>
        </w:trPr>
        <w:tc>
          <w:tcPr>
            <w:tcW w:w="1896" w:type="dxa"/>
            <w:tcMar>
              <w:top w:w="85" w:type="dxa"/>
              <w:left w:w="85" w:type="dxa"/>
              <w:bottom w:w="85" w:type="dxa"/>
              <w:right w:w="85" w:type="dxa"/>
            </w:tcMar>
            <w:vAlign w:val="center"/>
          </w:tcPr>
          <w:p w14:paraId="1D099BF8" w14:textId="77777777" w:rsidR="002F07C4" w:rsidRPr="0021110A" w:rsidRDefault="00000000">
            <w:pPr>
              <w:spacing w:after="0" w:line="257" w:lineRule="auto"/>
              <w:rPr>
                <w:color w:val="auto"/>
              </w:rPr>
            </w:pPr>
            <w:r w:rsidRPr="0021110A">
              <w:rPr>
                <w:color w:val="auto"/>
                <w:sz w:val="16"/>
              </w:rPr>
              <w:t>Ehiwario et al.; Delta and Edo</w:t>
            </w:r>
          </w:p>
        </w:tc>
        <w:tc>
          <w:tcPr>
            <w:tcW w:w="1922" w:type="dxa"/>
            <w:tcMar>
              <w:top w:w="85" w:type="dxa"/>
              <w:left w:w="85" w:type="dxa"/>
              <w:bottom w:w="85" w:type="dxa"/>
              <w:right w:w="85" w:type="dxa"/>
            </w:tcMar>
            <w:vAlign w:val="center"/>
          </w:tcPr>
          <w:p w14:paraId="14B12EF8" w14:textId="77777777" w:rsidR="002F07C4" w:rsidRPr="0021110A" w:rsidRDefault="00000000">
            <w:pPr>
              <w:spacing w:after="0" w:line="257" w:lineRule="auto"/>
              <w:rPr>
                <w:color w:val="auto"/>
              </w:rPr>
            </w:pPr>
            <w:r w:rsidRPr="0021110A">
              <w:rPr>
                <w:color w:val="auto"/>
                <w:sz w:val="16"/>
              </w:rPr>
              <w:t>Cross-sectional food-security modelling of 425 farming households.</w:t>
            </w:r>
          </w:p>
        </w:tc>
        <w:tc>
          <w:tcPr>
            <w:tcW w:w="2069" w:type="dxa"/>
            <w:tcMar>
              <w:top w:w="85" w:type="dxa"/>
              <w:left w:w="85" w:type="dxa"/>
              <w:bottom w:w="85" w:type="dxa"/>
              <w:right w:w="85" w:type="dxa"/>
            </w:tcMar>
            <w:vAlign w:val="center"/>
          </w:tcPr>
          <w:p w14:paraId="6C63AA92" w14:textId="77777777" w:rsidR="002F07C4" w:rsidRPr="0021110A" w:rsidRDefault="00000000">
            <w:pPr>
              <w:spacing w:after="0" w:line="257" w:lineRule="auto"/>
              <w:rPr>
                <w:color w:val="auto"/>
              </w:rPr>
            </w:pPr>
            <w:r w:rsidRPr="0021110A">
              <w:rPr>
                <w:color w:val="auto"/>
                <w:sz w:val="16"/>
              </w:rPr>
              <w:t>Education, income, household size and extension associated with food security.</w:t>
            </w:r>
          </w:p>
        </w:tc>
        <w:tc>
          <w:tcPr>
            <w:tcW w:w="2403" w:type="dxa"/>
            <w:tcMar>
              <w:top w:w="85" w:type="dxa"/>
              <w:left w:w="85" w:type="dxa"/>
              <w:bottom w:w="85" w:type="dxa"/>
              <w:right w:w="85" w:type="dxa"/>
            </w:tcMar>
            <w:vAlign w:val="center"/>
          </w:tcPr>
          <w:p w14:paraId="46939202" w14:textId="77777777" w:rsidR="002F07C4" w:rsidRPr="0021110A" w:rsidRDefault="00000000">
            <w:pPr>
              <w:spacing w:after="0" w:line="257" w:lineRule="auto"/>
              <w:rPr>
                <w:color w:val="auto"/>
              </w:rPr>
            </w:pPr>
            <w:r w:rsidRPr="0021110A">
              <w:rPr>
                <w:color w:val="auto"/>
                <w:sz w:val="16"/>
              </w:rPr>
              <w:t>Poultry-specific exposure and independent poultry impact not established.</w:t>
            </w:r>
          </w:p>
        </w:tc>
        <w:tc>
          <w:tcPr>
            <w:tcW w:w="1602" w:type="dxa"/>
            <w:tcMar>
              <w:top w:w="85" w:type="dxa"/>
              <w:left w:w="85" w:type="dxa"/>
              <w:bottom w:w="85" w:type="dxa"/>
              <w:right w:w="85" w:type="dxa"/>
            </w:tcMar>
            <w:vAlign w:val="center"/>
          </w:tcPr>
          <w:p w14:paraId="26553104" w14:textId="77777777" w:rsidR="002F07C4" w:rsidRPr="0021110A" w:rsidRDefault="00000000">
            <w:pPr>
              <w:spacing w:after="0" w:line="257" w:lineRule="auto"/>
              <w:rPr>
                <w:color w:val="auto"/>
              </w:rPr>
            </w:pPr>
            <w:r w:rsidRPr="0021110A">
              <w:rPr>
                <w:color w:val="auto"/>
                <w:sz w:val="16"/>
              </w:rPr>
              <w:t>(Ehiwario et al., 2024)</w:t>
            </w:r>
          </w:p>
        </w:tc>
      </w:tr>
      <w:tr w:rsidR="0021110A" w:rsidRPr="0021110A" w14:paraId="13609653" w14:textId="77777777">
        <w:trPr>
          <w:jc w:val="center"/>
        </w:trPr>
        <w:tc>
          <w:tcPr>
            <w:tcW w:w="1896" w:type="dxa"/>
            <w:tcMar>
              <w:top w:w="85" w:type="dxa"/>
              <w:left w:w="85" w:type="dxa"/>
              <w:bottom w:w="85" w:type="dxa"/>
              <w:right w:w="85" w:type="dxa"/>
            </w:tcMar>
            <w:vAlign w:val="center"/>
          </w:tcPr>
          <w:p w14:paraId="7A683710" w14:textId="77777777" w:rsidR="002F07C4" w:rsidRPr="0021110A" w:rsidRDefault="00000000">
            <w:pPr>
              <w:spacing w:after="0" w:line="257" w:lineRule="auto"/>
              <w:rPr>
                <w:color w:val="auto"/>
              </w:rPr>
            </w:pPr>
            <w:r w:rsidRPr="0021110A">
              <w:rPr>
                <w:color w:val="auto"/>
                <w:sz w:val="16"/>
              </w:rPr>
              <w:t>Odor et al.; Delta State</w:t>
            </w:r>
          </w:p>
        </w:tc>
        <w:tc>
          <w:tcPr>
            <w:tcW w:w="1922" w:type="dxa"/>
            <w:tcMar>
              <w:top w:w="85" w:type="dxa"/>
              <w:left w:w="85" w:type="dxa"/>
              <w:bottom w:w="85" w:type="dxa"/>
              <w:right w:w="85" w:type="dxa"/>
            </w:tcMar>
            <w:vAlign w:val="center"/>
          </w:tcPr>
          <w:p w14:paraId="0B1557A7" w14:textId="77777777" w:rsidR="002F07C4" w:rsidRPr="0021110A" w:rsidRDefault="00000000">
            <w:pPr>
              <w:spacing w:after="0" w:line="257" w:lineRule="auto"/>
              <w:rPr>
                <w:color w:val="auto"/>
              </w:rPr>
            </w:pPr>
            <w:r w:rsidRPr="0021110A">
              <w:rPr>
                <w:color w:val="auto"/>
                <w:sz w:val="16"/>
              </w:rPr>
              <w:t>Food-security study in one local-government area.</w:t>
            </w:r>
          </w:p>
        </w:tc>
        <w:tc>
          <w:tcPr>
            <w:tcW w:w="2069" w:type="dxa"/>
            <w:tcMar>
              <w:top w:w="85" w:type="dxa"/>
              <w:left w:w="85" w:type="dxa"/>
              <w:bottom w:w="85" w:type="dxa"/>
              <w:right w:w="85" w:type="dxa"/>
            </w:tcMar>
            <w:vAlign w:val="center"/>
          </w:tcPr>
          <w:p w14:paraId="4CD05871" w14:textId="77777777" w:rsidR="002F07C4" w:rsidRPr="0021110A" w:rsidRDefault="00000000">
            <w:pPr>
              <w:spacing w:after="0" w:line="257" w:lineRule="auto"/>
              <w:rPr>
                <w:color w:val="auto"/>
              </w:rPr>
            </w:pPr>
            <w:r w:rsidRPr="0021110A">
              <w:rPr>
                <w:color w:val="auto"/>
                <w:sz w:val="16"/>
              </w:rPr>
              <w:t>Local socioeconomic determinants of food insecurity explored.</w:t>
            </w:r>
          </w:p>
        </w:tc>
        <w:tc>
          <w:tcPr>
            <w:tcW w:w="2403" w:type="dxa"/>
            <w:tcMar>
              <w:top w:w="85" w:type="dxa"/>
              <w:left w:w="85" w:type="dxa"/>
              <w:bottom w:w="85" w:type="dxa"/>
              <w:right w:w="85" w:type="dxa"/>
            </w:tcMar>
            <w:vAlign w:val="center"/>
          </w:tcPr>
          <w:p w14:paraId="6FDDB86C" w14:textId="77777777" w:rsidR="002F07C4" w:rsidRPr="0021110A" w:rsidRDefault="00000000">
            <w:pPr>
              <w:spacing w:after="0" w:line="257" w:lineRule="auto"/>
              <w:rPr>
                <w:color w:val="auto"/>
              </w:rPr>
            </w:pPr>
            <w:r w:rsidRPr="0021110A">
              <w:rPr>
                <w:color w:val="auto"/>
                <w:sz w:val="16"/>
              </w:rPr>
              <w:t>Not a poultry intervention; study area and sampling restrict transfer.</w:t>
            </w:r>
          </w:p>
        </w:tc>
        <w:tc>
          <w:tcPr>
            <w:tcW w:w="1602" w:type="dxa"/>
            <w:tcMar>
              <w:top w:w="85" w:type="dxa"/>
              <w:left w:w="85" w:type="dxa"/>
              <w:bottom w:w="85" w:type="dxa"/>
              <w:right w:w="85" w:type="dxa"/>
            </w:tcMar>
            <w:vAlign w:val="center"/>
          </w:tcPr>
          <w:p w14:paraId="27F8EB1E" w14:textId="77777777" w:rsidR="002F07C4" w:rsidRPr="0021110A" w:rsidRDefault="00000000">
            <w:pPr>
              <w:spacing w:after="0" w:line="257" w:lineRule="auto"/>
              <w:rPr>
                <w:color w:val="auto"/>
              </w:rPr>
            </w:pPr>
            <w:r w:rsidRPr="0021110A">
              <w:rPr>
                <w:color w:val="auto"/>
                <w:sz w:val="16"/>
              </w:rPr>
              <w:t>(Odor et al., 2026)</w:t>
            </w:r>
          </w:p>
        </w:tc>
      </w:tr>
      <w:tr w:rsidR="0021110A" w:rsidRPr="0021110A" w14:paraId="4BE51504" w14:textId="77777777">
        <w:trPr>
          <w:jc w:val="center"/>
        </w:trPr>
        <w:tc>
          <w:tcPr>
            <w:tcW w:w="1896" w:type="dxa"/>
            <w:tcMar>
              <w:top w:w="85" w:type="dxa"/>
              <w:left w:w="85" w:type="dxa"/>
              <w:bottom w:w="85" w:type="dxa"/>
              <w:right w:w="85" w:type="dxa"/>
            </w:tcMar>
            <w:vAlign w:val="center"/>
          </w:tcPr>
          <w:p w14:paraId="7B739902" w14:textId="77777777" w:rsidR="002F07C4" w:rsidRPr="0021110A" w:rsidRDefault="00000000">
            <w:pPr>
              <w:spacing w:after="0" w:line="257" w:lineRule="auto"/>
              <w:rPr>
                <w:color w:val="auto"/>
              </w:rPr>
            </w:pPr>
            <w:r w:rsidRPr="0021110A">
              <w:rPr>
                <w:color w:val="auto"/>
                <w:sz w:val="16"/>
              </w:rPr>
              <w:t>Olutegbe et al.; Nigeria</w:t>
            </w:r>
          </w:p>
        </w:tc>
        <w:tc>
          <w:tcPr>
            <w:tcW w:w="1922" w:type="dxa"/>
            <w:tcMar>
              <w:top w:w="85" w:type="dxa"/>
              <w:left w:w="85" w:type="dxa"/>
              <w:bottom w:w="85" w:type="dxa"/>
              <w:right w:w="85" w:type="dxa"/>
            </w:tcMar>
            <w:vAlign w:val="center"/>
          </w:tcPr>
          <w:p w14:paraId="1CC1DE09" w14:textId="77777777" w:rsidR="002F07C4" w:rsidRPr="0021110A" w:rsidRDefault="00000000">
            <w:pPr>
              <w:spacing w:after="0" w:line="257" w:lineRule="auto"/>
              <w:rPr>
                <w:color w:val="auto"/>
              </w:rPr>
            </w:pPr>
            <w:r w:rsidRPr="0021110A">
              <w:rPr>
                <w:color w:val="auto"/>
                <w:sz w:val="16"/>
              </w:rPr>
              <w:t>Survey of 2,007 chicken-rearing households, resilience modelling.</w:t>
            </w:r>
          </w:p>
        </w:tc>
        <w:tc>
          <w:tcPr>
            <w:tcW w:w="2069" w:type="dxa"/>
            <w:tcMar>
              <w:top w:w="85" w:type="dxa"/>
              <w:left w:w="85" w:type="dxa"/>
              <w:bottom w:w="85" w:type="dxa"/>
              <w:right w:w="85" w:type="dxa"/>
            </w:tcMar>
            <w:vAlign w:val="center"/>
          </w:tcPr>
          <w:p w14:paraId="546FBFEF" w14:textId="77777777" w:rsidR="002F07C4" w:rsidRPr="0021110A" w:rsidRDefault="00000000">
            <w:pPr>
              <w:spacing w:after="0" w:line="257" w:lineRule="auto"/>
              <w:rPr>
                <w:color w:val="auto"/>
              </w:rPr>
            </w:pPr>
            <w:r w:rsidRPr="0021110A">
              <w:rPr>
                <w:color w:val="auto"/>
                <w:sz w:val="16"/>
              </w:rPr>
              <w:t>Coexisting production-related shocks and severe reported food insecurity.</w:t>
            </w:r>
          </w:p>
        </w:tc>
        <w:tc>
          <w:tcPr>
            <w:tcW w:w="2403" w:type="dxa"/>
            <w:tcMar>
              <w:top w:w="85" w:type="dxa"/>
              <w:left w:w="85" w:type="dxa"/>
              <w:bottom w:w="85" w:type="dxa"/>
              <w:right w:w="85" w:type="dxa"/>
            </w:tcMar>
            <w:vAlign w:val="center"/>
          </w:tcPr>
          <w:p w14:paraId="5E23044C" w14:textId="77777777" w:rsidR="002F07C4" w:rsidRPr="0021110A" w:rsidRDefault="00000000">
            <w:pPr>
              <w:spacing w:after="0" w:line="257" w:lineRule="auto"/>
              <w:rPr>
                <w:color w:val="auto"/>
              </w:rPr>
            </w:pPr>
            <w:r w:rsidRPr="0021110A">
              <w:rPr>
                <w:color w:val="auto"/>
                <w:sz w:val="16"/>
              </w:rPr>
              <w:t>National association and index interpretation do not quantify Delta-specific treatment effect.</w:t>
            </w:r>
          </w:p>
        </w:tc>
        <w:tc>
          <w:tcPr>
            <w:tcW w:w="1602" w:type="dxa"/>
            <w:tcMar>
              <w:top w:w="85" w:type="dxa"/>
              <w:left w:w="85" w:type="dxa"/>
              <w:bottom w:w="85" w:type="dxa"/>
              <w:right w:w="85" w:type="dxa"/>
            </w:tcMar>
            <w:vAlign w:val="center"/>
          </w:tcPr>
          <w:p w14:paraId="0068B499" w14:textId="77777777" w:rsidR="002F07C4" w:rsidRPr="0021110A" w:rsidRDefault="00000000">
            <w:pPr>
              <w:spacing w:after="0" w:line="257" w:lineRule="auto"/>
              <w:rPr>
                <w:color w:val="auto"/>
              </w:rPr>
            </w:pPr>
            <w:r w:rsidRPr="0021110A">
              <w:rPr>
                <w:color w:val="auto"/>
                <w:sz w:val="16"/>
              </w:rPr>
              <w:t>(Olutegbe et al., 2026)</w:t>
            </w:r>
          </w:p>
        </w:tc>
      </w:tr>
    </w:tbl>
    <w:p w14:paraId="2E642694" w14:textId="77777777" w:rsidR="002F07C4" w:rsidRPr="0021110A" w:rsidRDefault="00000000">
      <w:pPr>
        <w:pStyle w:val="TableNote"/>
        <w:spacing w:after="180"/>
        <w:rPr>
          <w:color w:val="auto"/>
        </w:rPr>
      </w:pPr>
      <w:r w:rsidRPr="0021110A">
        <w:rPr>
          <w:color w:val="auto"/>
        </w:rPr>
        <w:t>Note. The entries synthesise representative evidence and are not pooled effect estimates.</w:t>
      </w:r>
    </w:p>
    <w:p w14:paraId="5328C1BF" w14:textId="77777777" w:rsidR="002F07C4" w:rsidRPr="0021110A" w:rsidRDefault="00000000">
      <w:pPr>
        <w:pStyle w:val="Heading1"/>
        <w:rPr>
          <w:color w:val="auto"/>
        </w:rPr>
      </w:pPr>
      <w:r w:rsidRPr="0021110A">
        <w:rPr>
          <w:color w:val="auto"/>
        </w:rPr>
        <w:t>6. Animal Health, Environmental Exposure and Production Fragility</w:t>
      </w:r>
    </w:p>
    <w:p w14:paraId="5D9DAF40" w14:textId="77777777" w:rsidR="002F07C4" w:rsidRPr="0021110A" w:rsidRDefault="00000000">
      <w:pPr>
        <w:jc w:val="both"/>
        <w:rPr>
          <w:color w:val="auto"/>
        </w:rPr>
      </w:pPr>
      <w:r w:rsidRPr="0021110A">
        <w:rPr>
          <w:color w:val="auto"/>
        </w:rPr>
        <w:t xml:space="preserve">The prospect of nutritional or economic benefit depends on maintaining flock health and protecting the people who live alongside the birds. Disease losses can remove both the current source of eggs and the stock from </w:t>
      </w:r>
      <w:r w:rsidRPr="0021110A">
        <w:rPr>
          <w:color w:val="auto"/>
        </w:rPr>
        <w:lastRenderedPageBreak/>
        <w:t>which future chicks would be produced. At the same time, domestic poultry may increase contact with animal faeces and, in some circumstances, avian pathogens. These are not merely technical production issues; they are determinants of whether additional poultry translates into better food utilisation, stable income or avoidable household exposure. Treating animal health and environmental health as separate policy domains risks improving one outcome while overlooking deterioration in another.</w:t>
      </w:r>
    </w:p>
    <w:p w14:paraId="0559158D" w14:textId="77777777" w:rsidR="002F07C4" w:rsidRPr="0021110A" w:rsidRDefault="00000000">
      <w:pPr>
        <w:pStyle w:val="Heading2"/>
        <w:rPr>
          <w:color w:val="auto"/>
        </w:rPr>
      </w:pPr>
      <w:r w:rsidRPr="0021110A">
        <w:rPr>
          <w:color w:val="auto"/>
        </w:rPr>
        <w:t>6.1 Newcastle Disease, Preventable Mortality and Service Delivery</w:t>
      </w:r>
    </w:p>
    <w:p w14:paraId="459C79E5" w14:textId="77777777" w:rsidR="002F07C4" w:rsidRPr="0021110A" w:rsidRDefault="00000000">
      <w:pPr>
        <w:jc w:val="both"/>
        <w:rPr>
          <w:color w:val="auto"/>
        </w:rPr>
      </w:pPr>
      <w:r w:rsidRPr="0021110A">
        <w:rPr>
          <w:color w:val="auto"/>
        </w:rPr>
        <w:t>Newcastle disease is a central constraint in traditional poultry systems, but evidence about practical vaccination benefits must be interpreted with attention to implementation. A study in a rural Nigerian community documented awareness and serological evidence relevant to Newcastle disease alongside limitations in disease prevention practices (Daodu et al., 2019). Such findings establish a plausible management priority, although the prevalence or vaccination behaviour observed in one setting should not be treated as Delta State’s rate. Historical work on heat-resistant Newcastle disease vaccine in village chickens demonstrated possibilities for administering vaccine under less controlled field conditions (Jagne et al., 1991). That early finding is relevant because conventional delivery can be difficult where refrigeration, roads or scheduled veterinary contact are unreliable. Immunological response, however, is not identical to documented reductions in household mortality or improved diets.</w:t>
      </w:r>
    </w:p>
    <w:p w14:paraId="1EFD1E76" w14:textId="77777777" w:rsidR="002F07C4" w:rsidRPr="0021110A" w:rsidRDefault="00000000">
      <w:pPr>
        <w:jc w:val="both"/>
        <w:rPr>
          <w:color w:val="auto"/>
        </w:rPr>
      </w:pPr>
      <w:r w:rsidRPr="0021110A">
        <w:rPr>
          <w:color w:val="auto"/>
        </w:rPr>
        <w:t>A Tanzanian study examining vaccination and food-security-related outcomes offers a more direct link to household welfare, observing differences associated with Newcastle disease control and poultry-related food intake (Knueppel et al., 2010). Its design and setting limit attribution and generalisation compared with a contemporary cluster-randomised trial. One should not transfer its effect magnitude to Nigerian flocks without establishing baseline flock mortality, strain and vaccine suitability, bird-mixing patterns, vaccination timing and the capacity of local services to reach households repeatedly. It does support the mechanism that survival is a potential mediator: birds that remain alive can produce, reproduce, be eaten or be sold. The policy question is which delivery mechanism achieves adequate protection at an acceptable cost while keeping the smallest households engaged.</w:t>
      </w:r>
    </w:p>
    <w:p w14:paraId="6F86474B" w14:textId="77777777" w:rsidR="002F07C4" w:rsidRPr="0021110A" w:rsidRDefault="00000000">
      <w:pPr>
        <w:jc w:val="both"/>
        <w:rPr>
          <w:color w:val="auto"/>
        </w:rPr>
      </w:pPr>
      <w:r w:rsidRPr="0021110A">
        <w:rPr>
          <w:color w:val="auto"/>
        </w:rPr>
        <w:t>Service failure can also explain why technically effective products have limited livelihood consequences. A vaccine campaign may reach adult birds but miss new hatchlings, while households unable to restrain scavenging birds may not follow a prescribed route of administration. Campaigns may be poorly timed relative to market sales or seasonal transport disruptions. Information alone may not secure adoption if medicine is unaffordable or untrusted, and subsidised vaccination can fail if post-vaccination management remains unsafe. The limited extension contact documented among poultry rearers in Oshimili North makes locally feasible delivery a specific hypothesis for investigation rather than a guaranteed solution (Koyenikan, 2011). Evaluation should measure coverage, flock survival, repeated participation and the eventual disposition of additional eggs or birds.</w:t>
      </w:r>
    </w:p>
    <w:p w14:paraId="0D69EB74" w14:textId="77777777" w:rsidR="002F07C4" w:rsidRPr="0021110A" w:rsidRDefault="00000000">
      <w:pPr>
        <w:jc w:val="both"/>
        <w:rPr>
          <w:color w:val="auto"/>
        </w:rPr>
      </w:pPr>
      <w:r w:rsidRPr="0021110A">
        <w:rPr>
          <w:color w:val="auto"/>
        </w:rPr>
        <w:t xml:space="preserve">A realistic welfare analysis must include replacement and management costs. Vaccination that keeps many chicks alive can increase competition for scarce scavenged feed, creating a need for more supplementation. If the household cannot support the larger flock, survival gains may not become equivalent gains in eggs or profitable sales. Conversely, modest reductions in mortality can be valuable even where flock size does not rise, by stabilising the number of productive hens. Studies of technical efficiency in African village chicken systems reinforce the importance of input–output relationships rather than simple headcounts (Birhanu et al., 2021). This </w:t>
      </w:r>
      <w:r w:rsidRPr="0021110A">
        <w:rPr>
          <w:color w:val="auto"/>
        </w:rPr>
        <w:lastRenderedPageBreak/>
        <w:t>interaction between flock health and feed resources suggests that the most appropriate intervention may vary with each household’s capacity and the season.</w:t>
      </w:r>
    </w:p>
    <w:p w14:paraId="337A8780" w14:textId="77777777" w:rsidR="002F07C4" w:rsidRPr="0021110A" w:rsidRDefault="00000000">
      <w:pPr>
        <w:pStyle w:val="Heading2"/>
        <w:rPr>
          <w:color w:val="auto"/>
        </w:rPr>
      </w:pPr>
      <w:r w:rsidRPr="0021110A">
        <w:rPr>
          <w:color w:val="auto"/>
        </w:rPr>
        <w:t>6.2 Avian Influenza, Trading Networks and Proportionate Biosecurity</w:t>
      </w:r>
    </w:p>
    <w:p w14:paraId="7EAD027A" w14:textId="77777777" w:rsidR="002F07C4" w:rsidRPr="0021110A" w:rsidRDefault="00000000">
      <w:pPr>
        <w:jc w:val="both"/>
        <w:rPr>
          <w:color w:val="auto"/>
        </w:rPr>
      </w:pPr>
      <w:r w:rsidRPr="0021110A">
        <w:rPr>
          <w:color w:val="auto"/>
        </w:rPr>
        <w:t>Highly pathogenic avian influenza introduces a different risk profile involving infection surveillance, bird movements and the human–poultry–environment interface. Research in north-central Nigeria has documented sociocultural and biosecurity factors associated with the disease context, supporting attention to husbandry practices and human behaviour in control strategies (Alhaji et al., 2023). The geographical location of that work is essential: documented conditions in northern production systems do not establish the probability of avian influenza transmission in Delta State’s backyard flocks. A sound local risk assessment would therefore rely on veterinary surveillance, bird-source information and actual mixing patterns rather than attributing a regional risk coefficient to all Nigerian farmers.</w:t>
      </w:r>
    </w:p>
    <w:p w14:paraId="4E44FF60" w14:textId="77777777" w:rsidR="002F07C4" w:rsidRPr="0021110A" w:rsidRDefault="00000000">
      <w:pPr>
        <w:jc w:val="both"/>
        <w:rPr>
          <w:color w:val="auto"/>
        </w:rPr>
      </w:pPr>
      <w:r w:rsidRPr="0021110A">
        <w:rPr>
          <w:color w:val="auto"/>
        </w:rPr>
        <w:t>Biosecurity advice must also be proportionate to the economic resources of the intended flock keepers. A recommendation for fully enclosed, purpose-built housing may be feasible on a commercial farm but unrealistic for a household keeping several roaming indigenous chickens. Lower-cost measures such as separating visibly sick birds, avoiding the movement of sick birds to markets, cleaning equipment and communicating unusual mortality can be considered, although their effectiveness and adoption need context-specific evaluation. Where confinement is recommended, it should not be promoted without examining feed dependence, thermal comfort, available space and hygiene management. More confinement can reduce some contacts yet concentrate faeces near domestic living areas if housing is placed badly. This is an example of a technical response that may shift, rather than simply eliminate, risk.</w:t>
      </w:r>
    </w:p>
    <w:p w14:paraId="4805E5DC" w14:textId="77777777" w:rsidR="002F07C4" w:rsidRPr="0021110A" w:rsidRDefault="00000000">
      <w:pPr>
        <w:jc w:val="both"/>
        <w:rPr>
          <w:color w:val="auto"/>
        </w:rPr>
      </w:pPr>
      <w:r w:rsidRPr="0021110A">
        <w:rPr>
          <w:color w:val="auto"/>
        </w:rPr>
        <w:t>Market participation complicates infection control because live-bird sales connect flocks belonging to households with very different husbandry conditions. Informal traders, village collection points and household ceremonies may create pathways for bird movement beyond the authority of an individual keeper. Advice directed solely at farmers can consequently miss network-level exposure. The One Health perspective favours coordination among veterinary services, local public-health personnel, market actors and community advisers. However, the evidence reviewed does not quantify how much any particular network intervention would lower human illness or increase food security in Delta State. These remain programme hypotheses requiring measured veterinary and household outcomes (Alhaji et al., 2023; Dione et al., 2025).</w:t>
      </w:r>
    </w:p>
    <w:p w14:paraId="254FF68D" w14:textId="77777777" w:rsidR="002F07C4" w:rsidRPr="0021110A" w:rsidRDefault="00000000">
      <w:pPr>
        <w:pStyle w:val="Heading2"/>
        <w:rPr>
          <w:color w:val="auto"/>
        </w:rPr>
      </w:pPr>
      <w:r w:rsidRPr="0021110A">
        <w:rPr>
          <w:color w:val="auto"/>
        </w:rPr>
        <w:t>6.3 Faecal Exposure and the Nutrition–Infection Trade-off</w:t>
      </w:r>
    </w:p>
    <w:p w14:paraId="07B23998" w14:textId="77777777" w:rsidR="002F07C4" w:rsidRPr="0021110A" w:rsidRDefault="00000000">
      <w:pPr>
        <w:jc w:val="both"/>
        <w:rPr>
          <w:color w:val="auto"/>
        </w:rPr>
      </w:pPr>
      <w:r w:rsidRPr="0021110A">
        <w:rPr>
          <w:color w:val="auto"/>
        </w:rPr>
        <w:t>A more immediate household concern is close physical contact between poultry, human food and young children. In an observational analysis from rural Ethiopia, poultry ownership and particular ways of corralling birds were associated with different patterns of child growth, suggesting that the nutritional and environmental-health pathways may operate in opposite directions (Headey &amp; Hirvonen, 2016). Such associations are vulnerable to confounding by poverty, sanitation and caregiving; they do not show that the ownership of any backyard chicken directly causes stunting. Their importance is instead to challenge the assumption that increased animal production carries only favourable health consequences. An intervention that supplies chicks without adequate arrangements for night roosting, waste management and safe play spaces may unintentionally increase exposure.</w:t>
      </w:r>
    </w:p>
    <w:p w14:paraId="5B5842CD" w14:textId="77777777" w:rsidR="002F07C4" w:rsidRPr="0021110A" w:rsidRDefault="00000000">
      <w:pPr>
        <w:jc w:val="both"/>
        <w:rPr>
          <w:color w:val="auto"/>
        </w:rPr>
      </w:pPr>
      <w:r w:rsidRPr="0021110A">
        <w:rPr>
          <w:color w:val="auto"/>
        </w:rPr>
        <w:t xml:space="preserve">Microbiological evidence from Bangladesh shows that animal faeces can contribute to contamination of hands, foods, water and the domestic environment (Ercumen et al., 2017). This supports a plausible route through </w:t>
      </w:r>
      <w:r w:rsidRPr="0021110A">
        <w:rPr>
          <w:color w:val="auto"/>
        </w:rPr>
        <w:lastRenderedPageBreak/>
        <w:t>which close contact with poultry may affect food utilisation even as more eggs become available. It does not identify all measured contamination as originating specifically from chickens, nor does it establish a precise child-health effect for Delta State. The proper inferential chain would require identifying sources, measuring exposure and linking that exposure to health outcomes under appropriate controls. Without these steps, environmental findings should inform precautionary design and research rather than be used to calculate unobserved local disease burdens.</w:t>
      </w:r>
    </w:p>
    <w:p w14:paraId="6407905B" w14:textId="77777777" w:rsidR="002F07C4" w:rsidRPr="0021110A" w:rsidRDefault="00000000">
      <w:pPr>
        <w:jc w:val="both"/>
        <w:rPr>
          <w:color w:val="auto"/>
        </w:rPr>
      </w:pPr>
      <w:r w:rsidRPr="0021110A">
        <w:rPr>
          <w:color w:val="auto"/>
        </w:rPr>
        <w:t>Ethnographic analysis adds a behavioural explanation for why sanitation messages may or may not be adopted. In Ethiopian households, chickens were embedded within daily domestic routines, cultural expectations and food-allocation decisions; maintaining strict separation from children was not simply a matter of supplying information (Bardosh et al., 2020). In Delta State, settlement density, building design, child-care patterns, flooding and the availability of cleanable outdoor areas are likely to condition feasible responses, but the relevant distributions have not been established by the reviewed evidence. Local participatory design can identify where an elevated night roost, clean feeding location or protection of drinking water is practical. Benefits must then be evaluated without assuming that a measure acceptable in one rural setting will be affordable or sustained in another.</w:t>
      </w:r>
    </w:p>
    <w:p w14:paraId="1139E3C1" w14:textId="77777777" w:rsidR="002F07C4" w:rsidRPr="0021110A" w:rsidRDefault="00000000">
      <w:pPr>
        <w:jc w:val="both"/>
        <w:rPr>
          <w:color w:val="auto"/>
        </w:rPr>
      </w:pPr>
      <w:r w:rsidRPr="0021110A">
        <w:rPr>
          <w:color w:val="auto"/>
        </w:rPr>
        <w:t>The strongest implication is that food-security and One Health endpoints should be assessed together. If poultry increases children's egg consumption but simultaneously increases exposure to faecal pathogens, an isolated dietary indicator may overstate the welfare gain. Conversely, if safe flock separation reduces both infection exposure and egg access because households abandon management, the net benefit may be smaller than expected. Future studies need individual dietary measurements, poultry survival data, environmental contamination indicators and child morbidity measures collected on compatible timescales. The aim is neither to depict household poultry as inherently unsafe nor to dismiss credible exposure routes because evidence for a Delta State-specific infection outcome is incomplete.</w:t>
      </w:r>
    </w:p>
    <w:p w14:paraId="74E31DC7" w14:textId="77777777" w:rsidR="002F07C4" w:rsidRPr="0021110A" w:rsidRDefault="00000000">
      <w:pPr>
        <w:pStyle w:val="Heading2"/>
        <w:rPr>
          <w:color w:val="auto"/>
        </w:rPr>
      </w:pPr>
      <w:r w:rsidRPr="0021110A">
        <w:rPr>
          <w:color w:val="auto"/>
        </w:rPr>
        <w:t>6.4 Environmental Stress, Feed Access and Multiple-risk Households</w:t>
      </w:r>
    </w:p>
    <w:p w14:paraId="47FA641D" w14:textId="77777777" w:rsidR="002F07C4" w:rsidRPr="0021110A" w:rsidRDefault="00000000">
      <w:pPr>
        <w:jc w:val="both"/>
        <w:rPr>
          <w:color w:val="auto"/>
        </w:rPr>
      </w:pPr>
      <w:r w:rsidRPr="0021110A">
        <w:rPr>
          <w:color w:val="auto"/>
        </w:rPr>
        <w:t>Production risks may accumulate within the same farming household. Disease mortality is particularly damaging when the household has already lost crop income, market access or safe housing. Studies of environmental livelihood pressures in the Niger Delta and crop-income effects in Delta State demonstrate that poultry is embedded in a broader exposure landscape (Babatunde, 2020; Inoni et al., 2006). Comparative research on livelihood vulnerability further indicates that farmers and fishing households can differ in their exposure and sensitivity to environmental and economic stresses, cautioning against a single rural resilience model (Onyenekwe et al., 2024). A flood can contaminate feed, make a low-lying roost unusable, interrupt access to vaccines and restrict routes to a live-bird market. These are plausible combined mechanisms, but the review found no basis to assign a single Delta-wide flock mortality rate or to claim that one adaptation measure has a proven effect on food insecurity.</w:t>
      </w:r>
    </w:p>
    <w:p w14:paraId="6BDF7A15" w14:textId="77777777" w:rsidR="002F07C4" w:rsidRPr="0021110A" w:rsidRDefault="00000000">
      <w:pPr>
        <w:jc w:val="both"/>
        <w:rPr>
          <w:color w:val="auto"/>
        </w:rPr>
      </w:pPr>
      <w:r w:rsidRPr="0021110A">
        <w:rPr>
          <w:color w:val="auto"/>
        </w:rPr>
        <w:t xml:space="preserve">Household responses to shocks may also be heterogeneous. A family with secure housing and crop residues might be able to move birds to a dry area and continue feeding them. Another might sell its breeding hens prematurely because it lacks feed storage or liquidity. Even if both initially own the same number of birds, their future food-security trajectories differ. National Nigerian analysis of chicken-rearing households highlights the relevance of production shocks and adverse food-security conditions but cannot isolate the effect of a local flood-adaptation intervention (Olutegbe et al., 2026). Policy should therefore avoid assuming that simply increasing flock numbers is a robust climate or livelihood-resilience strategy. Measures such as accessible </w:t>
      </w:r>
      <w:r w:rsidRPr="0021110A">
        <w:rPr>
          <w:color w:val="auto"/>
        </w:rPr>
        <w:lastRenderedPageBreak/>
        <w:t>elevated roosting and emergency veterinary communication are defensible design ideas, subject to local feasibility and evaluation.</w:t>
      </w:r>
    </w:p>
    <w:p w14:paraId="775B77C1" w14:textId="77777777" w:rsidR="002F07C4" w:rsidRPr="0021110A" w:rsidRDefault="00000000">
      <w:pPr>
        <w:jc w:val="both"/>
        <w:rPr>
          <w:color w:val="auto"/>
        </w:rPr>
      </w:pPr>
      <w:r w:rsidRPr="0021110A">
        <w:rPr>
          <w:color w:val="auto"/>
        </w:rPr>
        <w:t>Table 4 brings the disease, faecal-exposure and wider livelihood risks together. It identifies responses that are biologically or operationally plausible while distinguishing them from interventions with locally demonstrated effects. The central lesson is that a nutrition-sensitive poultry programme must manage animal survival, household hygiene and economic cost jointly: success on only one axis does not establish net food-security benefit.</w:t>
      </w:r>
    </w:p>
    <w:p w14:paraId="0B0E1855" w14:textId="77777777" w:rsidR="002F07C4" w:rsidRPr="0021110A" w:rsidRDefault="00000000">
      <w:pPr>
        <w:pStyle w:val="TableCaption"/>
        <w:rPr>
          <w:color w:val="auto"/>
        </w:rPr>
      </w:pPr>
      <w:r w:rsidRPr="0021110A">
        <w:rPr>
          <w:color w:val="auto"/>
        </w:rPr>
        <w:t>Table 4. Production and public-health risks: proportionate responses and evidence gaps</w:t>
      </w:r>
    </w:p>
    <w:tbl>
      <w:tblPr>
        <w:tblW w:w="0" w:type="auto"/>
        <w:jc w:val="center"/>
        <w:tblBorders>
          <w:top w:val="single" w:sz="5" w:space="0" w:color="AEBAC0"/>
          <w:left w:val="nil"/>
          <w:bottom w:val="single" w:sz="5" w:space="0" w:color="AEBAC0"/>
          <w:right w:val="nil"/>
          <w:insideH w:val="single" w:sz="2" w:space="0" w:color="DFE6E9"/>
          <w:insideV w:val="nil"/>
        </w:tblBorders>
        <w:tblLayout w:type="fixed"/>
        <w:tblLook w:val="04A0" w:firstRow="1" w:lastRow="0" w:firstColumn="1" w:lastColumn="0" w:noHBand="0" w:noVBand="1"/>
      </w:tblPr>
      <w:tblGrid>
        <w:gridCol w:w="1446"/>
        <w:gridCol w:w="2289"/>
        <w:gridCol w:w="2316"/>
        <w:gridCol w:w="2169"/>
        <w:gridCol w:w="1673"/>
      </w:tblGrid>
      <w:tr w:rsidR="0021110A" w:rsidRPr="0021110A" w14:paraId="596BD32B" w14:textId="77777777">
        <w:trPr>
          <w:tblHeader/>
          <w:jc w:val="center"/>
        </w:trPr>
        <w:tc>
          <w:tcPr>
            <w:tcW w:w="1446" w:type="dxa"/>
            <w:shd w:val="clear" w:color="auto" w:fill="E5EAED"/>
            <w:tcMar>
              <w:top w:w="100" w:type="dxa"/>
              <w:left w:w="90" w:type="dxa"/>
              <w:bottom w:w="100" w:type="dxa"/>
              <w:right w:w="90" w:type="dxa"/>
            </w:tcMar>
            <w:vAlign w:val="center"/>
          </w:tcPr>
          <w:p w14:paraId="36C83A0A" w14:textId="77777777" w:rsidR="002F07C4" w:rsidRPr="0021110A" w:rsidRDefault="00000000">
            <w:pPr>
              <w:spacing w:after="0" w:line="259" w:lineRule="auto"/>
              <w:rPr>
                <w:color w:val="auto"/>
              </w:rPr>
            </w:pPr>
            <w:r w:rsidRPr="0021110A">
              <w:rPr>
                <w:b/>
                <w:color w:val="auto"/>
                <w:sz w:val="16"/>
              </w:rPr>
              <w:t>Risk domain</w:t>
            </w:r>
          </w:p>
        </w:tc>
        <w:tc>
          <w:tcPr>
            <w:tcW w:w="2289" w:type="dxa"/>
            <w:shd w:val="clear" w:color="auto" w:fill="E5EAED"/>
            <w:tcMar>
              <w:top w:w="100" w:type="dxa"/>
              <w:left w:w="90" w:type="dxa"/>
              <w:bottom w:w="100" w:type="dxa"/>
              <w:right w:w="90" w:type="dxa"/>
            </w:tcMar>
            <w:vAlign w:val="center"/>
          </w:tcPr>
          <w:p w14:paraId="3A675E36" w14:textId="77777777" w:rsidR="002F07C4" w:rsidRPr="0021110A" w:rsidRDefault="00000000">
            <w:pPr>
              <w:spacing w:after="0" w:line="259" w:lineRule="auto"/>
              <w:rPr>
                <w:color w:val="auto"/>
              </w:rPr>
            </w:pPr>
            <w:r w:rsidRPr="0021110A">
              <w:rPr>
                <w:b/>
                <w:color w:val="auto"/>
                <w:sz w:val="16"/>
              </w:rPr>
              <w:t>Observed or credible exposure</w:t>
            </w:r>
          </w:p>
        </w:tc>
        <w:tc>
          <w:tcPr>
            <w:tcW w:w="2316" w:type="dxa"/>
            <w:shd w:val="clear" w:color="auto" w:fill="E5EAED"/>
            <w:tcMar>
              <w:top w:w="100" w:type="dxa"/>
              <w:left w:w="90" w:type="dxa"/>
              <w:bottom w:w="100" w:type="dxa"/>
              <w:right w:w="90" w:type="dxa"/>
            </w:tcMar>
            <w:vAlign w:val="center"/>
          </w:tcPr>
          <w:p w14:paraId="2A960985" w14:textId="77777777" w:rsidR="002F07C4" w:rsidRPr="0021110A" w:rsidRDefault="00000000">
            <w:pPr>
              <w:spacing w:after="0" w:line="259" w:lineRule="auto"/>
              <w:rPr>
                <w:color w:val="auto"/>
              </w:rPr>
            </w:pPr>
            <w:r w:rsidRPr="0021110A">
              <w:rPr>
                <w:b/>
                <w:color w:val="auto"/>
                <w:sz w:val="16"/>
              </w:rPr>
              <w:t>Potential response</w:t>
            </w:r>
          </w:p>
        </w:tc>
        <w:tc>
          <w:tcPr>
            <w:tcW w:w="2169" w:type="dxa"/>
            <w:shd w:val="clear" w:color="auto" w:fill="E5EAED"/>
            <w:tcMar>
              <w:top w:w="100" w:type="dxa"/>
              <w:left w:w="90" w:type="dxa"/>
              <w:bottom w:w="100" w:type="dxa"/>
              <w:right w:w="90" w:type="dxa"/>
            </w:tcMar>
            <w:vAlign w:val="center"/>
          </w:tcPr>
          <w:p w14:paraId="58F80D3B" w14:textId="77777777" w:rsidR="002F07C4" w:rsidRPr="0021110A" w:rsidRDefault="00000000">
            <w:pPr>
              <w:spacing w:after="0" w:line="259" w:lineRule="auto"/>
              <w:rPr>
                <w:color w:val="auto"/>
              </w:rPr>
            </w:pPr>
            <w:r w:rsidRPr="0021110A">
              <w:rPr>
                <w:b/>
                <w:color w:val="auto"/>
                <w:sz w:val="16"/>
              </w:rPr>
              <w:t>Implementation/evidence qualification</w:t>
            </w:r>
          </w:p>
        </w:tc>
        <w:tc>
          <w:tcPr>
            <w:tcW w:w="1673" w:type="dxa"/>
            <w:shd w:val="clear" w:color="auto" w:fill="E5EAED"/>
            <w:tcMar>
              <w:top w:w="100" w:type="dxa"/>
              <w:left w:w="90" w:type="dxa"/>
              <w:bottom w:w="100" w:type="dxa"/>
              <w:right w:w="90" w:type="dxa"/>
            </w:tcMar>
            <w:vAlign w:val="center"/>
          </w:tcPr>
          <w:p w14:paraId="3F206913" w14:textId="77777777" w:rsidR="002F07C4" w:rsidRPr="0021110A" w:rsidRDefault="00000000">
            <w:pPr>
              <w:spacing w:after="0" w:line="259" w:lineRule="auto"/>
              <w:rPr>
                <w:color w:val="auto"/>
              </w:rPr>
            </w:pPr>
            <w:r w:rsidRPr="0021110A">
              <w:rPr>
                <w:b/>
                <w:color w:val="auto"/>
                <w:sz w:val="16"/>
              </w:rPr>
              <w:t>Supporting references</w:t>
            </w:r>
          </w:p>
        </w:tc>
      </w:tr>
      <w:tr w:rsidR="0021110A" w:rsidRPr="0021110A" w14:paraId="3069B061" w14:textId="77777777">
        <w:trPr>
          <w:jc w:val="center"/>
        </w:trPr>
        <w:tc>
          <w:tcPr>
            <w:tcW w:w="1446" w:type="dxa"/>
            <w:tcMar>
              <w:top w:w="85" w:type="dxa"/>
              <w:left w:w="85" w:type="dxa"/>
              <w:bottom w:w="85" w:type="dxa"/>
              <w:right w:w="85" w:type="dxa"/>
            </w:tcMar>
            <w:vAlign w:val="center"/>
          </w:tcPr>
          <w:p w14:paraId="18910D96" w14:textId="77777777" w:rsidR="002F07C4" w:rsidRPr="0021110A" w:rsidRDefault="00000000">
            <w:pPr>
              <w:spacing w:after="0" w:line="257" w:lineRule="auto"/>
              <w:rPr>
                <w:color w:val="auto"/>
              </w:rPr>
            </w:pPr>
            <w:r w:rsidRPr="0021110A">
              <w:rPr>
                <w:color w:val="auto"/>
                <w:sz w:val="16"/>
              </w:rPr>
              <w:t>Newcastle disease</w:t>
            </w:r>
          </w:p>
        </w:tc>
        <w:tc>
          <w:tcPr>
            <w:tcW w:w="2289" w:type="dxa"/>
            <w:tcMar>
              <w:top w:w="85" w:type="dxa"/>
              <w:left w:w="85" w:type="dxa"/>
              <w:bottom w:w="85" w:type="dxa"/>
              <w:right w:w="85" w:type="dxa"/>
            </w:tcMar>
            <w:vAlign w:val="center"/>
          </w:tcPr>
          <w:p w14:paraId="0FC2FBBA" w14:textId="77777777" w:rsidR="002F07C4" w:rsidRPr="0021110A" w:rsidRDefault="00000000">
            <w:pPr>
              <w:spacing w:after="0" w:line="257" w:lineRule="auto"/>
              <w:rPr>
                <w:color w:val="auto"/>
              </w:rPr>
            </w:pPr>
            <w:r w:rsidRPr="0021110A">
              <w:rPr>
                <w:color w:val="auto"/>
                <w:sz w:val="16"/>
              </w:rPr>
              <w:t>Reported mortality and low vaccine uptake in rural Nigerian poultry.</w:t>
            </w:r>
          </w:p>
        </w:tc>
        <w:tc>
          <w:tcPr>
            <w:tcW w:w="2316" w:type="dxa"/>
            <w:tcMar>
              <w:top w:w="85" w:type="dxa"/>
              <w:left w:w="85" w:type="dxa"/>
              <w:bottom w:w="85" w:type="dxa"/>
              <w:right w:w="85" w:type="dxa"/>
            </w:tcMar>
            <w:vAlign w:val="center"/>
          </w:tcPr>
          <w:p w14:paraId="463FC5F1" w14:textId="77777777" w:rsidR="002F07C4" w:rsidRPr="0021110A" w:rsidRDefault="00000000">
            <w:pPr>
              <w:spacing w:after="0" w:line="257" w:lineRule="auto"/>
              <w:rPr>
                <w:color w:val="auto"/>
              </w:rPr>
            </w:pPr>
            <w:r w:rsidRPr="0021110A">
              <w:rPr>
                <w:color w:val="auto"/>
                <w:sz w:val="16"/>
              </w:rPr>
              <w:t>Locally feasible vaccination delivery and seasonal poultry-health advice.</w:t>
            </w:r>
          </w:p>
        </w:tc>
        <w:tc>
          <w:tcPr>
            <w:tcW w:w="2169" w:type="dxa"/>
            <w:tcMar>
              <w:top w:w="85" w:type="dxa"/>
              <w:left w:w="85" w:type="dxa"/>
              <w:bottom w:w="85" w:type="dxa"/>
              <w:right w:w="85" w:type="dxa"/>
            </w:tcMar>
            <w:vAlign w:val="center"/>
          </w:tcPr>
          <w:p w14:paraId="1799914F" w14:textId="77777777" w:rsidR="002F07C4" w:rsidRPr="0021110A" w:rsidRDefault="00000000">
            <w:pPr>
              <w:spacing w:after="0" w:line="257" w:lineRule="auto"/>
              <w:rPr>
                <w:color w:val="auto"/>
              </w:rPr>
            </w:pPr>
            <w:r w:rsidRPr="0021110A">
              <w:rPr>
                <w:color w:val="auto"/>
                <w:sz w:val="16"/>
              </w:rPr>
              <w:t>Supply chains, cold chain, cost and repeat coverage require evaluation.</w:t>
            </w:r>
          </w:p>
        </w:tc>
        <w:tc>
          <w:tcPr>
            <w:tcW w:w="1673" w:type="dxa"/>
            <w:tcMar>
              <w:top w:w="85" w:type="dxa"/>
              <w:left w:w="85" w:type="dxa"/>
              <w:bottom w:w="85" w:type="dxa"/>
              <w:right w:w="85" w:type="dxa"/>
            </w:tcMar>
            <w:vAlign w:val="center"/>
          </w:tcPr>
          <w:p w14:paraId="7968469B" w14:textId="77777777" w:rsidR="002F07C4" w:rsidRPr="0021110A" w:rsidRDefault="00000000">
            <w:pPr>
              <w:spacing w:after="0" w:line="257" w:lineRule="auto"/>
              <w:rPr>
                <w:color w:val="auto"/>
              </w:rPr>
            </w:pPr>
            <w:r w:rsidRPr="0021110A">
              <w:rPr>
                <w:color w:val="auto"/>
                <w:sz w:val="16"/>
              </w:rPr>
              <w:t>(Daodu et al., 2019; Jagne et al., 1991; Knueppel et al., 2010)</w:t>
            </w:r>
          </w:p>
        </w:tc>
      </w:tr>
      <w:tr w:rsidR="0021110A" w:rsidRPr="0021110A" w14:paraId="2AA0BD55" w14:textId="77777777">
        <w:trPr>
          <w:jc w:val="center"/>
        </w:trPr>
        <w:tc>
          <w:tcPr>
            <w:tcW w:w="1446" w:type="dxa"/>
            <w:tcMar>
              <w:top w:w="85" w:type="dxa"/>
              <w:left w:w="85" w:type="dxa"/>
              <w:bottom w:w="85" w:type="dxa"/>
              <w:right w:w="85" w:type="dxa"/>
            </w:tcMar>
            <w:vAlign w:val="center"/>
          </w:tcPr>
          <w:p w14:paraId="61A04DAE" w14:textId="77777777" w:rsidR="002F07C4" w:rsidRPr="0021110A" w:rsidRDefault="00000000">
            <w:pPr>
              <w:spacing w:after="0" w:line="257" w:lineRule="auto"/>
              <w:rPr>
                <w:color w:val="auto"/>
              </w:rPr>
            </w:pPr>
            <w:r w:rsidRPr="0021110A">
              <w:rPr>
                <w:color w:val="auto"/>
                <w:sz w:val="16"/>
              </w:rPr>
              <w:t>Avian influenza and biosecurity</w:t>
            </w:r>
          </w:p>
        </w:tc>
        <w:tc>
          <w:tcPr>
            <w:tcW w:w="2289" w:type="dxa"/>
            <w:tcMar>
              <w:top w:w="85" w:type="dxa"/>
              <w:left w:w="85" w:type="dxa"/>
              <w:bottom w:w="85" w:type="dxa"/>
              <w:right w:w="85" w:type="dxa"/>
            </w:tcMar>
            <w:vAlign w:val="center"/>
          </w:tcPr>
          <w:p w14:paraId="5DD1013F" w14:textId="77777777" w:rsidR="002F07C4" w:rsidRPr="0021110A" w:rsidRDefault="00000000">
            <w:pPr>
              <w:spacing w:after="0" w:line="257" w:lineRule="auto"/>
              <w:rPr>
                <w:color w:val="auto"/>
              </w:rPr>
            </w:pPr>
            <w:r w:rsidRPr="0021110A">
              <w:rPr>
                <w:color w:val="auto"/>
                <w:sz w:val="16"/>
              </w:rPr>
              <w:t>Contact among flocks, wild birds, water bodies and trading networks.</w:t>
            </w:r>
          </w:p>
        </w:tc>
        <w:tc>
          <w:tcPr>
            <w:tcW w:w="2316" w:type="dxa"/>
            <w:tcMar>
              <w:top w:w="85" w:type="dxa"/>
              <w:left w:w="85" w:type="dxa"/>
              <w:bottom w:w="85" w:type="dxa"/>
              <w:right w:w="85" w:type="dxa"/>
            </w:tcMar>
            <w:vAlign w:val="center"/>
          </w:tcPr>
          <w:p w14:paraId="3629C373" w14:textId="77777777" w:rsidR="002F07C4" w:rsidRPr="0021110A" w:rsidRDefault="00000000">
            <w:pPr>
              <w:spacing w:after="0" w:line="257" w:lineRule="auto"/>
              <w:rPr>
                <w:color w:val="auto"/>
              </w:rPr>
            </w:pPr>
            <w:r w:rsidRPr="0021110A">
              <w:rPr>
                <w:color w:val="auto"/>
                <w:sz w:val="16"/>
              </w:rPr>
              <w:t>Sick-bird separation, controlled movement, reporting and hygienic handling.</w:t>
            </w:r>
          </w:p>
        </w:tc>
        <w:tc>
          <w:tcPr>
            <w:tcW w:w="2169" w:type="dxa"/>
            <w:tcMar>
              <w:top w:w="85" w:type="dxa"/>
              <w:left w:w="85" w:type="dxa"/>
              <w:bottom w:w="85" w:type="dxa"/>
              <w:right w:w="85" w:type="dxa"/>
            </w:tcMar>
            <w:vAlign w:val="center"/>
          </w:tcPr>
          <w:p w14:paraId="7B3BEC63" w14:textId="77777777" w:rsidR="002F07C4" w:rsidRPr="0021110A" w:rsidRDefault="00000000">
            <w:pPr>
              <w:spacing w:after="0" w:line="257" w:lineRule="auto"/>
              <w:rPr>
                <w:color w:val="auto"/>
              </w:rPr>
            </w:pPr>
            <w:r w:rsidRPr="0021110A">
              <w:rPr>
                <w:color w:val="auto"/>
                <w:sz w:val="16"/>
              </w:rPr>
              <w:t>Evidence comes from north-central Nigeria; adapt rather than transfer risk coefficients.</w:t>
            </w:r>
          </w:p>
        </w:tc>
        <w:tc>
          <w:tcPr>
            <w:tcW w:w="1673" w:type="dxa"/>
            <w:tcMar>
              <w:top w:w="85" w:type="dxa"/>
              <w:left w:w="85" w:type="dxa"/>
              <w:bottom w:w="85" w:type="dxa"/>
              <w:right w:w="85" w:type="dxa"/>
            </w:tcMar>
            <w:vAlign w:val="center"/>
          </w:tcPr>
          <w:p w14:paraId="44E89B75" w14:textId="77777777" w:rsidR="002F07C4" w:rsidRPr="0021110A" w:rsidRDefault="00000000">
            <w:pPr>
              <w:spacing w:after="0" w:line="257" w:lineRule="auto"/>
              <w:rPr>
                <w:color w:val="auto"/>
              </w:rPr>
            </w:pPr>
            <w:r w:rsidRPr="0021110A">
              <w:rPr>
                <w:color w:val="auto"/>
                <w:sz w:val="16"/>
              </w:rPr>
              <w:t>(Alhaji et al., 2023)</w:t>
            </w:r>
          </w:p>
        </w:tc>
      </w:tr>
      <w:tr w:rsidR="0021110A" w:rsidRPr="0021110A" w14:paraId="189842C2" w14:textId="77777777">
        <w:trPr>
          <w:jc w:val="center"/>
        </w:trPr>
        <w:tc>
          <w:tcPr>
            <w:tcW w:w="1446" w:type="dxa"/>
            <w:tcMar>
              <w:top w:w="85" w:type="dxa"/>
              <w:left w:w="85" w:type="dxa"/>
              <w:bottom w:w="85" w:type="dxa"/>
              <w:right w:w="85" w:type="dxa"/>
            </w:tcMar>
            <w:vAlign w:val="center"/>
          </w:tcPr>
          <w:p w14:paraId="738C39F2" w14:textId="77777777" w:rsidR="002F07C4" w:rsidRPr="0021110A" w:rsidRDefault="00000000">
            <w:pPr>
              <w:spacing w:after="0" w:line="257" w:lineRule="auto"/>
              <w:rPr>
                <w:color w:val="auto"/>
              </w:rPr>
            </w:pPr>
            <w:r w:rsidRPr="0021110A">
              <w:rPr>
                <w:color w:val="auto"/>
                <w:sz w:val="16"/>
              </w:rPr>
              <w:t>Household faecal exposure</w:t>
            </w:r>
          </w:p>
        </w:tc>
        <w:tc>
          <w:tcPr>
            <w:tcW w:w="2289" w:type="dxa"/>
            <w:tcMar>
              <w:top w:w="85" w:type="dxa"/>
              <w:left w:w="85" w:type="dxa"/>
              <w:bottom w:w="85" w:type="dxa"/>
              <w:right w:w="85" w:type="dxa"/>
            </w:tcMar>
            <w:vAlign w:val="center"/>
          </w:tcPr>
          <w:p w14:paraId="6597F179" w14:textId="77777777" w:rsidR="002F07C4" w:rsidRPr="0021110A" w:rsidRDefault="00000000">
            <w:pPr>
              <w:spacing w:after="0" w:line="257" w:lineRule="auto"/>
              <w:rPr>
                <w:color w:val="auto"/>
              </w:rPr>
            </w:pPr>
            <w:r w:rsidRPr="0021110A">
              <w:rPr>
                <w:color w:val="auto"/>
                <w:sz w:val="16"/>
              </w:rPr>
              <w:t>Bird faeces in domestic areas can contaminate hands and objects.</w:t>
            </w:r>
          </w:p>
        </w:tc>
        <w:tc>
          <w:tcPr>
            <w:tcW w:w="2316" w:type="dxa"/>
            <w:tcMar>
              <w:top w:w="85" w:type="dxa"/>
              <w:left w:w="85" w:type="dxa"/>
              <w:bottom w:w="85" w:type="dxa"/>
              <w:right w:w="85" w:type="dxa"/>
            </w:tcMar>
            <w:vAlign w:val="center"/>
          </w:tcPr>
          <w:p w14:paraId="111792D7" w14:textId="77777777" w:rsidR="002F07C4" w:rsidRPr="0021110A" w:rsidRDefault="00000000">
            <w:pPr>
              <w:spacing w:after="0" w:line="257" w:lineRule="auto"/>
              <w:rPr>
                <w:color w:val="auto"/>
              </w:rPr>
            </w:pPr>
            <w:r w:rsidRPr="0021110A">
              <w:rPr>
                <w:color w:val="auto"/>
                <w:sz w:val="16"/>
              </w:rPr>
              <w:t>Separate night roosts, clean child areas, protect water and food.</w:t>
            </w:r>
          </w:p>
        </w:tc>
        <w:tc>
          <w:tcPr>
            <w:tcW w:w="2169" w:type="dxa"/>
            <w:tcMar>
              <w:top w:w="85" w:type="dxa"/>
              <w:left w:w="85" w:type="dxa"/>
              <w:bottom w:w="85" w:type="dxa"/>
              <w:right w:w="85" w:type="dxa"/>
            </w:tcMar>
            <w:vAlign w:val="center"/>
          </w:tcPr>
          <w:p w14:paraId="5068FA73" w14:textId="77777777" w:rsidR="002F07C4" w:rsidRPr="0021110A" w:rsidRDefault="00000000">
            <w:pPr>
              <w:spacing w:after="0" w:line="257" w:lineRule="auto"/>
              <w:rPr>
                <w:color w:val="auto"/>
              </w:rPr>
            </w:pPr>
            <w:r w:rsidRPr="0021110A">
              <w:rPr>
                <w:color w:val="auto"/>
                <w:sz w:val="16"/>
              </w:rPr>
              <w:t>Nutrition benefit and infection risk must be measured together.</w:t>
            </w:r>
          </w:p>
        </w:tc>
        <w:tc>
          <w:tcPr>
            <w:tcW w:w="1673" w:type="dxa"/>
            <w:tcMar>
              <w:top w:w="85" w:type="dxa"/>
              <w:left w:w="85" w:type="dxa"/>
              <w:bottom w:w="85" w:type="dxa"/>
              <w:right w:w="85" w:type="dxa"/>
            </w:tcMar>
            <w:vAlign w:val="center"/>
          </w:tcPr>
          <w:p w14:paraId="665CFE64" w14:textId="77777777" w:rsidR="002F07C4" w:rsidRPr="0021110A" w:rsidRDefault="00000000">
            <w:pPr>
              <w:spacing w:after="0" w:line="257" w:lineRule="auto"/>
              <w:rPr>
                <w:color w:val="auto"/>
              </w:rPr>
            </w:pPr>
            <w:r w:rsidRPr="0021110A">
              <w:rPr>
                <w:color w:val="auto"/>
                <w:sz w:val="16"/>
              </w:rPr>
              <w:t>(Bardosh et al., 2020; Ercumen et al., 2017; Headey &amp; Hirvonen, 2016)</w:t>
            </w:r>
          </w:p>
        </w:tc>
      </w:tr>
      <w:tr w:rsidR="0021110A" w:rsidRPr="0021110A" w14:paraId="2AA647FE" w14:textId="77777777">
        <w:trPr>
          <w:jc w:val="center"/>
        </w:trPr>
        <w:tc>
          <w:tcPr>
            <w:tcW w:w="1446" w:type="dxa"/>
            <w:tcMar>
              <w:top w:w="85" w:type="dxa"/>
              <w:left w:w="85" w:type="dxa"/>
              <w:bottom w:w="85" w:type="dxa"/>
              <w:right w:w="85" w:type="dxa"/>
            </w:tcMar>
            <w:vAlign w:val="center"/>
          </w:tcPr>
          <w:p w14:paraId="2445CCB1" w14:textId="77777777" w:rsidR="002F07C4" w:rsidRPr="0021110A" w:rsidRDefault="00000000">
            <w:pPr>
              <w:spacing w:after="0" w:line="257" w:lineRule="auto"/>
              <w:rPr>
                <w:color w:val="auto"/>
              </w:rPr>
            </w:pPr>
            <w:r w:rsidRPr="0021110A">
              <w:rPr>
                <w:color w:val="auto"/>
                <w:sz w:val="16"/>
              </w:rPr>
              <w:t>Feed/input and capital volatility</w:t>
            </w:r>
          </w:p>
        </w:tc>
        <w:tc>
          <w:tcPr>
            <w:tcW w:w="2289" w:type="dxa"/>
            <w:tcMar>
              <w:top w:w="85" w:type="dxa"/>
              <w:left w:w="85" w:type="dxa"/>
              <w:bottom w:w="85" w:type="dxa"/>
              <w:right w:w="85" w:type="dxa"/>
            </w:tcMar>
            <w:vAlign w:val="center"/>
          </w:tcPr>
          <w:p w14:paraId="24CA6F54" w14:textId="77777777" w:rsidR="002F07C4" w:rsidRPr="0021110A" w:rsidRDefault="00000000">
            <w:pPr>
              <w:spacing w:after="0" w:line="257" w:lineRule="auto"/>
              <w:rPr>
                <w:color w:val="auto"/>
              </w:rPr>
            </w:pPr>
            <w:r w:rsidRPr="0021110A">
              <w:rPr>
                <w:color w:val="auto"/>
                <w:sz w:val="16"/>
              </w:rPr>
              <w:t>Purchased feed and finance constraints affect output and survival.</w:t>
            </w:r>
          </w:p>
        </w:tc>
        <w:tc>
          <w:tcPr>
            <w:tcW w:w="2316" w:type="dxa"/>
            <w:tcMar>
              <w:top w:w="85" w:type="dxa"/>
              <w:left w:w="85" w:type="dxa"/>
              <w:bottom w:w="85" w:type="dxa"/>
              <w:right w:w="85" w:type="dxa"/>
            </w:tcMar>
            <w:vAlign w:val="center"/>
          </w:tcPr>
          <w:p w14:paraId="051DB8DE" w14:textId="77777777" w:rsidR="002F07C4" w:rsidRPr="0021110A" w:rsidRDefault="00000000">
            <w:pPr>
              <w:spacing w:after="0" w:line="257" w:lineRule="auto"/>
              <w:rPr>
                <w:color w:val="auto"/>
              </w:rPr>
            </w:pPr>
            <w:r w:rsidRPr="0021110A">
              <w:rPr>
                <w:color w:val="auto"/>
                <w:sz w:val="16"/>
              </w:rPr>
              <w:t>Match housing and supplementation to budget; assess full net returns.</w:t>
            </w:r>
          </w:p>
        </w:tc>
        <w:tc>
          <w:tcPr>
            <w:tcW w:w="2169" w:type="dxa"/>
            <w:tcMar>
              <w:top w:w="85" w:type="dxa"/>
              <w:left w:w="85" w:type="dxa"/>
              <w:bottom w:w="85" w:type="dxa"/>
              <w:right w:w="85" w:type="dxa"/>
            </w:tcMar>
            <w:vAlign w:val="center"/>
          </w:tcPr>
          <w:p w14:paraId="6049DDD6" w14:textId="77777777" w:rsidR="002F07C4" w:rsidRPr="0021110A" w:rsidRDefault="00000000">
            <w:pPr>
              <w:spacing w:after="0" w:line="257" w:lineRule="auto"/>
              <w:rPr>
                <w:color w:val="auto"/>
              </w:rPr>
            </w:pPr>
            <w:r w:rsidRPr="0021110A">
              <w:rPr>
                <w:color w:val="auto"/>
                <w:sz w:val="16"/>
              </w:rPr>
              <w:t>Commercial-farm cost shares cannot be applied to scavenging flocks.</w:t>
            </w:r>
          </w:p>
        </w:tc>
        <w:tc>
          <w:tcPr>
            <w:tcW w:w="1673" w:type="dxa"/>
            <w:tcMar>
              <w:top w:w="85" w:type="dxa"/>
              <w:left w:w="85" w:type="dxa"/>
              <w:bottom w:w="85" w:type="dxa"/>
              <w:right w:w="85" w:type="dxa"/>
            </w:tcMar>
            <w:vAlign w:val="center"/>
          </w:tcPr>
          <w:p w14:paraId="0CD035A2" w14:textId="77777777" w:rsidR="002F07C4" w:rsidRPr="0021110A" w:rsidRDefault="00000000">
            <w:pPr>
              <w:spacing w:after="0" w:line="257" w:lineRule="auto"/>
              <w:rPr>
                <w:color w:val="auto"/>
              </w:rPr>
            </w:pPr>
            <w:r w:rsidRPr="0021110A">
              <w:rPr>
                <w:color w:val="auto"/>
                <w:sz w:val="16"/>
              </w:rPr>
              <w:t>(Adesehinwa et al., 2020; Ovwigho et al., 2009)</w:t>
            </w:r>
          </w:p>
        </w:tc>
      </w:tr>
      <w:tr w:rsidR="0021110A" w:rsidRPr="0021110A" w14:paraId="6999ED8D" w14:textId="77777777">
        <w:trPr>
          <w:jc w:val="center"/>
        </w:trPr>
        <w:tc>
          <w:tcPr>
            <w:tcW w:w="1446" w:type="dxa"/>
            <w:tcMar>
              <w:top w:w="85" w:type="dxa"/>
              <w:left w:w="85" w:type="dxa"/>
              <w:bottom w:w="85" w:type="dxa"/>
              <w:right w:w="85" w:type="dxa"/>
            </w:tcMar>
            <w:vAlign w:val="center"/>
          </w:tcPr>
          <w:p w14:paraId="4824A155" w14:textId="77777777" w:rsidR="002F07C4" w:rsidRPr="0021110A" w:rsidRDefault="00000000">
            <w:pPr>
              <w:spacing w:after="0" w:line="257" w:lineRule="auto"/>
              <w:rPr>
                <w:color w:val="auto"/>
              </w:rPr>
            </w:pPr>
            <w:r w:rsidRPr="0021110A">
              <w:rPr>
                <w:color w:val="auto"/>
                <w:sz w:val="16"/>
              </w:rPr>
              <w:t>Floods and livelihood disruption</w:t>
            </w:r>
          </w:p>
        </w:tc>
        <w:tc>
          <w:tcPr>
            <w:tcW w:w="2289" w:type="dxa"/>
            <w:tcMar>
              <w:top w:w="85" w:type="dxa"/>
              <w:left w:w="85" w:type="dxa"/>
              <w:bottom w:w="85" w:type="dxa"/>
              <w:right w:w="85" w:type="dxa"/>
            </w:tcMar>
            <w:vAlign w:val="center"/>
          </w:tcPr>
          <w:p w14:paraId="404E0D59" w14:textId="77777777" w:rsidR="002F07C4" w:rsidRPr="0021110A" w:rsidRDefault="00000000">
            <w:pPr>
              <w:spacing w:after="0" w:line="257" w:lineRule="auto"/>
              <w:rPr>
                <w:color w:val="auto"/>
              </w:rPr>
            </w:pPr>
            <w:r w:rsidRPr="0021110A">
              <w:rPr>
                <w:color w:val="auto"/>
                <w:sz w:val="16"/>
              </w:rPr>
              <w:t>Delta and Niger Delta households face environmental livelihood stress.</w:t>
            </w:r>
          </w:p>
        </w:tc>
        <w:tc>
          <w:tcPr>
            <w:tcW w:w="2316" w:type="dxa"/>
            <w:tcMar>
              <w:top w:w="85" w:type="dxa"/>
              <w:left w:w="85" w:type="dxa"/>
              <w:bottom w:w="85" w:type="dxa"/>
              <w:right w:w="85" w:type="dxa"/>
            </w:tcMar>
            <w:vAlign w:val="center"/>
          </w:tcPr>
          <w:p w14:paraId="0D62F683" w14:textId="77777777" w:rsidR="002F07C4" w:rsidRPr="0021110A" w:rsidRDefault="00000000">
            <w:pPr>
              <w:spacing w:after="0" w:line="257" w:lineRule="auto"/>
              <w:rPr>
                <w:color w:val="auto"/>
              </w:rPr>
            </w:pPr>
            <w:r w:rsidRPr="0021110A">
              <w:rPr>
                <w:color w:val="auto"/>
                <w:sz w:val="16"/>
              </w:rPr>
              <w:t>Adaptable housing, contingency feed and safe elevated roosts.</w:t>
            </w:r>
          </w:p>
        </w:tc>
        <w:tc>
          <w:tcPr>
            <w:tcW w:w="2169" w:type="dxa"/>
            <w:tcMar>
              <w:top w:w="85" w:type="dxa"/>
              <w:left w:w="85" w:type="dxa"/>
              <w:bottom w:w="85" w:type="dxa"/>
              <w:right w:w="85" w:type="dxa"/>
            </w:tcMar>
            <w:vAlign w:val="center"/>
          </w:tcPr>
          <w:p w14:paraId="2897B7A3" w14:textId="77777777" w:rsidR="002F07C4" w:rsidRPr="0021110A" w:rsidRDefault="00000000">
            <w:pPr>
              <w:spacing w:after="0" w:line="257" w:lineRule="auto"/>
              <w:rPr>
                <w:color w:val="auto"/>
              </w:rPr>
            </w:pPr>
            <w:r w:rsidRPr="0021110A">
              <w:rPr>
                <w:color w:val="auto"/>
                <w:sz w:val="16"/>
              </w:rPr>
              <w:t>No direct Delta trial has isolated the protective effect of these measures.</w:t>
            </w:r>
          </w:p>
        </w:tc>
        <w:tc>
          <w:tcPr>
            <w:tcW w:w="1673" w:type="dxa"/>
            <w:tcMar>
              <w:top w:w="85" w:type="dxa"/>
              <w:left w:w="85" w:type="dxa"/>
              <w:bottom w:w="85" w:type="dxa"/>
              <w:right w:w="85" w:type="dxa"/>
            </w:tcMar>
            <w:vAlign w:val="center"/>
          </w:tcPr>
          <w:p w14:paraId="5F6CBCF5" w14:textId="77777777" w:rsidR="002F07C4" w:rsidRPr="0021110A" w:rsidRDefault="00000000">
            <w:pPr>
              <w:spacing w:after="0" w:line="257" w:lineRule="auto"/>
              <w:rPr>
                <w:color w:val="auto"/>
              </w:rPr>
            </w:pPr>
            <w:r w:rsidRPr="0021110A">
              <w:rPr>
                <w:color w:val="auto"/>
                <w:sz w:val="16"/>
              </w:rPr>
              <w:t>(Babatunde, 2020; Inoni et al., 2006; Onyenekwe et al., 2024)</w:t>
            </w:r>
          </w:p>
        </w:tc>
      </w:tr>
    </w:tbl>
    <w:p w14:paraId="513B1F4D" w14:textId="77777777" w:rsidR="002F07C4" w:rsidRPr="0021110A" w:rsidRDefault="00000000">
      <w:pPr>
        <w:pStyle w:val="TableNote"/>
        <w:spacing w:after="180"/>
        <w:rPr>
          <w:color w:val="auto"/>
        </w:rPr>
      </w:pPr>
      <w:r w:rsidRPr="0021110A">
        <w:rPr>
          <w:color w:val="auto"/>
        </w:rPr>
        <w:t>Note. The entries synthesise representative evidence and are not pooled effect estimates.</w:t>
      </w:r>
    </w:p>
    <w:p w14:paraId="642CA815" w14:textId="77777777" w:rsidR="002F07C4" w:rsidRPr="0021110A" w:rsidRDefault="00000000">
      <w:pPr>
        <w:pStyle w:val="Heading1"/>
        <w:rPr>
          <w:color w:val="auto"/>
        </w:rPr>
      </w:pPr>
      <w:r w:rsidRPr="0021110A">
        <w:rPr>
          <w:color w:val="auto"/>
        </w:rPr>
        <w:t>7. Institutional Mediation, Inequality and Market Development</w:t>
      </w:r>
    </w:p>
    <w:p w14:paraId="2039290A" w14:textId="77777777" w:rsidR="002F07C4" w:rsidRPr="0021110A" w:rsidRDefault="00000000">
      <w:pPr>
        <w:jc w:val="both"/>
        <w:rPr>
          <w:color w:val="auto"/>
        </w:rPr>
      </w:pPr>
      <w:r w:rsidRPr="0021110A">
        <w:rPr>
          <w:color w:val="auto"/>
        </w:rPr>
        <w:t>The relationship between small flocks and food security is conditioned by institutions governing information, veterinary services, credit, markets and household bargaining. Poultry ownership may be accessible in relative terms, but the least secure households are not necessarily able to exploit the same opportunities as better-resourced neighbours. The relevant inequalities include distance from markets, time to care for birds, available safe housing, recurrent cash resources and the ability to retain or use production. Policies that measure only adoption or average flock size risk missing both exclusion before participation and unequal distribution of benefits afterwards.</w:t>
      </w:r>
    </w:p>
    <w:p w14:paraId="4BE81E54" w14:textId="77777777" w:rsidR="002F07C4" w:rsidRPr="0021110A" w:rsidRDefault="00000000">
      <w:pPr>
        <w:pStyle w:val="Heading2"/>
        <w:rPr>
          <w:color w:val="auto"/>
        </w:rPr>
      </w:pPr>
      <w:r w:rsidRPr="0021110A">
        <w:rPr>
          <w:color w:val="auto"/>
        </w:rPr>
        <w:t>7.1 Extension, Veterinary Care and Trust</w:t>
      </w:r>
    </w:p>
    <w:p w14:paraId="22E0511D" w14:textId="77777777" w:rsidR="002F07C4" w:rsidRPr="0021110A" w:rsidRDefault="00000000">
      <w:pPr>
        <w:jc w:val="both"/>
        <w:rPr>
          <w:color w:val="auto"/>
        </w:rPr>
      </w:pPr>
      <w:r w:rsidRPr="0021110A">
        <w:rPr>
          <w:color w:val="auto"/>
        </w:rPr>
        <w:t xml:space="preserve">Rural advisory systems often face the challenge of addressing multiple enterprises through limited field staff. The shortfall in poultry-specific extension contact reported in Oshimili North indicates that families managing a household flock may not receive advice suited to indigenous breeds, scavenging patterns or locally available feeds (Koyenikan, 2011). This matters because a production recommendation derived from a commercial system may encourage expensive inputs without adequate attention to scale. Training is most useful when it solves a practical decision that the household actually faces, such as when to vaccinate, how to identify an ill </w:t>
      </w:r>
      <w:r w:rsidRPr="0021110A">
        <w:rPr>
          <w:color w:val="auto"/>
        </w:rPr>
        <w:lastRenderedPageBreak/>
        <w:t>bird or how to organise a low-cost night shelter. Technical communication should be paired with timely access to the service or material being recommended.</w:t>
      </w:r>
    </w:p>
    <w:p w14:paraId="12947BC9" w14:textId="77777777" w:rsidR="002F07C4" w:rsidRPr="0021110A" w:rsidRDefault="00000000">
      <w:pPr>
        <w:jc w:val="both"/>
        <w:rPr>
          <w:color w:val="auto"/>
        </w:rPr>
      </w:pPr>
      <w:r w:rsidRPr="0021110A">
        <w:rPr>
          <w:color w:val="auto"/>
        </w:rPr>
        <w:t>Extension coverage is also an endogenous variable in observational food-security studies. More secure households may be better able to travel to meetings, buy inputs or attract visits from service providers. Consequently, a positive association between extension and household food security cannot automatically be interpreted as the benefit of advisory exposure (Ehiwario et al., 2024). A controlled evaluation could separate invitation, actual participation, adoption and eventual welfare outcomes. Measuring only the number of training sessions may reward administrative activity without identifying a household benefit. Community-based delivery deserves consideration where distance and small flock sizes make routine commercial veterinary visits unattractive, but the quality and sustainability of such arrangements require explicit monitoring.</w:t>
      </w:r>
    </w:p>
    <w:p w14:paraId="655D94FA" w14:textId="77777777" w:rsidR="002F07C4" w:rsidRPr="0021110A" w:rsidRDefault="00000000">
      <w:pPr>
        <w:jc w:val="both"/>
        <w:rPr>
          <w:color w:val="auto"/>
        </w:rPr>
      </w:pPr>
      <w:r w:rsidRPr="0021110A">
        <w:rPr>
          <w:color w:val="auto"/>
        </w:rPr>
        <w:t>Credibility matters as much as availability. Farmers may stop participating when advice is inconsistent, vaccine timing is unreliable or previous interventions have created debt. A programme should therefore document why households decline services and whether dropout differs by income, gender or settlement location. Otherwise the apparent performance of a well-served subgroup can conceal poor programme reach. Evidence of low vaccination or disease-prevention uptake in another Nigerian rural context identifies possible implementation problems but cannot establish their local prevalence without fresh measurement (Daodu et al., 2019). Designing services around the constraints of households is a hypothesis that needs evaluation, not proof that every extension model will be cost-effective.</w:t>
      </w:r>
    </w:p>
    <w:p w14:paraId="5229152F" w14:textId="77777777" w:rsidR="002F07C4" w:rsidRPr="0021110A" w:rsidRDefault="00000000">
      <w:pPr>
        <w:pStyle w:val="Heading2"/>
        <w:rPr>
          <w:color w:val="auto"/>
        </w:rPr>
      </w:pPr>
      <w:r w:rsidRPr="0021110A">
        <w:rPr>
          <w:color w:val="auto"/>
        </w:rPr>
        <w:t>7.2 Finance, Price Transmission and Distributional Effects</w:t>
      </w:r>
    </w:p>
    <w:p w14:paraId="0D1E882A" w14:textId="77777777" w:rsidR="002F07C4" w:rsidRPr="0021110A" w:rsidRDefault="00000000">
      <w:pPr>
        <w:jc w:val="both"/>
        <w:rPr>
          <w:color w:val="auto"/>
        </w:rPr>
      </w:pPr>
      <w:r w:rsidRPr="0021110A">
        <w:rPr>
          <w:color w:val="auto"/>
        </w:rPr>
        <w:t>Credit can support better housing, feed or flock replacement, but its welfare value depends on repayment terms, predictable output and who bears the risk when production fails. The finance constraints reported in an earlier Delta poultry survey, alongside an evaluation of supported enterprises, make this distinction especially relevant (Odum &amp; Chukwuji, 2022; Ovwigho et al., 2009). An intervention might raise production among borrowers while increasing the probability of distress sales when disease interrupts cash flow. Another might provide grants or shared services that protect households from debt but require greater public expenditure. Comparing models requires estimating net returns, defaults, excluded applicants and budgetary costs rather than reporting only the average earnings of active recipients.</w:t>
      </w:r>
    </w:p>
    <w:p w14:paraId="675A6FCC" w14:textId="77777777" w:rsidR="002F07C4" w:rsidRPr="0021110A" w:rsidRDefault="00000000">
      <w:pPr>
        <w:jc w:val="both"/>
        <w:rPr>
          <w:color w:val="auto"/>
        </w:rPr>
      </w:pPr>
      <w:r w:rsidRPr="0021110A">
        <w:rPr>
          <w:color w:val="auto"/>
        </w:rPr>
        <w:t>Market access influences whether an additional egg is nutritionally consumed or monetised. Households close to traders may sell nearly all output at favourable prices and improve food access through purchases, whereas isolated families may eat more eggs but have less opportunity to exchange birds for other foods. Strong markets can increase producer incentives, yet they may also encourage concentration of assets and create dependency on volatile feed prices. Evidence from Ethiopian poultry marketing illustrates the importance of market distance and gendered exchange decisions, while Nigerian enterprise studies demonstrate the relevance of financing and production costs (Adesehinwa et al., 2020; Aklilu et al., 2007). Neither directly supplies a current price schedule for rural Delta State, so programme appraisal must gather local transaction and input-cost data.</w:t>
      </w:r>
    </w:p>
    <w:p w14:paraId="137FDC53" w14:textId="77777777" w:rsidR="002F07C4" w:rsidRPr="0021110A" w:rsidRDefault="00000000">
      <w:pPr>
        <w:jc w:val="both"/>
        <w:rPr>
          <w:color w:val="auto"/>
        </w:rPr>
      </w:pPr>
      <w:r w:rsidRPr="0021110A">
        <w:rPr>
          <w:color w:val="auto"/>
        </w:rPr>
        <w:t xml:space="preserve">Distributional outcomes should be made visible at the point of design. Households without land suitable for a night shelter, those with limited labour because of illness or care demands, and those unable to attend distant markets may find even small-flock interventions difficult. Women may perform much of the work while lacking effective rights over birds or revenue, and younger household members may benefit nutritionally only if adults change allocation decisions (Dumas et al., 2018; He et al., 2026). Programmes that assume household welfare </w:t>
      </w:r>
      <w:r w:rsidRPr="0021110A">
        <w:rPr>
          <w:color w:val="auto"/>
        </w:rPr>
        <w:lastRenderedPageBreak/>
        <w:t>can be inferred from an increase in aggregate assets risk widening these differences. Rather than simply maximising birds distributed, evaluation should estimate benefits and costs separately by baseline food insecurity, gender, market distance and the ability to maintain a flock without harmful debt.</w:t>
      </w:r>
    </w:p>
    <w:p w14:paraId="2B340F41" w14:textId="77777777" w:rsidR="002F07C4" w:rsidRPr="0021110A" w:rsidRDefault="00000000">
      <w:pPr>
        <w:pStyle w:val="Heading1"/>
        <w:rPr>
          <w:color w:val="auto"/>
        </w:rPr>
      </w:pPr>
      <w:r w:rsidRPr="0021110A">
        <w:rPr>
          <w:color w:val="auto"/>
        </w:rPr>
        <w:t>8. Strength of Evidence, Contradictions and Causal Identification</w:t>
      </w:r>
    </w:p>
    <w:p w14:paraId="073A05CF" w14:textId="77777777" w:rsidR="002F07C4" w:rsidRPr="0021110A" w:rsidRDefault="00000000">
      <w:pPr>
        <w:jc w:val="both"/>
        <w:rPr>
          <w:color w:val="auto"/>
        </w:rPr>
      </w:pPr>
      <w:r w:rsidRPr="0021110A">
        <w:rPr>
          <w:color w:val="auto"/>
        </w:rPr>
        <w:t>The research base is strongest where a clearly defined intervention has been compared with a credible alternative and the measured outcome is close to the proposed benefit. It is weaker where household ownership is recorded alongside food-security status in a single survey and all intermediate steps are assumed. This distinction is not a dismissal of observational research. Well-designed surveys can reveal the structure of a livelihood system and inform targeting. The problem arises when descriptive patterns are presented as intervention effects or when different nutrition outcomes are treated as exchangeable measures of success.</w:t>
      </w:r>
    </w:p>
    <w:p w14:paraId="57FD9DD4" w14:textId="77777777" w:rsidR="002F07C4" w:rsidRPr="0021110A" w:rsidRDefault="00000000">
      <w:pPr>
        <w:pStyle w:val="Heading2"/>
        <w:rPr>
          <w:color w:val="auto"/>
        </w:rPr>
      </w:pPr>
      <w:r w:rsidRPr="0021110A">
        <w:rPr>
          <w:color w:val="auto"/>
        </w:rPr>
        <w:t>8.1 What the Intervention Evidence Can and Cannot Demonstrate</w:t>
      </w:r>
    </w:p>
    <w:p w14:paraId="379CC0BB" w14:textId="77777777" w:rsidR="002F07C4" w:rsidRPr="0021110A" w:rsidRDefault="00000000">
      <w:pPr>
        <w:jc w:val="both"/>
        <w:rPr>
          <w:color w:val="auto"/>
        </w:rPr>
      </w:pPr>
      <w:r w:rsidRPr="0021110A">
        <w:rPr>
          <w:color w:val="auto"/>
        </w:rPr>
        <w:t>Cluster-randomised poultry interventions offer more credible causal leverage than a simple comparison of owners and non-owners. Yet trials vary in their treatment packages, duration, baseline diets and definition of the outcome. The Ethiopian programme evaluated by Passarelli et al. (2020) tested chicken production and nutrition-related behavioural components in a setting where childhood growth was among the outcomes. A separate Ethiopian child-owned-poultry programme generated multiple reports addressing egg intake, growth or haematological outcomes; these outputs are not independent replications simply because they bear distinct titles (Omer et al., 2022a, 2022b, 2023). Distinguishing outcome-specific analyses within a programme is necessary to prevent artificial inflation of the apparent number of causal confirmations. The haematological analysis in particular addresses a distinct endpoint, not an independent allocation of households to a new intervention (Omer et al., 2023).</w:t>
      </w:r>
    </w:p>
    <w:p w14:paraId="139AA34C" w14:textId="77777777" w:rsidR="002F07C4" w:rsidRPr="0021110A" w:rsidRDefault="00000000">
      <w:pPr>
        <w:jc w:val="both"/>
        <w:rPr>
          <w:color w:val="auto"/>
        </w:rPr>
      </w:pPr>
      <w:r w:rsidRPr="0021110A">
        <w:rPr>
          <w:color w:val="auto"/>
        </w:rPr>
        <w:t>A subsequent analysis of the same Ethiopian chicken-production trial by He et al. (2026) is valuable precisely because it does not support a simplistic assumption of equal effects across household and individual dietary indicators. Where an integrated approach yielded a household dietary-diversity benefit without a corresponding consistent improvement in women’s diversity, the result suggests that programme mechanisms depend on distribution and the nature of accompanying nutrition-sensitive components. Differences from earlier positive intervention findings might reflect outcome definition, intervention composition, participant characteristics or implementation intensity. Without harmonised individual records, it would be unsound to rank these trials solely by which generated the largest nominal improvement.</w:t>
      </w:r>
    </w:p>
    <w:p w14:paraId="2E775A86" w14:textId="77777777" w:rsidR="002F07C4" w:rsidRPr="0021110A" w:rsidRDefault="00000000">
      <w:pPr>
        <w:jc w:val="both"/>
        <w:rPr>
          <w:color w:val="auto"/>
        </w:rPr>
      </w:pPr>
      <w:r w:rsidRPr="0021110A">
        <w:rPr>
          <w:color w:val="auto"/>
        </w:rPr>
        <w:t xml:space="preserve">Bangladeshi experimental evidence suggests that well-delivered homestead production programmes can affect poultry rearing and egg consumption (Lambrecht et al., 2023). A different Ethiopian randomised evaluation directly compared poultry with an equal-value cash transfer, demonstrating an egg-consumption response not observed after the cash transfer; this challenges the strict economic assumption that selling livestock and buying food are always interchangeable (Alderman et al., 2022). Tanzanian vaccination research suggests that flock-survival interventions can influence food-related outcomes (Knueppel et al., 2010). Neither makes commercial productivity, smallholder net income, dietary quality and anthropometric change equivalent. Improvements in a proximal outcome such as eggs retained or eaten may occur before changes in growth and may be insufficient to change growth when infection, maternal nutrition and other dietary limitations persist. The most defensible synthesis is therefore differentiated: specific programmes can influence specific steps in the pathway, but </w:t>
      </w:r>
      <w:r w:rsidRPr="0021110A">
        <w:rPr>
          <w:color w:val="auto"/>
        </w:rPr>
        <w:lastRenderedPageBreak/>
        <w:t>evidence is not consistent enough to assert that backyard poultry expansion alone reliably improves all dimensions of food security.</w:t>
      </w:r>
    </w:p>
    <w:p w14:paraId="33D89E32" w14:textId="77777777" w:rsidR="002F07C4" w:rsidRPr="0021110A" w:rsidRDefault="00000000">
      <w:pPr>
        <w:pStyle w:val="Heading2"/>
        <w:rPr>
          <w:color w:val="auto"/>
        </w:rPr>
      </w:pPr>
      <w:r w:rsidRPr="0021110A">
        <w:rPr>
          <w:color w:val="auto"/>
        </w:rPr>
        <w:t>8.2 Persistent Biases, Missing Counterfactuals and Outcome Discordance</w:t>
      </w:r>
    </w:p>
    <w:p w14:paraId="1839C400" w14:textId="77777777" w:rsidR="002F07C4" w:rsidRPr="0021110A" w:rsidRDefault="00000000">
      <w:pPr>
        <w:jc w:val="both"/>
        <w:rPr>
          <w:color w:val="auto"/>
        </w:rPr>
      </w:pPr>
      <w:r w:rsidRPr="0021110A">
        <w:rPr>
          <w:color w:val="auto"/>
        </w:rPr>
        <w:t>Households that keep poultry differ from those that do not before any benefit is realised. They may have more land, access to residues, larger households, stronger social networks or an established market role; alternatively, they may rely on poultry because other livelihoods are scarce. Either pattern can bias an ownership–food-security association. Survey models can adjust for measured confounders but not guarantee removal of unobserved differences. Some measured variables, such as income after poultry sales, may themselves lie on the causal pathway, and adjusting for them can obscure the very relationship under study. A clear causal question is required before deciding which covariates belong in a model. The food-security studies available for Delta State are informative about correlates but do not resolve this poultry-specific identification problem (Ehiwario et al., 2024; Odor et al., 2026).</w:t>
      </w:r>
    </w:p>
    <w:p w14:paraId="7B20F3B0" w14:textId="77777777" w:rsidR="002F07C4" w:rsidRPr="0021110A" w:rsidRDefault="00000000">
      <w:pPr>
        <w:jc w:val="both"/>
        <w:rPr>
          <w:color w:val="auto"/>
        </w:rPr>
      </w:pPr>
      <w:r w:rsidRPr="0021110A">
        <w:rPr>
          <w:color w:val="auto"/>
        </w:rPr>
        <w:t>Measurement heterogeneity creates additional apparent disagreement. Egg production is measured in units of output; egg consumption requires quantities eaten by specified members; food access may be measured using experiential food-insecurity questions; dietary diversity counts food groups; and child growth reflects cumulative nutrition, infection and care histories. These outcomes should not be pooled informally. A study may genuinely improve egg consumption but find no change in household insecurity because the extra food is modest relative to the total household diet. A growth endpoint may remain unchanged because follow-up is short or exposure to enteric pathogens offsets dietary gains. Such discordance is not necessarily contradictory evidence; it can reflect different positions on the pathway being measured (Bardosh et al., 2020; Headey &amp; Hirvonen, 2016; Omer et al., 2022b).</w:t>
      </w:r>
    </w:p>
    <w:p w14:paraId="3A318FEA" w14:textId="77777777" w:rsidR="002F07C4" w:rsidRPr="0021110A" w:rsidRDefault="00000000">
      <w:pPr>
        <w:jc w:val="both"/>
        <w:rPr>
          <w:color w:val="auto"/>
        </w:rPr>
      </w:pPr>
      <w:r w:rsidRPr="0021110A">
        <w:rPr>
          <w:color w:val="auto"/>
        </w:rPr>
        <w:t>Publication and geographical biases should also temper confidence. Programmes with adequate technical support, donor involvement and accessible follow-up may be easier to publish than routine services operating at low coverage. Studies from Ethiopia, Bangladesh, Kenya and Burkina Faso are valuable, but their food cultures, livestock systems and service arrangements differ from those in Delta State. Local evidence itself concentrates in a limited set of communities and study designs. A rigorous Delta evaluation would therefore need both representative sampling of diverse rural contexts and experimental or longitudinal designs capable of separating poultry effects from selection and secular change. Caution about transferability is an evidence-based conclusion, not an argument against learning from external trials.</w:t>
      </w:r>
    </w:p>
    <w:p w14:paraId="1A6AC9EB" w14:textId="77777777" w:rsidR="002F07C4" w:rsidRPr="0021110A" w:rsidRDefault="00000000">
      <w:pPr>
        <w:pStyle w:val="Heading1"/>
        <w:rPr>
          <w:color w:val="auto"/>
        </w:rPr>
      </w:pPr>
      <w:r w:rsidRPr="0021110A">
        <w:rPr>
          <w:color w:val="auto"/>
        </w:rPr>
        <w:t>9. Integrated Policy Interpretation for Rural Delta State</w:t>
      </w:r>
    </w:p>
    <w:p w14:paraId="0DD101E8" w14:textId="77777777" w:rsidR="002F07C4" w:rsidRPr="0021110A" w:rsidRDefault="00000000">
      <w:pPr>
        <w:jc w:val="both"/>
        <w:rPr>
          <w:color w:val="auto"/>
        </w:rPr>
      </w:pPr>
      <w:r w:rsidRPr="0021110A">
        <w:rPr>
          <w:color w:val="auto"/>
        </w:rPr>
        <w:t>The review supports a sequence of decisions rather than a universal package for every household. First, identify which production system a household uses, which food-security dimension is most constrained and how risks are currently managed. Second, establish whether disease loss, access to eggs, feed affordability, market access or unequal control over output is the binding limitation. Third, select a proportionate intervention and measure its effect on both intended food-security outcomes and possible costs. This sequence follows from the fact that poultry may function as a food source, cash generator, emergency asset and domestic exposure simultaneously, and improvements in one function need not benefit all household members.</w:t>
      </w:r>
    </w:p>
    <w:p w14:paraId="2642EA57" w14:textId="77777777" w:rsidR="002F07C4" w:rsidRPr="0021110A" w:rsidRDefault="00000000">
      <w:pPr>
        <w:pStyle w:val="Heading2"/>
        <w:rPr>
          <w:color w:val="auto"/>
        </w:rPr>
      </w:pPr>
      <w:r w:rsidRPr="0021110A">
        <w:rPr>
          <w:color w:val="auto"/>
        </w:rPr>
        <w:lastRenderedPageBreak/>
        <w:t>9.1 A Conditional Intervention Logic</w:t>
      </w:r>
    </w:p>
    <w:p w14:paraId="7024C2E6" w14:textId="77777777" w:rsidR="002F07C4" w:rsidRPr="0021110A" w:rsidRDefault="00000000">
      <w:pPr>
        <w:jc w:val="both"/>
        <w:rPr>
          <w:color w:val="auto"/>
        </w:rPr>
      </w:pPr>
      <w:r w:rsidRPr="0021110A">
        <w:rPr>
          <w:color w:val="auto"/>
        </w:rPr>
        <w:t>For very small scavenging flocks experiencing frequent mortality, practical vaccination access and safer night housing may be more immediately relevant than expansion through expensive commercial feed. For households with viable laying birds but low child egg consumption, nutrition counselling and bargaining over home retention may matter more than another stock transfer. Where marketing returns are weak, a programme must examine prices, transport costs and effective control over sale proceeds before promoting additional output. These are conditional design hypotheses grounded in the mechanisms and the contrasting intervention findings, not proven rankings of options in Delta State (Knueppel et al., 2010; Lambrecht et al., 2023; Ovwigho et al., 2009).</w:t>
      </w:r>
    </w:p>
    <w:p w14:paraId="4D55F3B4" w14:textId="77777777" w:rsidR="002F07C4" w:rsidRPr="0021110A" w:rsidRDefault="00000000">
      <w:pPr>
        <w:jc w:val="both"/>
        <w:rPr>
          <w:color w:val="auto"/>
        </w:rPr>
      </w:pPr>
      <w:r w:rsidRPr="0021110A">
        <w:rPr>
          <w:color w:val="auto"/>
        </w:rPr>
        <w:t>Integration also implies a minimum standard of environmental safety. Advising households to increase flocks while leaving birds to sleep in child-care or food-preparation areas risks overlooking an important mechanism of harm. Practical measures to protect food, water and child play spaces should be considered alongside efforts to increase poultry output, with feasibility tested in different settlement conditions (Bardosh et al., 2020; Ercumen et al., 2017). Likewise, nutrition-sensitive support should be designed to monitor the diets of women and young children separately so that a household-level benefit is not mistaken for an equitable individual-level one (He et al., 2026). The value of an integrated programme lies in addressing interacting pathways, not in maximising the number of components without regard to cost.</w:t>
      </w:r>
    </w:p>
    <w:p w14:paraId="75732DDC" w14:textId="77777777" w:rsidR="002F07C4" w:rsidRPr="0021110A" w:rsidRDefault="00000000">
      <w:pPr>
        <w:pStyle w:val="Heading2"/>
        <w:rPr>
          <w:color w:val="auto"/>
        </w:rPr>
      </w:pPr>
      <w:r w:rsidRPr="0021110A">
        <w:rPr>
          <w:color w:val="auto"/>
        </w:rPr>
        <w:t>9.2 Choosing Endpoints That Match Policy Claims</w:t>
      </w:r>
    </w:p>
    <w:p w14:paraId="5EB33938" w14:textId="77777777" w:rsidR="002F07C4" w:rsidRPr="0021110A" w:rsidRDefault="00000000">
      <w:pPr>
        <w:jc w:val="both"/>
        <w:rPr>
          <w:color w:val="auto"/>
        </w:rPr>
      </w:pPr>
      <w:r w:rsidRPr="0021110A">
        <w:rPr>
          <w:color w:val="auto"/>
        </w:rPr>
        <w:t>If the declared goal is reducing household food insecurity, project success should be measured using a validated food-insecurity instrument repeated across relevant seasons, not only birds distributed or workshops delivered. If the goal is improved child nutrition, evaluation needs dietary intake and appropriate age-specific health outcomes. If the goal is household resilience, it must compare consumption and asset trajectories following real shocks. Farm profit measures remain essential for economic viability, but full input costs, household labour and debt exposure should be documented. Such a structure allows an intervention to be judged successful on one objective without claiming it met every possible nutrition and livelihood goal.</w:t>
      </w:r>
    </w:p>
    <w:p w14:paraId="1CA7138E" w14:textId="77777777" w:rsidR="002F07C4" w:rsidRPr="0021110A" w:rsidRDefault="00000000">
      <w:pPr>
        <w:jc w:val="both"/>
        <w:rPr>
          <w:color w:val="auto"/>
        </w:rPr>
      </w:pPr>
      <w:r w:rsidRPr="0021110A">
        <w:rPr>
          <w:color w:val="auto"/>
        </w:rPr>
        <w:t>Programme monitoring should also identify those who do not participate and those who abandon poultry rearing. A favourable outcome among surviving flocks can mask mortality-related attrition and non-adoption. Gender-specific decision data are important because control over sale proceeds or household food distribution may not track the identity of the principal poultry keeper (Abubakar et al., 2007; Dumas et al., 2018). The wider food-security context, including environmental livelihood pressures and institutional access, should be registered as covariates and potential effect modifiers rather than treated as background description (Babatunde, 2020; Ehiwario et al., 2024). Only then can policy evidence distinguish whether an apparently promising package is broadly useful, beneficial to a specific subgroup or dependent on favourable conditions that may not persist.</w:t>
      </w:r>
    </w:p>
    <w:p w14:paraId="50A5EBE0" w14:textId="77777777" w:rsidR="002F07C4" w:rsidRPr="0021110A" w:rsidRDefault="00000000">
      <w:pPr>
        <w:pStyle w:val="Heading1"/>
        <w:rPr>
          <w:color w:val="auto"/>
        </w:rPr>
      </w:pPr>
      <w:r w:rsidRPr="0021110A">
        <w:rPr>
          <w:color w:val="auto"/>
        </w:rPr>
        <w:t>10. Future Directions</w:t>
      </w:r>
    </w:p>
    <w:p w14:paraId="0856E08C" w14:textId="77777777" w:rsidR="002F07C4" w:rsidRPr="0021110A" w:rsidRDefault="00000000">
      <w:pPr>
        <w:jc w:val="both"/>
        <w:rPr>
          <w:color w:val="auto"/>
        </w:rPr>
      </w:pPr>
      <w:r w:rsidRPr="0021110A">
        <w:rPr>
          <w:color w:val="auto"/>
        </w:rPr>
        <w:t xml:space="preserve">The immediate priority is to move from loosely linked observations about poultry systems and food insecurity to measurements that can test the proposed causal chains in rural Delta State. The key issue is not simply whether another cross-sectional study can identify a significant association. It is whether research can explain whose flock survives, who receives eggs or income, how production changes food consumption and whether those </w:t>
      </w:r>
      <w:r w:rsidRPr="0021110A">
        <w:rPr>
          <w:color w:val="auto"/>
        </w:rPr>
        <w:lastRenderedPageBreak/>
        <w:t>gains remain after accounting for labour, disease and environmental exposure. Study designs should therefore be selected according to the decisions that veterinary services, extension programmes and rural households need to make.</w:t>
      </w:r>
    </w:p>
    <w:p w14:paraId="07F10B1E" w14:textId="77777777" w:rsidR="002F07C4" w:rsidRPr="0021110A" w:rsidRDefault="00000000">
      <w:pPr>
        <w:pStyle w:val="Heading2"/>
        <w:rPr>
          <w:color w:val="auto"/>
        </w:rPr>
      </w:pPr>
      <w:r w:rsidRPr="0021110A">
        <w:rPr>
          <w:color w:val="auto"/>
        </w:rPr>
        <w:t>10.1 Immediate Priorities: Linked Measurement and Credible Comparators</w:t>
      </w:r>
    </w:p>
    <w:p w14:paraId="4544307A" w14:textId="77777777" w:rsidR="002F07C4" w:rsidRPr="0021110A" w:rsidRDefault="00000000">
      <w:pPr>
        <w:jc w:val="both"/>
        <w:rPr>
          <w:color w:val="auto"/>
        </w:rPr>
      </w:pPr>
      <w:r w:rsidRPr="0021110A">
        <w:rPr>
          <w:color w:val="auto"/>
        </w:rPr>
        <w:t>A multi-season household cohort should sample poultry keepers and non-keepers from inland, riverine and market-differentiated rural communities, with transparent stratification rather than convenience recruitment from accessible settlements. Baseline measures should include socioeconomic circumstances, livelihood portfolios, flock composition, vaccination history, losses, feed sources, ownership and control over birds, and environmental conditions. Repeated modules should document eggs produced, consumed and sold; quantities of chicken meat eaten; net cash from sales; dietary diversity among relevant individuals; household food-insecurity experiences; and the circumstances of flock attrition. The need for such linkage follows from the disconnect between existing Delta production surveys and broader food-security models (Ehiwario et al., 2024; Koyenikan, 2011; Ovwigho et al., 2009).</w:t>
      </w:r>
    </w:p>
    <w:p w14:paraId="64048319" w14:textId="77777777" w:rsidR="002F07C4" w:rsidRPr="0021110A" w:rsidRDefault="00000000">
      <w:pPr>
        <w:jc w:val="both"/>
        <w:rPr>
          <w:color w:val="auto"/>
        </w:rPr>
      </w:pPr>
      <w:r w:rsidRPr="0021110A">
        <w:rPr>
          <w:color w:val="auto"/>
        </w:rPr>
        <w:t>A longitudinal design would clarify temporal ordering and seasonal variation, although residual confounding would remain. A carefully chosen comparison group could distinguish households acquiring or retaining birds from otherwise similar households, with baseline resource differences reported rather than assumed away. Where the intervention is a service rather than private flock acquisition, cluster allocation may be appropriate to reduce contamination between neighbouring households. For example, villages could be assigned vaccination support, a nutrition-counselling component, both elements or standard service, provided implementation capacity, ethical considerations and statistical power support such a design. Prior international work makes these components plausible, but the research must be designed around local uptake and the intended outcome rather than copying an effect size from elsewhere (He et al., 2026; Knueppel et al., 2010; Passarelli et al., 2020).</w:t>
      </w:r>
    </w:p>
    <w:p w14:paraId="1C263A90" w14:textId="77777777" w:rsidR="002F07C4" w:rsidRPr="0021110A" w:rsidRDefault="00000000">
      <w:pPr>
        <w:jc w:val="both"/>
        <w:rPr>
          <w:color w:val="auto"/>
        </w:rPr>
      </w:pPr>
      <w:r w:rsidRPr="0021110A">
        <w:rPr>
          <w:color w:val="auto"/>
        </w:rPr>
        <w:t>The sampling frame should include households that sold their last bird, lost the flock to disease or stopped poultry rearing, not merely current successful owners. Otherwise survivorship bias will inflate apparent welfare returns and obscure the reasons poorer households fail to maintain livestock assets. Attrition should be distinguished from intervention non-adherence. Informal poultry markets and shared vaccination activities may cause spillovers between comparison groups, requiring geographical mapping and analysis at the relevant exposure level. A pre-specified analytical plan should separate primary household food-security outcomes from secondary production and nutrition endpoints, with uncertainty intervals reported even when estimates are not statistically significant. This approach would materially strengthen the policy usefulness of the Delta evidence.</w:t>
      </w:r>
    </w:p>
    <w:p w14:paraId="01A1700C" w14:textId="77777777" w:rsidR="002F07C4" w:rsidRPr="0021110A" w:rsidRDefault="00000000">
      <w:pPr>
        <w:pStyle w:val="Heading2"/>
        <w:rPr>
          <w:color w:val="auto"/>
        </w:rPr>
      </w:pPr>
      <w:r w:rsidRPr="0021110A">
        <w:rPr>
          <w:color w:val="auto"/>
        </w:rPr>
        <w:t>10.2 Longer-term Priorities: Equity, One Health and Economic Sustainability</w:t>
      </w:r>
    </w:p>
    <w:p w14:paraId="295425A6" w14:textId="77777777" w:rsidR="002F07C4" w:rsidRPr="0021110A" w:rsidRDefault="00000000">
      <w:pPr>
        <w:jc w:val="both"/>
        <w:rPr>
          <w:color w:val="auto"/>
        </w:rPr>
      </w:pPr>
      <w:r w:rsidRPr="0021110A">
        <w:rPr>
          <w:color w:val="auto"/>
        </w:rPr>
        <w:t>A complementary mixed-method programme should examine who controls poultry benefits within households. Separate, ethically conducted interviews with women and men should investigate the authority to sell birds, retain eggs, spend proceeds and allocate care labour. Quantitative records of individual diet and time use could then test whether increases in poultry output produce changes in agency or unequal work burdens. Research from Kenya and Burkina Faso suggests why a single nominal ownership question is insufficient, while divergent household and women’s dietary results from an Ethiopian trial strengthen the case for measuring individual welfare directly (Dione et al., 2025; Dumas et al., 2018; He et al., 2026).</w:t>
      </w:r>
    </w:p>
    <w:p w14:paraId="1C350802" w14:textId="77777777" w:rsidR="002F07C4" w:rsidRPr="0021110A" w:rsidRDefault="00000000">
      <w:pPr>
        <w:jc w:val="both"/>
        <w:rPr>
          <w:color w:val="auto"/>
        </w:rPr>
      </w:pPr>
      <w:r w:rsidRPr="0021110A">
        <w:rPr>
          <w:color w:val="auto"/>
        </w:rPr>
        <w:t>An integrated One Health evaluation should compare practical roosting arrangements, faecal management, poultry illness and relevant household exposures. Its outcomes could include environmental contamination, self-</w:t>
      </w:r>
      <w:r w:rsidRPr="0021110A">
        <w:rPr>
          <w:color w:val="auto"/>
        </w:rPr>
        <w:lastRenderedPageBreak/>
        <w:t>reported and clinically assessed morbidity where feasible, poultry survival, household food use and the financial cost of safer housing. Exposure pathways documented elsewhere justify consideration, but the programme should not pre-specify a local human disease burden without baseline surveillance (Alhaji et al., 2023; Ercumen et al., 2017; Headey &amp; Hirvonen, 2016). Local design should account for flooding, household water access and the placement of child play and food-preparation areas, allowing sanitation measures to be tested without unintentionally restricting productive benefits.</w:t>
      </w:r>
    </w:p>
    <w:p w14:paraId="3980E445" w14:textId="77777777" w:rsidR="002F07C4" w:rsidRPr="0021110A" w:rsidRDefault="00000000">
      <w:pPr>
        <w:jc w:val="both"/>
        <w:rPr>
          <w:color w:val="auto"/>
        </w:rPr>
      </w:pPr>
      <w:r w:rsidRPr="0021110A">
        <w:rPr>
          <w:color w:val="auto"/>
        </w:rPr>
        <w:t>Finally, economic implementation studies should compare alternative routes to sustained services: community vaccination, fee-for-service veterinary supply, cooperative purchasing, small grants, commercial credit and targeted input subsidies. They should report full financial and administrative costs, long-term service coverage, adoption by food-insecure households, debt exposure, private net returns and changes in food-security outcomes. Simple financial viability among selected programme participants cannot establish public value for a large-scale policy. The contrast between Delta-supported enterprises and broader smallholder constraints gives a specific rationale for comparing who benefits under different institutional arrangements (Adesehinwa et al., 2020; Odum &amp; Chukwuji, 2022). Table 5 prioritises these designs and their testable endpoints. Its emphasis on measurement and bias control is intended to shift research from asserting that backyard poultry is beneficial to identifying the conditions under which it generates a net and equitable food-security contribution.</w:t>
      </w:r>
    </w:p>
    <w:p w14:paraId="20C1FB5B" w14:textId="77777777" w:rsidR="002F07C4" w:rsidRPr="0021110A" w:rsidRDefault="00000000">
      <w:pPr>
        <w:pStyle w:val="TableCaption"/>
        <w:rPr>
          <w:color w:val="auto"/>
        </w:rPr>
      </w:pPr>
      <w:r w:rsidRPr="0021110A">
        <w:rPr>
          <w:color w:val="auto"/>
        </w:rPr>
        <w:t>Table 5. Prioritised Delta State research agenda with testable endpoints</w:t>
      </w:r>
    </w:p>
    <w:tbl>
      <w:tblPr>
        <w:tblW w:w="0" w:type="auto"/>
        <w:jc w:val="center"/>
        <w:tblBorders>
          <w:top w:val="single" w:sz="5" w:space="0" w:color="AEBAC0"/>
          <w:left w:val="nil"/>
          <w:bottom w:val="single" w:sz="5" w:space="0" w:color="AEBAC0"/>
          <w:right w:val="nil"/>
          <w:insideH w:val="single" w:sz="2" w:space="0" w:color="DFE6E9"/>
          <w:insideV w:val="nil"/>
        </w:tblBorders>
        <w:tblLayout w:type="fixed"/>
        <w:tblLook w:val="04A0" w:firstRow="1" w:lastRow="0" w:firstColumn="1" w:lastColumn="0" w:noHBand="0" w:noVBand="1"/>
      </w:tblPr>
      <w:tblGrid>
        <w:gridCol w:w="1979"/>
        <w:gridCol w:w="2393"/>
        <w:gridCol w:w="2206"/>
        <w:gridCol w:w="1912"/>
        <w:gridCol w:w="1404"/>
      </w:tblGrid>
      <w:tr w:rsidR="0021110A" w:rsidRPr="0021110A" w14:paraId="7E412DC0" w14:textId="77777777">
        <w:trPr>
          <w:tblHeader/>
          <w:jc w:val="center"/>
        </w:trPr>
        <w:tc>
          <w:tcPr>
            <w:tcW w:w="1979" w:type="dxa"/>
            <w:shd w:val="clear" w:color="auto" w:fill="E5EAED"/>
            <w:tcMar>
              <w:top w:w="100" w:type="dxa"/>
              <w:left w:w="90" w:type="dxa"/>
              <w:bottom w:w="100" w:type="dxa"/>
              <w:right w:w="90" w:type="dxa"/>
            </w:tcMar>
            <w:vAlign w:val="center"/>
          </w:tcPr>
          <w:p w14:paraId="4CD48A67" w14:textId="77777777" w:rsidR="002F07C4" w:rsidRPr="0021110A" w:rsidRDefault="00000000">
            <w:pPr>
              <w:spacing w:after="0" w:line="259" w:lineRule="auto"/>
              <w:rPr>
                <w:color w:val="auto"/>
              </w:rPr>
            </w:pPr>
            <w:r w:rsidRPr="0021110A">
              <w:rPr>
                <w:b/>
                <w:color w:val="auto"/>
                <w:sz w:val="16"/>
              </w:rPr>
              <w:t>Priority design</w:t>
            </w:r>
          </w:p>
        </w:tc>
        <w:tc>
          <w:tcPr>
            <w:tcW w:w="2393" w:type="dxa"/>
            <w:shd w:val="clear" w:color="auto" w:fill="E5EAED"/>
            <w:tcMar>
              <w:top w:w="100" w:type="dxa"/>
              <w:left w:w="90" w:type="dxa"/>
              <w:bottom w:w="100" w:type="dxa"/>
              <w:right w:w="90" w:type="dxa"/>
            </w:tcMar>
            <w:vAlign w:val="center"/>
          </w:tcPr>
          <w:p w14:paraId="10CE820A" w14:textId="77777777" w:rsidR="002F07C4" w:rsidRPr="0021110A" w:rsidRDefault="00000000">
            <w:pPr>
              <w:spacing w:after="0" w:line="259" w:lineRule="auto"/>
              <w:rPr>
                <w:color w:val="auto"/>
              </w:rPr>
            </w:pPr>
            <w:r w:rsidRPr="0021110A">
              <w:rPr>
                <w:b/>
                <w:color w:val="auto"/>
                <w:sz w:val="16"/>
              </w:rPr>
              <w:t>Decision question</w:t>
            </w:r>
          </w:p>
        </w:tc>
        <w:tc>
          <w:tcPr>
            <w:tcW w:w="2206" w:type="dxa"/>
            <w:shd w:val="clear" w:color="auto" w:fill="E5EAED"/>
            <w:tcMar>
              <w:top w:w="100" w:type="dxa"/>
              <w:left w:w="90" w:type="dxa"/>
              <w:bottom w:w="100" w:type="dxa"/>
              <w:right w:w="90" w:type="dxa"/>
            </w:tcMar>
            <w:vAlign w:val="center"/>
          </w:tcPr>
          <w:p w14:paraId="5D5F6D55" w14:textId="77777777" w:rsidR="002F07C4" w:rsidRPr="0021110A" w:rsidRDefault="00000000">
            <w:pPr>
              <w:spacing w:after="0" w:line="259" w:lineRule="auto"/>
              <w:rPr>
                <w:color w:val="auto"/>
              </w:rPr>
            </w:pPr>
            <w:r w:rsidRPr="0021110A">
              <w:rPr>
                <w:b/>
                <w:color w:val="auto"/>
                <w:sz w:val="16"/>
              </w:rPr>
              <w:t>Primary endpoints</w:t>
            </w:r>
          </w:p>
        </w:tc>
        <w:tc>
          <w:tcPr>
            <w:tcW w:w="1912" w:type="dxa"/>
            <w:shd w:val="clear" w:color="auto" w:fill="E5EAED"/>
            <w:tcMar>
              <w:top w:w="100" w:type="dxa"/>
              <w:left w:w="90" w:type="dxa"/>
              <w:bottom w:w="100" w:type="dxa"/>
              <w:right w:w="90" w:type="dxa"/>
            </w:tcMar>
            <w:vAlign w:val="center"/>
          </w:tcPr>
          <w:p w14:paraId="30F23C75" w14:textId="77777777" w:rsidR="002F07C4" w:rsidRPr="0021110A" w:rsidRDefault="00000000">
            <w:pPr>
              <w:spacing w:after="0" w:line="259" w:lineRule="auto"/>
              <w:rPr>
                <w:color w:val="auto"/>
              </w:rPr>
            </w:pPr>
            <w:r w:rsidRPr="0021110A">
              <w:rPr>
                <w:b/>
                <w:color w:val="auto"/>
                <w:sz w:val="16"/>
              </w:rPr>
              <w:t>Bias control and sampling requirement</w:t>
            </w:r>
          </w:p>
        </w:tc>
        <w:tc>
          <w:tcPr>
            <w:tcW w:w="1404" w:type="dxa"/>
            <w:shd w:val="clear" w:color="auto" w:fill="E5EAED"/>
            <w:tcMar>
              <w:top w:w="100" w:type="dxa"/>
              <w:left w:w="90" w:type="dxa"/>
              <w:bottom w:w="100" w:type="dxa"/>
              <w:right w:w="90" w:type="dxa"/>
            </w:tcMar>
            <w:vAlign w:val="center"/>
          </w:tcPr>
          <w:p w14:paraId="58062187" w14:textId="77777777" w:rsidR="002F07C4" w:rsidRPr="0021110A" w:rsidRDefault="00000000">
            <w:pPr>
              <w:spacing w:after="0" w:line="259" w:lineRule="auto"/>
              <w:rPr>
                <w:color w:val="auto"/>
              </w:rPr>
            </w:pPr>
            <w:r w:rsidRPr="0021110A">
              <w:rPr>
                <w:b/>
                <w:color w:val="auto"/>
                <w:sz w:val="16"/>
              </w:rPr>
              <w:t>Supporting references</w:t>
            </w:r>
          </w:p>
        </w:tc>
      </w:tr>
      <w:tr w:rsidR="0021110A" w:rsidRPr="0021110A" w14:paraId="2A401BBA" w14:textId="77777777">
        <w:trPr>
          <w:jc w:val="center"/>
        </w:trPr>
        <w:tc>
          <w:tcPr>
            <w:tcW w:w="1979" w:type="dxa"/>
            <w:tcMar>
              <w:top w:w="85" w:type="dxa"/>
              <w:left w:w="85" w:type="dxa"/>
              <w:bottom w:w="85" w:type="dxa"/>
              <w:right w:w="85" w:type="dxa"/>
            </w:tcMar>
            <w:vAlign w:val="center"/>
          </w:tcPr>
          <w:p w14:paraId="25852CAB" w14:textId="77777777" w:rsidR="002F07C4" w:rsidRPr="0021110A" w:rsidRDefault="00000000">
            <w:pPr>
              <w:spacing w:after="0" w:line="257" w:lineRule="auto"/>
              <w:rPr>
                <w:color w:val="auto"/>
              </w:rPr>
            </w:pPr>
            <w:r w:rsidRPr="0021110A">
              <w:rPr>
                <w:color w:val="auto"/>
                <w:sz w:val="16"/>
              </w:rPr>
              <w:t>Longitudinal cohort</w:t>
            </w:r>
          </w:p>
        </w:tc>
        <w:tc>
          <w:tcPr>
            <w:tcW w:w="2393" w:type="dxa"/>
            <w:tcMar>
              <w:top w:w="85" w:type="dxa"/>
              <w:left w:w="85" w:type="dxa"/>
              <w:bottom w:w="85" w:type="dxa"/>
              <w:right w:w="85" w:type="dxa"/>
            </w:tcMar>
            <w:vAlign w:val="center"/>
          </w:tcPr>
          <w:p w14:paraId="010F50CD" w14:textId="77777777" w:rsidR="002F07C4" w:rsidRPr="0021110A" w:rsidRDefault="00000000">
            <w:pPr>
              <w:spacing w:after="0" w:line="257" w:lineRule="auto"/>
              <w:rPr>
                <w:color w:val="auto"/>
              </w:rPr>
            </w:pPr>
            <w:r w:rsidRPr="0021110A">
              <w:rPr>
                <w:color w:val="auto"/>
                <w:sz w:val="16"/>
              </w:rPr>
              <w:t>Does flock survival predict seasonal food access and diet?</w:t>
            </w:r>
          </w:p>
        </w:tc>
        <w:tc>
          <w:tcPr>
            <w:tcW w:w="2206" w:type="dxa"/>
            <w:tcMar>
              <w:top w:w="85" w:type="dxa"/>
              <w:left w:w="85" w:type="dxa"/>
              <w:bottom w:w="85" w:type="dxa"/>
              <w:right w:w="85" w:type="dxa"/>
            </w:tcMar>
            <w:vAlign w:val="center"/>
          </w:tcPr>
          <w:p w14:paraId="439B702F" w14:textId="77777777" w:rsidR="002F07C4" w:rsidRPr="0021110A" w:rsidRDefault="00000000">
            <w:pPr>
              <w:spacing w:after="0" w:line="257" w:lineRule="auto"/>
              <w:rPr>
                <w:color w:val="auto"/>
              </w:rPr>
            </w:pPr>
            <w:r w:rsidRPr="0021110A">
              <w:rPr>
                <w:color w:val="auto"/>
                <w:sz w:val="16"/>
              </w:rPr>
              <w:t>Egg and meat intake; food-insecurity score; net poultry income.</w:t>
            </w:r>
          </w:p>
        </w:tc>
        <w:tc>
          <w:tcPr>
            <w:tcW w:w="1912" w:type="dxa"/>
            <w:tcMar>
              <w:top w:w="85" w:type="dxa"/>
              <w:left w:w="85" w:type="dxa"/>
              <w:bottom w:w="85" w:type="dxa"/>
              <w:right w:w="85" w:type="dxa"/>
            </w:tcMar>
            <w:vAlign w:val="center"/>
          </w:tcPr>
          <w:p w14:paraId="3D2B9F41" w14:textId="77777777" w:rsidR="002F07C4" w:rsidRPr="0021110A" w:rsidRDefault="00000000">
            <w:pPr>
              <w:spacing w:after="0" w:line="257" w:lineRule="auto"/>
              <w:rPr>
                <w:color w:val="auto"/>
              </w:rPr>
            </w:pPr>
            <w:r w:rsidRPr="0021110A">
              <w:rPr>
                <w:color w:val="auto"/>
                <w:sz w:val="16"/>
              </w:rPr>
              <w:t>Repeat visits across seasons and flooded/non-flooded communities.</w:t>
            </w:r>
          </w:p>
        </w:tc>
        <w:tc>
          <w:tcPr>
            <w:tcW w:w="1404" w:type="dxa"/>
            <w:tcMar>
              <w:top w:w="85" w:type="dxa"/>
              <w:left w:w="85" w:type="dxa"/>
              <w:bottom w:w="85" w:type="dxa"/>
              <w:right w:w="85" w:type="dxa"/>
            </w:tcMar>
            <w:vAlign w:val="center"/>
          </w:tcPr>
          <w:p w14:paraId="4D89604C" w14:textId="77777777" w:rsidR="002F07C4" w:rsidRPr="0021110A" w:rsidRDefault="00000000">
            <w:pPr>
              <w:spacing w:after="0" w:line="257" w:lineRule="auto"/>
              <w:rPr>
                <w:color w:val="auto"/>
              </w:rPr>
            </w:pPr>
            <w:r w:rsidRPr="0021110A">
              <w:rPr>
                <w:color w:val="auto"/>
                <w:sz w:val="16"/>
              </w:rPr>
              <w:t>(Ehiwario et al., 2024; Olutegbe et al., 2026)</w:t>
            </w:r>
          </w:p>
        </w:tc>
      </w:tr>
      <w:tr w:rsidR="0021110A" w:rsidRPr="0021110A" w14:paraId="4C7DB555" w14:textId="77777777">
        <w:trPr>
          <w:jc w:val="center"/>
        </w:trPr>
        <w:tc>
          <w:tcPr>
            <w:tcW w:w="1979" w:type="dxa"/>
            <w:tcMar>
              <w:top w:w="85" w:type="dxa"/>
              <w:left w:w="85" w:type="dxa"/>
              <w:bottom w:w="85" w:type="dxa"/>
              <w:right w:w="85" w:type="dxa"/>
            </w:tcMar>
            <w:vAlign w:val="center"/>
          </w:tcPr>
          <w:p w14:paraId="7874796C" w14:textId="77777777" w:rsidR="002F07C4" w:rsidRPr="0021110A" w:rsidRDefault="00000000">
            <w:pPr>
              <w:spacing w:after="0" w:line="257" w:lineRule="auto"/>
              <w:rPr>
                <w:color w:val="auto"/>
              </w:rPr>
            </w:pPr>
            <w:r w:rsidRPr="0021110A">
              <w:rPr>
                <w:color w:val="auto"/>
                <w:sz w:val="16"/>
              </w:rPr>
              <w:t>Cluster trial with factorial elements</w:t>
            </w:r>
          </w:p>
        </w:tc>
        <w:tc>
          <w:tcPr>
            <w:tcW w:w="2393" w:type="dxa"/>
            <w:tcMar>
              <w:top w:w="85" w:type="dxa"/>
              <w:left w:w="85" w:type="dxa"/>
              <w:bottom w:w="85" w:type="dxa"/>
              <w:right w:w="85" w:type="dxa"/>
            </w:tcMar>
            <w:vAlign w:val="center"/>
          </w:tcPr>
          <w:p w14:paraId="27630FAF" w14:textId="77777777" w:rsidR="002F07C4" w:rsidRPr="0021110A" w:rsidRDefault="00000000">
            <w:pPr>
              <w:spacing w:after="0" w:line="257" w:lineRule="auto"/>
              <w:rPr>
                <w:color w:val="auto"/>
              </w:rPr>
            </w:pPr>
            <w:r w:rsidRPr="0021110A">
              <w:rPr>
                <w:color w:val="auto"/>
                <w:sz w:val="16"/>
              </w:rPr>
              <w:t>Do vaccination and nutrition counselling have complementary effects?</w:t>
            </w:r>
          </w:p>
        </w:tc>
        <w:tc>
          <w:tcPr>
            <w:tcW w:w="2206" w:type="dxa"/>
            <w:tcMar>
              <w:top w:w="85" w:type="dxa"/>
              <w:left w:w="85" w:type="dxa"/>
              <w:bottom w:w="85" w:type="dxa"/>
              <w:right w:w="85" w:type="dxa"/>
            </w:tcMar>
            <w:vAlign w:val="center"/>
          </w:tcPr>
          <w:p w14:paraId="1E5D7256" w14:textId="77777777" w:rsidR="002F07C4" w:rsidRPr="0021110A" w:rsidRDefault="00000000">
            <w:pPr>
              <w:spacing w:after="0" w:line="257" w:lineRule="auto"/>
              <w:rPr>
                <w:color w:val="auto"/>
              </w:rPr>
            </w:pPr>
            <w:r w:rsidRPr="0021110A">
              <w:rPr>
                <w:color w:val="auto"/>
                <w:sz w:val="16"/>
              </w:rPr>
              <w:t>Vaccinated flock survival; child egg intake; household dietary diversity.</w:t>
            </w:r>
          </w:p>
        </w:tc>
        <w:tc>
          <w:tcPr>
            <w:tcW w:w="1912" w:type="dxa"/>
            <w:tcMar>
              <w:top w:w="85" w:type="dxa"/>
              <w:left w:w="85" w:type="dxa"/>
              <w:bottom w:w="85" w:type="dxa"/>
              <w:right w:w="85" w:type="dxa"/>
            </w:tcMar>
            <w:vAlign w:val="center"/>
          </w:tcPr>
          <w:p w14:paraId="01F804D8" w14:textId="77777777" w:rsidR="002F07C4" w:rsidRPr="0021110A" w:rsidRDefault="00000000">
            <w:pPr>
              <w:spacing w:after="0" w:line="257" w:lineRule="auto"/>
              <w:rPr>
                <w:color w:val="auto"/>
              </w:rPr>
            </w:pPr>
            <w:r w:rsidRPr="0021110A">
              <w:rPr>
                <w:color w:val="auto"/>
                <w:sz w:val="16"/>
              </w:rPr>
              <w:t>Cluster allocation; pre-registration; attrition and spillover tracking.</w:t>
            </w:r>
          </w:p>
        </w:tc>
        <w:tc>
          <w:tcPr>
            <w:tcW w:w="1404" w:type="dxa"/>
            <w:tcMar>
              <w:top w:w="85" w:type="dxa"/>
              <w:left w:w="85" w:type="dxa"/>
              <w:bottom w:w="85" w:type="dxa"/>
              <w:right w:w="85" w:type="dxa"/>
            </w:tcMar>
            <w:vAlign w:val="center"/>
          </w:tcPr>
          <w:p w14:paraId="22DE7D68" w14:textId="77777777" w:rsidR="002F07C4" w:rsidRPr="0021110A" w:rsidRDefault="00000000">
            <w:pPr>
              <w:spacing w:after="0" w:line="257" w:lineRule="auto"/>
              <w:rPr>
                <w:color w:val="auto"/>
              </w:rPr>
            </w:pPr>
            <w:r w:rsidRPr="0021110A">
              <w:rPr>
                <w:color w:val="auto"/>
                <w:sz w:val="16"/>
              </w:rPr>
              <w:t>(He et al., 2026; Knueppel et al., 2010; Passarelli et al., 2020)</w:t>
            </w:r>
          </w:p>
        </w:tc>
      </w:tr>
      <w:tr w:rsidR="0021110A" w:rsidRPr="0021110A" w14:paraId="022E134E" w14:textId="77777777">
        <w:trPr>
          <w:jc w:val="center"/>
        </w:trPr>
        <w:tc>
          <w:tcPr>
            <w:tcW w:w="1979" w:type="dxa"/>
            <w:tcMar>
              <w:top w:w="85" w:type="dxa"/>
              <w:left w:w="85" w:type="dxa"/>
              <w:bottom w:w="85" w:type="dxa"/>
              <w:right w:w="85" w:type="dxa"/>
            </w:tcMar>
            <w:vAlign w:val="center"/>
          </w:tcPr>
          <w:p w14:paraId="0DA2515A" w14:textId="77777777" w:rsidR="002F07C4" w:rsidRPr="0021110A" w:rsidRDefault="00000000">
            <w:pPr>
              <w:spacing w:after="0" w:line="257" w:lineRule="auto"/>
              <w:rPr>
                <w:color w:val="auto"/>
              </w:rPr>
            </w:pPr>
            <w:r w:rsidRPr="0021110A">
              <w:rPr>
                <w:color w:val="auto"/>
                <w:sz w:val="16"/>
              </w:rPr>
              <w:t>Gendered mixed-method study</w:t>
            </w:r>
          </w:p>
        </w:tc>
        <w:tc>
          <w:tcPr>
            <w:tcW w:w="2393" w:type="dxa"/>
            <w:tcMar>
              <w:top w:w="85" w:type="dxa"/>
              <w:left w:w="85" w:type="dxa"/>
              <w:bottom w:w="85" w:type="dxa"/>
              <w:right w:w="85" w:type="dxa"/>
            </w:tcMar>
            <w:vAlign w:val="center"/>
          </w:tcPr>
          <w:p w14:paraId="2717AA83" w14:textId="77777777" w:rsidR="002F07C4" w:rsidRPr="0021110A" w:rsidRDefault="00000000">
            <w:pPr>
              <w:spacing w:after="0" w:line="257" w:lineRule="auto"/>
              <w:rPr>
                <w:color w:val="auto"/>
              </w:rPr>
            </w:pPr>
            <w:r w:rsidRPr="0021110A">
              <w:rPr>
                <w:color w:val="auto"/>
                <w:sz w:val="16"/>
              </w:rPr>
              <w:t>Who actually controls eggs, birds, earnings and unpaid labour?</w:t>
            </w:r>
          </w:p>
        </w:tc>
        <w:tc>
          <w:tcPr>
            <w:tcW w:w="2206" w:type="dxa"/>
            <w:tcMar>
              <w:top w:w="85" w:type="dxa"/>
              <w:left w:w="85" w:type="dxa"/>
              <w:bottom w:w="85" w:type="dxa"/>
              <w:right w:w="85" w:type="dxa"/>
            </w:tcMar>
            <w:vAlign w:val="center"/>
          </w:tcPr>
          <w:p w14:paraId="51F51BA3" w14:textId="77777777" w:rsidR="002F07C4" w:rsidRPr="0021110A" w:rsidRDefault="00000000">
            <w:pPr>
              <w:spacing w:after="0" w:line="257" w:lineRule="auto"/>
              <w:rPr>
                <w:color w:val="auto"/>
              </w:rPr>
            </w:pPr>
            <w:r w:rsidRPr="0021110A">
              <w:rPr>
                <w:color w:val="auto"/>
                <w:sz w:val="16"/>
              </w:rPr>
              <w:t>Sex-disaggregated decisions; individual diet; time use.</w:t>
            </w:r>
          </w:p>
        </w:tc>
        <w:tc>
          <w:tcPr>
            <w:tcW w:w="1912" w:type="dxa"/>
            <w:tcMar>
              <w:top w:w="85" w:type="dxa"/>
              <w:left w:w="85" w:type="dxa"/>
              <w:bottom w:w="85" w:type="dxa"/>
              <w:right w:w="85" w:type="dxa"/>
            </w:tcMar>
            <w:vAlign w:val="center"/>
          </w:tcPr>
          <w:p w14:paraId="433210F5" w14:textId="77777777" w:rsidR="002F07C4" w:rsidRPr="0021110A" w:rsidRDefault="00000000">
            <w:pPr>
              <w:spacing w:after="0" w:line="257" w:lineRule="auto"/>
              <w:rPr>
                <w:color w:val="auto"/>
              </w:rPr>
            </w:pPr>
            <w:r w:rsidRPr="0021110A">
              <w:rPr>
                <w:color w:val="auto"/>
                <w:sz w:val="16"/>
              </w:rPr>
              <w:t>Interview women and men separately; avoid household-head proxies.</w:t>
            </w:r>
          </w:p>
        </w:tc>
        <w:tc>
          <w:tcPr>
            <w:tcW w:w="1404" w:type="dxa"/>
            <w:tcMar>
              <w:top w:w="85" w:type="dxa"/>
              <w:left w:w="85" w:type="dxa"/>
              <w:bottom w:w="85" w:type="dxa"/>
              <w:right w:w="85" w:type="dxa"/>
            </w:tcMar>
            <w:vAlign w:val="center"/>
          </w:tcPr>
          <w:p w14:paraId="72C1718D" w14:textId="77777777" w:rsidR="002F07C4" w:rsidRPr="0021110A" w:rsidRDefault="00000000">
            <w:pPr>
              <w:spacing w:after="0" w:line="257" w:lineRule="auto"/>
              <w:rPr>
                <w:color w:val="auto"/>
              </w:rPr>
            </w:pPr>
            <w:r w:rsidRPr="0021110A">
              <w:rPr>
                <w:color w:val="auto"/>
                <w:sz w:val="16"/>
              </w:rPr>
              <w:t>(Dione et al., 2025; Dumas et al., 2018)</w:t>
            </w:r>
          </w:p>
        </w:tc>
      </w:tr>
      <w:tr w:rsidR="0021110A" w:rsidRPr="0021110A" w14:paraId="70CEADE9" w14:textId="77777777">
        <w:trPr>
          <w:jc w:val="center"/>
        </w:trPr>
        <w:tc>
          <w:tcPr>
            <w:tcW w:w="1979" w:type="dxa"/>
            <w:tcMar>
              <w:top w:w="85" w:type="dxa"/>
              <w:left w:w="85" w:type="dxa"/>
              <w:bottom w:w="85" w:type="dxa"/>
              <w:right w:w="85" w:type="dxa"/>
            </w:tcMar>
            <w:vAlign w:val="center"/>
          </w:tcPr>
          <w:p w14:paraId="3CA74C29" w14:textId="77777777" w:rsidR="002F07C4" w:rsidRPr="0021110A" w:rsidRDefault="00000000">
            <w:pPr>
              <w:spacing w:after="0" w:line="257" w:lineRule="auto"/>
              <w:rPr>
                <w:color w:val="auto"/>
              </w:rPr>
            </w:pPr>
            <w:r w:rsidRPr="0021110A">
              <w:rPr>
                <w:color w:val="auto"/>
                <w:sz w:val="16"/>
              </w:rPr>
              <w:t>One Health evaluation</w:t>
            </w:r>
          </w:p>
        </w:tc>
        <w:tc>
          <w:tcPr>
            <w:tcW w:w="2393" w:type="dxa"/>
            <w:tcMar>
              <w:top w:w="85" w:type="dxa"/>
              <w:left w:w="85" w:type="dxa"/>
              <w:bottom w:w="85" w:type="dxa"/>
              <w:right w:w="85" w:type="dxa"/>
            </w:tcMar>
            <w:vAlign w:val="center"/>
          </w:tcPr>
          <w:p w14:paraId="79219CE8" w14:textId="77777777" w:rsidR="002F07C4" w:rsidRPr="0021110A" w:rsidRDefault="00000000">
            <w:pPr>
              <w:spacing w:after="0" w:line="257" w:lineRule="auto"/>
              <w:rPr>
                <w:color w:val="auto"/>
              </w:rPr>
            </w:pPr>
            <w:r w:rsidRPr="0021110A">
              <w:rPr>
                <w:color w:val="auto"/>
                <w:sz w:val="16"/>
              </w:rPr>
              <w:t>Can improved roosting reduce pathogens without restricting livelihoods?</w:t>
            </w:r>
          </w:p>
        </w:tc>
        <w:tc>
          <w:tcPr>
            <w:tcW w:w="2206" w:type="dxa"/>
            <w:tcMar>
              <w:top w:w="85" w:type="dxa"/>
              <w:left w:w="85" w:type="dxa"/>
              <w:bottom w:w="85" w:type="dxa"/>
              <w:right w:w="85" w:type="dxa"/>
            </w:tcMar>
            <w:vAlign w:val="center"/>
          </w:tcPr>
          <w:p w14:paraId="198D6339" w14:textId="77777777" w:rsidR="002F07C4" w:rsidRPr="0021110A" w:rsidRDefault="00000000">
            <w:pPr>
              <w:spacing w:after="0" w:line="257" w:lineRule="auto"/>
              <w:rPr>
                <w:color w:val="auto"/>
              </w:rPr>
            </w:pPr>
            <w:r w:rsidRPr="0021110A">
              <w:rPr>
                <w:color w:val="auto"/>
                <w:sz w:val="16"/>
              </w:rPr>
              <w:t>Faecal contamination; child morbidity; flock health; net returns.</w:t>
            </w:r>
          </w:p>
        </w:tc>
        <w:tc>
          <w:tcPr>
            <w:tcW w:w="1912" w:type="dxa"/>
            <w:tcMar>
              <w:top w:w="85" w:type="dxa"/>
              <w:left w:w="85" w:type="dxa"/>
              <w:bottom w:w="85" w:type="dxa"/>
              <w:right w:w="85" w:type="dxa"/>
            </w:tcMar>
            <w:vAlign w:val="center"/>
          </w:tcPr>
          <w:p w14:paraId="60244DC2" w14:textId="77777777" w:rsidR="002F07C4" w:rsidRPr="0021110A" w:rsidRDefault="00000000">
            <w:pPr>
              <w:spacing w:after="0" w:line="257" w:lineRule="auto"/>
              <w:rPr>
                <w:color w:val="auto"/>
              </w:rPr>
            </w:pPr>
            <w:r w:rsidRPr="0021110A">
              <w:rPr>
                <w:color w:val="auto"/>
                <w:sz w:val="16"/>
              </w:rPr>
              <w:t>Sanitation and child contact measured with seasonal controls.</w:t>
            </w:r>
          </w:p>
        </w:tc>
        <w:tc>
          <w:tcPr>
            <w:tcW w:w="1404" w:type="dxa"/>
            <w:tcMar>
              <w:top w:w="85" w:type="dxa"/>
              <w:left w:w="85" w:type="dxa"/>
              <w:bottom w:w="85" w:type="dxa"/>
              <w:right w:w="85" w:type="dxa"/>
            </w:tcMar>
            <w:vAlign w:val="center"/>
          </w:tcPr>
          <w:p w14:paraId="6BC7F353" w14:textId="77777777" w:rsidR="002F07C4" w:rsidRPr="0021110A" w:rsidRDefault="00000000">
            <w:pPr>
              <w:spacing w:after="0" w:line="257" w:lineRule="auto"/>
              <w:rPr>
                <w:color w:val="auto"/>
              </w:rPr>
            </w:pPr>
            <w:r w:rsidRPr="0021110A">
              <w:rPr>
                <w:color w:val="auto"/>
                <w:sz w:val="16"/>
              </w:rPr>
              <w:t>(Alhaji et al., 2023; Headey &amp; Hirvonen, 2016)</w:t>
            </w:r>
          </w:p>
        </w:tc>
      </w:tr>
      <w:tr w:rsidR="0021110A" w:rsidRPr="0021110A" w14:paraId="261466F3" w14:textId="77777777">
        <w:trPr>
          <w:jc w:val="center"/>
        </w:trPr>
        <w:tc>
          <w:tcPr>
            <w:tcW w:w="1979" w:type="dxa"/>
            <w:tcMar>
              <w:top w:w="85" w:type="dxa"/>
              <w:left w:w="85" w:type="dxa"/>
              <w:bottom w:w="85" w:type="dxa"/>
              <w:right w:w="85" w:type="dxa"/>
            </w:tcMar>
            <w:vAlign w:val="center"/>
          </w:tcPr>
          <w:p w14:paraId="43F2C01A" w14:textId="77777777" w:rsidR="002F07C4" w:rsidRPr="0021110A" w:rsidRDefault="00000000">
            <w:pPr>
              <w:spacing w:after="0" w:line="257" w:lineRule="auto"/>
              <w:rPr>
                <w:color w:val="auto"/>
              </w:rPr>
            </w:pPr>
            <w:r w:rsidRPr="0021110A">
              <w:rPr>
                <w:color w:val="auto"/>
                <w:sz w:val="16"/>
              </w:rPr>
              <w:t>Economic implementation analysis</w:t>
            </w:r>
          </w:p>
        </w:tc>
        <w:tc>
          <w:tcPr>
            <w:tcW w:w="2393" w:type="dxa"/>
            <w:tcMar>
              <w:top w:w="85" w:type="dxa"/>
              <w:left w:w="85" w:type="dxa"/>
              <w:bottom w:w="85" w:type="dxa"/>
              <w:right w:w="85" w:type="dxa"/>
            </w:tcMar>
            <w:vAlign w:val="center"/>
          </w:tcPr>
          <w:p w14:paraId="52C0740B" w14:textId="77777777" w:rsidR="002F07C4" w:rsidRPr="0021110A" w:rsidRDefault="00000000">
            <w:pPr>
              <w:spacing w:after="0" w:line="257" w:lineRule="auto"/>
              <w:rPr>
                <w:color w:val="auto"/>
              </w:rPr>
            </w:pPr>
            <w:r w:rsidRPr="0021110A">
              <w:rPr>
                <w:color w:val="auto"/>
                <w:sz w:val="16"/>
              </w:rPr>
              <w:t>Which delivery model reaches poorest keepers at acceptable cost?</w:t>
            </w:r>
          </w:p>
        </w:tc>
        <w:tc>
          <w:tcPr>
            <w:tcW w:w="2206" w:type="dxa"/>
            <w:tcMar>
              <w:top w:w="85" w:type="dxa"/>
              <w:left w:w="85" w:type="dxa"/>
              <w:bottom w:w="85" w:type="dxa"/>
              <w:right w:w="85" w:type="dxa"/>
            </w:tcMar>
            <w:vAlign w:val="center"/>
          </w:tcPr>
          <w:p w14:paraId="3C30B897" w14:textId="77777777" w:rsidR="002F07C4" w:rsidRPr="0021110A" w:rsidRDefault="00000000">
            <w:pPr>
              <w:spacing w:after="0" w:line="257" w:lineRule="auto"/>
              <w:rPr>
                <w:color w:val="auto"/>
              </w:rPr>
            </w:pPr>
            <w:r w:rsidRPr="0021110A">
              <w:rPr>
                <w:color w:val="auto"/>
                <w:sz w:val="16"/>
              </w:rPr>
              <w:t>Cost per surviving bird; take-up; equity; sustained returns.</w:t>
            </w:r>
          </w:p>
        </w:tc>
        <w:tc>
          <w:tcPr>
            <w:tcW w:w="1912" w:type="dxa"/>
            <w:tcMar>
              <w:top w:w="85" w:type="dxa"/>
              <w:left w:w="85" w:type="dxa"/>
              <w:bottom w:w="85" w:type="dxa"/>
              <w:right w:w="85" w:type="dxa"/>
            </w:tcMar>
            <w:vAlign w:val="center"/>
          </w:tcPr>
          <w:p w14:paraId="34265698" w14:textId="77777777" w:rsidR="002F07C4" w:rsidRPr="0021110A" w:rsidRDefault="00000000">
            <w:pPr>
              <w:spacing w:after="0" w:line="257" w:lineRule="auto"/>
              <w:rPr>
                <w:color w:val="auto"/>
              </w:rPr>
            </w:pPr>
            <w:r w:rsidRPr="0021110A">
              <w:rPr>
                <w:color w:val="auto"/>
                <w:sz w:val="16"/>
              </w:rPr>
              <w:t>Include non-adopters, distant markets and full public/private costs.</w:t>
            </w:r>
          </w:p>
        </w:tc>
        <w:tc>
          <w:tcPr>
            <w:tcW w:w="1404" w:type="dxa"/>
            <w:tcMar>
              <w:top w:w="85" w:type="dxa"/>
              <w:left w:w="85" w:type="dxa"/>
              <w:bottom w:w="85" w:type="dxa"/>
              <w:right w:w="85" w:type="dxa"/>
            </w:tcMar>
            <w:vAlign w:val="center"/>
          </w:tcPr>
          <w:p w14:paraId="3DD4C19D" w14:textId="77777777" w:rsidR="002F07C4" w:rsidRPr="0021110A" w:rsidRDefault="00000000">
            <w:pPr>
              <w:spacing w:after="0" w:line="257" w:lineRule="auto"/>
              <w:rPr>
                <w:color w:val="auto"/>
              </w:rPr>
            </w:pPr>
            <w:r w:rsidRPr="0021110A">
              <w:rPr>
                <w:color w:val="auto"/>
                <w:sz w:val="16"/>
              </w:rPr>
              <w:t>(Adesehinwa et al., 2020; Birhanu et al., 2021)</w:t>
            </w:r>
          </w:p>
        </w:tc>
      </w:tr>
    </w:tbl>
    <w:p w14:paraId="77BE339E" w14:textId="77777777" w:rsidR="002F07C4" w:rsidRPr="0021110A" w:rsidRDefault="00000000">
      <w:pPr>
        <w:pStyle w:val="TableNote"/>
        <w:spacing w:after="180"/>
        <w:rPr>
          <w:color w:val="auto"/>
        </w:rPr>
      </w:pPr>
      <w:r w:rsidRPr="0021110A">
        <w:rPr>
          <w:color w:val="auto"/>
        </w:rPr>
        <w:t>Note. The entries synthesise representative evidence and are not pooled effect estimates.</w:t>
      </w:r>
    </w:p>
    <w:p w14:paraId="56CF2F34" w14:textId="77777777" w:rsidR="002F07C4" w:rsidRPr="0021110A" w:rsidRDefault="00000000">
      <w:pPr>
        <w:pStyle w:val="Heading1"/>
        <w:rPr>
          <w:color w:val="auto"/>
        </w:rPr>
      </w:pPr>
      <w:r w:rsidRPr="0021110A">
        <w:rPr>
          <w:color w:val="auto"/>
        </w:rPr>
        <w:t>11. Conclusions</w:t>
      </w:r>
    </w:p>
    <w:p w14:paraId="6552D300" w14:textId="77777777" w:rsidR="002F07C4" w:rsidRPr="0021110A" w:rsidRDefault="00000000">
      <w:pPr>
        <w:jc w:val="both"/>
        <w:rPr>
          <w:color w:val="auto"/>
        </w:rPr>
      </w:pPr>
      <w:r w:rsidRPr="0021110A">
        <w:rPr>
          <w:color w:val="auto"/>
        </w:rPr>
        <w:t>Backyard poultry offers several plausible routes to improved food security among rural farming households in Delta State. Chickens may supply eggs and meat, yield cash for food purchases and provide a small tradable asset during financial stress. These functions, however, differ by flock system, mortality pressure, the availability of feed and veterinary services, market access and the household allocation of food and income. Local research documents extensive poultry practices, extension deficiencies, finance constraints and wider determinants of food insecurity, but does not yet provide a sufficiently identified estimate of the effect of adopting or expanding backyard poultry on household food security.</w:t>
      </w:r>
    </w:p>
    <w:p w14:paraId="3575A388" w14:textId="77777777" w:rsidR="002F07C4" w:rsidRPr="0021110A" w:rsidRDefault="00000000">
      <w:pPr>
        <w:jc w:val="both"/>
        <w:rPr>
          <w:color w:val="auto"/>
        </w:rPr>
      </w:pPr>
      <w:r w:rsidRPr="0021110A">
        <w:rPr>
          <w:color w:val="auto"/>
        </w:rPr>
        <w:lastRenderedPageBreak/>
        <w:t>Evidence from controlled interventions outside Delta State supports the possibility of increasing egg consumption and some dietary outcomes through well-implemented poultry-related programmes. The results are not uniform across household dietary diversity, women’s diets and measures of child growth, nor do combined interventions identify the isolated effect of poultry ownership. Gendered control over output can separate poultry labour from welfare gains. Disease losses and domestic faecal exposure introduce risks that may weaken or offset nutritional benefits. These observations favour a conditional account of poultry-based food security rather than an assumption that flock expansion is inherently effective or equitable.</w:t>
      </w:r>
    </w:p>
    <w:p w14:paraId="7D0F6DE5" w14:textId="77777777" w:rsidR="002F07C4" w:rsidRPr="0021110A" w:rsidRDefault="00000000">
      <w:pPr>
        <w:jc w:val="both"/>
        <w:rPr>
          <w:color w:val="auto"/>
        </w:rPr>
      </w:pPr>
      <w:r w:rsidRPr="0021110A">
        <w:rPr>
          <w:color w:val="auto"/>
        </w:rPr>
        <w:t>For practice, the most defensible approach is to match animal-health support, practical husbandry, food-allocation guidance and environmental safeguards to clearly diagnosed household constraints, while monitoring full costs and individual as well as household outcomes. The principal research need is longitudinal and controlled evidence from diverse Delta State communities that measures poultry production, utilisation, shocks and food-security outcomes within the same households. Backyard poultry should be understood as one potentially useful component of rural food systems, not a stand-alone substitute for adequate income, functioning markets, safe living environments and accessible services.</w:t>
      </w:r>
    </w:p>
    <w:p w14:paraId="53F7F40F" w14:textId="77777777" w:rsidR="002F07C4" w:rsidRPr="0021110A" w:rsidRDefault="00000000">
      <w:pPr>
        <w:pStyle w:val="Heading1"/>
        <w:rPr>
          <w:color w:val="auto"/>
        </w:rPr>
      </w:pPr>
      <w:r w:rsidRPr="0021110A">
        <w:rPr>
          <w:color w:val="auto"/>
        </w:rPr>
        <w:t>12. Limitations</w:t>
      </w:r>
    </w:p>
    <w:p w14:paraId="6A5AC5AE" w14:textId="77777777" w:rsidR="002F07C4" w:rsidRPr="0021110A" w:rsidRDefault="00000000">
      <w:pPr>
        <w:jc w:val="both"/>
        <w:rPr>
          <w:color w:val="auto"/>
        </w:rPr>
      </w:pPr>
      <w:r w:rsidRPr="0021110A">
        <w:rPr>
          <w:color w:val="auto"/>
        </w:rPr>
        <w:t>As a critical narrative review, this synthesis remains vulnerable to selection and interpretive bias despite its transparent topic-based searching and comparative appraisal. It is not an exhaustive systematic review, and no complete screened-record database or quantitative risk-of-bias assessment was generated. Access to some full texts and subscription-indexed records was incomplete, while the English-language emphasis and uneven indexing of local agricultural journals may have left relevant regional evidence unidentified. Accordingly, the discussion should not be interpreted as a census of all publications on backyard poultry in Nigeria.</w:t>
      </w:r>
    </w:p>
    <w:p w14:paraId="375E8312" w14:textId="77777777" w:rsidR="002F07C4" w:rsidRDefault="00000000">
      <w:pPr>
        <w:jc w:val="both"/>
        <w:rPr>
          <w:color w:val="auto"/>
        </w:rPr>
      </w:pPr>
      <w:r w:rsidRPr="0021110A">
        <w:rPr>
          <w:color w:val="auto"/>
        </w:rPr>
        <w:t>The empirical literature is heterogeneous in flock definitions, household sampling, economic measures and nutritional outcomes, preventing a credible pooled effect estimate. Direct Delta State studies are geographically concentrated and often cross-sectional, whereas stronger experimental evidence originates in settings with different production systems and institutional arrangements. Several intervention reports address related programmes or outcomes and therefore cannot be treated as fully independent replications. Long-term follow-up and household-level One Health measures remain limited. These constraints reduce confidence in Delta-specific causal magnitude, but they do not invalidate the conditional mechanisms or the prioritised questions proposed for future evaluation.</w:t>
      </w:r>
    </w:p>
    <w:p w14:paraId="2CFE9289" w14:textId="77777777" w:rsidR="00FA3D68" w:rsidRPr="00FA3D68" w:rsidRDefault="00FA3D68" w:rsidP="00FA3D68">
      <w:pPr>
        <w:spacing w:after="0" w:line="240" w:lineRule="auto"/>
        <w:rPr>
          <w:rFonts w:ascii="Arial" w:eastAsia="Calibri" w:hAnsi="Arial" w:cs="Arial"/>
          <w:b/>
          <w:color w:val="auto"/>
          <w:sz w:val="20"/>
          <w:szCs w:val="20"/>
        </w:rPr>
      </w:pPr>
      <w:bookmarkStart w:id="0" w:name="_Hlk238550938"/>
      <w:bookmarkStart w:id="1" w:name="_Hlk237856463"/>
      <w:r w:rsidRPr="00FA3D68">
        <w:rPr>
          <w:rFonts w:ascii="Arial" w:eastAsia="Calibri" w:hAnsi="Arial" w:cs="Arial"/>
          <w:b/>
          <w:color w:val="auto"/>
          <w:sz w:val="20"/>
          <w:szCs w:val="20"/>
        </w:rPr>
        <w:t>Declaration of AI Use</w:t>
      </w:r>
    </w:p>
    <w:p w14:paraId="3D485355" w14:textId="77777777" w:rsidR="00FA3D68" w:rsidRPr="00FA3D68" w:rsidRDefault="00FA3D68" w:rsidP="00FA3D68">
      <w:pPr>
        <w:spacing w:after="0" w:line="240" w:lineRule="auto"/>
        <w:rPr>
          <w:rFonts w:ascii="Arial" w:eastAsia="Calibri" w:hAnsi="Arial" w:cs="Arial"/>
          <w:color w:val="auto"/>
          <w:sz w:val="20"/>
          <w:szCs w:val="20"/>
        </w:rPr>
      </w:pPr>
      <w:bookmarkStart w:id="2" w:name="_Hlk239068730"/>
    </w:p>
    <w:p w14:paraId="1AB1BB3F" w14:textId="77777777" w:rsidR="00FA3D68" w:rsidRPr="00FA3D68" w:rsidRDefault="00FA3D68" w:rsidP="00FA3D68">
      <w:pPr>
        <w:spacing w:after="0" w:line="240" w:lineRule="auto"/>
        <w:rPr>
          <w:rFonts w:ascii="Arial" w:eastAsia="Calibri" w:hAnsi="Arial" w:cs="Arial"/>
          <w:color w:val="auto"/>
          <w:sz w:val="20"/>
          <w:szCs w:val="20"/>
        </w:rPr>
      </w:pPr>
      <w:bookmarkStart w:id="3" w:name="_Hlk237862032"/>
      <w:r w:rsidRPr="00FA3D68">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FA3D68">
        <w:rPr>
          <w:rFonts w:ascii="Arial" w:eastAsia="Calibri" w:hAnsi="Arial" w:cs="Arial"/>
          <w:color w:val="auto"/>
          <w:sz w:val="20"/>
          <w:szCs w:val="20"/>
        </w:rPr>
        <w:t>.</w:t>
      </w:r>
    </w:p>
    <w:bookmarkEnd w:id="1"/>
    <w:bookmarkEnd w:id="2"/>
    <w:bookmarkEnd w:id="3"/>
    <w:p w14:paraId="225DE1EB" w14:textId="77777777" w:rsidR="00FA3D68" w:rsidRPr="0021110A" w:rsidRDefault="00FA3D68">
      <w:pPr>
        <w:jc w:val="both"/>
        <w:rPr>
          <w:color w:val="auto"/>
        </w:rPr>
      </w:pPr>
    </w:p>
    <w:p w14:paraId="3FD721BB" w14:textId="77777777" w:rsidR="002F07C4" w:rsidRPr="0021110A" w:rsidRDefault="00000000">
      <w:pPr>
        <w:pStyle w:val="Heading1"/>
        <w:rPr>
          <w:color w:val="auto"/>
        </w:rPr>
      </w:pPr>
      <w:r w:rsidRPr="0021110A">
        <w:rPr>
          <w:color w:val="auto"/>
        </w:rPr>
        <w:t>References</w:t>
      </w:r>
    </w:p>
    <w:p w14:paraId="3B35D4C2" w14:textId="35B3E4BB" w:rsidR="002F07C4" w:rsidRPr="0021110A" w:rsidRDefault="00000000">
      <w:pPr>
        <w:pStyle w:val="ReferencesBody"/>
        <w:rPr>
          <w:color w:val="auto"/>
        </w:rPr>
      </w:pPr>
      <w:r w:rsidRPr="0021110A">
        <w:rPr>
          <w:color w:val="auto"/>
        </w:rPr>
        <w:t xml:space="preserve">Abubakar, M. B., Ambali, A. G., &amp; Tamjdo, T. (2007). Rural chicken production: Effects of gender on ownership, and management responsibilities in some parts of Nigeria and Cameroon. </w:t>
      </w:r>
      <w:r w:rsidRPr="0021110A">
        <w:rPr>
          <w:i/>
          <w:color w:val="auto"/>
        </w:rPr>
        <w:t>International Journal of Poultry Science, 6</w:t>
      </w:r>
      <w:r w:rsidRPr="0021110A">
        <w:rPr>
          <w:color w:val="auto"/>
        </w:rPr>
        <w:t xml:space="preserve">(6), 413–416. </w:t>
      </w:r>
      <w:hyperlink r:id="rId20">
        <w:r w:rsidRPr="0021110A">
          <w:rPr>
            <w:color w:val="auto"/>
            <w:u w:val="single"/>
          </w:rPr>
          <w:t>https://doi.org/10.3923/ijps.2007.413.416</w:t>
        </w:r>
      </w:hyperlink>
    </w:p>
    <w:p w14:paraId="1B2FD771" w14:textId="6684B231" w:rsidR="002F07C4" w:rsidRPr="0021110A" w:rsidRDefault="00000000">
      <w:pPr>
        <w:pStyle w:val="ReferencesBody"/>
        <w:rPr>
          <w:color w:val="auto"/>
        </w:rPr>
      </w:pPr>
      <w:r w:rsidRPr="0021110A">
        <w:rPr>
          <w:color w:val="auto"/>
        </w:rPr>
        <w:lastRenderedPageBreak/>
        <w:t xml:space="preserve">Adesehinwa, A. O. K., Saka, J. O., Makanjuola, B. A. M., Sorunke, A. O., Boladuro, B. A., Omodele, T., &amp; Ogunyemi, D. J. (2020). Economics of smallholder chicken egg production among KAFACI project farmers in Southwest Nigeria. </w:t>
      </w:r>
      <w:r w:rsidRPr="0021110A">
        <w:rPr>
          <w:i/>
          <w:color w:val="auto"/>
        </w:rPr>
        <w:t>Nigerian Journal of Animal Production, 46</w:t>
      </w:r>
      <w:r w:rsidRPr="0021110A">
        <w:rPr>
          <w:color w:val="auto"/>
        </w:rPr>
        <w:t xml:space="preserve">(4), 144–152. </w:t>
      </w:r>
      <w:hyperlink r:id="rId21">
        <w:r w:rsidRPr="0021110A">
          <w:rPr>
            <w:color w:val="auto"/>
            <w:u w:val="single"/>
          </w:rPr>
          <w:t>https://doi.org/10.51791/njap.v46i4.261</w:t>
        </w:r>
      </w:hyperlink>
    </w:p>
    <w:p w14:paraId="1568D009" w14:textId="06C6D39E" w:rsidR="002F07C4" w:rsidRPr="0021110A" w:rsidRDefault="00000000">
      <w:pPr>
        <w:pStyle w:val="ReferencesBody"/>
        <w:rPr>
          <w:color w:val="auto"/>
        </w:rPr>
      </w:pPr>
      <w:r w:rsidRPr="0021110A">
        <w:rPr>
          <w:color w:val="auto"/>
        </w:rPr>
        <w:t xml:space="preserve">Adesehinwa, A. O. K., Saka, J. O., Oyegbami, A., Omole, A. J., &amp; Cho, G.-R. (2016). Production systems and constraints in market-oriented smallholder chicken production in Southwest States of Nigeria. </w:t>
      </w:r>
      <w:r w:rsidRPr="0021110A">
        <w:rPr>
          <w:i/>
          <w:color w:val="auto"/>
        </w:rPr>
        <w:t>The Journal of the Korean Society of International Agriculture, 28</w:t>
      </w:r>
      <w:r w:rsidRPr="0021110A">
        <w:rPr>
          <w:color w:val="auto"/>
        </w:rPr>
        <w:t xml:space="preserve">(4), 459–466. </w:t>
      </w:r>
      <w:hyperlink r:id="rId22">
        <w:r w:rsidRPr="0021110A">
          <w:rPr>
            <w:color w:val="auto"/>
            <w:u w:val="single"/>
          </w:rPr>
          <w:t>https://doi.org/10.12719/KSIA.2016.28.4.459</w:t>
        </w:r>
      </w:hyperlink>
    </w:p>
    <w:p w14:paraId="7101B5C5" w14:textId="026C1FAC" w:rsidR="002F07C4" w:rsidRPr="0021110A" w:rsidRDefault="00000000">
      <w:pPr>
        <w:pStyle w:val="ReferencesBody"/>
        <w:rPr>
          <w:color w:val="auto"/>
        </w:rPr>
      </w:pPr>
      <w:r w:rsidRPr="0021110A">
        <w:rPr>
          <w:color w:val="auto"/>
        </w:rPr>
        <w:t xml:space="preserve">Aklilu, H. A., Almekinders, C. J. M., Udo, H. M. J., &amp; van der Zijpp, A. J. (2007). Village poultry consumption and marketing in relation to gender, religious festivals and market access. </w:t>
      </w:r>
      <w:r w:rsidRPr="0021110A">
        <w:rPr>
          <w:i/>
          <w:color w:val="auto"/>
        </w:rPr>
        <w:t>Tropical Animal Health and Production, 39</w:t>
      </w:r>
      <w:r w:rsidRPr="0021110A">
        <w:rPr>
          <w:color w:val="auto"/>
        </w:rPr>
        <w:t xml:space="preserve">(3), 165–177. </w:t>
      </w:r>
      <w:hyperlink r:id="rId23">
        <w:r w:rsidRPr="0021110A">
          <w:rPr>
            <w:color w:val="auto"/>
            <w:u w:val="single"/>
          </w:rPr>
          <w:t>https://doi.org/10.1007/s11250-007-9002-8</w:t>
        </w:r>
      </w:hyperlink>
    </w:p>
    <w:p w14:paraId="69A731DD" w14:textId="2EF92EC9" w:rsidR="002F07C4" w:rsidRPr="0021110A" w:rsidRDefault="00000000">
      <w:pPr>
        <w:pStyle w:val="ReferencesBody"/>
        <w:rPr>
          <w:color w:val="auto"/>
        </w:rPr>
      </w:pPr>
      <w:r w:rsidRPr="0021110A">
        <w:rPr>
          <w:color w:val="auto"/>
        </w:rPr>
        <w:t xml:space="preserve">Alderman, H., Gilligan, D. O., Leight, J., Mulford, M., &amp; Tambet, H. (2022). The role of poultry transfers in diet diversity: A cluster randomized intent to treat analysis. </w:t>
      </w:r>
      <w:r w:rsidRPr="0021110A">
        <w:rPr>
          <w:i/>
          <w:color w:val="auto"/>
        </w:rPr>
        <w:t>Food Policy, 107</w:t>
      </w:r>
      <w:r w:rsidRPr="0021110A">
        <w:rPr>
          <w:color w:val="auto"/>
        </w:rPr>
        <w:t xml:space="preserve">, 102212. </w:t>
      </w:r>
      <w:hyperlink r:id="rId24">
        <w:r w:rsidRPr="0021110A">
          <w:rPr>
            <w:color w:val="auto"/>
            <w:u w:val="single"/>
          </w:rPr>
          <w:t>https://doi.org/10.1016/j.foodpol.2021.102212</w:t>
        </w:r>
      </w:hyperlink>
    </w:p>
    <w:p w14:paraId="4E30C952" w14:textId="03AF61B8" w:rsidR="002F07C4" w:rsidRPr="0021110A" w:rsidRDefault="00000000">
      <w:pPr>
        <w:pStyle w:val="ReferencesBody"/>
        <w:rPr>
          <w:color w:val="auto"/>
        </w:rPr>
      </w:pPr>
      <w:r w:rsidRPr="0021110A">
        <w:rPr>
          <w:color w:val="auto"/>
        </w:rPr>
        <w:t xml:space="preserve">Alders, R. G., Dumas, S. E., Rukambile, E., Magoke, G., Maulaga, W., Jong, J., &amp; Costa, R. (2018). Family poultry: Multiple roles, systems, challenges, and options for sustainable contributions to household nutrition security through a planetary health lens. </w:t>
      </w:r>
      <w:r w:rsidRPr="0021110A">
        <w:rPr>
          <w:i/>
          <w:color w:val="auto"/>
        </w:rPr>
        <w:t>Maternal &amp; Child Nutrition, 14</w:t>
      </w:r>
      <w:r w:rsidRPr="0021110A">
        <w:rPr>
          <w:color w:val="auto"/>
        </w:rPr>
        <w:t xml:space="preserve">(S3), e12668. </w:t>
      </w:r>
      <w:hyperlink r:id="rId25">
        <w:r w:rsidRPr="0021110A">
          <w:rPr>
            <w:color w:val="auto"/>
            <w:u w:val="single"/>
          </w:rPr>
          <w:t>https://doi.org/10.1111/mcn.12668</w:t>
        </w:r>
      </w:hyperlink>
    </w:p>
    <w:p w14:paraId="40A8270E" w14:textId="6B6D7F20" w:rsidR="002F07C4" w:rsidRPr="0021110A" w:rsidRDefault="00000000">
      <w:pPr>
        <w:pStyle w:val="ReferencesBody"/>
        <w:rPr>
          <w:color w:val="auto"/>
        </w:rPr>
      </w:pPr>
      <w:r w:rsidRPr="0021110A">
        <w:rPr>
          <w:color w:val="auto"/>
        </w:rPr>
        <w:t xml:space="preserve">Alhaji, N. B., Adeiza, A. M., Godwin, E. A., Haruna, A. E., Aliyu, M. B., &amp; Odetokun, I. A. (2023). An assessment of the highly pathogenic avian influenza resurgence at human-poultry-environment interface in North-central Nigeria: Sociocultural determinants and One Health implications. </w:t>
      </w:r>
      <w:r w:rsidRPr="0021110A">
        <w:rPr>
          <w:i/>
          <w:color w:val="auto"/>
        </w:rPr>
        <w:t>One Health, 16</w:t>
      </w:r>
      <w:r w:rsidRPr="0021110A">
        <w:rPr>
          <w:color w:val="auto"/>
        </w:rPr>
        <w:t xml:space="preserve">, 100574. </w:t>
      </w:r>
      <w:hyperlink r:id="rId26">
        <w:r w:rsidRPr="0021110A">
          <w:rPr>
            <w:color w:val="auto"/>
            <w:u w:val="single"/>
          </w:rPr>
          <w:t>https://doi.org/10.1016/j.onehlt.2023.100574</w:t>
        </w:r>
      </w:hyperlink>
    </w:p>
    <w:p w14:paraId="0DEF1CE1" w14:textId="2B7F8E7E" w:rsidR="002F07C4" w:rsidRPr="0021110A" w:rsidRDefault="00000000">
      <w:pPr>
        <w:pStyle w:val="ReferencesBody"/>
        <w:rPr>
          <w:color w:val="auto"/>
        </w:rPr>
      </w:pPr>
      <w:r w:rsidRPr="0021110A">
        <w:rPr>
          <w:color w:val="auto"/>
        </w:rPr>
        <w:t xml:space="preserve">Babatunde, A. O. (2020). Local perspectives on food security in Nigeria’s Niger delta. </w:t>
      </w:r>
      <w:r w:rsidRPr="0021110A">
        <w:rPr>
          <w:i/>
          <w:color w:val="auto"/>
        </w:rPr>
        <w:t>The Extractive Industries and Society, 7</w:t>
      </w:r>
      <w:r w:rsidRPr="0021110A">
        <w:rPr>
          <w:color w:val="auto"/>
        </w:rPr>
        <w:t xml:space="preserve">(3), 931–939. </w:t>
      </w:r>
      <w:hyperlink r:id="rId27">
        <w:r w:rsidRPr="0021110A">
          <w:rPr>
            <w:color w:val="auto"/>
            <w:u w:val="single"/>
          </w:rPr>
          <w:t>https://doi.org/10.1016/j.exis.2020.07.011</w:t>
        </w:r>
      </w:hyperlink>
    </w:p>
    <w:p w14:paraId="2933A095" w14:textId="16FAB934" w:rsidR="002F07C4" w:rsidRPr="0021110A" w:rsidRDefault="00000000">
      <w:pPr>
        <w:pStyle w:val="ReferencesBody"/>
        <w:rPr>
          <w:color w:val="auto"/>
        </w:rPr>
      </w:pPr>
      <w:r w:rsidRPr="0021110A">
        <w:rPr>
          <w:color w:val="auto"/>
        </w:rPr>
        <w:t xml:space="preserve">Baethge, C., Goldbeck-Wood, S., &amp; Mertens, S. (2019). SANRA—A scale for the quality assessment of narrative review articles. </w:t>
      </w:r>
      <w:r w:rsidRPr="0021110A">
        <w:rPr>
          <w:i/>
          <w:color w:val="auto"/>
        </w:rPr>
        <w:t>Research Integrity and Peer Review, 4</w:t>
      </w:r>
      <w:r w:rsidRPr="0021110A">
        <w:rPr>
          <w:color w:val="auto"/>
        </w:rPr>
        <w:t xml:space="preserve">, Article 5. </w:t>
      </w:r>
      <w:hyperlink r:id="rId28">
        <w:r w:rsidRPr="0021110A">
          <w:rPr>
            <w:color w:val="auto"/>
            <w:u w:val="single"/>
          </w:rPr>
          <w:t>https://doi.org/10.1186/s41073-019-0064-8</w:t>
        </w:r>
      </w:hyperlink>
    </w:p>
    <w:p w14:paraId="3CA43A7D" w14:textId="16D44349" w:rsidR="002F07C4" w:rsidRPr="0021110A" w:rsidRDefault="00000000">
      <w:pPr>
        <w:pStyle w:val="ReferencesBody"/>
        <w:rPr>
          <w:color w:val="auto"/>
        </w:rPr>
      </w:pPr>
      <w:r w:rsidRPr="0021110A">
        <w:rPr>
          <w:color w:val="auto"/>
        </w:rPr>
        <w:t xml:space="preserve">Bardosh, K. L., Hussein, J. W., Sadik, E. A., Hassen, J. Y., Ketema, M., Ibrahim, A. M., McKune, S. L., &amp; Havelaar, A. H. (2020). Chicken eggs, childhood stunting and environmental hygiene: An ethnographic study from the Campylobacter genomics and environmental enteric dysfunction (CAGED) project in Ethiopia. </w:t>
      </w:r>
      <w:r w:rsidRPr="0021110A">
        <w:rPr>
          <w:i/>
          <w:color w:val="auto"/>
        </w:rPr>
        <w:t>One Health Outlook, 2</w:t>
      </w:r>
      <w:r w:rsidRPr="0021110A">
        <w:rPr>
          <w:color w:val="auto"/>
        </w:rPr>
        <w:t xml:space="preserve">, Article 5. </w:t>
      </w:r>
      <w:hyperlink r:id="rId29">
        <w:r w:rsidRPr="0021110A">
          <w:rPr>
            <w:color w:val="auto"/>
            <w:u w:val="single"/>
          </w:rPr>
          <w:t>https://doi.org/10.1186/s42522-020-00012-9</w:t>
        </w:r>
      </w:hyperlink>
    </w:p>
    <w:p>
      <w:pPr>
        <w:pStyle w:val="ReferencesBody"/>
      </w:pPr>
      <w:r>
        <w:rPr>
          <w:highlight w:val="yellow"/>
        </w:rPr>
        <w:t xml:space="preserve">Barnabas, B., Madaki, M. Y., Ullah, A., Zhllima, E., Jibril, A. S., Kächele, H., &amp; Bavorova, M. (2026). Climate change adaptation among smallholder poultry farmers in the northeast of Nigeria. </w:t>
      </w:r>
      <w:r>
        <w:rPr>
          <w:i/>
          <w:highlight w:val="yellow"/>
        </w:rPr>
        <w:t>Development in Practice, 36</w:t>
      </w:r>
      <w:r>
        <w:rPr>
          <w:highlight w:val="yellow"/>
        </w:rPr>
        <w:t xml:space="preserve">(2), 367–379. </w:t>
      </w:r>
      <w:hyperlink r:id="rId16">
        <w:r>
          <w:rPr>
            <w:u w:val="single"/>
            <w:highlight w:val="yellow"/>
          </w:rPr>
          <w:t>https://doi.org/10.1080/09614524.2025.2552945</w:t>
        </w:r>
      </w:hyperlink>
    </w:p>
    <w:p>
      <w:pPr>
        <w:pStyle w:val="ReferencesBody"/>
      </w:pPr>
      <w:r>
        <w:rPr>
          <w:highlight w:val="yellow"/>
        </w:rPr>
        <w:t xml:space="preserve">Becquey, E., Diop, L., Diatta, A. D., Pedehombga, A., Awonon, J., Ganaba, R., &amp; Gelli, A. (2025). A large-scale nutrition- and gender-sensitive poultry market-based program did not improve maternal and child diets in rural Burkina Faso: A cluster-randomized controlled trial. </w:t>
      </w:r>
      <w:r>
        <w:rPr>
          <w:i/>
          <w:highlight w:val="yellow"/>
        </w:rPr>
        <w:t>The Journal of Nutrition, 155</w:t>
      </w:r>
      <w:r>
        <w:rPr>
          <w:highlight w:val="yellow"/>
        </w:rPr>
        <w:t xml:space="preserve">(6), 1909–1922. </w:t>
      </w:r>
      <w:hyperlink r:id="rId17">
        <w:r>
          <w:rPr>
            <w:u w:val="single"/>
            <w:highlight w:val="yellow"/>
          </w:rPr>
          <w:t>https://doi.org/10.1016/j.tjnut.2025.04.027</w:t>
        </w:r>
      </w:hyperlink>
    </w:p>
    <w:p w14:paraId="03649665" w14:textId="6305A684" w:rsidR="002F07C4" w:rsidRPr="0021110A" w:rsidRDefault="00000000">
      <w:pPr>
        <w:pStyle w:val="ReferencesBody"/>
        <w:rPr>
          <w:color w:val="auto"/>
        </w:rPr>
      </w:pPr>
      <w:r w:rsidRPr="0021110A">
        <w:rPr>
          <w:color w:val="auto"/>
        </w:rPr>
        <w:t xml:space="preserve">Birhanu, M. Y., Alemayehu, T., Bruno, J. E., Kebede, F. G., Sonaiya, E. B., Goromela, E. H., Bamidele, O., &amp; Dessie, T. (2021). Technical efficiency of traditional village chicken production in Africa: Entry points for sustainable transformation and improved livelihood. </w:t>
      </w:r>
      <w:r w:rsidRPr="0021110A">
        <w:rPr>
          <w:i/>
          <w:color w:val="auto"/>
        </w:rPr>
        <w:t>Sustainability, 13</w:t>
      </w:r>
      <w:r w:rsidRPr="0021110A">
        <w:rPr>
          <w:color w:val="auto"/>
        </w:rPr>
        <w:t xml:space="preserve">(15), 8539. </w:t>
      </w:r>
      <w:hyperlink r:id="rId30">
        <w:r w:rsidRPr="0021110A">
          <w:rPr>
            <w:color w:val="auto"/>
            <w:u w:val="single"/>
          </w:rPr>
          <w:t>https://doi.org/10.3390/su13158539</w:t>
        </w:r>
      </w:hyperlink>
    </w:p>
    <w:p w14:paraId="44EA5105" w14:textId="7754DE5B" w:rsidR="002F07C4" w:rsidRPr="0021110A" w:rsidRDefault="00000000">
      <w:pPr>
        <w:pStyle w:val="ReferencesBody"/>
        <w:rPr>
          <w:color w:val="auto"/>
        </w:rPr>
      </w:pPr>
      <w:r w:rsidRPr="0021110A">
        <w:rPr>
          <w:color w:val="auto"/>
        </w:rPr>
        <w:t xml:space="preserve">Daodu, O. B., Aiyedun, J. O., Kadir, R. A., Ambali, H. M., Oludairo, O. O., Olorunshola, I. D., Daodu, O. C., &amp; Baba, S. S. (2019). Awareness and antibody detection of Newcastle disease virus in a neglected society in Nigeria. </w:t>
      </w:r>
      <w:r w:rsidRPr="0021110A">
        <w:rPr>
          <w:i/>
          <w:color w:val="auto"/>
        </w:rPr>
        <w:t>Veterinary World, 12</w:t>
      </w:r>
      <w:r w:rsidRPr="0021110A">
        <w:rPr>
          <w:color w:val="auto"/>
        </w:rPr>
        <w:t xml:space="preserve">(1), 112–118. </w:t>
      </w:r>
      <w:hyperlink r:id="rId31">
        <w:r w:rsidRPr="0021110A">
          <w:rPr>
            <w:color w:val="auto"/>
            <w:u w:val="single"/>
          </w:rPr>
          <w:t>https://doi.org/10.14202/vetworld.2019.112-118</w:t>
        </w:r>
      </w:hyperlink>
    </w:p>
    <w:p w14:paraId="6C330CB9" w14:textId="64025636" w:rsidR="002F07C4" w:rsidRPr="0021110A" w:rsidRDefault="00000000">
      <w:pPr>
        <w:pStyle w:val="ReferencesBody"/>
        <w:rPr>
          <w:color w:val="auto"/>
        </w:rPr>
      </w:pPr>
      <w:r w:rsidRPr="0021110A">
        <w:rPr>
          <w:color w:val="auto"/>
        </w:rPr>
        <w:t xml:space="preserve">Dione, M., Ilboudo, G., Ouedraogo, A. A., Ima, S. A., Ouedraogo, B., Knight-Jones, T., Kagambèga, A., &amp; Alders, R. (2025). Characteristics of chicken production systems in rural Burkina Faso: A focus on One Health related practices and food security. </w:t>
      </w:r>
      <w:r w:rsidRPr="0021110A">
        <w:rPr>
          <w:i/>
          <w:color w:val="auto"/>
        </w:rPr>
        <w:t>PLOS ONE, 20</w:t>
      </w:r>
      <w:r w:rsidRPr="0021110A">
        <w:rPr>
          <w:color w:val="auto"/>
        </w:rPr>
        <w:t xml:space="preserve">(2), e0317898. </w:t>
      </w:r>
      <w:hyperlink r:id="rId32">
        <w:r w:rsidRPr="0021110A">
          <w:rPr>
            <w:color w:val="auto"/>
            <w:u w:val="single"/>
          </w:rPr>
          <w:t>https://doi.org/10.1371/journal.pone.0317898</w:t>
        </w:r>
      </w:hyperlink>
    </w:p>
    <w:p w14:paraId="7D7C0239" w14:textId="43C1F605" w:rsidR="002F07C4" w:rsidRPr="0021110A" w:rsidRDefault="00000000">
      <w:pPr>
        <w:pStyle w:val="ReferencesBody"/>
        <w:rPr>
          <w:color w:val="auto"/>
        </w:rPr>
      </w:pPr>
      <w:r w:rsidRPr="0021110A">
        <w:rPr>
          <w:color w:val="auto"/>
        </w:rPr>
        <w:t xml:space="preserve">Dumas, S. E., Maranga, A., Mbullo, P., Collins, S., Wekesa, P., Onono, M., &amp; Young, S. L. (2018). “Men are in front at eating time, but not when it comes to rearing the chicken”: Unpacking the gendered benefits and costs of livestock ownership in Kenya. </w:t>
      </w:r>
      <w:r w:rsidRPr="0021110A">
        <w:rPr>
          <w:i/>
          <w:color w:val="auto"/>
        </w:rPr>
        <w:t>Food and Nutrition Bulletin, 39</w:t>
      </w:r>
      <w:r w:rsidRPr="0021110A">
        <w:rPr>
          <w:color w:val="auto"/>
        </w:rPr>
        <w:t xml:space="preserve">(1), 3–27. </w:t>
      </w:r>
      <w:hyperlink r:id="rId33">
        <w:r w:rsidRPr="0021110A">
          <w:rPr>
            <w:color w:val="auto"/>
            <w:u w:val="single"/>
          </w:rPr>
          <w:t>https://doi.org/10.1177/0379572117737428</w:t>
        </w:r>
      </w:hyperlink>
    </w:p>
    <w:p w14:paraId="196E5000" w14:textId="19AD608C" w:rsidR="002F07C4" w:rsidRPr="0021110A" w:rsidRDefault="00000000">
      <w:pPr>
        <w:pStyle w:val="ReferencesBody"/>
        <w:rPr>
          <w:color w:val="auto"/>
        </w:rPr>
      </w:pPr>
      <w:r w:rsidRPr="0021110A">
        <w:rPr>
          <w:color w:val="auto"/>
        </w:rPr>
        <w:t xml:space="preserve">Ehiwario, F. A., Onyemekonwu, R. C., &amp; Onemolease, E. A. (2024). Socio-economic and technological factors affecting food security among farming households in Delta and Edo States, Nigeria. </w:t>
      </w:r>
      <w:r w:rsidRPr="0021110A">
        <w:rPr>
          <w:i/>
          <w:color w:val="auto"/>
        </w:rPr>
        <w:t>Journal of Agricultural Extension, 28</w:t>
      </w:r>
      <w:r w:rsidRPr="0021110A">
        <w:rPr>
          <w:color w:val="auto"/>
        </w:rPr>
        <w:t xml:space="preserve">(3), 88–97. </w:t>
      </w:r>
      <w:hyperlink r:id="rId34">
        <w:r w:rsidRPr="0021110A">
          <w:rPr>
            <w:color w:val="auto"/>
            <w:u w:val="single"/>
          </w:rPr>
          <w:t>https://doi.org/10.4314/jae.v28i3.10</w:t>
        </w:r>
      </w:hyperlink>
    </w:p>
    <w:p w14:paraId="37FFDD40" w14:textId="79256760" w:rsidR="002F07C4" w:rsidRPr="0021110A" w:rsidRDefault="00000000">
      <w:pPr>
        <w:pStyle w:val="ReferencesBody"/>
        <w:rPr>
          <w:color w:val="auto"/>
        </w:rPr>
      </w:pPr>
      <w:r w:rsidRPr="0021110A">
        <w:rPr>
          <w:color w:val="auto"/>
        </w:rPr>
        <w:t xml:space="preserve">Ercumen, A., Pickering, A. J., Kwong, L. H., Arnold, B. F., Parvez, S. M., Alam, M., Sen, D., Islam, S., Kullmann, C., Chase, C., Ahmed, R., Unicomb, L., Luby, S. P., &amp; Colford, J. M., Jr. (2017). Animal feces contribute to domestic fecal contamination: Evidence from E. coli measured in water, hands, food, flies, and soil in Bangladesh. </w:t>
      </w:r>
      <w:r w:rsidRPr="0021110A">
        <w:rPr>
          <w:i/>
          <w:color w:val="auto"/>
        </w:rPr>
        <w:t>Environmental Science &amp; Technology, 51</w:t>
      </w:r>
      <w:r w:rsidRPr="0021110A">
        <w:rPr>
          <w:color w:val="auto"/>
        </w:rPr>
        <w:t xml:space="preserve">(15), 8725–8734. </w:t>
      </w:r>
      <w:hyperlink r:id="rId35">
        <w:r w:rsidRPr="0021110A">
          <w:rPr>
            <w:color w:val="auto"/>
            <w:u w:val="single"/>
          </w:rPr>
          <w:t>https://doi.org/10.1021/acs.est.7b01710</w:t>
        </w:r>
      </w:hyperlink>
    </w:p>
    <w:p w14:paraId="6DD7C480" w14:textId="3A787AA7" w:rsidR="002F07C4" w:rsidRPr="0021110A" w:rsidRDefault="00000000">
      <w:pPr>
        <w:pStyle w:val="ReferencesBody"/>
        <w:rPr>
          <w:color w:val="auto"/>
        </w:rPr>
      </w:pPr>
      <w:r w:rsidRPr="0021110A">
        <w:rPr>
          <w:color w:val="auto"/>
        </w:rPr>
        <w:lastRenderedPageBreak/>
        <w:t xml:space="preserve">Food and Agriculture Organization of the United Nations. (2008). </w:t>
      </w:r>
      <w:r w:rsidRPr="0021110A">
        <w:rPr>
          <w:i/>
          <w:color w:val="auto"/>
        </w:rPr>
        <w:t>An introduction to the basic concepts of food security</w:t>
      </w:r>
      <w:r w:rsidRPr="0021110A">
        <w:rPr>
          <w:color w:val="auto"/>
        </w:rPr>
        <w:t xml:space="preserve">. </w:t>
      </w:r>
      <w:hyperlink r:id="rId36">
        <w:r w:rsidRPr="0021110A">
          <w:rPr>
            <w:color w:val="auto"/>
            <w:u w:val="single"/>
          </w:rPr>
          <w:t>https://www.fao.org/docrep/013/al936e/al936e00.pdf</w:t>
        </w:r>
      </w:hyperlink>
    </w:p>
    <w:p w14:paraId="099A640E" w14:textId="3AD5CD12" w:rsidR="002F07C4" w:rsidRPr="0021110A" w:rsidRDefault="00000000">
      <w:pPr>
        <w:pStyle w:val="ReferencesBody"/>
        <w:rPr>
          <w:color w:val="auto"/>
        </w:rPr>
      </w:pPr>
      <w:r w:rsidRPr="0021110A">
        <w:rPr>
          <w:color w:val="auto"/>
        </w:rPr>
        <w:t xml:space="preserve">Gueye, E. F. (2000). Women and family poultry production in rural Africa. </w:t>
      </w:r>
      <w:r w:rsidRPr="0021110A">
        <w:rPr>
          <w:i/>
          <w:color w:val="auto"/>
        </w:rPr>
        <w:t>Development in Practice, 10</w:t>
      </w:r>
      <w:r w:rsidRPr="0021110A">
        <w:rPr>
          <w:color w:val="auto"/>
        </w:rPr>
        <w:t xml:space="preserve">(1), 98–102. </w:t>
      </w:r>
      <w:hyperlink r:id="rId37">
        <w:r w:rsidRPr="0021110A">
          <w:rPr>
            <w:color w:val="auto"/>
            <w:u w:val="single"/>
          </w:rPr>
          <w:t>https://doi.org/10.1080/09614520052565</w:t>
        </w:r>
      </w:hyperlink>
    </w:p>
    <w:p w14:paraId="02FD22D0" w14:textId="17678A1C" w:rsidR="002F07C4" w:rsidRPr="0021110A" w:rsidRDefault="00000000">
      <w:pPr>
        <w:pStyle w:val="ReferencesBody"/>
        <w:rPr>
          <w:color w:val="auto"/>
        </w:rPr>
      </w:pPr>
      <w:r w:rsidRPr="0021110A">
        <w:rPr>
          <w:color w:val="auto"/>
        </w:rPr>
        <w:t xml:space="preserve">He, C., Madzorera, I., Passarelli, S., Ambikapathi, R., Gunaratna, N. S., Berhane, Y., Abdelmenan, S., Canavan, C. R., Noor, R. A., Sibanda, L. M., &amp; Fawzi, W. (2026). Effectiveness of integrated chicken production and nutrition-sensitive interventions on females’ dietary diversity outcomes: A cluster-randomized controlled trial in rural Ethiopia. </w:t>
      </w:r>
      <w:r w:rsidRPr="0021110A">
        <w:rPr>
          <w:i/>
          <w:color w:val="auto"/>
        </w:rPr>
        <w:t>The American Journal of Clinical Nutrition, 124</w:t>
      </w:r>
      <w:r w:rsidRPr="0021110A">
        <w:rPr>
          <w:color w:val="auto"/>
        </w:rPr>
        <w:t xml:space="preserve">(4), 101475. </w:t>
      </w:r>
      <w:hyperlink r:id="rId38">
        <w:r w:rsidRPr="0021110A">
          <w:rPr>
            <w:color w:val="auto"/>
            <w:u w:val="single"/>
          </w:rPr>
          <w:t>https://doi.org/10.1016/j.ajcnut.2026.101475</w:t>
        </w:r>
      </w:hyperlink>
    </w:p>
    <w:p w14:paraId="442D421B" w14:textId="6DDBC259" w:rsidR="002F07C4" w:rsidRPr="0021110A" w:rsidRDefault="00000000">
      <w:pPr>
        <w:pStyle w:val="ReferencesBody"/>
        <w:rPr>
          <w:color w:val="auto"/>
        </w:rPr>
      </w:pPr>
      <w:r w:rsidRPr="0021110A">
        <w:rPr>
          <w:color w:val="auto"/>
        </w:rPr>
        <w:t xml:space="preserve">Headey, D., &amp; Hirvonen, K. (2016). Is exposure to poultry harmful to child nutrition? An observational analysis for rural Ethiopia. </w:t>
      </w:r>
      <w:r w:rsidRPr="0021110A">
        <w:rPr>
          <w:i/>
          <w:color w:val="auto"/>
        </w:rPr>
        <w:t>PLOS ONE, 11</w:t>
      </w:r>
      <w:r w:rsidRPr="0021110A">
        <w:rPr>
          <w:color w:val="auto"/>
        </w:rPr>
        <w:t xml:space="preserve">(8), e0160590. </w:t>
      </w:r>
      <w:hyperlink r:id="rId39">
        <w:r w:rsidRPr="0021110A">
          <w:rPr>
            <w:color w:val="auto"/>
            <w:u w:val="single"/>
          </w:rPr>
          <w:t>https://doi.org/10.1371/journal.pone.0160590</w:t>
        </w:r>
      </w:hyperlink>
    </w:p>
    <w:p w14:paraId="174DD6A9" w14:textId="6EFC9766" w:rsidR="002F07C4" w:rsidRPr="0021110A" w:rsidRDefault="00000000">
      <w:pPr>
        <w:pStyle w:val="ReferencesBody"/>
        <w:rPr>
          <w:color w:val="auto"/>
        </w:rPr>
      </w:pPr>
      <w:r w:rsidRPr="0021110A">
        <w:rPr>
          <w:color w:val="auto"/>
        </w:rPr>
        <w:t xml:space="preserve">Iannotti, L. L., Lutter, C. K., Stewart, C. P., Gallegos Riofrío, C. A., Malo, C., Reinhart, G., Palacios, A., Karp, C., Chapnick, M., Cox, K., &amp; Waters, W. F. (2017). Eggs in early complementary feeding and child growth: A randomized controlled trial. </w:t>
      </w:r>
      <w:r w:rsidRPr="0021110A">
        <w:rPr>
          <w:i/>
          <w:color w:val="auto"/>
        </w:rPr>
        <w:t>Pediatrics, 140</w:t>
      </w:r>
      <w:r w:rsidRPr="0021110A">
        <w:rPr>
          <w:color w:val="auto"/>
        </w:rPr>
        <w:t xml:space="preserve">(1), e20163459. </w:t>
      </w:r>
      <w:hyperlink r:id="rId40">
        <w:r w:rsidRPr="0021110A">
          <w:rPr>
            <w:color w:val="auto"/>
            <w:u w:val="single"/>
          </w:rPr>
          <w:t>https://doi.org/10.1542/peds.2016-3459</w:t>
        </w:r>
      </w:hyperlink>
    </w:p>
    <w:p w14:paraId="2030DB80" w14:textId="6257892E" w:rsidR="002F07C4" w:rsidRPr="0021110A" w:rsidRDefault="00000000">
      <w:pPr>
        <w:pStyle w:val="ReferencesBody"/>
        <w:rPr>
          <w:color w:val="auto"/>
        </w:rPr>
      </w:pPr>
      <w:r w:rsidRPr="0021110A">
        <w:rPr>
          <w:color w:val="auto"/>
        </w:rPr>
        <w:t xml:space="preserve">Idamokoro, E. M., &amp; Hosu, Y. S. (2022). Village chicken production and food security: A two-decade bibliometric analysis of global research trends. </w:t>
      </w:r>
      <w:r w:rsidRPr="0021110A">
        <w:rPr>
          <w:i/>
          <w:color w:val="auto"/>
        </w:rPr>
        <w:t>Agriculture &amp; Food Security, 11</w:t>
      </w:r>
      <w:r w:rsidRPr="0021110A">
        <w:rPr>
          <w:color w:val="auto"/>
        </w:rPr>
        <w:t xml:space="preserve">, Article 40. </w:t>
      </w:r>
      <w:hyperlink r:id="rId41">
        <w:r w:rsidRPr="0021110A">
          <w:rPr>
            <w:color w:val="auto"/>
            <w:u w:val="single"/>
          </w:rPr>
          <w:t>https://doi.org/10.1186/s40066-022-00379-0</w:t>
        </w:r>
      </w:hyperlink>
    </w:p>
    <w:p w14:paraId="0D6189A1" w14:textId="504FD480" w:rsidR="002F07C4" w:rsidRPr="0021110A" w:rsidRDefault="00000000">
      <w:pPr>
        <w:pStyle w:val="ReferencesBody"/>
        <w:rPr>
          <w:color w:val="auto"/>
        </w:rPr>
      </w:pPr>
      <w:r w:rsidRPr="0021110A">
        <w:rPr>
          <w:color w:val="auto"/>
        </w:rPr>
        <w:t xml:space="preserve">Inoni, O. E., Omotor, D. G., &amp; Adun, F. N. (2006). The effect of oil spillage on crop yield and farm income in Delta State, Nigeria. </w:t>
      </w:r>
      <w:r w:rsidRPr="0021110A">
        <w:rPr>
          <w:i/>
          <w:color w:val="auto"/>
        </w:rPr>
        <w:t>Journal of Central European Agriculture, 7</w:t>
      </w:r>
      <w:r w:rsidRPr="0021110A">
        <w:rPr>
          <w:color w:val="auto"/>
        </w:rPr>
        <w:t xml:space="preserve">(1), 41–48. </w:t>
      </w:r>
      <w:hyperlink r:id="rId42">
        <w:r w:rsidRPr="0021110A">
          <w:rPr>
            <w:color w:val="auto"/>
            <w:u w:val="single"/>
          </w:rPr>
          <w:t>https://doi.org/10.5513/jcea.v7i1.353</w:t>
        </w:r>
      </w:hyperlink>
    </w:p>
    <w:p w14:paraId="71E9ADF1" w14:textId="57363C8E" w:rsidR="002F07C4" w:rsidRPr="0021110A" w:rsidRDefault="00000000">
      <w:pPr>
        <w:pStyle w:val="ReferencesBody"/>
        <w:rPr>
          <w:color w:val="auto"/>
        </w:rPr>
      </w:pPr>
      <w:r w:rsidRPr="0021110A">
        <w:rPr>
          <w:color w:val="auto"/>
        </w:rPr>
        <w:t xml:space="preserve">Jagne, J., Aini, I., Schat, K. A., Fennell, A., &amp; Touray, O. (1991). Vaccination of village chickens in The Gambia against Newcastle disease using the heat-resistant, food-pelleted V4 vaccine. </w:t>
      </w:r>
      <w:r w:rsidRPr="0021110A">
        <w:rPr>
          <w:i/>
          <w:color w:val="auto"/>
        </w:rPr>
        <w:t>Avian Pathology, 20</w:t>
      </w:r>
      <w:r w:rsidRPr="0021110A">
        <w:rPr>
          <w:color w:val="auto"/>
        </w:rPr>
        <w:t xml:space="preserve">(4), 721–724. </w:t>
      </w:r>
      <w:hyperlink r:id="rId43">
        <w:r w:rsidRPr="0021110A">
          <w:rPr>
            <w:color w:val="auto"/>
            <w:u w:val="single"/>
          </w:rPr>
          <w:t>https://doi.org/10.1080/03079459108418811</w:t>
        </w:r>
      </w:hyperlink>
    </w:p>
    <w:p w14:paraId="2CC2E931" w14:textId="3E7660DC" w:rsidR="002F07C4" w:rsidRPr="0021110A" w:rsidRDefault="00000000">
      <w:pPr>
        <w:pStyle w:val="ReferencesBody"/>
        <w:rPr>
          <w:color w:val="auto"/>
        </w:rPr>
      </w:pPr>
      <w:r w:rsidRPr="0021110A">
        <w:rPr>
          <w:color w:val="auto"/>
        </w:rPr>
        <w:t xml:space="preserve">Kebede, T., Bilal, S. M., Lindtjorn, B., &amp; Engebretsen, I. M. S. (2023). Does livestock ownership predict animal-source food consumption frequency among children aged 6–24 months and their mothers in the rural Dale district, southern Ethiopia? </w:t>
      </w:r>
      <w:r w:rsidRPr="0021110A">
        <w:rPr>
          <w:i/>
          <w:color w:val="auto"/>
        </w:rPr>
        <w:t>PeerJ, 11</w:t>
      </w:r>
      <w:r w:rsidRPr="0021110A">
        <w:rPr>
          <w:color w:val="auto"/>
        </w:rPr>
        <w:t xml:space="preserve">, e16518. </w:t>
      </w:r>
      <w:hyperlink r:id="rId44">
        <w:r w:rsidRPr="0021110A">
          <w:rPr>
            <w:color w:val="auto"/>
            <w:u w:val="single"/>
          </w:rPr>
          <w:t>https://doi.org/10.7717/peerj.16518</w:t>
        </w:r>
      </w:hyperlink>
    </w:p>
    <w:p w14:paraId="4C78D358" w14:textId="7973AABF" w:rsidR="002F07C4" w:rsidRPr="0021110A" w:rsidRDefault="00000000">
      <w:pPr>
        <w:pStyle w:val="ReferencesBody"/>
        <w:rPr>
          <w:color w:val="auto"/>
        </w:rPr>
      </w:pPr>
      <w:r w:rsidRPr="0021110A">
        <w:rPr>
          <w:color w:val="auto"/>
        </w:rPr>
        <w:t xml:space="preserve">Knueppel, D., Cardona, C., Msoffe, P., Demment, M., &amp; Kaiser, L. (2010). Impact of vaccination against chicken Newcastle disease on food intake and food security in rural households in Tanzania. </w:t>
      </w:r>
      <w:r w:rsidRPr="0021110A">
        <w:rPr>
          <w:i/>
          <w:color w:val="auto"/>
        </w:rPr>
        <w:t>Food and Nutrition Bulletin, 31</w:t>
      </w:r>
      <w:r w:rsidRPr="0021110A">
        <w:rPr>
          <w:color w:val="auto"/>
        </w:rPr>
        <w:t xml:space="preserve">(3), 436–445. </w:t>
      </w:r>
      <w:hyperlink r:id="rId45">
        <w:r w:rsidRPr="0021110A">
          <w:rPr>
            <w:color w:val="auto"/>
            <w:u w:val="single"/>
          </w:rPr>
          <w:t>https://doi.org/10.1177/156482651003100306</w:t>
        </w:r>
      </w:hyperlink>
    </w:p>
    <w:p w14:paraId="5250A8F1" w14:textId="4F1B441D" w:rsidR="002F07C4" w:rsidRPr="0021110A" w:rsidRDefault="00000000">
      <w:pPr>
        <w:pStyle w:val="ReferencesBody"/>
        <w:rPr>
          <w:color w:val="auto"/>
        </w:rPr>
      </w:pPr>
      <w:r w:rsidRPr="0021110A">
        <w:rPr>
          <w:color w:val="auto"/>
        </w:rPr>
        <w:t xml:space="preserve">Koyenikan, M. J. (2011). Assessment of rural poultry extension services in Oshimili North Local Government Area, Delta State, Nigeria. </w:t>
      </w:r>
      <w:r w:rsidRPr="0021110A">
        <w:rPr>
          <w:i/>
          <w:color w:val="auto"/>
        </w:rPr>
        <w:t>Journal of Agricultural Extension and Rural Development, 3</w:t>
      </w:r>
      <w:r w:rsidRPr="0021110A">
        <w:rPr>
          <w:color w:val="auto"/>
        </w:rPr>
        <w:t xml:space="preserve">(9), 165–171. </w:t>
      </w:r>
      <w:hyperlink r:id="rId46">
        <w:r w:rsidRPr="0021110A">
          <w:rPr>
            <w:color w:val="auto"/>
            <w:u w:val="single"/>
          </w:rPr>
          <w:t>https://doi.org/10.5897/JAERD.9000014</w:t>
        </w:r>
      </w:hyperlink>
    </w:p>
    <w:p w14:paraId="7B6DF472" w14:textId="3DFB9DF1" w:rsidR="002F07C4" w:rsidRPr="0021110A" w:rsidRDefault="00000000">
      <w:pPr>
        <w:pStyle w:val="ReferencesBody"/>
        <w:rPr>
          <w:color w:val="auto"/>
        </w:rPr>
      </w:pPr>
      <w:r w:rsidRPr="0021110A">
        <w:rPr>
          <w:color w:val="auto"/>
        </w:rPr>
        <w:t xml:space="preserve">Lambrecht, N. J., Waid, J. L., Wendt, A. S., Sobhan, S., Kader, A., &amp; Gabrysch, S. (2023). Impact of a homestead food production program on poultry rearing and egg consumption: A cluster-randomized controlled trial in Bangladesh. </w:t>
      </w:r>
      <w:r w:rsidRPr="0021110A">
        <w:rPr>
          <w:i/>
          <w:color w:val="auto"/>
        </w:rPr>
        <w:t>Maternal &amp; Child Nutrition, 19</w:t>
      </w:r>
      <w:r w:rsidRPr="0021110A">
        <w:rPr>
          <w:color w:val="auto"/>
        </w:rPr>
        <w:t xml:space="preserve">(3), e13505. </w:t>
      </w:r>
      <w:hyperlink r:id="rId47">
        <w:r w:rsidRPr="0021110A">
          <w:rPr>
            <w:color w:val="auto"/>
            <w:u w:val="single"/>
          </w:rPr>
          <w:t>https://doi.org/10.1111/mcn.13505</w:t>
        </w:r>
      </w:hyperlink>
    </w:p>
    <w:p>
      <w:pPr>
        <w:pStyle w:val="ReferencesBody"/>
      </w:pPr>
      <w:r>
        <w:rPr>
          <w:highlight w:val="yellow"/>
        </w:rPr>
        <w:t xml:space="preserve">Nguyen, T.-T., &amp; Qaim, M. (2025). Local and regional food production diversity are positively associated with household dietary diversity in rural Africa. </w:t>
      </w:r>
      <w:r>
        <w:rPr>
          <w:i/>
          <w:highlight w:val="yellow"/>
        </w:rPr>
        <w:t>Nature Food, 6</w:t>
      </w:r>
      <w:r>
        <w:rPr>
          <w:highlight w:val="yellow"/>
        </w:rPr>
        <w:t xml:space="preserve">(2), 205–212. </w:t>
      </w:r>
      <w:hyperlink r:id="rId18">
        <w:r>
          <w:rPr>
            <w:u w:val="single"/>
            <w:highlight w:val="yellow"/>
          </w:rPr>
          <w:t>https://doi.org/10.1038/s43016-024-01096-6</w:t>
        </w:r>
      </w:hyperlink>
    </w:p>
    <w:p w14:paraId="4447C3E2" w14:textId="2AB3E5A5" w:rsidR="002F07C4" w:rsidRPr="0021110A" w:rsidRDefault="00000000">
      <w:pPr>
        <w:pStyle w:val="ReferencesBody"/>
        <w:rPr>
          <w:color w:val="auto"/>
        </w:rPr>
      </w:pPr>
      <w:r w:rsidRPr="0021110A">
        <w:rPr>
          <w:color w:val="auto"/>
        </w:rPr>
        <w:t xml:space="preserve">Odor, A. H., Onubuogu, G. C., Eze, E. U., &amp; Nwaogu, V. C. (2026). Analysis of factors influencing food security status of farming households in Ethiopie East Local Government Area, Delta State. </w:t>
      </w:r>
      <w:r w:rsidRPr="0021110A">
        <w:rPr>
          <w:i/>
          <w:color w:val="auto"/>
        </w:rPr>
        <w:t>Journal of Agriculture and Food Sciences, 23</w:t>
      </w:r>
      <w:r w:rsidRPr="0021110A">
        <w:rPr>
          <w:color w:val="auto"/>
        </w:rPr>
        <w:t xml:space="preserve">(2), 185–195. </w:t>
      </w:r>
      <w:hyperlink r:id="rId48">
        <w:r w:rsidRPr="0021110A">
          <w:rPr>
            <w:color w:val="auto"/>
            <w:u w:val="single"/>
          </w:rPr>
          <w:t>https://doi.org/10.4314/jafs.v23i2.13</w:t>
        </w:r>
      </w:hyperlink>
    </w:p>
    <w:p w14:paraId="1032825B" w14:textId="37D9E016" w:rsidR="002F07C4" w:rsidRPr="0021110A" w:rsidRDefault="00000000">
      <w:pPr>
        <w:pStyle w:val="ReferencesBody"/>
        <w:rPr>
          <w:color w:val="auto"/>
        </w:rPr>
      </w:pPr>
      <w:r w:rsidRPr="0021110A">
        <w:rPr>
          <w:color w:val="auto"/>
        </w:rPr>
        <w:t xml:space="preserve">Odum, F. N., &amp; Chukwuji, C. O. (2022). Impact of NIRSAL’s Agro-GEO-Cooperative Model: Case of poultry farmers in Oshimili South Local Government Area, Delta State, Nigeria. </w:t>
      </w:r>
      <w:r w:rsidRPr="0021110A">
        <w:rPr>
          <w:i/>
          <w:color w:val="auto"/>
        </w:rPr>
        <w:t>Nigeria Agricultural Journal, 53</w:t>
      </w:r>
      <w:r w:rsidRPr="0021110A">
        <w:rPr>
          <w:color w:val="auto"/>
        </w:rPr>
        <w:t xml:space="preserve">(2), 14–19. </w:t>
      </w:r>
      <w:hyperlink r:id="rId49">
        <w:r w:rsidRPr="0021110A">
          <w:rPr>
            <w:color w:val="auto"/>
            <w:u w:val="single"/>
          </w:rPr>
          <w:t>https://www.ajol.info/index.php/naj/article/view/232577</w:t>
        </w:r>
      </w:hyperlink>
    </w:p>
    <w:p w14:paraId="7CBF9AF2" w14:textId="7908BE5E" w:rsidR="002F07C4" w:rsidRPr="0021110A" w:rsidRDefault="00000000">
      <w:pPr>
        <w:pStyle w:val="ReferencesBody"/>
        <w:rPr>
          <w:color w:val="auto"/>
        </w:rPr>
      </w:pPr>
      <w:r w:rsidRPr="0021110A">
        <w:rPr>
          <w:color w:val="auto"/>
        </w:rPr>
        <w:t xml:space="preserve">Olutegbe, N. S., Shaibu, U. M., Akuwa, P. O., Akano, O. I., Ogunbayo, I. E., Oyelami, B. O., Oyegoke, O. Y., Olorunkoya, O. A., Adediran, M. O., Aburime, P. I., Adeagbo, I. E., Salman, K. K., Adekoya, A. E., Olubusoye, O. E., &amp; Adenikinju, A. F. (2026). Resilience to shocks and food insecurity: Evidence from chicken-rearing households in Nigeria. </w:t>
      </w:r>
      <w:r w:rsidRPr="0021110A">
        <w:rPr>
          <w:i/>
          <w:color w:val="auto"/>
        </w:rPr>
        <w:t>Discover Agriculture, 4</w:t>
      </w:r>
      <w:r w:rsidRPr="0021110A">
        <w:rPr>
          <w:color w:val="auto"/>
        </w:rPr>
        <w:t xml:space="preserve">, Article 90. </w:t>
      </w:r>
      <w:hyperlink r:id="rId50">
        <w:r w:rsidRPr="0021110A">
          <w:rPr>
            <w:color w:val="auto"/>
            <w:u w:val="single"/>
          </w:rPr>
          <w:t>https://doi.org/10.1007/s44279-026-00565-9</w:t>
        </w:r>
      </w:hyperlink>
    </w:p>
    <w:p w14:paraId="5DA83777" w14:textId="0EF8FD67" w:rsidR="002F07C4" w:rsidRPr="0021110A" w:rsidRDefault="00000000">
      <w:pPr>
        <w:pStyle w:val="ReferencesBody"/>
        <w:rPr>
          <w:color w:val="auto"/>
        </w:rPr>
      </w:pPr>
      <w:r w:rsidRPr="0021110A">
        <w:rPr>
          <w:color w:val="auto"/>
        </w:rPr>
        <w:t xml:space="preserve">Omer, A., Hailu, D., &amp; Whiting, S. J. (2022a). Effect of a child-owned poultry intervention providing eggs on nutrition status and motor skills of young children in southern Ethiopia: A cluster randomized and controlled community trial. </w:t>
      </w:r>
      <w:r w:rsidRPr="0021110A">
        <w:rPr>
          <w:i/>
          <w:color w:val="auto"/>
        </w:rPr>
        <w:t>International Journal of Environmental Research and Public Health, 19</w:t>
      </w:r>
      <w:r w:rsidRPr="0021110A">
        <w:rPr>
          <w:color w:val="auto"/>
        </w:rPr>
        <w:t xml:space="preserve">(22), 15305. </w:t>
      </w:r>
      <w:hyperlink r:id="rId51">
        <w:r w:rsidRPr="0021110A">
          <w:rPr>
            <w:color w:val="auto"/>
            <w:u w:val="single"/>
          </w:rPr>
          <w:t>https://doi.org/10.3390/ijerph192215305</w:t>
        </w:r>
      </w:hyperlink>
    </w:p>
    <w:p w14:paraId="1964AC52" w14:textId="08574966" w:rsidR="002F07C4" w:rsidRPr="0021110A" w:rsidRDefault="00000000">
      <w:pPr>
        <w:pStyle w:val="ReferencesBody"/>
        <w:rPr>
          <w:color w:val="auto"/>
        </w:rPr>
      </w:pPr>
      <w:r w:rsidRPr="0021110A">
        <w:rPr>
          <w:color w:val="auto"/>
        </w:rPr>
        <w:lastRenderedPageBreak/>
        <w:t xml:space="preserve">Omer, A., Hailu, D., &amp; Whiting, S. J. (2022b). Egg consumption of children under two years of age through a child-owned poultry and nutrition intervention in rural Ethiopia: A community-based randomized controlled trial. </w:t>
      </w:r>
      <w:r w:rsidRPr="0021110A">
        <w:rPr>
          <w:i/>
          <w:color w:val="auto"/>
        </w:rPr>
        <w:t>Journal of Agriculture and Food Research, 9</w:t>
      </w:r>
      <w:r w:rsidRPr="0021110A">
        <w:rPr>
          <w:color w:val="auto"/>
        </w:rPr>
        <w:t xml:space="preserve">, 100354. </w:t>
      </w:r>
      <w:hyperlink r:id="rId52">
        <w:r w:rsidRPr="0021110A">
          <w:rPr>
            <w:color w:val="auto"/>
            <w:u w:val="single"/>
          </w:rPr>
          <w:t>https://doi.org/10.1016/j.jafr.2022.100354</w:t>
        </w:r>
      </w:hyperlink>
    </w:p>
    <w:p w14:paraId="46338255" w14:textId="625072E1" w:rsidR="002F07C4" w:rsidRPr="0021110A" w:rsidRDefault="00000000">
      <w:pPr>
        <w:pStyle w:val="ReferencesBody"/>
        <w:rPr>
          <w:color w:val="auto"/>
        </w:rPr>
      </w:pPr>
      <w:r w:rsidRPr="0021110A">
        <w:rPr>
          <w:color w:val="auto"/>
        </w:rPr>
        <w:t xml:space="preserve">Omer, A., Hailu, D., &amp; Whiting, S. J. (2023). Child-owned poultry intervention effects on hemoglobin, anemia, concurrent anemia and stunting, and morbidity status of young children in southern Ethiopia: A cluster randomized controlled community trial. </w:t>
      </w:r>
      <w:r w:rsidRPr="0021110A">
        <w:rPr>
          <w:i/>
          <w:color w:val="auto"/>
        </w:rPr>
        <w:t>International Journal of Environmental Research and Public Health, 20</w:t>
      </w:r>
      <w:r w:rsidRPr="0021110A">
        <w:rPr>
          <w:color w:val="auto"/>
        </w:rPr>
        <w:t xml:space="preserve">(7), 5406. </w:t>
      </w:r>
      <w:hyperlink r:id="rId53">
        <w:r w:rsidRPr="0021110A">
          <w:rPr>
            <w:color w:val="auto"/>
            <w:u w:val="single"/>
          </w:rPr>
          <w:t>https://doi.org/10.3390/ijerph20075406</w:t>
        </w:r>
      </w:hyperlink>
    </w:p>
    <w:p w14:paraId="411BC7BA" w14:textId="76CFF434" w:rsidR="002F07C4" w:rsidRPr="0021110A" w:rsidRDefault="00000000">
      <w:pPr>
        <w:pStyle w:val="ReferencesBody"/>
        <w:rPr>
          <w:color w:val="auto"/>
        </w:rPr>
      </w:pPr>
      <w:r w:rsidRPr="0021110A">
        <w:rPr>
          <w:color w:val="auto"/>
        </w:rPr>
        <w:t xml:space="preserve">Onyenekwe, C. S., Sarpong, D. B., Egyir, I. S., Opata, P. I., &amp; Oyinbo, O. (2024). A comparative study of farming and fishing households’ livelihood vulnerability in the Niger Delta, Nigeria. </w:t>
      </w:r>
      <w:r w:rsidRPr="0021110A">
        <w:rPr>
          <w:i/>
          <w:color w:val="auto"/>
        </w:rPr>
        <w:t>Journal of Environmental Planning and Management, 67</w:t>
      </w:r>
      <w:r w:rsidRPr="0021110A">
        <w:rPr>
          <w:color w:val="auto"/>
        </w:rPr>
        <w:t xml:space="preserve">(1), 217–241. </w:t>
      </w:r>
      <w:hyperlink r:id="rId54">
        <w:r w:rsidRPr="0021110A">
          <w:rPr>
            <w:color w:val="auto"/>
            <w:u w:val="single"/>
          </w:rPr>
          <w:t>https://doi.org/10.1080/09640568.2022.2107495</w:t>
        </w:r>
      </w:hyperlink>
    </w:p>
    <w:p w14:paraId="61CA0408" w14:textId="77D4AC8E" w:rsidR="002F07C4" w:rsidRPr="0021110A" w:rsidRDefault="00000000">
      <w:pPr>
        <w:pStyle w:val="ReferencesBody"/>
        <w:rPr>
          <w:color w:val="auto"/>
        </w:rPr>
      </w:pPr>
      <w:r w:rsidRPr="0021110A">
        <w:rPr>
          <w:color w:val="auto"/>
        </w:rPr>
        <w:t xml:space="preserve">Ovwigho, B. O., Mmereole, F. U. C., Udeh, I., &amp; Akporhuarho, P. O. (2009). Comparison of constraints to poultry producers in Delta State Nigeria. </w:t>
      </w:r>
      <w:r w:rsidRPr="0021110A">
        <w:rPr>
          <w:i/>
          <w:color w:val="auto"/>
        </w:rPr>
        <w:t>International Journal of Poultry Science, 8</w:t>
      </w:r>
      <w:r w:rsidRPr="0021110A">
        <w:rPr>
          <w:color w:val="auto"/>
        </w:rPr>
        <w:t xml:space="preserve">(5), 480–484. </w:t>
      </w:r>
      <w:hyperlink r:id="rId55">
        <w:r w:rsidRPr="0021110A">
          <w:rPr>
            <w:color w:val="auto"/>
            <w:u w:val="single"/>
          </w:rPr>
          <w:t>https://doi.org/10.3923/ijps.2009.480.484</w:t>
        </w:r>
      </w:hyperlink>
    </w:p>
    <w:p w14:paraId="1E09A277" w14:textId="1998F10E" w:rsidR="002F07C4" w:rsidRPr="0021110A" w:rsidRDefault="00000000">
      <w:pPr>
        <w:pStyle w:val="ReferencesBody"/>
        <w:rPr>
          <w:color w:val="auto"/>
        </w:rPr>
      </w:pPr>
      <w:r w:rsidRPr="0021110A">
        <w:rPr>
          <w:color w:val="auto"/>
        </w:rPr>
        <w:t xml:space="preserve">Passarelli, S., Ambikapathi, R., Gunaratna, N. S., Madzorera, I., Canavan, C. R., Noor, A. R., Worku, A., Berhane, Y., Abdelmenan, S., Sibanda, S., Munthali, B., Madzivhandila, T., Sibanda, L. M., Geremew, K., Dessie, T., Abegaz, S., Assefa, G., Sudfeld, C., McConnell, M., . . . Fawzi, W. (2020). A chicken production intervention and additional nutrition behavior change component increased child growth in Ethiopia: A cluster-randomized trial. </w:t>
      </w:r>
      <w:r w:rsidRPr="0021110A">
        <w:rPr>
          <w:i/>
          <w:color w:val="auto"/>
        </w:rPr>
        <w:t>The Journal of Nutrition, 150</w:t>
      </w:r>
      <w:r w:rsidRPr="0021110A">
        <w:rPr>
          <w:color w:val="auto"/>
        </w:rPr>
        <w:t xml:space="preserve">(10), 2806–2817. </w:t>
      </w:r>
      <w:hyperlink r:id="rId56">
        <w:r w:rsidRPr="0021110A">
          <w:rPr>
            <w:color w:val="auto"/>
            <w:u w:val="single"/>
          </w:rPr>
          <w:t>https://doi.org/10.1093/jn/nxaa181</w:t>
        </w:r>
      </w:hyperlink>
    </w:p>
    <w:p>
      <w:pPr>
        <w:pStyle w:val="ReferencesBody"/>
      </w:pPr>
      <w:r>
        <w:rPr>
          <w:highlight w:val="yellow"/>
        </w:rPr>
        <w:t xml:space="preserve">Shioda, K., Smith, F., Mucache, H. N., Marri, A. R., Chew, J., Levy, K., &amp; Freeman, M. C. (2024). Purchase, consumption, and ownership of chickens and chicken products among households in Maputo, Mozambique: A cross-sectional study. </w:t>
      </w:r>
      <w:r>
        <w:rPr>
          <w:i/>
          <w:highlight w:val="yellow"/>
        </w:rPr>
        <w:t>One Health, 19</w:t>
      </w:r>
      <w:r>
        <w:rPr>
          <w:highlight w:val="yellow"/>
        </w:rPr>
        <w:t xml:space="preserve">, 100943. </w:t>
      </w:r>
      <w:hyperlink r:id="rId19">
        <w:r>
          <w:rPr>
            <w:u w:val="single"/>
            <w:highlight w:val="yellow"/>
          </w:rPr>
          <w:t>https://doi.org/10.1016/j.onehlt.2024.100943</w:t>
        </w:r>
      </w:hyperlink>
    </w:p>
    <w:sectPr w:rsidR="002F07C4" w:rsidRPr="0021110A" w:rsidSect="00034616">
      <w:headerReference w:type="even" r:id="rId8"/>
      <w:headerReference w:type="default" r:id="rId9"/>
      <w:footerReference w:type="even" r:id="rId10"/>
      <w:footerReference w:type="default" r:id="rId11"/>
      <w:headerReference w:type="first" r:id="rId12"/>
      <w:footerReference w:type="first" r:id="rId13"/>
      <w:pgSz w:w="12240" w:h="15840"/>
      <w:pgMar w:top="1166" w:right="1152" w:bottom="1123" w:left="1152" w:header="461"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DD5A8" w14:textId="77777777" w:rsidR="00F339C6" w:rsidRDefault="00F339C6">
      <w:pPr>
        <w:spacing w:after="0" w:line="240" w:lineRule="auto"/>
      </w:pPr>
      <w:r>
        <w:separator/>
      </w:r>
    </w:p>
  </w:endnote>
  <w:endnote w:type="continuationSeparator" w:id="0">
    <w:p w14:paraId="4DBA199A" w14:textId="77777777" w:rsidR="00F339C6" w:rsidRDefault="00F33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69AC" w14:textId="77777777" w:rsidR="00A769F9" w:rsidRDefault="00A769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95F3B" w14:textId="77777777" w:rsidR="002F07C4" w:rsidRDefault="00000000">
    <w:pPr>
      <w:pStyle w:val="Footer"/>
      <w:jc w:val="center"/>
    </w:pPr>
    <w:r>
      <w:rPr>
        <w:sz w:val="18"/>
      </w:rPr>
      <w:fldChar w:fldCharType="begin"/>
    </w:r>
    <w:r>
      <w:rPr>
        <w:sz w:val="18"/>
      </w:rPr>
      <w:instrText xml:space="preserve"> PAGE </w:instrText>
    </w:r>
    <w:r>
      <w:rPr>
        <w:sz w:val="18"/>
      </w:rPr>
      <w:fldChar w:fldCharType="separate"/>
    </w:r>
    <w:r w:rsidR="0021110A">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FCDB" w14:textId="77777777" w:rsidR="00A769F9" w:rsidRDefault="00A76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F0ADD" w14:textId="77777777" w:rsidR="00F339C6" w:rsidRDefault="00F339C6">
      <w:pPr>
        <w:spacing w:after="0" w:line="240" w:lineRule="auto"/>
      </w:pPr>
      <w:r>
        <w:separator/>
      </w:r>
    </w:p>
  </w:footnote>
  <w:footnote w:type="continuationSeparator" w:id="0">
    <w:p w14:paraId="52539361" w14:textId="77777777" w:rsidR="00F339C6" w:rsidRDefault="00F33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22F8" w14:textId="6079C18C" w:rsidR="00A769F9" w:rsidRDefault="00A769F9">
    <w:pPr>
      <w:pStyle w:val="Header"/>
    </w:pPr>
    <w:r>
      <w:rPr>
        <w:noProof/>
      </w:rPr>
      <w:pict w14:anchorId="45FEF1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111157"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2B3D" w14:textId="6DEBF145" w:rsidR="00A769F9" w:rsidRDefault="00A769F9">
    <w:pPr>
      <w:pStyle w:val="Header"/>
    </w:pPr>
    <w:r>
      <w:rPr>
        <w:noProof/>
      </w:rPr>
      <w:pict w14:anchorId="212D9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111158"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DF515" w14:textId="3807A3A7" w:rsidR="00A769F9" w:rsidRDefault="00A769F9">
    <w:pPr>
      <w:pStyle w:val="Header"/>
    </w:pPr>
    <w:r>
      <w:rPr>
        <w:noProof/>
      </w:rPr>
      <w:pict w14:anchorId="1318C3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111156"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9746742">
    <w:abstractNumId w:val="8"/>
  </w:num>
  <w:num w:numId="2" w16cid:durableId="1725638567">
    <w:abstractNumId w:val="6"/>
  </w:num>
  <w:num w:numId="3" w16cid:durableId="433941257">
    <w:abstractNumId w:val="5"/>
  </w:num>
  <w:num w:numId="4" w16cid:durableId="1565262860">
    <w:abstractNumId w:val="4"/>
  </w:num>
  <w:num w:numId="5" w16cid:durableId="1304308503">
    <w:abstractNumId w:val="7"/>
  </w:num>
  <w:num w:numId="6" w16cid:durableId="226651736">
    <w:abstractNumId w:val="3"/>
  </w:num>
  <w:num w:numId="7" w16cid:durableId="29259604">
    <w:abstractNumId w:val="2"/>
  </w:num>
  <w:num w:numId="8" w16cid:durableId="1862551700">
    <w:abstractNumId w:val="1"/>
  </w:num>
  <w:num w:numId="9" w16cid:durableId="1761296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110A"/>
    <w:rsid w:val="0029639D"/>
    <w:rsid w:val="002F07C4"/>
    <w:rsid w:val="00326F90"/>
    <w:rsid w:val="00716FF8"/>
    <w:rsid w:val="00A769F9"/>
    <w:rsid w:val="00AA1D8D"/>
    <w:rsid w:val="00B266DA"/>
    <w:rsid w:val="00B47730"/>
    <w:rsid w:val="00BD7AAF"/>
    <w:rsid w:val="00CB0664"/>
    <w:rsid w:val="00CD5779"/>
    <w:rsid w:val="00F02D2C"/>
    <w:rsid w:val="00F339C6"/>
    <w:rsid w:val="00FA3D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FDAF67"/>
  <w14:defaultImageDpi w14:val="300"/>
  <w15:docId w15:val="{54AB03F3-CA9B-468D-85D5-82E8387B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98" w:lineRule="auto"/>
    </w:pPr>
    <w:rPr>
      <w:rFonts w:ascii="Times New Roman" w:hAnsi="Times New Roman"/>
      <w:color w:val="1F2428"/>
    </w:rPr>
  </w:style>
  <w:style w:type="paragraph" w:styleId="Heading1">
    <w:name w:val="heading 1"/>
    <w:basedOn w:val="Normal"/>
    <w:next w:val="Normal"/>
    <w:link w:val="Heading1Char"/>
    <w:uiPriority w:val="9"/>
    <w:qFormat/>
    <w:rsid w:val="00FC693F"/>
    <w:pPr>
      <w:keepNext/>
      <w:keepLines/>
      <w:spacing w:before="340" w:after="160" w:line="269" w:lineRule="auto"/>
      <w:outlineLvl w:val="0"/>
    </w:pPr>
    <w:rPr>
      <w:rFonts w:asciiTheme="majorHAnsi" w:eastAsiaTheme="majorEastAsia" w:hAnsiTheme="majorHAnsi" w:cstheme="majorBidi"/>
      <w:b/>
      <w:bCs/>
      <w:color w:val="182630"/>
      <w:sz w:val="25"/>
      <w:szCs w:val="28"/>
    </w:rPr>
  </w:style>
  <w:style w:type="paragraph" w:styleId="Heading2">
    <w:name w:val="heading 2"/>
    <w:basedOn w:val="Normal"/>
    <w:next w:val="Normal"/>
    <w:link w:val="Heading2Char"/>
    <w:uiPriority w:val="9"/>
    <w:unhideWhenUsed/>
    <w:qFormat/>
    <w:rsid w:val="00FC693F"/>
    <w:pPr>
      <w:keepNext/>
      <w:keepLines/>
      <w:spacing w:before="220" w:after="100" w:line="269" w:lineRule="auto"/>
      <w:outlineLvl w:val="1"/>
    </w:pPr>
    <w:rPr>
      <w:rFonts w:asciiTheme="majorHAnsi" w:eastAsiaTheme="majorEastAsia" w:hAnsiTheme="majorHAnsi" w:cstheme="majorBidi"/>
      <w:b/>
      <w:bCs/>
      <w:color w:val="1826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69" w:lineRule="auto"/>
      <w:contextualSpacing/>
      <w:jc w:val="center"/>
    </w:pPr>
    <w:rPr>
      <w:rFonts w:asciiTheme="majorHAnsi" w:eastAsiaTheme="majorEastAsia" w:hAnsiTheme="majorHAnsi" w:cstheme="majorBidi"/>
      <w:b/>
      <w:color w:val="18263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Body">
    <w:name w:val="Abstract Body"/>
    <w:pPr>
      <w:spacing w:after="120" w:line="271" w:lineRule="auto"/>
      <w:jc w:val="both"/>
    </w:pPr>
    <w:rPr>
      <w:rFonts w:ascii="Times New Roman" w:hAnsi="Times New Roman"/>
      <w:color w:val="1E2328"/>
      <w:sz w:val="21"/>
    </w:rPr>
  </w:style>
  <w:style w:type="paragraph" w:customStyle="1" w:styleId="KeywordsBody">
    <w:name w:val="Keywords Body"/>
    <w:pPr>
      <w:spacing w:after="120" w:line="271" w:lineRule="auto"/>
    </w:pPr>
    <w:rPr>
      <w:rFonts w:ascii="Times New Roman" w:hAnsi="Times New Roman"/>
      <w:color w:val="1E2328"/>
      <w:sz w:val="19"/>
    </w:rPr>
  </w:style>
  <w:style w:type="paragraph" w:customStyle="1" w:styleId="TableCaption">
    <w:name w:val="Table Caption"/>
    <w:pPr>
      <w:keepNext/>
      <w:spacing w:before="200" w:after="100" w:line="271" w:lineRule="auto"/>
    </w:pPr>
    <w:rPr>
      <w:rFonts w:ascii="Times New Roman" w:hAnsi="Times New Roman"/>
      <w:b/>
      <w:color w:val="1E2328"/>
      <w:sz w:val="19"/>
    </w:rPr>
  </w:style>
  <w:style w:type="paragraph" w:customStyle="1" w:styleId="TableNote">
    <w:name w:val="Table Note"/>
    <w:pPr>
      <w:spacing w:after="120" w:line="271" w:lineRule="auto"/>
    </w:pPr>
    <w:rPr>
      <w:rFonts w:ascii="Times New Roman" w:hAnsi="Times New Roman"/>
      <w:color w:val="1E2328"/>
      <w:sz w:val="16"/>
    </w:rPr>
  </w:style>
  <w:style w:type="paragraph" w:customStyle="1" w:styleId="ReferencesBody">
    <w:name w:val="References Body"/>
    <w:pPr>
      <w:spacing w:after="100" w:line="271" w:lineRule="auto"/>
      <w:ind w:left="504" w:hanging="504"/>
    </w:pPr>
    <w:rPr>
      <w:rFonts w:ascii="Times New Roman" w:hAnsi="Times New Roman"/>
      <w:color w:val="1E232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hyperlink" Target="https://doi.org/10.1080/09614524.2025.2552945" TargetMode="External"/><Relationship Id="rId17" Type="http://schemas.openxmlformats.org/officeDocument/2006/relationships/hyperlink" Target="https://doi.org/10.1016/j.tjnut.2025.04.027" TargetMode="External"/><Relationship Id="rId18" Type="http://schemas.openxmlformats.org/officeDocument/2006/relationships/hyperlink" Target="https://doi.org/10.1038/s43016-024-01096-6" TargetMode="External"/><Relationship Id="rId19" Type="http://schemas.openxmlformats.org/officeDocument/2006/relationships/hyperlink" Target="https://doi.org/10.1016/j.onehlt.2024.100943" TargetMode="External"/><Relationship Id="rId20" Type="http://schemas.openxmlformats.org/officeDocument/2006/relationships/hyperlink" Target="https://doi.org/10.3923/ijps.2007.413.416" TargetMode="External"/><Relationship Id="rId21" Type="http://schemas.openxmlformats.org/officeDocument/2006/relationships/hyperlink" Target="https://doi.org/10.51791/njap.v46i4.261" TargetMode="External"/><Relationship Id="rId22" Type="http://schemas.openxmlformats.org/officeDocument/2006/relationships/hyperlink" Target="https://doi.org/10.12719/KSIA.2016.28.4.459" TargetMode="External"/><Relationship Id="rId23" Type="http://schemas.openxmlformats.org/officeDocument/2006/relationships/hyperlink" Target="https://doi.org/10.1007/s11250-007-9002-8" TargetMode="External"/><Relationship Id="rId24" Type="http://schemas.openxmlformats.org/officeDocument/2006/relationships/hyperlink" Target="https://doi.org/10.1016/j.foodpol.2021.102212" TargetMode="External"/><Relationship Id="rId25" Type="http://schemas.openxmlformats.org/officeDocument/2006/relationships/hyperlink" Target="https://doi.org/10.1111/mcn.12668" TargetMode="External"/><Relationship Id="rId26" Type="http://schemas.openxmlformats.org/officeDocument/2006/relationships/hyperlink" Target="https://doi.org/10.1016/j.onehlt.2023.100574" TargetMode="External"/><Relationship Id="rId27" Type="http://schemas.openxmlformats.org/officeDocument/2006/relationships/hyperlink" Target="https://doi.org/10.1016/j.exis.2020.07.011" TargetMode="External"/><Relationship Id="rId28" Type="http://schemas.openxmlformats.org/officeDocument/2006/relationships/hyperlink" Target="https://doi.org/10.1186/s41073-019-0064-8" TargetMode="External"/><Relationship Id="rId29" Type="http://schemas.openxmlformats.org/officeDocument/2006/relationships/hyperlink" Target="https://doi.org/10.1186/s42522-020-00012-9" TargetMode="External"/><Relationship Id="rId30" Type="http://schemas.openxmlformats.org/officeDocument/2006/relationships/hyperlink" Target="https://doi.org/10.3390/su13158539" TargetMode="External"/><Relationship Id="rId31" Type="http://schemas.openxmlformats.org/officeDocument/2006/relationships/hyperlink" Target="https://doi.org/10.14202/vetworld.2019.112-118" TargetMode="External"/><Relationship Id="rId32" Type="http://schemas.openxmlformats.org/officeDocument/2006/relationships/hyperlink" Target="https://doi.org/10.1371/journal.pone.0317898" TargetMode="External"/><Relationship Id="rId33" Type="http://schemas.openxmlformats.org/officeDocument/2006/relationships/hyperlink" Target="https://doi.org/10.1177/0379572117737428" TargetMode="External"/><Relationship Id="rId34" Type="http://schemas.openxmlformats.org/officeDocument/2006/relationships/hyperlink" Target="https://doi.org/10.4314/jae.v28i3.10" TargetMode="External"/><Relationship Id="rId35" Type="http://schemas.openxmlformats.org/officeDocument/2006/relationships/hyperlink" Target="https://doi.org/10.1021/acs.est.7b01710" TargetMode="External"/><Relationship Id="rId36" Type="http://schemas.openxmlformats.org/officeDocument/2006/relationships/hyperlink" Target="https://www.fao.org/docrep/013/al936e/al936e00.pdf" TargetMode="External"/><Relationship Id="rId37" Type="http://schemas.openxmlformats.org/officeDocument/2006/relationships/hyperlink" Target="https://doi.org/10.1080/09614520052565" TargetMode="External"/><Relationship Id="rId38" Type="http://schemas.openxmlformats.org/officeDocument/2006/relationships/hyperlink" Target="https://doi.org/10.1016/j.ajcnut.2026.101475" TargetMode="External"/><Relationship Id="rId39" Type="http://schemas.openxmlformats.org/officeDocument/2006/relationships/hyperlink" Target="https://doi.org/10.1371/journal.pone.0160590" TargetMode="External"/><Relationship Id="rId40" Type="http://schemas.openxmlformats.org/officeDocument/2006/relationships/hyperlink" Target="https://doi.org/10.1542/peds.2016-3459" TargetMode="External"/><Relationship Id="rId41" Type="http://schemas.openxmlformats.org/officeDocument/2006/relationships/hyperlink" Target="https://doi.org/10.1186/s40066-022-00379-0" TargetMode="External"/><Relationship Id="rId42" Type="http://schemas.openxmlformats.org/officeDocument/2006/relationships/hyperlink" Target="https://doi.org/10.5513/jcea.v7i1.353" TargetMode="External"/><Relationship Id="rId43" Type="http://schemas.openxmlformats.org/officeDocument/2006/relationships/hyperlink" Target="https://doi.org/10.1080/03079459108418811" TargetMode="External"/><Relationship Id="rId44" Type="http://schemas.openxmlformats.org/officeDocument/2006/relationships/hyperlink" Target="https://doi.org/10.7717/peerj.16518" TargetMode="External"/><Relationship Id="rId45" Type="http://schemas.openxmlformats.org/officeDocument/2006/relationships/hyperlink" Target="https://doi.org/10.1177/156482651003100306" TargetMode="External"/><Relationship Id="rId46" Type="http://schemas.openxmlformats.org/officeDocument/2006/relationships/hyperlink" Target="https://doi.org/10.5897/JAERD.9000014" TargetMode="External"/><Relationship Id="rId47" Type="http://schemas.openxmlformats.org/officeDocument/2006/relationships/hyperlink" Target="https://doi.org/10.1111/mcn.13505" TargetMode="External"/><Relationship Id="rId48" Type="http://schemas.openxmlformats.org/officeDocument/2006/relationships/hyperlink" Target="https://doi.org/10.4314/jafs.v23i2.13" TargetMode="External"/><Relationship Id="rId49" Type="http://schemas.openxmlformats.org/officeDocument/2006/relationships/hyperlink" Target="https://www.ajol.info/index.php/naj/article/view/232577" TargetMode="External"/><Relationship Id="rId50" Type="http://schemas.openxmlformats.org/officeDocument/2006/relationships/hyperlink" Target="https://doi.org/10.1007/s44279-026-00565-9" TargetMode="External"/><Relationship Id="rId51" Type="http://schemas.openxmlformats.org/officeDocument/2006/relationships/hyperlink" Target="https://doi.org/10.3390/ijerph192215305" TargetMode="External"/><Relationship Id="rId52" Type="http://schemas.openxmlformats.org/officeDocument/2006/relationships/hyperlink" Target="https://doi.org/10.1016/j.jafr.2022.100354" TargetMode="External"/><Relationship Id="rId53" Type="http://schemas.openxmlformats.org/officeDocument/2006/relationships/hyperlink" Target="https://doi.org/10.3390/ijerph20075406" TargetMode="External"/><Relationship Id="rId54" Type="http://schemas.openxmlformats.org/officeDocument/2006/relationships/hyperlink" Target="https://doi.org/10.1080/09640568.2022.2107495" TargetMode="External"/><Relationship Id="rId55" Type="http://schemas.openxmlformats.org/officeDocument/2006/relationships/hyperlink" Target="https://doi.org/10.3923/ijps.2009.480.484" TargetMode="External"/><Relationship Id="rId56" Type="http://schemas.openxmlformats.org/officeDocument/2006/relationships/hyperlink" Target="https://doi.org/10.1093/jn/nxaa1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17022</Words>
  <Characters>97032</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Backyard Poultry Farming and Household Food Security in Rural Delta State, Nigeria: A Critical Narrative Review of Mechanisms, Evidence and Policy Trade-offs</dc:title>
  <dc:subject>Critical narrative review of backyard poultry and food security in rural Delta State</dc:subject>
  <dc:creator/>
  <cp:keywords>Village chickens; food and nutrition security; rural livelihoods; egg consumption; women’s agency; Newcastle disease; One Health; Niger Delta</cp:keywords>
  <dc:description>generated by python-docx</dc:description>
  <cp:lastModifiedBy>SDI 1166</cp:lastModifiedBy>
  <cp:revision>4</cp:revision>
  <dcterms:created xsi:type="dcterms:W3CDTF">2013-12-23T23:15:00Z</dcterms:created>
  <dcterms:modified xsi:type="dcterms:W3CDTF">2026-10-23T13:15:00Z</dcterms:modified>
  <cp:category/>
</cp:coreProperties>
</file>