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23F82" w14:textId="77777777" w:rsidR="002E4036" w:rsidRDefault="00000000">
      <w:pPr>
        <w:pStyle w:val="Title"/>
      </w:pPr>
      <w:r>
        <w:t>A Comparative Analysis of Continuous-Time Markov Chain, Logistic Regression and F-Distribution-Based Inference in Modelling Share Price Movement Dynamics of Fidelity Bank Plc</w:t>
      </w:r>
    </w:p>
    <w:p w14:paraId="2F280EEB" w14:textId="77777777" w:rsidR="002E4036" w:rsidRDefault="00000000">
      <w:pPr>
        <w:pStyle w:val="AbstractHeading"/>
      </w:pPr>
      <w:r>
        <w:t>Abstract</w:t>
      </w:r>
    </w:p>
    <w:p w14:paraId="2ED127A9" w14:textId="77777777" w:rsidR="002E4036" w:rsidRDefault="00000000">
      <w:pPr>
        <w:pStyle w:val="Abstract"/>
      </w:pPr>
      <w:r>
        <w:t xml:space="preserve">This study examines the dynamics of the share price of Fidelity Bank Plc through three complementary statistical tools: a continuous-time Markov chain (CTMC), logistic regression and inference based on Snedecor’s F-distribution. The analysis uses the matrix of transition counts among three price-movement states (decrease, increase and no change) reported for closing prices from 1 April 2016 to 23 March 2022, comprising 1,481 transitions. The transition probability matrix is estimated by maximum likelihood, with exact Clopper–Pearson limits computed from F quantiles, and a valid CTMC generator is obtained as the matrix logarithm of the estimated matrix. </w:t>
      </w:r>
      <w:r>
        <w:rPr>
          <w:highlight w:val="yellow"/>
        </w:rPr>
        <w:t>Decreases and unchanged prices were persistent (the probabilities of remaining in the same state were 0.675 and 0.637, respectively)</w:t>
      </w:r>
      <w:r>
        <w:t xml:space="preserve">, whereas increases were less persistent (0.460). The stationary distribution was 0.415, 0.178 and 0.407 for decrease, increase and no change; the mean sojourn times were 3.08, 1.85 and 2.75 observations. A chi-square test rejected independence of consecutive states (χ²(4) = 450.97, p &lt; 0.001; Cramér’s V = 0.390). Logistic regression showed that the odds of a price change were 5.28 times higher (95% CI 4.21–6.61) after a price change than after an unchanged price, and that </w:t>
      </w:r>
      <w:r>
        <w:rPr>
          <w:highlight w:val="yellow"/>
        </w:rPr>
        <w:t>the direction of a move tended to repeat that of the preceding move</w:t>
      </w:r>
      <w:r>
        <w:t>. The results describe persistence in price-movement activity and direction; they do not measure the magnitude of volatility, which requires dated return series.</w:t>
      </w:r>
    </w:p>
    <w:p w14:paraId="28EB5384" w14:textId="77777777" w:rsidR="002E4036" w:rsidRDefault="00000000">
      <w:pPr>
        <w:pStyle w:val="Keywords"/>
      </w:pPr>
      <w:r>
        <w:rPr>
          <w:b/>
          <w:bCs/>
        </w:rPr>
        <w:t>Keywords:</w:t>
      </w:r>
      <w:r>
        <w:t xml:space="preserve"> continuous-time Markov chain; logistic regression; F-distribution; exact confidence intervals; share price movement; Fidelity Bank Plc; Nigerian Exchange</w:t>
      </w:r>
    </w:p>
    <w:p w14:paraId="66EFAF9D" w14:textId="77777777" w:rsidR="002E4036" w:rsidRDefault="00000000">
      <w:pPr>
        <w:pStyle w:val="Heading1"/>
      </w:pPr>
      <w:bookmarkStart w:id="0" w:name="introduction"/>
      <w:r>
        <w:t>1. Introduction</w:t>
      </w:r>
    </w:p>
    <w:p w14:paraId="143110E0" w14:textId="77777777" w:rsidR="002E4036" w:rsidRDefault="00000000">
      <w:pPr>
        <w:pStyle w:val="FirstParagraph"/>
      </w:pPr>
      <w:r>
        <w:t xml:space="preserve">Share price dynamics are central to investment decisions, portfolio construction and risk management. In emerging markets such as Nigeria, bank equities are exposed to macroeconomic and market-wide shocks, and the persistence of price movements over successive trading days is of interest to investors and analysts alike. A large body of work in econometrics models the time-varying conditional variance of returns through autoregressive conditional heteroscedasticity (ARCH; Engle, 1982) and </w:t>
      </w:r>
      <w:proofErr w:type="spellStart"/>
      <w:r>
        <w:t>generalised</w:t>
      </w:r>
      <w:proofErr w:type="spellEnd"/>
      <w:r>
        <w:t xml:space="preserve"> ARCH (GARCH; Bollerslev, 1986) specifications. Applications to Nigerian data include GARCH-type and score-driven models of the All-Share Index, among which the Beta-t-EGARCH specification predicted volatility better than IGARCH-t (Yaya et al., 2016). A second strand treats financial series as switching between latent regimes governed by a Markov chain (Hamilton, 1989); regime-switching models capture abrupt changes in market </w:t>
      </w:r>
      <w:proofErr w:type="spellStart"/>
      <w:r>
        <w:t>behaviour</w:t>
      </w:r>
      <w:proofErr w:type="spellEnd"/>
      <w:r>
        <w:t xml:space="preserve"> and the tendency of a new regime to persist for several periods (Ang &amp; Timmermann, 2012). For Nigeria, a three-regime Markov-switching autoregressive model of the All-Share Index provided evidence of regime-switching </w:t>
      </w:r>
      <w:proofErr w:type="spellStart"/>
      <w:r>
        <w:t>behaviour</w:t>
      </w:r>
      <w:proofErr w:type="spellEnd"/>
      <w:r>
        <w:t xml:space="preserve"> (Adejumo et al., 2020).</w:t>
      </w:r>
    </w:p>
    <w:p w14:paraId="39611800" w14:textId="26D948F1" w:rsidR="002E4036" w:rsidRDefault="00000000">
      <w:pPr>
        <w:pStyle w:val="BodyText"/>
      </w:pPr>
      <w:r>
        <w:t xml:space="preserve">A third strand applies finite-state Markov chains directly to observed price-movement states. Mettle et al. (2014) developed a methodology for share prices of the Ghana Stock Exchange based on transition probability matrices, limiting distributions and expected return times. Raheem and </w:t>
      </w:r>
      <w:proofErr w:type="spellStart"/>
      <w:r>
        <w:t>Ezepue</w:t>
      </w:r>
      <w:proofErr w:type="spellEnd"/>
      <w:r>
        <w:t xml:space="preserve"> (2016) fitted a three-state Markov model to the daily returns of a Nigerian bank and estimated the expected durations of rising, falling and stable states. Ayo and </w:t>
      </w:r>
      <w:proofErr w:type="spellStart"/>
      <w:r>
        <w:t>Uwabor</w:t>
      </w:r>
      <w:proofErr w:type="spellEnd"/>
      <w:r>
        <w:t xml:space="preserve"> (2021) applied Markov modelling to seven oil and gas firms listed on the Nigerian Stock Exchange, and Manasseh et al. (2022) studied Markov dependence and steady-state </w:t>
      </w:r>
      <w:proofErr w:type="spellStart"/>
      <w:r>
        <w:t>behaviour</w:t>
      </w:r>
      <w:proofErr w:type="spellEnd"/>
      <w:r>
        <w:t xml:space="preserve"> of the Nigerian share price index over 1985–2019. </w:t>
      </w:r>
      <w:r>
        <w:lastRenderedPageBreak/>
        <w:t xml:space="preserve">For the two banks considered in the present article, Osu et al. (2024) proposed a first-order, time-homogeneous Markov chain for closing prices from 1 April 2016 to 23 March 2022, defining three states (increase, decrease and steady) and reporting transition matrices and equilibrium </w:t>
      </w:r>
      <w:proofErr w:type="spellStart"/>
      <w:r>
        <w:t>behaviour</w:t>
      </w:r>
      <w:proofErr w:type="spellEnd"/>
      <w:r>
        <w:t>. Related applications combining Markov chains with principal component analysis were reported for Access Bank (</w:t>
      </w:r>
      <w:r w:rsidR="0032688A" w:rsidRPr="0032688A">
        <w:t>Chigozie</w:t>
      </w:r>
      <w:r>
        <w:t xml:space="preserve"> et al., 2023), </w:t>
      </w:r>
      <w:r>
        <w:rPr>
          <w:highlight w:val="yellow"/>
        </w:rPr>
        <w:t>for Access Bank and Fidelity Bank</w:t>
      </w:r>
      <w:r>
        <w:t xml:space="preserve"> (Bishop et al., 2024) and for Fidelity Bank (Amadi et al., 2024). </w:t>
      </w:r>
      <w:proofErr w:type="spellStart"/>
      <w:r>
        <w:t>Agwuegbo</w:t>
      </w:r>
      <w:proofErr w:type="spellEnd"/>
      <w:r>
        <w:t xml:space="preserve"> et al. (2010) examined the daily </w:t>
      </w:r>
      <w:proofErr w:type="spellStart"/>
      <w:r>
        <w:t>behaviour</w:t>
      </w:r>
      <w:proofErr w:type="spellEnd"/>
      <w:r>
        <w:t xml:space="preserve"> of Nigerian stock market prices within a random-walk framework, which provides a natural benchmark of independence against which Markov dependence can be assessed.</w:t>
      </w:r>
    </w:p>
    <w:p w14:paraId="5CE27B6F" w14:textId="77777777" w:rsidR="002E4036" w:rsidRDefault="00000000">
      <w:pPr>
        <w:pStyle w:val="BodyText"/>
      </w:pPr>
      <w:r>
        <w:t>The Markov-chain studies cited above mainly report point estimates of transition matrices. Four aspects receive less attention: (a) the sampling uncertainty of the transition probabilities, (b) a formal test of whether consecutive states are dependent, (c) a continuous-time representation with holding-time and long-run characteristics, and (d) a regression framework that relates the state of the previous observation to the odds of the next movement. The present article addresses these aspects for Fidelity Bank Plc. Its objectives are (</w:t>
      </w:r>
      <w:proofErr w:type="spellStart"/>
      <w:r>
        <w:t>i</w:t>
      </w:r>
      <w:proofErr w:type="spellEnd"/>
      <w:r>
        <w:t xml:space="preserve">) to estimate the transition probability matrix of the three price-movement states with exact confidence limits derived from the F-distribution; (ii) to construct a CTMC representation and derive its stationary distribution, sojourn times and multi-step transition probabilities; (iii) </w:t>
      </w:r>
      <w:r>
        <w:rPr>
          <w:highlight w:val="yellow"/>
        </w:rPr>
        <w:t>to test the null hypothesis that consecutive states are independent against the alternative of first-order Markov dependence</w:t>
      </w:r>
      <w:r>
        <w:t xml:space="preserve">; and (iv) to use logistic regression to quantify the persistence of price-movement activity and direction. The three tools are complementary: the CTMC </w:t>
      </w:r>
      <w:proofErr w:type="spellStart"/>
      <w:r>
        <w:t>summarises</w:t>
      </w:r>
      <w:proofErr w:type="spellEnd"/>
      <w:r>
        <w:t xml:space="preserve"> the dynamics, the F-based intervals quantify precision, and logistic regression expresses persistence as odds ratios that can be compared across conditions.</w:t>
      </w:r>
    </w:p>
    <w:p w14:paraId="77A63D71" w14:textId="77777777" w:rsidR="002E4036" w:rsidRDefault="00000000">
      <w:pPr>
        <w:pStyle w:val="BodyText"/>
      </w:pPr>
      <w:r>
        <w:t>The scope of the analysis is deliberately delimited. The states describe whether the closing price decreased, increased or was unchanged; they do not describe the size of the movement. Consequently, the results concern the persistence of price-movement activity and direction and should not be read as estimates of return volatility in the conditional-variance sense.</w:t>
      </w:r>
    </w:p>
    <w:p w14:paraId="3F901C60" w14:textId="77777777" w:rsidR="002E4036" w:rsidRDefault="00000000">
      <w:pPr>
        <w:pStyle w:val="Heading1"/>
      </w:pPr>
      <w:bookmarkStart w:id="1" w:name="data-and-methods"/>
      <w:bookmarkEnd w:id="0"/>
      <w:r>
        <w:t>2. Data and Methods</w:t>
      </w:r>
    </w:p>
    <w:p w14:paraId="169D6053" w14:textId="77777777" w:rsidR="002E4036" w:rsidRDefault="00000000">
      <w:pPr>
        <w:pStyle w:val="Heading2"/>
      </w:pPr>
      <w:bookmarkStart w:id="2" w:name="data"/>
      <w:r>
        <w:t>2.1 Data</w:t>
      </w:r>
    </w:p>
    <w:p w14:paraId="2E8514A3" w14:textId="77777777" w:rsidR="002E4036" w:rsidRDefault="00000000">
      <w:pPr>
        <w:pStyle w:val="FirstParagraph"/>
      </w:pPr>
      <w:r>
        <w:t xml:space="preserve">The data are the counts of transitions between three states of the closing share price of Fidelity Bank Plc: decrease (R), increase (I) and no change (N). The counts were reported by Amadi et al. (2024) for daily closing prices from the Nigerian Stock Exchange </w:t>
      </w:r>
      <w:r>
        <w:rPr>
          <w:highlight w:val="yellow"/>
        </w:rPr>
        <w:t>and are derived from the closing-price series</w:t>
      </w:r>
      <w:r>
        <w:t xml:space="preserve"> of Osu et al. (2024), which spans 1 April 2016 to 23 March 2022. Let </w:t>
      </w:r>
      <m:oMath>
        <m:sSub>
          <m:sSubPr>
            <m:ctrlPr>
              <w:rPr>
                <w:rFonts w:ascii="Cambria Math" w:hAnsi="Cambria Math"/>
              </w:rPr>
            </m:ctrlPr>
          </m:sSubPr>
          <m:e>
            <m:r>
              <w:rPr>
                <w:rFonts w:ascii="Cambria Math" w:hAnsi="Cambria Math"/>
              </w:rPr>
              <m:t>n</m:t>
            </m:r>
          </m:e>
          <m:sub>
            <m:r>
              <w:rPr>
                <w:rFonts w:ascii="Cambria Math" w:hAnsi="Cambria Math"/>
              </w:rPr>
              <m:t>ij</m:t>
            </m:r>
          </m:sub>
        </m:sSub>
      </m:oMath>
      <w:r>
        <w:t xml:space="preserve"> denote the number of times the state at one observation was </w:t>
      </w:r>
      <m:oMath>
        <m:r>
          <w:rPr>
            <w:rFonts w:ascii="Cambria Math" w:hAnsi="Cambria Math"/>
          </w:rPr>
          <m:t>i</m:t>
        </m:r>
      </m:oMath>
      <w:r>
        <w:t xml:space="preserve"> and the state at the next observation was </w:t>
      </w:r>
      <m:oMath>
        <m:r>
          <w:rPr>
            <w:rFonts w:ascii="Cambria Math" w:hAnsi="Cambria Math"/>
          </w:rPr>
          <m:t>j</m:t>
        </m:r>
      </m:oMath>
      <w:r>
        <w:t xml:space="preserve">, for </w:t>
      </w:r>
      <m:oMath>
        <m:r>
          <w:rPr>
            <w:rFonts w:ascii="Cambria Math" w:hAnsi="Cambria Math"/>
          </w:rPr>
          <m:t>i</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N</m:t>
        </m:r>
        <m:r>
          <m:rPr>
            <m:sty m:val="p"/>
          </m:rPr>
          <w:rPr>
            <w:rFonts w:ascii="Cambria Math" w:hAnsi="Cambria Math"/>
          </w:rPr>
          <m:t>}</m:t>
        </m:r>
      </m:oMath>
      <w:r>
        <w:t>. The counts are displayed in Table 1.</w:t>
      </w:r>
    </w:p>
    <w:p w14:paraId="42758BCE" w14:textId="5DFDFB40" w:rsidR="002E4036" w:rsidRDefault="00000000">
      <w:pPr>
        <w:pStyle w:val="BodyText"/>
      </w:pPr>
      <w:r>
        <w:t xml:space="preserve">Two consistency checks support the use of these counts. First, the row totals and column totals coincide (615, 263 and 603), as expected for the transition counts of a single observed chain, whose row and column totals can differ by at most one. Second, the first row of the combined Access–Fidelity matrix reported by Osu et al. (2024), 825, 142 and 264, equals the sum of the first rows of the Access Bank matrix (410, 80 and 126; </w:t>
      </w:r>
      <w:r w:rsidR="0032688A" w:rsidRPr="0032688A">
        <w:t>Chigozie</w:t>
      </w:r>
      <w:r w:rsidR="0032688A" w:rsidRPr="0032688A">
        <w:t xml:space="preserve"> </w:t>
      </w:r>
      <w:r>
        <w:t xml:space="preserve">et al., 2023) and of the Fidelity Bank matrix used here (415, 62 and 138). The individual price series and their calendar dates are not part of the reported </w:t>
      </w:r>
      <w:r>
        <w:rPr>
          <w:highlight w:val="yellow"/>
        </w:rPr>
        <w:t>data; consequently, the analysis</w:t>
      </w:r>
      <w:r>
        <w:t xml:space="preserve"> is confined to the transition structure of the three states.</w:t>
      </w:r>
    </w:p>
    <w:p w14:paraId="32812877" w14:textId="77777777" w:rsidR="002E4036" w:rsidRDefault="00000000">
      <w:pPr>
        <w:pStyle w:val="Heading2"/>
      </w:pPr>
      <w:bookmarkStart w:id="3" w:name="Xf233586f9a727fd90ceabb9f84876e0239ca2e5"/>
      <w:bookmarkEnd w:id="2"/>
      <w:r>
        <w:t>2.2 Discrete-time and continuous-time Markov chain</w:t>
      </w:r>
    </w:p>
    <w:p w14:paraId="1FFA33C6" w14:textId="77777777" w:rsidR="002E4036" w:rsidRDefault="00000000">
      <w:pPr>
        <w:pStyle w:val="FirstParagraph"/>
      </w:pPr>
      <w:r>
        <w:t xml:space="preserve">Let </w:t>
      </w:r>
      <m:oMath>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n</m:t>
            </m:r>
          </m:sub>
        </m:sSub>
        <m:r>
          <m:rPr>
            <m:sty m:val="p"/>
          </m:rPr>
          <w:rPr>
            <w:rFonts w:ascii="Cambria Math" w:hAnsi="Cambria Math"/>
          </w:rPr>
          <m:t>}</m:t>
        </m:r>
      </m:oMath>
      <w:r>
        <w:t xml:space="preserve"> be a stochastic process on the state space </w:t>
      </w:r>
      <m:oMath>
        <m:r>
          <w:rPr>
            <w:rFonts w:ascii="Cambria Math" w:hAnsi="Cambria Math"/>
          </w:rPr>
          <m:t>S</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N</m:t>
        </m:r>
        <m:r>
          <m:rPr>
            <m:sty m:val="p"/>
          </m:rPr>
          <w:rPr>
            <w:rFonts w:ascii="Cambria Math" w:hAnsi="Cambria Math"/>
          </w:rPr>
          <m:t>}</m:t>
        </m:r>
      </m:oMath>
      <w:r>
        <w:t>. It is a time-homogeneous first-order Markov chain if</w:t>
      </w:r>
    </w:p>
    <w:p w14:paraId="5CA104E6" w14:textId="77777777" w:rsidR="002E4036" w:rsidRDefault="00000000">
      <w:pPr>
        <w:pStyle w:val="BodyText"/>
      </w:pPr>
      <m:oMathPara>
        <m:oMathParaPr>
          <m:jc m:val="center"/>
        </m:oMathParaPr>
        <m:oMath>
          <m:r>
            <w:rPr>
              <w:rFonts w:ascii="Cambria Math" w:hAnsi="Cambria Math"/>
            </w:rPr>
            <w:lastRenderedPageBreak/>
            <m:t>P</m:t>
          </m:r>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n</m:t>
                  </m:r>
                  <m:r>
                    <m:rPr>
                      <m:sty m:val="p"/>
                    </m:rPr>
                    <w:rPr>
                      <w:rFonts w:ascii="Cambria Math" w:hAnsi="Cambria Math"/>
                    </w:rPr>
                    <m:t>+</m:t>
                  </m:r>
                  <m:r>
                    <w:rPr>
                      <w:rFonts w:ascii="Cambria Math" w:hAnsi="Cambria Math"/>
                    </w:rPr>
                    <m:t>1</m:t>
                  </m:r>
                </m:sub>
              </m:sSub>
              <m:r>
                <m:rPr>
                  <m:sty m:val="p"/>
                </m:rPr>
                <w:rPr>
                  <w:rFonts w:ascii="Cambria Math" w:hAnsi="Cambria Math"/>
                </w:rPr>
                <m:t>=</m:t>
              </m:r>
              <m:r>
                <w:rPr>
                  <w:rFonts w:ascii="Cambria Math" w:hAnsi="Cambria Math"/>
                </w:rPr>
                <m:t>j</m:t>
              </m:r>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n</m:t>
                  </m:r>
                </m:sub>
              </m:sSub>
              <m:r>
                <m:rPr>
                  <m:sty m:val="p"/>
                </m:rPr>
                <w:rPr>
                  <w:rFonts w:ascii="Cambria Math" w:hAnsi="Cambria Math"/>
                </w:rPr>
                <m:t>=</m:t>
              </m:r>
              <m:r>
                <w:rPr>
                  <w:rFonts w:ascii="Cambria Math" w:hAnsi="Cambria Math"/>
                </w:rPr>
                <m:t>i</m:t>
              </m:r>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n</m:t>
                  </m:r>
                  <m:r>
                    <m:rPr>
                      <m:sty m:val="p"/>
                    </m:rPr>
                    <w:rPr>
                      <w:rFonts w:ascii="Cambria Math" w:hAnsi="Cambria Math"/>
                    </w:rPr>
                    <m:t>-</m:t>
                  </m:r>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0</m:t>
                  </m:r>
                </m:sub>
              </m:sSub>
            </m:e>
          </m:d>
          <m:r>
            <m:rPr>
              <m:sty m:val="p"/>
            </m:rPr>
            <w:rPr>
              <w:rFonts w:ascii="Cambria Math" w:hAnsi="Cambria Math"/>
            </w:rPr>
            <m:t>=</m:t>
          </m:r>
          <m:r>
            <w:rPr>
              <w:rFonts w:ascii="Cambria Math" w:hAnsi="Cambria Math"/>
            </w:rPr>
            <m:t>P</m:t>
          </m:r>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n</m:t>
                  </m:r>
                  <m:r>
                    <m:rPr>
                      <m:sty m:val="p"/>
                    </m:rPr>
                    <w:rPr>
                      <w:rFonts w:ascii="Cambria Math" w:hAnsi="Cambria Math"/>
                    </w:rPr>
                    <m:t>+</m:t>
                  </m:r>
                  <m:r>
                    <w:rPr>
                      <w:rFonts w:ascii="Cambria Math" w:hAnsi="Cambria Math"/>
                    </w:rPr>
                    <m:t>1</m:t>
                  </m:r>
                </m:sub>
              </m:sSub>
              <m:r>
                <m:rPr>
                  <m:sty m:val="p"/>
                </m:rPr>
                <w:rPr>
                  <w:rFonts w:ascii="Cambria Math" w:hAnsi="Cambria Math"/>
                </w:rPr>
                <m:t>=</m:t>
              </m:r>
              <m:r>
                <w:rPr>
                  <w:rFonts w:ascii="Cambria Math" w:hAnsi="Cambria Math"/>
                </w:rPr>
                <m:t>j</m:t>
              </m:r>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n</m:t>
                  </m:r>
                </m:sub>
              </m:sSub>
              <m:r>
                <m:rPr>
                  <m:sty m:val="p"/>
                </m:rPr>
                <w:rPr>
                  <w:rFonts w:ascii="Cambria Math" w:hAnsi="Cambria Math"/>
                </w:rPr>
                <m:t>=</m:t>
              </m:r>
              <m:r>
                <w:rPr>
                  <w:rFonts w:ascii="Cambria Math" w:hAnsi="Cambria Math"/>
                </w:rPr>
                <m:t>i</m:t>
              </m:r>
            </m:e>
          </m:d>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ij</m:t>
              </m:r>
            </m:sub>
          </m:sSub>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1</m:t>
              </m:r>
            </m:e>
          </m:d>
        </m:oMath>
      </m:oMathPara>
    </w:p>
    <w:p w14:paraId="2845E0D2" w14:textId="77777777" w:rsidR="002E4036" w:rsidRDefault="00000000">
      <w:pPr>
        <w:pStyle w:val="FirstParagraph"/>
      </w:pPr>
      <w:r>
        <w:t xml:space="preserve">for all </w:t>
      </w:r>
      <m:oMath>
        <m:r>
          <w:rPr>
            <w:rFonts w:ascii="Cambria Math" w:hAnsi="Cambria Math"/>
          </w:rPr>
          <m:t>n</m:t>
        </m:r>
        <m:r>
          <m:rPr>
            <m:sty m:val="p"/>
          </m:rPr>
          <w:rPr>
            <w:rFonts w:ascii="Cambria Math" w:hAnsi="Cambria Math"/>
          </w:rPr>
          <m:t>≥</m:t>
        </m:r>
        <m:r>
          <w:rPr>
            <w:rFonts w:ascii="Cambria Math" w:hAnsi="Cambria Math"/>
          </w:rPr>
          <m:t>0</m:t>
        </m:r>
      </m:oMath>
      <w:r>
        <w:t xml:space="preserve"> and </w:t>
      </w:r>
      <m:oMath>
        <m:r>
          <w:rPr>
            <w:rFonts w:ascii="Cambria Math" w:hAnsi="Cambria Math"/>
          </w:rPr>
          <m:t>i</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S</m:t>
        </m:r>
      </m:oMath>
      <w:r>
        <w:t xml:space="preserve"> (Norris, 1997). Conditional on the initial state, the likelihood factorises into independent multinomial contributions from the rows of the count matrix, and the maximum-likelihood estimator of the transition probabilities is</w:t>
      </w:r>
    </w:p>
    <w:p w14:paraId="1BCE9608" w14:textId="77777777" w:rsidR="002E4036" w:rsidRDefault="00000000">
      <w:pPr>
        <w:pStyle w:val="BodyText"/>
      </w:pPr>
      <m:oMathPara>
        <m:oMathParaPr>
          <m:jc m:val="center"/>
        </m:oMathParaPr>
        <m:oMath>
          <m:sSub>
            <m:sSubPr>
              <m:ctrlPr>
                <w:rPr>
                  <w:rFonts w:ascii="Cambria Math" w:hAnsi="Cambria Math"/>
                </w:rPr>
              </m:ctrlPr>
            </m:sSubPr>
            <m:e>
              <m:acc>
                <m:accPr>
                  <m:ctrlPr>
                    <w:rPr>
                      <w:rFonts w:ascii="Cambria Math" w:hAnsi="Cambria Math"/>
                    </w:rPr>
                  </m:ctrlPr>
                </m:accPr>
                <m:e>
                  <m:r>
                    <w:rPr>
                      <w:rFonts w:ascii="Cambria Math" w:hAnsi="Cambria Math"/>
                    </w:rPr>
                    <m:t>p</m:t>
                  </m:r>
                </m:e>
              </m:acc>
            </m:e>
            <m:sub>
              <m:r>
                <w:rPr>
                  <w:rFonts w:ascii="Cambria Math" w:hAnsi="Cambria Math"/>
                </w:rPr>
                <m:t>ij</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n</m:t>
                  </m:r>
                </m:e>
                <m:sub>
                  <m:r>
                    <w:rPr>
                      <w:rFonts w:ascii="Cambria Math" w:hAnsi="Cambria Math"/>
                    </w:rPr>
                    <m:t>ij</m:t>
                  </m:r>
                </m:sub>
              </m:sSub>
            </m:num>
            <m:den>
              <m:sSub>
                <m:sSubPr>
                  <m:ctrlPr>
                    <w:rPr>
                      <w:rFonts w:ascii="Cambria Math" w:hAnsi="Cambria Math"/>
                    </w:rPr>
                  </m:ctrlPr>
                </m:sSubPr>
                <m:e>
                  <m:r>
                    <w:rPr>
                      <w:rFonts w:ascii="Cambria Math" w:hAnsi="Cambria Math"/>
                    </w:rPr>
                    <m:t>n</m:t>
                  </m:r>
                </m:e>
                <m:sub>
                  <m:r>
                    <w:rPr>
                      <w:rFonts w:ascii="Cambria Math" w:hAnsi="Cambria Math"/>
                    </w:rPr>
                    <m:t>i</m:t>
                  </m:r>
                  <m:r>
                    <m:rPr>
                      <m:sty m:val="p"/>
                    </m:rPr>
                    <w:rPr>
                      <w:rFonts w:ascii="Cambria Math" w:hAnsi="Cambria Math"/>
                    </w:rPr>
                    <m:t>⋅</m:t>
                  </m:r>
                </m:sub>
              </m:sSub>
            </m:den>
          </m:f>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n</m:t>
              </m:r>
            </m:e>
            <m:sub>
              <m:r>
                <w:rPr>
                  <w:rFonts w:ascii="Cambria Math" w:hAnsi="Cambria Math"/>
                </w:rPr>
                <m:t>i</m:t>
              </m:r>
              <m:r>
                <m:rPr>
                  <m:sty m:val="p"/>
                </m:rPr>
                <w:rPr>
                  <w:rFonts w:ascii="Cambria Math" w:hAnsi="Cambria Math"/>
                </w:rPr>
                <m:t>⋅</m:t>
              </m:r>
            </m:sub>
          </m:sSub>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j</m:t>
              </m:r>
              <m:r>
                <m:rPr>
                  <m:sty m:val="p"/>
                </m:rPr>
                <w:rPr>
                  <w:rFonts w:ascii="Cambria Math" w:hAnsi="Cambria Math"/>
                </w:rPr>
                <m:t>∈</m:t>
              </m:r>
              <m:r>
                <w:rPr>
                  <w:rFonts w:ascii="Cambria Math" w:hAnsi="Cambria Math"/>
                </w:rPr>
                <m:t>S</m:t>
              </m:r>
            </m:sub>
            <m:sup>
              <m:r>
                <w:rPr>
                  <w:rFonts w:ascii="Cambria Math" w:hAnsi="Cambria Math"/>
                </w:rPr>
                <m:t>​</m:t>
              </m:r>
            </m:sup>
            <m:e>
              <m:sSub>
                <m:sSubPr>
                  <m:ctrlPr>
                    <w:rPr>
                      <w:rFonts w:ascii="Cambria Math" w:hAnsi="Cambria Math"/>
                    </w:rPr>
                  </m:ctrlPr>
                </m:sSubPr>
                <m:e>
                  <m:r>
                    <w:rPr>
                      <w:rFonts w:ascii="Cambria Math" w:hAnsi="Cambria Math"/>
                    </w:rPr>
                    <m:t>n</m:t>
                  </m:r>
                </m:e>
                <m:sub>
                  <m:r>
                    <w:rPr>
                      <w:rFonts w:ascii="Cambria Math" w:hAnsi="Cambria Math"/>
                    </w:rPr>
                    <m:t>ij</m:t>
                  </m:r>
                </m:sub>
              </m:sSub>
            </m:e>
          </m:nary>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2</m:t>
              </m:r>
            </m:e>
          </m:d>
        </m:oMath>
      </m:oMathPara>
    </w:p>
    <w:p w14:paraId="5F5E7E28" w14:textId="77777777" w:rsidR="002E4036" w:rsidRDefault="00000000">
      <w:pPr>
        <w:pStyle w:val="FirstParagraph"/>
      </w:pPr>
      <w:r>
        <w:t>with asymptotic distribution theory given by Anderson and Goodman (1957) and Billingsley (1961).</w:t>
      </w:r>
    </w:p>
    <w:p w14:paraId="471AA8C9" w14:textId="77777777" w:rsidR="002E4036" w:rsidRDefault="00000000">
      <w:pPr>
        <w:pStyle w:val="BodyText"/>
      </w:pPr>
      <w:r>
        <w:rPr>
          <w:b/>
          <w:bCs/>
        </w:rPr>
        <w:t>Proposition 1.</w:t>
      </w:r>
      <w:r>
        <w:t xml:space="preserve"> If </w:t>
      </w:r>
      <m:oMath>
        <m:sSub>
          <m:sSubPr>
            <m:ctrlPr>
              <w:rPr>
                <w:rFonts w:ascii="Cambria Math" w:hAnsi="Cambria Math"/>
              </w:rPr>
            </m:ctrlPr>
          </m:sSubPr>
          <m:e>
            <m:r>
              <w:rPr>
                <w:rFonts w:ascii="Cambria Math" w:hAnsi="Cambria Math"/>
              </w:rPr>
              <m:t>p</m:t>
            </m:r>
          </m:e>
          <m:sub>
            <m:r>
              <w:rPr>
                <w:rFonts w:ascii="Cambria Math" w:hAnsi="Cambria Math"/>
              </w:rPr>
              <m:t>ij</m:t>
            </m:r>
          </m:sub>
        </m:sSub>
        <m:r>
          <m:rPr>
            <m:sty m:val="p"/>
          </m:rPr>
          <w:rPr>
            <w:rFonts w:ascii="Cambria Math" w:hAnsi="Cambria Math"/>
          </w:rPr>
          <m:t>&gt;</m:t>
        </m:r>
        <m:r>
          <w:rPr>
            <w:rFonts w:ascii="Cambria Math" w:hAnsi="Cambria Math"/>
          </w:rPr>
          <m:t>0</m:t>
        </m:r>
      </m:oMath>
      <w:r>
        <w:t xml:space="preserve"> for all </w:t>
      </w:r>
      <m:oMath>
        <m:r>
          <w:rPr>
            <w:rFonts w:ascii="Cambria Math" w:hAnsi="Cambria Math"/>
          </w:rPr>
          <m:t>i</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S</m:t>
        </m:r>
      </m:oMath>
      <w:r>
        <w:t xml:space="preserve">, the chain is irreducible and aperiodic on a finite state space. It is therefore positive recurrent, has a unique stationary distribution </w:t>
      </w:r>
      <m:oMath>
        <m:r>
          <w:rPr>
            <w:rFonts w:ascii="Cambria Math" w:hAnsi="Cambria Math"/>
          </w:rPr>
          <m:t>π</m:t>
        </m:r>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π</m:t>
                </m:r>
              </m:e>
              <m:sub>
                <m:r>
                  <w:rPr>
                    <w:rFonts w:ascii="Cambria Math" w:hAnsi="Cambria Math"/>
                  </w:rPr>
                  <m:t>R</m:t>
                </m:r>
              </m:sub>
            </m:sSub>
            <m:r>
              <m:rPr>
                <m:sty m:val="p"/>
              </m:rPr>
              <w:rPr>
                <w:rFonts w:ascii="Cambria Math" w:hAnsi="Cambria Math"/>
              </w:rPr>
              <m:t>,</m:t>
            </m:r>
            <m:sSub>
              <m:sSubPr>
                <m:ctrlPr>
                  <w:rPr>
                    <w:rFonts w:ascii="Cambria Math" w:hAnsi="Cambria Math"/>
                  </w:rPr>
                </m:ctrlPr>
              </m:sSubPr>
              <m:e>
                <m:r>
                  <w:rPr>
                    <w:rFonts w:ascii="Cambria Math" w:hAnsi="Cambria Math"/>
                  </w:rPr>
                  <m:t>π</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π</m:t>
                </m:r>
              </m:e>
              <m:sub>
                <m:r>
                  <w:rPr>
                    <w:rFonts w:ascii="Cambria Math" w:hAnsi="Cambria Math"/>
                  </w:rPr>
                  <m:t>N</m:t>
                </m:r>
              </m:sub>
            </m:sSub>
          </m:e>
        </m:d>
      </m:oMath>
      <w:r>
        <w:t xml:space="preserve"> that satisfies</w:t>
      </w:r>
    </w:p>
    <w:p w14:paraId="64CA0235" w14:textId="77777777" w:rsidR="002E4036" w:rsidRDefault="00000000">
      <w:pPr>
        <w:pStyle w:val="BodyText"/>
      </w:pPr>
      <m:oMathPara>
        <m:oMathParaPr>
          <m:jc m:val="center"/>
        </m:oMathParaPr>
        <m:oMath>
          <m:r>
            <w:rPr>
              <w:rFonts w:ascii="Cambria Math" w:hAnsi="Cambria Math"/>
            </w:rPr>
            <m:t>πP</m:t>
          </m:r>
          <m:r>
            <m:rPr>
              <m:sty m:val="p"/>
            </m:rPr>
            <w:rPr>
              <w:rFonts w:ascii="Cambria Math" w:hAnsi="Cambria Math"/>
            </w:rPr>
            <m:t>=</m:t>
          </m:r>
          <m:r>
            <w:rPr>
              <w:rFonts w:ascii="Cambria Math" w:hAnsi="Cambria Math"/>
            </w:rPr>
            <m:t>π</m:t>
          </m:r>
          <m:r>
            <m:rPr>
              <m:sty m:val="p"/>
            </m:rPr>
            <w:rPr>
              <w:rFonts w:ascii="Cambria Math" w:hAnsi="Cambria Math"/>
            </w:rPr>
            <m:t>,</m:t>
          </m:r>
          <m:r>
            <w:rPr>
              <w:rFonts w:ascii="Cambria Math" w:hAnsi="Cambria Math"/>
            </w:rPr>
            <m:t>  </m:t>
          </m:r>
          <m:nary>
            <m:naryPr>
              <m:chr m:val="∑"/>
              <m:limLoc m:val="undOvr"/>
              <m:supHide m:val="1"/>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S</m:t>
              </m:r>
            </m:sub>
            <m:sup>
              <m:r>
                <w:rPr>
                  <w:rFonts w:ascii="Cambria Math" w:hAnsi="Cambria Math"/>
                </w:rPr>
                <m:t>​</m:t>
              </m:r>
            </m:sup>
            <m:e>
              <m:sSub>
                <m:sSubPr>
                  <m:ctrlPr>
                    <w:rPr>
                      <w:rFonts w:ascii="Cambria Math" w:hAnsi="Cambria Math"/>
                    </w:rPr>
                  </m:ctrlPr>
                </m:sSubPr>
                <m:e>
                  <m:r>
                    <w:rPr>
                      <w:rFonts w:ascii="Cambria Math" w:hAnsi="Cambria Math"/>
                    </w:rPr>
                    <m:t>π</m:t>
                  </m:r>
                </m:e>
                <m:sub>
                  <m:r>
                    <w:rPr>
                      <w:rFonts w:ascii="Cambria Math" w:hAnsi="Cambria Math"/>
                    </w:rPr>
                    <m:t>i</m:t>
                  </m:r>
                </m:sub>
              </m:sSub>
            </m:e>
          </m:nary>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3</m:t>
              </m:r>
            </m:e>
          </m:d>
        </m:oMath>
      </m:oMathPara>
    </w:p>
    <w:p w14:paraId="34C38744" w14:textId="77777777" w:rsidR="002E4036" w:rsidRDefault="00000000">
      <w:pPr>
        <w:pStyle w:val="FirstParagraph"/>
      </w:pPr>
      <w:r>
        <w:t xml:space="preserve">with </w:t>
      </w:r>
      <m:oMath>
        <m:sSub>
          <m:sSubPr>
            <m:ctrlPr>
              <w:rPr>
                <w:rFonts w:ascii="Cambria Math" w:hAnsi="Cambria Math"/>
              </w:rPr>
            </m:ctrlPr>
          </m:sSubPr>
          <m:e>
            <m:r>
              <w:rPr>
                <w:rFonts w:ascii="Cambria Math" w:hAnsi="Cambria Math"/>
              </w:rPr>
              <m:t>π</m:t>
            </m:r>
          </m:e>
          <m:sub>
            <m:r>
              <w:rPr>
                <w:rFonts w:ascii="Cambria Math" w:hAnsi="Cambria Math"/>
              </w:rPr>
              <m:t>i</m:t>
            </m:r>
          </m:sub>
        </m:sSub>
        <m:r>
          <m:rPr>
            <m:sty m:val="p"/>
          </m:rPr>
          <w:rPr>
            <w:rFonts w:ascii="Cambria Math" w:hAnsi="Cambria Math"/>
          </w:rPr>
          <m:t>&gt;</m:t>
        </m:r>
        <m:r>
          <w:rPr>
            <w:rFonts w:ascii="Cambria Math" w:hAnsi="Cambria Math"/>
          </w:rPr>
          <m:t>0</m:t>
        </m:r>
      </m:oMath>
      <w:r>
        <w:t xml:space="preserve"> for every </w:t>
      </w:r>
      <m:oMath>
        <m:r>
          <w:rPr>
            <w:rFonts w:ascii="Cambria Math" w:hAnsi="Cambria Math"/>
          </w:rPr>
          <m:t>i</m:t>
        </m:r>
      </m:oMath>
      <w:r>
        <w:t xml:space="preserve">, and </w:t>
      </w:r>
      <m:oMath>
        <m:sSup>
          <m:sSupPr>
            <m:ctrlPr>
              <w:rPr>
                <w:rFonts w:ascii="Cambria Math" w:hAnsi="Cambria Math"/>
              </w:rPr>
            </m:ctrlPr>
          </m:sSupPr>
          <m:e>
            <m:r>
              <w:rPr>
                <w:rFonts w:ascii="Cambria Math" w:hAnsi="Cambria Math"/>
              </w:rPr>
              <m:t>P</m:t>
            </m:r>
          </m:e>
          <m:sup>
            <m:r>
              <w:rPr>
                <w:rFonts w:ascii="Cambria Math" w:hAnsi="Cambria Math"/>
              </w:rPr>
              <m:t>n</m:t>
            </m:r>
          </m:sup>
        </m:sSup>
      </m:oMath>
      <w:r>
        <w:t xml:space="preserve"> converges geometrically to the matrix whose rows all equal </w:t>
      </w:r>
      <m:oMath>
        <m:r>
          <w:rPr>
            <w:rFonts w:ascii="Cambria Math" w:hAnsi="Cambria Math"/>
          </w:rPr>
          <m:t>π</m:t>
        </m:r>
      </m:oMath>
      <w:r>
        <w:t xml:space="preserve">, at a rate governed by the second largest eigenvalue modulus of </w:t>
      </w:r>
      <m:oMath>
        <m:r>
          <w:rPr>
            <w:rFonts w:ascii="Cambria Math" w:hAnsi="Cambria Math"/>
          </w:rPr>
          <m:t>P</m:t>
        </m:r>
      </m:oMath>
      <w:r>
        <w:t>.</w:t>
      </w:r>
    </w:p>
    <w:p w14:paraId="4C2917A4" w14:textId="77777777" w:rsidR="002E4036" w:rsidRDefault="00000000">
      <w:pPr>
        <w:pStyle w:val="BodyText"/>
      </w:pPr>
      <w:r>
        <w:rPr>
          <w:i/>
          <w:iCs/>
        </w:rPr>
        <w:t>Proof.</w:t>
      </w:r>
      <w:r>
        <w:t xml:space="preserve"> Because every entry of </w:t>
      </w:r>
      <m:oMath>
        <m:r>
          <w:rPr>
            <w:rFonts w:ascii="Cambria Math" w:hAnsi="Cambria Math"/>
          </w:rPr>
          <m:t>P</m:t>
        </m:r>
      </m:oMath>
      <w:r>
        <w:t xml:space="preserve"> is positive, each state is reachable from every other state in one step, so the chain is irreducible, and </w:t>
      </w:r>
      <m:oMath>
        <m:sSub>
          <m:sSubPr>
            <m:ctrlPr>
              <w:rPr>
                <w:rFonts w:ascii="Cambria Math" w:hAnsi="Cambria Math"/>
              </w:rPr>
            </m:ctrlPr>
          </m:sSubPr>
          <m:e>
            <m:r>
              <w:rPr>
                <w:rFonts w:ascii="Cambria Math" w:hAnsi="Cambria Math"/>
              </w:rPr>
              <m:t>p</m:t>
            </m:r>
          </m:e>
          <m:sub>
            <m:r>
              <w:rPr>
                <w:rFonts w:ascii="Cambria Math" w:hAnsi="Cambria Math"/>
              </w:rPr>
              <m:t>ii</m:t>
            </m:r>
          </m:sub>
        </m:sSub>
        <m:r>
          <m:rPr>
            <m:sty m:val="p"/>
          </m:rPr>
          <w:rPr>
            <w:rFonts w:ascii="Cambria Math" w:hAnsi="Cambria Math"/>
          </w:rPr>
          <m:t>&gt;</m:t>
        </m:r>
        <m:r>
          <w:rPr>
            <w:rFonts w:ascii="Cambria Math" w:hAnsi="Cambria Math"/>
          </w:rPr>
          <m:t>0</m:t>
        </m:r>
      </m:oMath>
      <w:r>
        <w:t xml:space="preserve"> implies aperiodicity. An irreducible chain on a finite state space is positive recurrent and has a unique strictly positive stationary distribution, and an aperiodic one converges to it geometrically (Norris, 1997, Chapter 1). ∎</w:t>
      </w:r>
    </w:p>
    <w:p w14:paraId="5F7CC38C" w14:textId="77777777" w:rsidR="002E4036" w:rsidRDefault="00000000">
      <w:pPr>
        <w:pStyle w:val="BodyText"/>
      </w:pPr>
      <w:r>
        <w:t>All entries of the estimated matrix are positive (Section 3.2), so Proposition 1 applies. In particular, no state is transient and no state has zero long-run probability.</w:t>
      </w:r>
    </w:p>
    <w:p w14:paraId="5066AAF3" w14:textId="77777777" w:rsidR="002E4036" w:rsidRDefault="00000000">
      <w:pPr>
        <w:pStyle w:val="BodyText"/>
      </w:pPr>
      <w:r>
        <w:t xml:space="preserve">The data are recorded at successive observation times, so the discrete-time chain is the natural model for them. A continuous-time representation is obtained by seeking a generator </w:t>
      </w:r>
      <m:oMath>
        <m:r>
          <w:rPr>
            <w:rFonts w:ascii="Cambria Math" w:hAnsi="Cambria Math"/>
          </w:rPr>
          <m:t>Q</m:t>
        </m:r>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q</m:t>
                </m:r>
              </m:e>
              <m:sub>
                <m:r>
                  <w:rPr>
                    <w:rFonts w:ascii="Cambria Math" w:hAnsi="Cambria Math"/>
                  </w:rPr>
                  <m:t>ij</m:t>
                </m:r>
              </m:sub>
            </m:sSub>
          </m:e>
        </m:d>
      </m:oMath>
      <w:r>
        <w:t xml:space="preserve"> such that the transition probabilities over one unit of time equal the estimated matrix,</w:t>
      </w:r>
    </w:p>
    <w:p w14:paraId="0DB904FF" w14:textId="77777777" w:rsidR="002E4036" w:rsidRDefault="00000000">
      <w:pPr>
        <w:pStyle w:val="BodyText"/>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t</m:t>
              </m:r>
            </m:e>
          </m:d>
          <m:r>
            <m:rPr>
              <m:sty m:val="p"/>
            </m:rPr>
            <w:rPr>
              <w:rFonts w:ascii="Cambria Math" w:hAnsi="Cambria Math"/>
            </w:rPr>
            <m:t>=</m:t>
          </m:r>
          <m:sSup>
            <m:sSupPr>
              <m:ctrlPr>
                <w:rPr>
                  <w:rFonts w:ascii="Cambria Math" w:hAnsi="Cambria Math"/>
                </w:rPr>
              </m:ctrlPr>
            </m:sSupPr>
            <m:e>
              <m:r>
                <w:rPr>
                  <w:rFonts w:ascii="Cambria Math" w:hAnsi="Cambria Math"/>
                </w:rPr>
                <m:t>e</m:t>
              </m:r>
            </m:e>
            <m:sup>
              <m:r>
                <w:rPr>
                  <w:rFonts w:ascii="Cambria Math" w:hAnsi="Cambria Math"/>
                </w:rPr>
                <m:t>Qt</m:t>
              </m:r>
            </m:sup>
          </m:sSup>
          <m:r>
            <m:rPr>
              <m:sty m:val="p"/>
            </m:rPr>
            <w:rPr>
              <w:rFonts w:ascii="Cambria Math" w:hAnsi="Cambria Math"/>
            </w:rPr>
            <m:t>=</m:t>
          </m:r>
          <m:nary>
            <m:naryPr>
              <m:chr m:val="∑"/>
              <m:limLoc m:val="undOvr"/>
              <m:ctrlPr>
                <w:rPr>
                  <w:rFonts w:ascii="Cambria Math" w:hAnsi="Cambria Math"/>
                </w:rPr>
              </m:ctrlPr>
            </m:naryPr>
            <m:sub>
              <m:r>
                <w:rPr>
                  <w:rFonts w:ascii="Cambria Math" w:hAnsi="Cambria Math"/>
                </w:rPr>
                <m:t>k</m:t>
              </m:r>
              <m:r>
                <m:rPr>
                  <m:sty m:val="p"/>
                </m:rPr>
                <w:rPr>
                  <w:rFonts w:ascii="Cambria Math" w:hAnsi="Cambria Math"/>
                </w:rPr>
                <m:t>=</m:t>
              </m:r>
              <m:r>
                <w:rPr>
                  <w:rFonts w:ascii="Cambria Math" w:hAnsi="Cambria Math"/>
                </w:rPr>
                <m:t>0</m:t>
              </m:r>
            </m:sub>
            <m:sup>
              <m:r>
                <m:rPr>
                  <m:sty m:val="p"/>
                </m:rPr>
                <w:rPr>
                  <w:rFonts w:ascii="Cambria Math" w:hAnsi="Cambria Math"/>
                </w:rPr>
                <m:t>∞</m:t>
              </m:r>
            </m:sup>
            <m:e>
              <m:f>
                <m:fPr>
                  <m:ctrlPr>
                    <w:rPr>
                      <w:rFonts w:ascii="Cambria Math" w:hAnsi="Cambria Math"/>
                    </w:rPr>
                  </m:ctrlPr>
                </m:fPr>
                <m:num>
                  <m:sSup>
                    <m:sSupPr>
                      <m:ctrlPr>
                        <w:rPr>
                          <w:rFonts w:ascii="Cambria Math" w:hAnsi="Cambria Math"/>
                        </w:rPr>
                      </m:ctrlPr>
                    </m:sSupPr>
                    <m:e>
                      <m:d>
                        <m:dPr>
                          <m:ctrlPr>
                            <w:rPr>
                              <w:rFonts w:ascii="Cambria Math" w:hAnsi="Cambria Math"/>
                            </w:rPr>
                          </m:ctrlPr>
                        </m:dPr>
                        <m:e>
                          <m:r>
                            <w:rPr>
                              <w:rFonts w:ascii="Cambria Math" w:hAnsi="Cambria Math"/>
                            </w:rPr>
                            <m:t>Qt</m:t>
                          </m:r>
                        </m:e>
                      </m:d>
                    </m:e>
                    <m:sup>
                      <m:r>
                        <w:rPr>
                          <w:rFonts w:ascii="Cambria Math" w:hAnsi="Cambria Math"/>
                        </w:rPr>
                        <m:t>k</m:t>
                      </m:r>
                    </m:sup>
                  </m:sSup>
                </m:num>
                <m:den>
                  <m:r>
                    <w:rPr>
                      <w:rFonts w:ascii="Cambria Math" w:hAnsi="Cambria Math"/>
                    </w:rPr>
                    <m:t>k</m:t>
                  </m:r>
                  <m:r>
                    <m:rPr>
                      <m:sty m:val="p"/>
                    </m:rPr>
                    <w:rPr>
                      <w:rFonts w:ascii="Cambria Math" w:hAnsi="Cambria Math"/>
                    </w:rPr>
                    <m:t>!</m:t>
                  </m:r>
                </m:den>
              </m:f>
            </m:e>
          </m:nary>
          <m:r>
            <m:rPr>
              <m:sty m:val="p"/>
            </m:rPr>
            <w:rPr>
              <w:rFonts w:ascii="Cambria Math" w:hAnsi="Cambria Math"/>
            </w:rPr>
            <m:t>,</m:t>
          </m:r>
          <m:r>
            <w:rPr>
              <w:rFonts w:ascii="Cambria Math" w:hAnsi="Cambria Math"/>
            </w:rPr>
            <m:t>  P</m:t>
          </m:r>
          <m:d>
            <m:dPr>
              <m:ctrlPr>
                <w:rPr>
                  <w:rFonts w:ascii="Cambria Math" w:hAnsi="Cambria Math"/>
                </w:rPr>
              </m:ctrlPr>
            </m:dPr>
            <m:e>
              <m:r>
                <w:rPr>
                  <w:rFonts w:ascii="Cambria Math" w:hAnsi="Cambria Math"/>
                </w:rPr>
                <m:t>1</m:t>
              </m:r>
            </m:e>
          </m:d>
          <m:r>
            <m:rPr>
              <m:sty m:val="p"/>
            </m:rPr>
            <w:rPr>
              <w:rFonts w:ascii="Cambria Math" w:hAnsi="Cambria Math"/>
            </w:rPr>
            <m:t>=</m:t>
          </m:r>
          <m:acc>
            <m:accPr>
              <m:ctrlPr>
                <w:rPr>
                  <w:rFonts w:ascii="Cambria Math" w:hAnsi="Cambria Math"/>
                </w:rPr>
              </m:ctrlPr>
            </m:accPr>
            <m:e>
              <m:r>
                <w:rPr>
                  <w:rFonts w:ascii="Cambria Math" w:hAnsi="Cambria Math"/>
                </w:rPr>
                <m:t>P</m:t>
              </m:r>
            </m:e>
          </m:acc>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4</m:t>
              </m:r>
            </m:e>
          </m:d>
        </m:oMath>
      </m:oMathPara>
    </w:p>
    <w:p w14:paraId="0E016083" w14:textId="77777777" w:rsidR="002E4036" w:rsidRDefault="00000000">
      <w:pPr>
        <w:pStyle w:val="FirstParagraph"/>
      </w:pPr>
      <w:r>
        <w:t xml:space="preserve">where </w:t>
      </w:r>
      <m:oMath>
        <m:sSub>
          <m:sSubPr>
            <m:ctrlPr>
              <w:rPr>
                <w:rFonts w:ascii="Cambria Math" w:hAnsi="Cambria Math"/>
              </w:rPr>
            </m:ctrlPr>
          </m:sSubPr>
          <m:e>
            <m:r>
              <w:rPr>
                <w:rFonts w:ascii="Cambria Math" w:hAnsi="Cambria Math"/>
              </w:rPr>
              <m:t>q</m:t>
            </m:r>
          </m:e>
          <m:sub>
            <m:r>
              <w:rPr>
                <w:rFonts w:ascii="Cambria Math" w:hAnsi="Cambria Math"/>
              </w:rPr>
              <m:t>ij</m:t>
            </m:r>
          </m:sub>
        </m:sSub>
        <m:r>
          <m:rPr>
            <m:sty m:val="p"/>
          </m:rPr>
          <w:rPr>
            <w:rFonts w:ascii="Cambria Math" w:hAnsi="Cambria Math"/>
          </w:rPr>
          <m:t>≥</m:t>
        </m:r>
        <m:r>
          <w:rPr>
            <w:rFonts w:ascii="Cambria Math" w:hAnsi="Cambria Math"/>
          </w:rPr>
          <m:t>0</m:t>
        </m:r>
      </m:oMath>
      <w:r>
        <w:t xml:space="preserve"> for </w:t>
      </w:r>
      <m:oMath>
        <m:r>
          <w:rPr>
            <w:rFonts w:ascii="Cambria Math" w:hAnsi="Cambria Math"/>
          </w:rPr>
          <m:t>i</m:t>
        </m:r>
        <m:r>
          <m:rPr>
            <m:sty m:val="p"/>
          </m:rPr>
          <w:rPr>
            <w:rFonts w:ascii="Cambria Math" w:hAnsi="Cambria Math"/>
          </w:rPr>
          <m:t>≠</m:t>
        </m:r>
        <m:r>
          <w:rPr>
            <w:rFonts w:ascii="Cambria Math" w:hAnsi="Cambria Math"/>
          </w:rPr>
          <m:t>j</m:t>
        </m:r>
      </m:oMath>
      <w:r>
        <w:t xml:space="preserve"> and </w:t>
      </w:r>
      <m:oMath>
        <m:sSub>
          <m:sSubPr>
            <m:ctrlPr>
              <w:rPr>
                <w:rFonts w:ascii="Cambria Math" w:hAnsi="Cambria Math"/>
              </w:rPr>
            </m:ctrlPr>
          </m:sSubPr>
          <m:e>
            <m:r>
              <w:rPr>
                <w:rFonts w:ascii="Cambria Math" w:hAnsi="Cambria Math"/>
              </w:rPr>
              <m:t>q</m:t>
            </m:r>
          </m:e>
          <m:sub>
            <m:r>
              <w:rPr>
                <w:rFonts w:ascii="Cambria Math" w:hAnsi="Cambria Math"/>
              </w:rPr>
              <m:t>ii</m:t>
            </m:r>
          </m:sub>
        </m:sSub>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j</m:t>
            </m:r>
            <m:r>
              <m:rPr>
                <m:sty m:val="p"/>
              </m:rPr>
              <w:rPr>
                <w:rFonts w:ascii="Cambria Math" w:hAnsi="Cambria Math"/>
              </w:rPr>
              <m:t>≠</m:t>
            </m:r>
            <m:r>
              <w:rPr>
                <w:rFonts w:ascii="Cambria Math" w:hAnsi="Cambria Math"/>
              </w:rPr>
              <m:t>i</m:t>
            </m:r>
          </m:sub>
          <m:sup>
            <m:r>
              <w:rPr>
                <w:rFonts w:ascii="Cambria Math" w:hAnsi="Cambria Math"/>
              </w:rPr>
              <m:t>​</m:t>
            </m:r>
          </m:sup>
          <m:e>
            <m:sSub>
              <m:sSubPr>
                <m:ctrlPr>
                  <w:rPr>
                    <w:rFonts w:ascii="Cambria Math" w:hAnsi="Cambria Math"/>
                  </w:rPr>
                </m:ctrlPr>
              </m:sSubPr>
              <m:e>
                <m:r>
                  <w:rPr>
                    <w:rFonts w:ascii="Cambria Math" w:hAnsi="Cambria Math"/>
                  </w:rPr>
                  <m:t>q</m:t>
                </m:r>
              </m:e>
              <m:sub>
                <m:r>
                  <w:rPr>
                    <w:rFonts w:ascii="Cambria Math" w:hAnsi="Cambria Math"/>
                  </w:rPr>
                  <m:t>ij</m:t>
                </m:r>
              </m:sub>
            </m:sSub>
          </m:e>
        </m:nary>
      </m:oMath>
      <w:r>
        <w:t xml:space="preserve">. The matrix </w:t>
      </w:r>
      <m:oMath>
        <m:r>
          <w:rPr>
            <w:rFonts w:ascii="Cambria Math" w:hAnsi="Cambria Math"/>
          </w:rPr>
          <m:t>P</m:t>
        </m:r>
        <m:d>
          <m:dPr>
            <m:ctrlPr>
              <w:rPr>
                <w:rFonts w:ascii="Cambria Math" w:hAnsi="Cambria Math"/>
              </w:rPr>
            </m:ctrlPr>
          </m:dPr>
          <m:e>
            <m:r>
              <w:rPr>
                <w:rFonts w:ascii="Cambria Math" w:hAnsi="Cambria Math"/>
              </w:rPr>
              <m:t>t</m:t>
            </m:r>
          </m:e>
        </m:d>
      </m:oMath>
      <w:r>
        <w:t xml:space="preserve"> satisfies the Kolmogorov forward equation </w:t>
      </w:r>
      <m:oMath>
        <m:r>
          <m:rPr>
            <m:sty m:val="p"/>
          </m:rPr>
          <w:rPr>
            <w:rFonts w:ascii="Cambria Math" w:hAnsi="Cambria Math"/>
          </w:rPr>
          <m:t>d</m:t>
        </m:r>
        <m:r>
          <w:rPr>
            <w:rFonts w:ascii="Cambria Math" w:hAnsi="Cambria Math"/>
          </w:rPr>
          <m:t>P</m:t>
        </m:r>
        <m:d>
          <m:dPr>
            <m:ctrlPr>
              <w:rPr>
                <w:rFonts w:ascii="Cambria Math" w:hAnsi="Cambria Math"/>
              </w:rPr>
            </m:ctrlPr>
          </m:dPr>
          <m:e>
            <m:r>
              <w:rPr>
                <w:rFonts w:ascii="Cambria Math" w:hAnsi="Cambria Math"/>
              </w:rPr>
              <m:t>t</m:t>
            </m:r>
          </m:e>
        </m:d>
        <m:r>
          <m:rPr>
            <m:sty m:val="p"/>
          </m:rPr>
          <w:rPr>
            <w:rFonts w:ascii="Cambria Math" w:hAnsi="Cambria Math"/>
          </w:rPr>
          <m:t>/d</m:t>
        </m:r>
        <m:r>
          <w:rPr>
            <w:rFonts w:ascii="Cambria Math" w:hAnsi="Cambria Math"/>
          </w:rPr>
          <m:t>t</m:t>
        </m:r>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t</m:t>
            </m:r>
          </m:e>
        </m:d>
        <m:r>
          <w:rPr>
            <w:rFonts w:ascii="Cambria Math" w:hAnsi="Cambria Math"/>
          </w:rPr>
          <m:t>Q</m:t>
        </m:r>
      </m:oMath>
      <w:r>
        <w:t xml:space="preserve"> with </w:t>
      </w:r>
      <m:oMath>
        <m:r>
          <w:rPr>
            <w:rFonts w:ascii="Cambria Math" w:hAnsi="Cambria Math"/>
          </w:rPr>
          <m:t>P</m:t>
        </m:r>
        <m:d>
          <m:dPr>
            <m:ctrlPr>
              <w:rPr>
                <w:rFonts w:ascii="Cambria Math" w:hAnsi="Cambria Math"/>
              </w:rPr>
            </m:ctrlPr>
          </m:dPr>
          <m:e>
            <m:r>
              <w:rPr>
                <w:rFonts w:ascii="Cambria Math" w:hAnsi="Cambria Math"/>
              </w:rPr>
              <m:t>0</m:t>
            </m:r>
          </m:e>
        </m:d>
        <m:r>
          <m:rPr>
            <m:sty m:val="p"/>
          </m:rPr>
          <w:rPr>
            <w:rFonts w:ascii="Cambria Math" w:hAnsi="Cambria Math"/>
          </w:rPr>
          <m:t>=</m:t>
        </m:r>
        <m:r>
          <w:rPr>
            <w:rFonts w:ascii="Cambria Math" w:hAnsi="Cambria Math"/>
          </w:rPr>
          <m:t>I</m:t>
        </m:r>
      </m:oMath>
      <w:r>
        <w:t xml:space="preserve">. A valid generator need not exist for an empirically estimated matrix and, when it exists, need not be unique (Israel et al., 2001). If </w:t>
      </w:r>
      <m:oMath>
        <m:acc>
          <m:accPr>
            <m:ctrlPr>
              <w:rPr>
                <w:rFonts w:ascii="Cambria Math" w:hAnsi="Cambria Math"/>
              </w:rPr>
            </m:ctrlPr>
          </m:accPr>
          <m:e>
            <m:r>
              <w:rPr>
                <w:rFonts w:ascii="Cambria Math" w:hAnsi="Cambria Math"/>
              </w:rPr>
              <m:t>P</m:t>
            </m:r>
          </m:e>
        </m:acc>
      </m:oMath>
      <w:r>
        <w:t xml:space="preserve"> has real, positive and distinct eigenvalues, its principal matrix logarithm </w:t>
      </w:r>
      <m:oMath>
        <m:acc>
          <m:accPr>
            <m:ctrlPr>
              <w:rPr>
                <w:rFonts w:ascii="Cambria Math" w:hAnsi="Cambria Math"/>
              </w:rPr>
            </m:ctrlPr>
          </m:accPr>
          <m:e>
            <m:r>
              <w:rPr>
                <w:rFonts w:ascii="Cambria Math" w:hAnsi="Cambria Math"/>
              </w:rPr>
              <m:t>Q</m:t>
            </m:r>
          </m:e>
        </m:acc>
        <m:r>
          <m:rPr>
            <m:sty m:val="p"/>
          </m:rPr>
          <w:rPr>
            <w:rFonts w:ascii="Cambria Math" w:hAnsi="Cambria Math"/>
          </w:rPr>
          <m:t>=log</m:t>
        </m:r>
        <m:acc>
          <m:accPr>
            <m:ctrlPr>
              <w:rPr>
                <w:rFonts w:ascii="Cambria Math" w:hAnsi="Cambria Math"/>
              </w:rPr>
            </m:ctrlPr>
          </m:accPr>
          <m:e>
            <m:r>
              <w:rPr>
                <w:rFonts w:ascii="Cambria Math" w:hAnsi="Cambria Math"/>
              </w:rPr>
              <m:t>P</m:t>
            </m:r>
          </m:e>
        </m:acc>
      </m:oMath>
      <w:r>
        <w:t xml:space="preserve"> is real and satisfies </w:t>
      </w:r>
      <m:oMath>
        <m:sSup>
          <m:sSupPr>
            <m:ctrlPr>
              <w:rPr>
                <w:rFonts w:ascii="Cambria Math" w:hAnsi="Cambria Math"/>
              </w:rPr>
            </m:ctrlPr>
          </m:sSupPr>
          <m:e>
            <m:r>
              <w:rPr>
                <w:rFonts w:ascii="Cambria Math" w:hAnsi="Cambria Math"/>
              </w:rPr>
              <m:t>e</m:t>
            </m:r>
          </m:e>
          <m:sup>
            <m:acc>
              <m:accPr>
                <m:ctrlPr>
                  <w:rPr>
                    <w:rFonts w:ascii="Cambria Math" w:hAnsi="Cambria Math"/>
                  </w:rPr>
                </m:ctrlPr>
              </m:accPr>
              <m:e>
                <m:r>
                  <w:rPr>
                    <w:rFonts w:ascii="Cambria Math" w:hAnsi="Cambria Math"/>
                  </w:rPr>
                  <m:t>Q</m:t>
                </m:r>
              </m:e>
            </m:acc>
          </m:sup>
        </m:sSup>
        <m:r>
          <m:rPr>
            <m:sty m:val="p"/>
          </m:rPr>
          <w:rPr>
            <w:rFonts w:ascii="Cambria Math" w:hAnsi="Cambria Math"/>
          </w:rPr>
          <m:t>=</m:t>
        </m:r>
        <m:acc>
          <m:accPr>
            <m:ctrlPr>
              <w:rPr>
                <w:rFonts w:ascii="Cambria Math" w:hAnsi="Cambria Math"/>
              </w:rPr>
            </m:ctrlPr>
          </m:accPr>
          <m:e>
            <m:r>
              <w:rPr>
                <w:rFonts w:ascii="Cambria Math" w:hAnsi="Cambria Math"/>
              </w:rPr>
              <m:t>P</m:t>
            </m:r>
          </m:e>
        </m:acc>
      </m:oMath>
      <w:r>
        <w:t xml:space="preserve">; it is a valid generator provided its off-diagonal entries are non-negative, which is verified in Section 3.3. Because the eigenvalues of </w:t>
      </w:r>
      <m:oMath>
        <m:acc>
          <m:accPr>
            <m:ctrlPr>
              <w:rPr>
                <w:rFonts w:ascii="Cambria Math" w:hAnsi="Cambria Math"/>
              </w:rPr>
            </m:ctrlPr>
          </m:accPr>
          <m:e>
            <m:r>
              <w:rPr>
                <w:rFonts w:ascii="Cambria Math" w:hAnsi="Cambria Math"/>
              </w:rPr>
              <m:t>Q</m:t>
            </m:r>
          </m:e>
        </m:acc>
      </m:oMath>
      <w:r>
        <w:t xml:space="preserve"> are the logarithms of those of </w:t>
      </w:r>
      <m:oMath>
        <m:acc>
          <m:accPr>
            <m:ctrlPr>
              <w:rPr>
                <w:rFonts w:ascii="Cambria Math" w:hAnsi="Cambria Math"/>
              </w:rPr>
            </m:ctrlPr>
          </m:accPr>
          <m:e>
            <m:r>
              <w:rPr>
                <w:rFonts w:ascii="Cambria Math" w:hAnsi="Cambria Math"/>
              </w:rPr>
              <m:t>P</m:t>
            </m:r>
          </m:e>
        </m:acc>
      </m:oMath>
      <w:r>
        <w:t xml:space="preserve">, the left eigenvector of </w:t>
      </w:r>
      <m:oMath>
        <m:acc>
          <m:accPr>
            <m:ctrlPr>
              <w:rPr>
                <w:rFonts w:ascii="Cambria Math" w:hAnsi="Cambria Math"/>
              </w:rPr>
            </m:ctrlPr>
          </m:accPr>
          <m:e>
            <m:r>
              <w:rPr>
                <w:rFonts w:ascii="Cambria Math" w:hAnsi="Cambria Math"/>
              </w:rPr>
              <m:t>P</m:t>
            </m:r>
          </m:e>
        </m:acc>
      </m:oMath>
      <w:r>
        <w:t xml:space="preserve"> for eigenvalue one is the left null vector of </w:t>
      </w:r>
      <m:oMath>
        <m:acc>
          <m:accPr>
            <m:ctrlPr>
              <w:rPr>
                <w:rFonts w:ascii="Cambria Math" w:hAnsi="Cambria Math"/>
              </w:rPr>
            </m:ctrlPr>
          </m:accPr>
          <m:e>
            <m:r>
              <w:rPr>
                <w:rFonts w:ascii="Cambria Math" w:hAnsi="Cambria Math"/>
              </w:rPr>
              <m:t>Q</m:t>
            </m:r>
          </m:e>
        </m:acc>
      </m:oMath>
      <w:r>
        <w:t xml:space="preserve">, so that </w:t>
      </w:r>
      <m:oMath>
        <m:r>
          <w:rPr>
            <w:rFonts w:ascii="Cambria Math" w:hAnsi="Cambria Math"/>
          </w:rPr>
          <m:t>π</m:t>
        </m:r>
        <m:acc>
          <m:accPr>
            <m:ctrlPr>
              <w:rPr>
                <w:rFonts w:ascii="Cambria Math" w:hAnsi="Cambria Math"/>
              </w:rPr>
            </m:ctrlPr>
          </m:accPr>
          <m:e>
            <m:r>
              <w:rPr>
                <w:rFonts w:ascii="Cambria Math" w:hAnsi="Cambria Math"/>
              </w:rPr>
              <m:t>Q</m:t>
            </m:r>
          </m:e>
        </m:acc>
        <m:r>
          <m:rPr>
            <m:sty m:val="p"/>
          </m:rPr>
          <w:rPr>
            <w:rFonts w:ascii="Cambria Math" w:hAnsi="Cambria Math"/>
          </w:rPr>
          <m:t>=</m:t>
        </m:r>
        <m:r>
          <w:rPr>
            <w:rFonts w:ascii="Cambria Math" w:hAnsi="Cambria Math"/>
          </w:rPr>
          <m:t>0</m:t>
        </m:r>
      </m:oMath>
      <w:r>
        <w:t xml:space="preserve"> and the stationary distribution of the CTMC coincides with that of the discrete-time chain.</w:t>
      </w:r>
    </w:p>
    <w:p w14:paraId="65E04C11" w14:textId="77777777" w:rsidR="002E4036" w:rsidRDefault="00000000">
      <w:pPr>
        <w:pStyle w:val="BodyText"/>
      </w:pPr>
      <w:r>
        <w:t xml:space="preserve">In state </w:t>
      </w:r>
      <m:oMath>
        <m:r>
          <w:rPr>
            <w:rFonts w:ascii="Cambria Math" w:hAnsi="Cambria Math"/>
          </w:rPr>
          <m:t>i</m:t>
        </m:r>
      </m:oMath>
      <w:r>
        <w:rPr>
          <w:highlight w:val="yellow"/>
        </w:rPr>
        <w:t xml:space="preserve">, </w:t>
      </w:r>
      <w:r>
        <w:t xml:space="preserve">the CTMC waits an exponentially distributed holding time with rate </w:t>
      </w:r>
      <m:oMath>
        <m:sSub>
          <m:sSubPr>
            <m:ctrlPr>
              <w:rPr>
                <w:rFonts w:ascii="Cambria Math" w:hAnsi="Cambria Math"/>
              </w:rPr>
            </m:ctrlPr>
          </m:sSubPr>
          <m:e>
            <m:r>
              <w:rPr>
                <w:rFonts w:ascii="Cambria Math" w:hAnsi="Cambria Math"/>
              </w:rPr>
              <m:t>q</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ii</m:t>
            </m:r>
          </m:sub>
        </m:sSub>
      </m:oMath>
      <w:r>
        <w:t xml:space="preserve"> and mean </w:t>
      </w:r>
      <m:oMath>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i</m:t>
            </m:r>
          </m:sub>
        </m:sSub>
      </m:oMath>
      <w:r>
        <w:t xml:space="preserve">, and then moves to state </w:t>
      </w:r>
      <m:oMath>
        <m:r>
          <w:rPr>
            <w:rFonts w:ascii="Cambria Math" w:hAnsi="Cambria Math"/>
          </w:rPr>
          <m:t>j</m:t>
        </m:r>
        <m:r>
          <m:rPr>
            <m:sty m:val="p"/>
          </m:rPr>
          <w:rPr>
            <w:rFonts w:ascii="Cambria Math" w:hAnsi="Cambria Math"/>
          </w:rPr>
          <m:t>≠</m:t>
        </m:r>
        <m:r>
          <w:rPr>
            <w:rFonts w:ascii="Cambria Math" w:hAnsi="Cambria Math"/>
          </w:rPr>
          <m:t>i</m:t>
        </m:r>
      </m:oMath>
      <w:r>
        <w:t xml:space="preserve"> with probability </w:t>
      </w:r>
      <m:oMath>
        <m:sSub>
          <m:sSubPr>
            <m:ctrlPr>
              <w:rPr>
                <w:rFonts w:ascii="Cambria Math" w:hAnsi="Cambria Math"/>
              </w:rPr>
            </m:ctrlPr>
          </m:sSubPr>
          <m:e>
            <m:r>
              <w:rPr>
                <w:rFonts w:ascii="Cambria Math" w:hAnsi="Cambria Math"/>
              </w:rPr>
              <m:t>q</m:t>
            </m:r>
          </m:e>
          <m:sub>
            <m:r>
              <w:rPr>
                <w:rFonts w:ascii="Cambria Math" w:hAnsi="Cambria Math"/>
              </w:rPr>
              <m:t>ij</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i</m:t>
            </m:r>
          </m:sub>
        </m:sSub>
      </m:oMath>
      <w:r>
        <w:t xml:space="preserve">. The discrete-time chain observed at successive times has a geometric sojourn time </w:t>
      </w:r>
      <m:oMath>
        <m:sSub>
          <m:sSubPr>
            <m:ctrlPr>
              <w:rPr>
                <w:rFonts w:ascii="Cambria Math" w:hAnsi="Cambria Math"/>
              </w:rPr>
            </m:ctrlPr>
          </m:sSubPr>
          <m:e>
            <m:r>
              <w:rPr>
                <w:rFonts w:ascii="Cambria Math" w:hAnsi="Cambria Math"/>
              </w:rPr>
              <m:t>S</m:t>
            </m:r>
          </m:e>
          <m:sub>
            <m:r>
              <w:rPr>
                <w:rFonts w:ascii="Cambria Math" w:hAnsi="Cambria Math"/>
              </w:rPr>
              <m:t>i</m:t>
            </m:r>
          </m:sub>
        </m:sSub>
      </m:oMath>
      <w:r>
        <w:t xml:space="preserve"> (the number of consecutive observations spent in state </w:t>
      </w:r>
      <m:oMath>
        <m:r>
          <w:rPr>
            <w:rFonts w:ascii="Cambria Math" w:hAnsi="Cambria Math"/>
          </w:rPr>
          <m:t>i</m:t>
        </m:r>
      </m:oMath>
      <w:r>
        <w:t>) with</w:t>
      </w:r>
    </w:p>
    <w:p w14:paraId="68D31724" w14:textId="77777777" w:rsidR="002E4036" w:rsidRDefault="00000000">
      <w:pPr>
        <w:pStyle w:val="BodyText"/>
      </w:pPr>
      <m:oMathPara>
        <m:oMathParaPr>
          <m:jc m:val="center"/>
        </m:oMathParaPr>
        <m:oMath>
          <m:r>
            <w:rPr>
              <w:rFonts w:ascii="Cambria Math" w:hAnsi="Cambria Math"/>
            </w:rPr>
            <m:t>E</m:t>
          </m:r>
          <m:d>
            <m:dPr>
              <m:ctrlPr>
                <w:rPr>
                  <w:rFonts w:ascii="Cambria Math" w:hAnsi="Cambria Math"/>
                </w:rPr>
              </m:ctrlPr>
            </m:dPr>
            <m:e>
              <m:sSub>
                <m:sSubPr>
                  <m:ctrlPr>
                    <w:rPr>
                      <w:rFonts w:ascii="Cambria Math" w:hAnsi="Cambria Math"/>
                    </w:rPr>
                  </m:ctrlPr>
                </m:sSubPr>
                <m:e>
                  <m:r>
                    <w:rPr>
                      <w:rFonts w:ascii="Cambria Math" w:hAnsi="Cambria Math"/>
                    </w:rPr>
                    <m:t>S</m:t>
                  </m:r>
                </m:e>
                <m:sub>
                  <m:r>
                    <w:rPr>
                      <w:rFonts w:ascii="Cambria Math" w:hAnsi="Cambria Math"/>
                    </w:rPr>
                    <m:t>i</m:t>
                  </m:r>
                </m:sub>
              </m:sSub>
            </m:e>
          </m:d>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ii</m:t>
                  </m:r>
                </m:sub>
              </m:sSub>
            </m:den>
          </m:f>
          <m:r>
            <m:rPr>
              <m:sty m:val="p"/>
            </m:rPr>
            <w:rPr>
              <w:rFonts w:ascii="Cambria Math" w:hAnsi="Cambria Math"/>
            </w:rPr>
            <m:t>,</m:t>
          </m:r>
          <m:r>
            <w:rPr>
              <w:rFonts w:ascii="Cambria Math" w:hAnsi="Cambria Math"/>
            </w:rPr>
            <m:t>  </m:t>
          </m:r>
          <m:r>
            <m:rPr>
              <m:sty m:val="p"/>
            </m:rPr>
            <w:rPr>
              <w:rFonts w:ascii="Cambria Math" w:hAnsi="Cambria Math"/>
            </w:rPr>
            <m:t>Var</m:t>
          </m:r>
          <m:d>
            <m:dPr>
              <m:ctrlPr>
                <w:rPr>
                  <w:rFonts w:ascii="Cambria Math" w:hAnsi="Cambria Math"/>
                </w:rPr>
              </m:ctrlPr>
            </m:dPr>
            <m:e>
              <m:sSub>
                <m:sSubPr>
                  <m:ctrlPr>
                    <w:rPr>
                      <w:rFonts w:ascii="Cambria Math" w:hAnsi="Cambria Math"/>
                    </w:rPr>
                  </m:ctrlPr>
                </m:sSubPr>
                <m:e>
                  <m:r>
                    <w:rPr>
                      <w:rFonts w:ascii="Cambria Math" w:hAnsi="Cambria Math"/>
                    </w:rPr>
                    <m:t>S</m:t>
                  </m:r>
                </m:e>
                <m:sub>
                  <m:r>
                    <w:rPr>
                      <w:rFonts w:ascii="Cambria Math" w:hAnsi="Cambria Math"/>
                    </w:rPr>
                    <m:t>i</m:t>
                  </m:r>
                </m:sub>
              </m:sSub>
            </m:e>
          </m:d>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ii</m:t>
                  </m:r>
                </m:sub>
              </m:sSub>
            </m:num>
            <m:den>
              <m:sSup>
                <m:sSupPr>
                  <m:ctrlPr>
                    <w:rPr>
                      <w:rFonts w:ascii="Cambria Math" w:hAnsi="Cambria Math"/>
                    </w:rPr>
                  </m:ctrlPr>
                </m:sSupPr>
                <m:e>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ii</m:t>
                          </m:r>
                        </m:sub>
                      </m:sSub>
                    </m:e>
                  </m:d>
                </m:e>
                <m:sup>
                  <m:r>
                    <w:rPr>
                      <w:rFonts w:ascii="Cambria Math" w:hAnsi="Cambria Math"/>
                    </w:rPr>
                    <m:t>2</m:t>
                  </m:r>
                </m:sup>
              </m:sSup>
            </m:den>
          </m:f>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5</m:t>
              </m:r>
            </m:e>
          </m:d>
        </m:oMath>
      </m:oMathPara>
    </w:p>
    <w:p w14:paraId="052BC0A9" w14:textId="77777777" w:rsidR="002E4036" w:rsidRDefault="00000000">
      <w:pPr>
        <w:pStyle w:val="FirstParagraph"/>
      </w:pPr>
      <w:r>
        <w:t xml:space="preserve">and the mean recurrence time of state </w:t>
      </w:r>
      <m:oMath>
        <m:r>
          <w:rPr>
            <w:rFonts w:ascii="Cambria Math" w:hAnsi="Cambria Math"/>
          </w:rPr>
          <m:t>i</m:t>
        </m:r>
      </m:oMath>
      <w:r>
        <w:t xml:space="preserve"> is </w:t>
      </w:r>
      <m:oMath>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π</m:t>
            </m:r>
          </m:e>
          <m:sub>
            <m:r>
              <w:rPr>
                <w:rFonts w:ascii="Cambria Math" w:hAnsi="Cambria Math"/>
              </w:rPr>
              <m:t>i</m:t>
            </m:r>
          </m:sub>
        </m:sSub>
      </m:oMath>
      <w:r>
        <w:t>. Mean first-passage times between states are obtained by solving the standard linear systems for the chain (Norris, 1997).</w:t>
      </w:r>
    </w:p>
    <w:p w14:paraId="7A8ABB2E" w14:textId="77777777" w:rsidR="002E4036" w:rsidRDefault="00000000">
      <w:pPr>
        <w:pStyle w:val="Heading2"/>
      </w:pPr>
      <w:bookmarkStart w:id="4" w:name="X932f42bf627eb5406517c3e9780e9d822991075"/>
      <w:bookmarkEnd w:id="3"/>
      <w:r>
        <w:lastRenderedPageBreak/>
        <w:t>2.3 F-distribution-based exact inference and tests of dependence</w:t>
      </w:r>
    </w:p>
    <w:p w14:paraId="373BBEDC" w14:textId="77777777" w:rsidR="002E4036" w:rsidRDefault="00000000">
      <w:pPr>
        <w:pStyle w:val="FirstParagraph"/>
      </w:pPr>
      <w:r>
        <w:t xml:space="preserve">For each row </w:t>
      </w:r>
      <m:oMath>
        <m:r>
          <w:rPr>
            <w:rFonts w:ascii="Cambria Math" w:hAnsi="Cambria Math"/>
          </w:rPr>
          <m:t>i</m:t>
        </m:r>
      </m:oMath>
      <w:r>
        <w:t xml:space="preserve">, </w:t>
      </w:r>
      <m:oMath>
        <m:sSub>
          <m:sSubPr>
            <m:ctrlPr>
              <w:rPr>
                <w:rFonts w:ascii="Cambria Math" w:hAnsi="Cambria Math"/>
              </w:rPr>
            </m:ctrlPr>
          </m:sSubPr>
          <m:e>
            <m:r>
              <w:rPr>
                <w:rFonts w:ascii="Cambria Math" w:hAnsi="Cambria Math"/>
              </w:rPr>
              <m:t>n</m:t>
            </m:r>
          </m:e>
          <m:sub>
            <m:r>
              <w:rPr>
                <w:rFonts w:ascii="Cambria Math" w:hAnsi="Cambria Math"/>
              </w:rPr>
              <m:t>ij</m:t>
            </m:r>
          </m:sub>
        </m:sSub>
      </m:oMath>
      <w:r>
        <w:t xml:space="preserve"> is binomial with </w:t>
      </w:r>
      <m:oMath>
        <m:sSub>
          <m:sSubPr>
            <m:ctrlPr>
              <w:rPr>
                <w:rFonts w:ascii="Cambria Math" w:hAnsi="Cambria Math"/>
              </w:rPr>
            </m:ctrlPr>
          </m:sSubPr>
          <m:e>
            <m:r>
              <w:rPr>
                <w:rFonts w:ascii="Cambria Math" w:hAnsi="Cambria Math"/>
              </w:rPr>
              <m:t>n</m:t>
            </m:r>
          </m:e>
          <m:sub>
            <m:r>
              <w:rPr>
                <w:rFonts w:ascii="Cambria Math" w:hAnsi="Cambria Math"/>
              </w:rPr>
              <m:t>i</m:t>
            </m:r>
            <m:r>
              <m:rPr>
                <m:sty m:val="p"/>
              </m:rPr>
              <w:rPr>
                <w:rFonts w:ascii="Cambria Math" w:hAnsi="Cambria Math"/>
              </w:rPr>
              <m:t>⋅</m:t>
            </m:r>
          </m:sub>
        </m:sSub>
      </m:oMath>
      <w:r>
        <w:t xml:space="preserve"> trials and success probability </w:t>
      </w:r>
      <m:oMath>
        <m:sSub>
          <m:sSubPr>
            <m:ctrlPr>
              <w:rPr>
                <w:rFonts w:ascii="Cambria Math" w:hAnsi="Cambria Math"/>
              </w:rPr>
            </m:ctrlPr>
          </m:sSubPr>
          <m:e>
            <m:r>
              <w:rPr>
                <w:rFonts w:ascii="Cambria Math" w:hAnsi="Cambria Math"/>
              </w:rPr>
              <m:t>p</m:t>
            </m:r>
          </m:e>
          <m:sub>
            <m:r>
              <w:rPr>
                <w:rFonts w:ascii="Cambria Math" w:hAnsi="Cambria Math"/>
              </w:rPr>
              <m:t>ij</m:t>
            </m:r>
          </m:sub>
        </m:sSub>
      </m:oMath>
      <w:r>
        <w:t xml:space="preserve">. Let </w:t>
      </w:r>
      <m:oMath>
        <m:r>
          <w:rPr>
            <w:rFonts w:ascii="Cambria Math" w:hAnsi="Cambria Math"/>
          </w:rPr>
          <m:t>x</m:t>
        </m:r>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ij</m:t>
            </m:r>
          </m:sub>
        </m:sSub>
      </m:oMath>
      <w:r>
        <w:t xml:space="preserve"> and </w:t>
      </w:r>
      <m:oMath>
        <m:r>
          <w:rPr>
            <w:rFonts w:ascii="Cambria Math" w:hAnsi="Cambria Math"/>
          </w:rPr>
          <m:t>m</m:t>
        </m:r>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i</m:t>
            </m:r>
            <m:r>
              <m:rPr>
                <m:sty m:val="p"/>
              </m:rPr>
              <w:rPr>
                <w:rFonts w:ascii="Cambria Math" w:hAnsi="Cambria Math"/>
              </w:rPr>
              <m:t>⋅</m:t>
            </m:r>
          </m:sub>
        </m:sSub>
      </m:oMath>
      <w:r>
        <w:t xml:space="preserve">. The exact two-sided </w:t>
      </w:r>
      <m:oMath>
        <m:r>
          <w:rPr>
            <w:rFonts w:ascii="Cambria Math" w:hAnsi="Cambria Math"/>
          </w:rPr>
          <m:t>100</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α</m:t>
            </m:r>
          </m:e>
        </m:d>
        <m:r>
          <m:rPr>
            <m:sty m:val="p"/>
          </m:rPr>
          <w:rPr>
            <w:rFonts w:ascii="Cambria Math" w:hAnsi="Cambria Math"/>
          </w:rPr>
          <m:t>%</m:t>
        </m:r>
      </m:oMath>
      <w:r>
        <w:t xml:space="preserve"> confidence limits of Clopper and Pearson (1934) can be written in terms of quantiles </w:t>
      </w:r>
      <m:oMath>
        <m:sSub>
          <m:sSubPr>
            <m:ctrlPr>
              <w:rPr>
                <w:rFonts w:ascii="Cambria Math" w:hAnsi="Cambria Math"/>
              </w:rPr>
            </m:ctrlPr>
          </m:sSubPr>
          <m:e>
            <m:r>
              <w:rPr>
                <w:rFonts w:ascii="Cambria Math" w:hAnsi="Cambria Math"/>
              </w:rPr>
              <m:t>F</m:t>
            </m:r>
          </m:e>
          <m:sub>
            <m:r>
              <w:rPr>
                <w:rFonts w:ascii="Cambria Math" w:hAnsi="Cambria Math"/>
              </w:rPr>
              <m:t>q</m:t>
            </m:r>
          </m:sub>
        </m:sSub>
        <m:d>
          <m:dPr>
            <m:ctrlPr>
              <w:rPr>
                <w:rFonts w:ascii="Cambria Math" w:hAnsi="Cambria Math"/>
              </w:rPr>
            </m:ctrlPr>
          </m:dPr>
          <m:e>
            <m:sSub>
              <m:sSubPr>
                <m:ctrlPr>
                  <w:rPr>
                    <w:rFonts w:ascii="Cambria Math" w:hAnsi="Cambria Math"/>
                  </w:rPr>
                </m:ctrlPr>
              </m:sSubPr>
              <m:e>
                <m:r>
                  <w:rPr>
                    <w:rFonts w:ascii="Cambria Math" w:hAnsi="Cambria Math"/>
                  </w:rPr>
                  <m:t>ν</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ν</m:t>
                </m:r>
              </m:e>
              <m:sub>
                <m:r>
                  <w:rPr>
                    <w:rFonts w:ascii="Cambria Math" w:hAnsi="Cambria Math"/>
                  </w:rPr>
                  <m:t>2</m:t>
                </m:r>
              </m:sub>
            </m:sSub>
          </m:e>
        </m:d>
      </m:oMath>
      <w:r>
        <w:t xml:space="preserve"> of Snedecor’s F-distribution with </w:t>
      </w:r>
      <m:oMath>
        <m:sSub>
          <m:sSubPr>
            <m:ctrlPr>
              <w:rPr>
                <w:rFonts w:ascii="Cambria Math" w:hAnsi="Cambria Math"/>
              </w:rPr>
            </m:ctrlPr>
          </m:sSubPr>
          <m:e>
            <m:r>
              <w:rPr>
                <w:rFonts w:ascii="Cambria Math" w:hAnsi="Cambria Math"/>
              </w:rPr>
              <m:t>ν</m:t>
            </m:r>
          </m:e>
          <m:sub>
            <m:r>
              <w:rPr>
                <w:rFonts w:ascii="Cambria Math" w:hAnsi="Cambria Math"/>
              </w:rPr>
              <m:t>1</m:t>
            </m:r>
          </m:sub>
        </m:sSub>
      </m:oMath>
      <w:r>
        <w:t xml:space="preserve"> and </w:t>
      </w:r>
      <m:oMath>
        <m:sSub>
          <m:sSubPr>
            <m:ctrlPr>
              <w:rPr>
                <w:rFonts w:ascii="Cambria Math" w:hAnsi="Cambria Math"/>
              </w:rPr>
            </m:ctrlPr>
          </m:sSubPr>
          <m:e>
            <m:r>
              <w:rPr>
                <w:rFonts w:ascii="Cambria Math" w:hAnsi="Cambria Math"/>
              </w:rPr>
              <m:t>ν</m:t>
            </m:r>
          </m:e>
          <m:sub>
            <m:r>
              <w:rPr>
                <w:rFonts w:ascii="Cambria Math" w:hAnsi="Cambria Math"/>
              </w:rPr>
              <m:t>2</m:t>
            </m:r>
          </m:sub>
        </m:sSub>
      </m:oMath>
      <w:r>
        <w:t xml:space="preserve"> degrees of freedom:</w:t>
      </w:r>
    </w:p>
    <w:p w14:paraId="0A15CE2C" w14:textId="77777777" w:rsidR="002E4036" w:rsidRDefault="00000000">
      <w:pPr>
        <w:pStyle w:val="BodyText"/>
      </w:pPr>
      <m:oMathPara>
        <m:oMathParaPr>
          <m:jc m:val="center"/>
        </m:oMathParaPr>
        <m:oMath>
          <m:sSub>
            <m:sSubPr>
              <m:ctrlPr>
                <w:rPr>
                  <w:rFonts w:ascii="Cambria Math" w:hAnsi="Cambria Math"/>
                </w:rPr>
              </m:ctrlPr>
            </m:sSubPr>
            <m:e>
              <m:r>
                <w:rPr>
                  <w:rFonts w:ascii="Cambria Math" w:hAnsi="Cambria Math"/>
                </w:rPr>
                <m:t>p</m:t>
              </m:r>
            </m:e>
            <m:sub>
              <m:r>
                <w:rPr>
                  <w:rFonts w:ascii="Cambria Math" w:hAnsi="Cambria Math"/>
                </w:rPr>
                <m:t>L</m:t>
              </m:r>
            </m:sub>
          </m:sSub>
          <m:r>
            <m:rPr>
              <m:sty m:val="p"/>
            </m:rPr>
            <w:rPr>
              <w:rFonts w:ascii="Cambria Math" w:hAnsi="Cambria Math"/>
            </w:rPr>
            <m:t>=</m:t>
          </m:r>
          <m:f>
            <m:fPr>
              <m:ctrlPr>
                <w:rPr>
                  <w:rFonts w:ascii="Cambria Math" w:hAnsi="Cambria Math"/>
                </w:rPr>
              </m:ctrlPr>
            </m:fPr>
            <m:num>
              <m:r>
                <w:rPr>
                  <w:rFonts w:ascii="Cambria Math" w:hAnsi="Cambria Math"/>
                </w:rPr>
                <m:t>x</m:t>
              </m:r>
            </m:num>
            <m:den>
              <m:r>
                <w:rPr>
                  <w:rFonts w:ascii="Cambria Math" w:hAnsi="Cambria Math"/>
                </w:rPr>
                <m:t>x</m:t>
              </m:r>
              <m:r>
                <m:rPr>
                  <m:sty m:val="p"/>
                </m:rPr>
                <w:rPr>
                  <w:rFonts w:ascii="Cambria Math" w:hAnsi="Cambria Math"/>
                </w:rPr>
                <m:t>+</m:t>
              </m:r>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1</m:t>
                  </m:r>
                </m:e>
              </m:d>
              <m:r>
                <w:rPr>
                  <w:rFonts w:ascii="Cambria Math" w:hAnsi="Cambria Math"/>
                </w:rPr>
                <m:t> </m:t>
              </m:r>
              <m:sSub>
                <m:sSubPr>
                  <m:ctrlPr>
                    <w:rPr>
                      <w:rFonts w:ascii="Cambria Math" w:hAnsi="Cambria Math"/>
                    </w:rPr>
                  </m:ctrlPr>
                </m:sSubPr>
                <m:e>
                  <m:r>
                    <w:rPr>
                      <w:rFonts w:ascii="Cambria Math" w:hAnsi="Cambria Math"/>
                    </w:rPr>
                    <m:t>F</m:t>
                  </m:r>
                </m:e>
                <m:sub>
                  <m:r>
                    <w:rPr>
                      <w:rFonts w:ascii="Cambria Math" w:hAnsi="Cambria Math"/>
                    </w:rPr>
                    <m:t>1</m:t>
                  </m:r>
                  <m:r>
                    <m:rPr>
                      <m:sty m:val="p"/>
                    </m:rPr>
                    <w:rPr>
                      <w:rFonts w:ascii="Cambria Math" w:hAnsi="Cambria Math"/>
                    </w:rPr>
                    <m:t>-</m:t>
                  </m:r>
                  <m:r>
                    <w:rPr>
                      <w:rFonts w:ascii="Cambria Math" w:hAnsi="Cambria Math"/>
                    </w:rPr>
                    <m:t>α</m:t>
                  </m:r>
                  <m:r>
                    <m:rPr>
                      <m:sty m:val="p"/>
                    </m:rPr>
                    <w:rPr>
                      <w:rFonts w:ascii="Cambria Math" w:hAnsi="Cambria Math"/>
                    </w:rPr>
                    <m:t>/</m:t>
                  </m:r>
                  <m:r>
                    <w:rPr>
                      <w:rFonts w:ascii="Cambria Math" w:hAnsi="Cambria Math"/>
                    </w:rPr>
                    <m:t>2</m:t>
                  </m:r>
                </m:sub>
              </m:sSub>
              <m:d>
                <m:dPr>
                  <m:ctrlPr>
                    <w:rPr>
                      <w:rFonts w:ascii="Cambria Math" w:hAnsi="Cambria Math"/>
                    </w:rPr>
                  </m:ctrlPr>
                </m:dPr>
                <m:e>
                  <m:r>
                    <w:rPr>
                      <w:rFonts w:ascii="Cambria Math" w:hAnsi="Cambria Math"/>
                    </w:rPr>
                    <m:t>2</m:t>
                  </m:r>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1</m:t>
                      </m:r>
                    </m:e>
                  </m:d>
                  <m:r>
                    <m:rPr>
                      <m:sty m:val="p"/>
                    </m:rPr>
                    <w:rPr>
                      <w:rFonts w:ascii="Cambria Math" w:hAnsi="Cambria Math"/>
                    </w:rPr>
                    <m:t>,</m:t>
                  </m:r>
                  <m:r>
                    <w:rPr>
                      <w:rFonts w:ascii="Cambria Math" w:hAnsi="Cambria Math"/>
                    </w:rPr>
                    <m:t> 2x</m:t>
                  </m:r>
                </m:e>
              </m:d>
            </m:den>
          </m:f>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6</m:t>
              </m:r>
              <m:r>
                <m:rPr>
                  <m:sty m:val="p"/>
                </m:rPr>
                <w:rPr>
                  <w:rFonts w:ascii="Cambria Math" w:hAnsi="Cambria Math"/>
                </w:rPr>
                <m:t>a</m:t>
              </m:r>
            </m:e>
          </m:d>
        </m:oMath>
      </m:oMathPara>
    </w:p>
    <w:p w14:paraId="01933612" w14:textId="77777777" w:rsidR="002E4036" w:rsidRDefault="00000000">
      <w:pPr>
        <w:pStyle w:val="FirstParagraph"/>
      </w:pPr>
      <m:oMathPara>
        <m:oMathParaPr>
          <m:jc m:val="center"/>
        </m:oMathParaPr>
        <m:oMath>
          <m:sSub>
            <m:sSubPr>
              <m:ctrlPr>
                <w:rPr>
                  <w:rFonts w:ascii="Cambria Math" w:hAnsi="Cambria Math"/>
                </w:rPr>
              </m:ctrlPr>
            </m:sSubPr>
            <m:e>
              <m:r>
                <w:rPr>
                  <w:rFonts w:ascii="Cambria Math" w:hAnsi="Cambria Math"/>
                </w:rPr>
                <m:t>p</m:t>
              </m:r>
            </m:e>
            <m:sub>
              <m:r>
                <w:rPr>
                  <w:rFonts w:ascii="Cambria Math" w:hAnsi="Cambria Math"/>
                </w:rPr>
                <m:t>U</m:t>
              </m:r>
            </m:sub>
          </m:sSub>
          <m:r>
            <m:rPr>
              <m:sty m:val="p"/>
            </m:rPr>
            <w:rPr>
              <w:rFonts w:ascii="Cambria Math" w:hAnsi="Cambria Math"/>
            </w:rPr>
            <m:t>=</m:t>
          </m:r>
          <m:f>
            <m:fPr>
              <m:ctrlPr>
                <w:rPr>
                  <w:rFonts w:ascii="Cambria Math" w:hAnsi="Cambria Math"/>
                </w:rPr>
              </m:ctrlPr>
            </m:fPr>
            <m:num>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1</m:t>
                  </m:r>
                </m:e>
              </m:d>
              <m:r>
                <w:rPr>
                  <w:rFonts w:ascii="Cambria Math" w:hAnsi="Cambria Math"/>
                </w:rPr>
                <m:t> </m:t>
              </m:r>
              <m:sSub>
                <m:sSubPr>
                  <m:ctrlPr>
                    <w:rPr>
                      <w:rFonts w:ascii="Cambria Math" w:hAnsi="Cambria Math"/>
                    </w:rPr>
                  </m:ctrlPr>
                </m:sSubPr>
                <m:e>
                  <m:r>
                    <w:rPr>
                      <w:rFonts w:ascii="Cambria Math" w:hAnsi="Cambria Math"/>
                    </w:rPr>
                    <m:t>F</m:t>
                  </m:r>
                </m:e>
                <m:sub>
                  <m:r>
                    <w:rPr>
                      <w:rFonts w:ascii="Cambria Math" w:hAnsi="Cambria Math"/>
                    </w:rPr>
                    <m:t>1</m:t>
                  </m:r>
                  <m:r>
                    <m:rPr>
                      <m:sty m:val="p"/>
                    </m:rPr>
                    <w:rPr>
                      <w:rFonts w:ascii="Cambria Math" w:hAnsi="Cambria Math"/>
                    </w:rPr>
                    <m:t>-</m:t>
                  </m:r>
                  <m:r>
                    <w:rPr>
                      <w:rFonts w:ascii="Cambria Math" w:hAnsi="Cambria Math"/>
                    </w:rPr>
                    <m:t>α</m:t>
                  </m:r>
                  <m:r>
                    <m:rPr>
                      <m:sty m:val="p"/>
                    </m:rPr>
                    <w:rPr>
                      <w:rFonts w:ascii="Cambria Math" w:hAnsi="Cambria Math"/>
                    </w:rPr>
                    <m:t>/</m:t>
                  </m:r>
                  <m:r>
                    <w:rPr>
                      <w:rFonts w:ascii="Cambria Math" w:hAnsi="Cambria Math"/>
                    </w:rPr>
                    <m:t>2</m:t>
                  </m:r>
                </m:sub>
              </m:sSub>
              <m:d>
                <m:dPr>
                  <m:ctrlPr>
                    <w:rPr>
                      <w:rFonts w:ascii="Cambria Math" w:hAnsi="Cambria Math"/>
                    </w:rPr>
                  </m:ctrlPr>
                </m:dPr>
                <m:e>
                  <m:r>
                    <w:rPr>
                      <w:rFonts w:ascii="Cambria Math" w:hAnsi="Cambria Math"/>
                    </w:rPr>
                    <m:t>2</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1</m:t>
                      </m:r>
                    </m:e>
                  </m:d>
                  <m:r>
                    <m:rPr>
                      <m:sty m:val="p"/>
                    </m:rPr>
                    <w:rPr>
                      <w:rFonts w:ascii="Cambria Math" w:hAnsi="Cambria Math"/>
                    </w:rPr>
                    <m:t>,</m:t>
                  </m:r>
                  <m:r>
                    <w:rPr>
                      <w:rFonts w:ascii="Cambria Math" w:hAnsi="Cambria Math"/>
                    </w:rPr>
                    <m:t> 2</m:t>
                  </m:r>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x</m:t>
                      </m:r>
                    </m:e>
                  </m:d>
                </m:e>
              </m:d>
            </m:num>
            <m:den>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x</m:t>
                  </m:r>
                </m:e>
              </m:d>
              <m:r>
                <m:rPr>
                  <m:sty m:val="p"/>
                </m:rPr>
                <w:rPr>
                  <w:rFonts w:ascii="Cambria Math" w:hAnsi="Cambria Math"/>
                </w:rPr>
                <m:t>+</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1</m:t>
                  </m:r>
                </m:e>
              </m:d>
              <m:r>
                <w:rPr>
                  <w:rFonts w:ascii="Cambria Math" w:hAnsi="Cambria Math"/>
                </w:rPr>
                <m:t> </m:t>
              </m:r>
              <m:sSub>
                <m:sSubPr>
                  <m:ctrlPr>
                    <w:rPr>
                      <w:rFonts w:ascii="Cambria Math" w:hAnsi="Cambria Math"/>
                    </w:rPr>
                  </m:ctrlPr>
                </m:sSubPr>
                <m:e>
                  <m:r>
                    <w:rPr>
                      <w:rFonts w:ascii="Cambria Math" w:hAnsi="Cambria Math"/>
                    </w:rPr>
                    <m:t>F</m:t>
                  </m:r>
                </m:e>
                <m:sub>
                  <m:r>
                    <w:rPr>
                      <w:rFonts w:ascii="Cambria Math" w:hAnsi="Cambria Math"/>
                    </w:rPr>
                    <m:t>1</m:t>
                  </m:r>
                  <m:r>
                    <m:rPr>
                      <m:sty m:val="p"/>
                    </m:rPr>
                    <w:rPr>
                      <w:rFonts w:ascii="Cambria Math" w:hAnsi="Cambria Math"/>
                    </w:rPr>
                    <m:t>-</m:t>
                  </m:r>
                  <m:r>
                    <w:rPr>
                      <w:rFonts w:ascii="Cambria Math" w:hAnsi="Cambria Math"/>
                    </w:rPr>
                    <m:t>α</m:t>
                  </m:r>
                  <m:r>
                    <m:rPr>
                      <m:sty m:val="p"/>
                    </m:rPr>
                    <w:rPr>
                      <w:rFonts w:ascii="Cambria Math" w:hAnsi="Cambria Math"/>
                    </w:rPr>
                    <m:t>/</m:t>
                  </m:r>
                  <m:r>
                    <w:rPr>
                      <w:rFonts w:ascii="Cambria Math" w:hAnsi="Cambria Math"/>
                    </w:rPr>
                    <m:t>2</m:t>
                  </m:r>
                </m:sub>
              </m:sSub>
              <m:d>
                <m:dPr>
                  <m:ctrlPr>
                    <w:rPr>
                      <w:rFonts w:ascii="Cambria Math" w:hAnsi="Cambria Math"/>
                    </w:rPr>
                  </m:ctrlPr>
                </m:dPr>
                <m:e>
                  <m:r>
                    <w:rPr>
                      <w:rFonts w:ascii="Cambria Math" w:hAnsi="Cambria Math"/>
                    </w:rPr>
                    <m:t>2</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1</m:t>
                      </m:r>
                    </m:e>
                  </m:d>
                  <m:r>
                    <m:rPr>
                      <m:sty m:val="p"/>
                    </m:rPr>
                    <w:rPr>
                      <w:rFonts w:ascii="Cambria Math" w:hAnsi="Cambria Math"/>
                    </w:rPr>
                    <m:t>,</m:t>
                  </m:r>
                  <m:r>
                    <w:rPr>
                      <w:rFonts w:ascii="Cambria Math" w:hAnsi="Cambria Math"/>
                    </w:rPr>
                    <m:t> 2</m:t>
                  </m:r>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x</m:t>
                      </m:r>
                    </m:e>
                  </m:d>
                </m:e>
              </m:d>
            </m:den>
          </m:f>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6</m:t>
              </m:r>
              <m:r>
                <m:rPr>
                  <m:sty m:val="p"/>
                </m:rPr>
                <w:rPr>
                  <w:rFonts w:ascii="Cambria Math" w:hAnsi="Cambria Math"/>
                </w:rPr>
                <m:t>b</m:t>
              </m:r>
            </m:e>
          </m:d>
        </m:oMath>
      </m:oMathPara>
    </w:p>
    <w:p w14:paraId="078DF9FA" w14:textId="77777777" w:rsidR="002E4036" w:rsidRDefault="00000000">
      <w:pPr>
        <w:pStyle w:val="FirstParagraph"/>
      </w:pPr>
      <w:r>
        <w:t xml:space="preserve">The limits are </w:t>
      </w:r>
      <m:oMath>
        <m:sSub>
          <m:sSubPr>
            <m:ctrlPr>
              <w:rPr>
                <w:rFonts w:ascii="Cambria Math" w:hAnsi="Cambria Math"/>
              </w:rPr>
            </m:ctrlPr>
          </m:sSubPr>
          <m:e>
            <m:r>
              <w:rPr>
                <w:rFonts w:ascii="Cambria Math" w:hAnsi="Cambria Math"/>
              </w:rPr>
              <m:t>p</m:t>
            </m:r>
          </m:e>
          <m:sub>
            <m:r>
              <w:rPr>
                <w:rFonts w:ascii="Cambria Math" w:hAnsi="Cambria Math"/>
              </w:rPr>
              <m:t>L</m:t>
            </m:r>
          </m:sub>
        </m:sSub>
        <m:r>
          <m:rPr>
            <m:sty m:val="p"/>
          </m:rPr>
          <w:rPr>
            <w:rFonts w:ascii="Cambria Math" w:hAnsi="Cambria Math"/>
          </w:rPr>
          <m:t>=</m:t>
        </m:r>
        <m:r>
          <w:rPr>
            <w:rFonts w:ascii="Cambria Math" w:hAnsi="Cambria Math"/>
          </w:rPr>
          <m:t>0</m:t>
        </m:r>
      </m:oMath>
      <w:r>
        <w:t xml:space="preserve"> if </w:t>
      </w:r>
      <m:oMath>
        <m:r>
          <w:rPr>
            <w:rFonts w:ascii="Cambria Math" w:hAnsi="Cambria Math"/>
          </w:rPr>
          <m:t>x</m:t>
        </m:r>
        <m:r>
          <m:rPr>
            <m:sty m:val="p"/>
          </m:rPr>
          <w:rPr>
            <w:rFonts w:ascii="Cambria Math" w:hAnsi="Cambria Math"/>
          </w:rPr>
          <m:t>=</m:t>
        </m:r>
        <m:r>
          <w:rPr>
            <w:rFonts w:ascii="Cambria Math" w:hAnsi="Cambria Math"/>
          </w:rPr>
          <m:t>0</m:t>
        </m:r>
      </m:oMath>
      <w:r>
        <w:t xml:space="preserve"> and </w:t>
      </w:r>
      <m:oMath>
        <m:sSub>
          <m:sSubPr>
            <m:ctrlPr>
              <w:rPr>
                <w:rFonts w:ascii="Cambria Math" w:hAnsi="Cambria Math"/>
              </w:rPr>
            </m:ctrlPr>
          </m:sSubPr>
          <m:e>
            <m:r>
              <w:rPr>
                <w:rFonts w:ascii="Cambria Math" w:hAnsi="Cambria Math"/>
              </w:rPr>
              <m:t>p</m:t>
            </m:r>
          </m:e>
          <m:sub>
            <m:r>
              <w:rPr>
                <w:rFonts w:ascii="Cambria Math" w:hAnsi="Cambria Math"/>
              </w:rPr>
              <m:t>U</m:t>
            </m:r>
          </m:sub>
        </m:sSub>
        <m:r>
          <m:rPr>
            <m:sty m:val="p"/>
          </m:rPr>
          <w:rPr>
            <w:rFonts w:ascii="Cambria Math" w:hAnsi="Cambria Math"/>
          </w:rPr>
          <m:t>=</m:t>
        </m:r>
        <m:r>
          <w:rPr>
            <w:rFonts w:ascii="Cambria Math" w:hAnsi="Cambria Math"/>
          </w:rPr>
          <m:t>1</m:t>
        </m:r>
      </m:oMath>
      <w:r>
        <w:t xml:space="preserve"> if </w:t>
      </w:r>
      <m:oMath>
        <m:r>
          <w:rPr>
            <w:rFonts w:ascii="Cambria Math" w:hAnsi="Cambria Math"/>
          </w:rPr>
          <m:t>x</m:t>
        </m:r>
        <m:r>
          <m:rPr>
            <m:sty m:val="p"/>
          </m:rPr>
          <w:rPr>
            <w:rFonts w:ascii="Cambria Math" w:hAnsi="Cambria Math"/>
          </w:rPr>
          <m:t>=</m:t>
        </m:r>
        <m:r>
          <w:rPr>
            <w:rFonts w:ascii="Cambria Math" w:hAnsi="Cambria Math"/>
          </w:rPr>
          <m:t>m</m:t>
        </m:r>
      </m:oMath>
      <w:r>
        <w:t>. They were verified to agree, to at least nine decimal places, with the equivalent beta-quantile form. Because each row of the estimated matrix has several hundred observations, the intervals are informative, and their exactness protects the coverage without relying on a normal approximation.</w:t>
      </w:r>
    </w:p>
    <w:p w14:paraId="6CBBB074" w14:textId="77777777" w:rsidR="002E4036" w:rsidRDefault="00000000">
      <w:pPr>
        <w:pStyle w:val="BodyText"/>
      </w:pPr>
      <w:r>
        <w:t xml:space="preserve">To test whether consecutive states are dependent, the null hypothesis that the next state is independent of the current state (a zero-order chain) is tested against a first-order chain using the contingency-table statistics of Anderson and Goodman (1957). With expected counts </w:t>
      </w:r>
      <m:oMath>
        <m:sSub>
          <m:sSubPr>
            <m:ctrlPr>
              <w:rPr>
                <w:rFonts w:ascii="Cambria Math" w:hAnsi="Cambria Math"/>
              </w:rPr>
            </m:ctrlPr>
          </m:sSubPr>
          <m:e>
            <m:r>
              <w:rPr>
                <w:rFonts w:ascii="Cambria Math" w:hAnsi="Cambria Math"/>
              </w:rPr>
              <m:t>e</m:t>
            </m:r>
          </m:e>
          <m:sub>
            <m:r>
              <w:rPr>
                <w:rFonts w:ascii="Cambria Math" w:hAnsi="Cambria Math"/>
              </w:rPr>
              <m:t>ij</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i</m:t>
            </m:r>
            <m:r>
              <m:rPr>
                <m:sty m:val="p"/>
              </m:rPr>
              <w:rPr>
                <w:rFonts w:ascii="Cambria Math" w:hAnsi="Cambria Math"/>
              </w:rPr>
              <m:t>⋅</m:t>
            </m:r>
          </m:sub>
        </m:sSub>
        <m:sSub>
          <m:sSubPr>
            <m:ctrlPr>
              <w:rPr>
                <w:rFonts w:ascii="Cambria Math" w:hAnsi="Cambria Math"/>
              </w:rPr>
            </m:ctrlPr>
          </m:sSubPr>
          <m:e>
            <m:r>
              <w:rPr>
                <w:rFonts w:ascii="Cambria Math" w:hAnsi="Cambria Math"/>
              </w:rPr>
              <m:t>n</m:t>
            </m:r>
          </m:e>
          <m:sub>
            <m:r>
              <m:rPr>
                <m:sty m:val="p"/>
              </m:rPr>
              <w:rPr>
                <w:rFonts w:ascii="Cambria Math" w:hAnsi="Cambria Math"/>
              </w:rPr>
              <m:t>⋅</m:t>
            </m:r>
            <m:r>
              <w:rPr>
                <w:rFonts w:ascii="Cambria Math" w:hAnsi="Cambria Math"/>
              </w:rPr>
              <m:t>j</m:t>
            </m:r>
          </m:sub>
        </m:sSub>
        <m:r>
          <m:rPr>
            <m:sty m:val="p"/>
          </m:rPr>
          <w:rPr>
            <w:rFonts w:ascii="Cambria Math" w:hAnsi="Cambria Math"/>
          </w:rPr>
          <m:t>/</m:t>
        </m:r>
        <m:r>
          <w:rPr>
            <w:rFonts w:ascii="Cambria Math" w:hAnsi="Cambria Math"/>
          </w:rPr>
          <m:t>n</m:t>
        </m:r>
      </m:oMath>
      <w:r>
        <w:t xml:space="preserve">, where </w:t>
      </w:r>
      <m:oMath>
        <m:r>
          <w:rPr>
            <w:rFonts w:ascii="Cambria Math" w:hAnsi="Cambria Math"/>
          </w:rPr>
          <m:t>n</m:t>
        </m:r>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j</m:t>
            </m:r>
          </m:sub>
          <m:sup>
            <m:r>
              <w:rPr>
                <w:rFonts w:ascii="Cambria Math" w:hAnsi="Cambria Math"/>
              </w:rPr>
              <m:t>​</m:t>
            </m:r>
          </m:sup>
          <m:e>
            <m:sSub>
              <m:sSubPr>
                <m:ctrlPr>
                  <w:rPr>
                    <w:rFonts w:ascii="Cambria Math" w:hAnsi="Cambria Math"/>
                  </w:rPr>
                </m:ctrlPr>
              </m:sSubPr>
              <m:e>
                <m:r>
                  <w:rPr>
                    <w:rFonts w:ascii="Cambria Math" w:hAnsi="Cambria Math"/>
                  </w:rPr>
                  <m:t>n</m:t>
                </m:r>
              </m:e>
              <m:sub>
                <m:r>
                  <w:rPr>
                    <w:rFonts w:ascii="Cambria Math" w:hAnsi="Cambria Math"/>
                  </w:rPr>
                  <m:t>ij</m:t>
                </m:r>
              </m:sub>
            </m:sSub>
          </m:e>
        </m:nary>
      </m:oMath>
      <w:r>
        <w:t>, the Pearson and likelihood-ratio statistics are</w:t>
      </w:r>
    </w:p>
    <w:p w14:paraId="776D462A" w14:textId="77777777" w:rsidR="002E4036" w:rsidRDefault="00000000">
      <w:pPr>
        <w:pStyle w:val="BodyText"/>
      </w:pPr>
      <m:oMathPara>
        <m:oMathParaPr>
          <m:jc m:val="center"/>
        </m:oMathParaPr>
        <m:oMath>
          <m:sSup>
            <m:sSupPr>
              <m:ctrlPr>
                <w:rPr>
                  <w:rFonts w:ascii="Cambria Math" w:hAnsi="Cambria Math"/>
                </w:rPr>
              </m:ctrlPr>
            </m:sSupPr>
            <m:e>
              <m:r>
                <w:rPr>
                  <w:rFonts w:ascii="Cambria Math" w:hAnsi="Cambria Math"/>
                </w:rPr>
                <m:t>X</m:t>
              </m:r>
            </m:e>
            <m:sup>
              <m:r>
                <w:rPr>
                  <w:rFonts w:ascii="Cambria Math" w:hAnsi="Cambria Math"/>
                </w:rPr>
                <m:t>2</m:t>
              </m:r>
            </m:sup>
          </m:sSup>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j</m:t>
              </m:r>
            </m:sub>
            <m:sup>
              <m:r>
                <w:rPr>
                  <w:rFonts w:ascii="Cambria Math" w:hAnsi="Cambria Math"/>
                </w:rPr>
                <m:t>​</m:t>
              </m:r>
            </m:sup>
            <m:e>
              <m:f>
                <m:fPr>
                  <m:ctrlPr>
                    <w:rPr>
                      <w:rFonts w:ascii="Cambria Math" w:hAnsi="Cambria Math"/>
                    </w:rPr>
                  </m:ctrlPr>
                </m:fPr>
                <m:num>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ij</m:t>
                              </m:r>
                            </m:sub>
                          </m:sSub>
                          <m:r>
                            <m:rPr>
                              <m:sty m:val="p"/>
                            </m:rP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ij</m:t>
                              </m:r>
                            </m:sub>
                          </m:sSub>
                        </m:e>
                      </m:d>
                    </m:e>
                    <m:sup>
                      <m:r>
                        <w:rPr>
                          <w:rFonts w:ascii="Cambria Math" w:hAnsi="Cambria Math"/>
                        </w:rPr>
                        <m:t>2</m:t>
                      </m:r>
                    </m:sup>
                  </m:sSup>
                </m:num>
                <m:den>
                  <m:sSub>
                    <m:sSubPr>
                      <m:ctrlPr>
                        <w:rPr>
                          <w:rFonts w:ascii="Cambria Math" w:hAnsi="Cambria Math"/>
                        </w:rPr>
                      </m:ctrlPr>
                    </m:sSubPr>
                    <m:e>
                      <m:r>
                        <w:rPr>
                          <w:rFonts w:ascii="Cambria Math" w:hAnsi="Cambria Math"/>
                        </w:rPr>
                        <m:t>e</m:t>
                      </m:r>
                    </m:e>
                    <m:sub>
                      <m:r>
                        <w:rPr>
                          <w:rFonts w:ascii="Cambria Math" w:hAnsi="Cambria Math"/>
                        </w:rPr>
                        <m:t>ij</m:t>
                      </m:r>
                    </m:sub>
                  </m:sSub>
                </m:den>
              </m:f>
            </m:e>
          </m:nary>
          <m:r>
            <m:rPr>
              <m:sty m:val="p"/>
            </m:rPr>
            <w:rPr>
              <w:rFonts w:ascii="Cambria Math" w:hAnsi="Cambria Math"/>
            </w:rPr>
            <m:t>,</m:t>
          </m:r>
          <m:r>
            <w:rPr>
              <w:rFonts w:ascii="Cambria Math" w:hAnsi="Cambria Math"/>
            </w:rPr>
            <m:t>  </m:t>
          </m:r>
          <m:sSup>
            <m:sSupPr>
              <m:ctrlPr>
                <w:rPr>
                  <w:rFonts w:ascii="Cambria Math" w:hAnsi="Cambria Math"/>
                </w:rPr>
              </m:ctrlPr>
            </m:sSupPr>
            <m:e>
              <m:r>
                <w:rPr>
                  <w:rFonts w:ascii="Cambria Math" w:hAnsi="Cambria Math"/>
                </w:rPr>
                <m:t>G</m:t>
              </m:r>
            </m:e>
            <m:sup>
              <m:r>
                <w:rPr>
                  <w:rFonts w:ascii="Cambria Math" w:hAnsi="Cambria Math"/>
                </w:rPr>
                <m:t>2</m:t>
              </m:r>
            </m:sup>
          </m:sSup>
          <m:r>
            <m:rPr>
              <m:sty m:val="p"/>
            </m:rPr>
            <w:rPr>
              <w:rFonts w:ascii="Cambria Math" w:hAnsi="Cambria Math"/>
            </w:rPr>
            <m:t>=</m:t>
          </m:r>
          <m:r>
            <w:rPr>
              <w:rFonts w:ascii="Cambria Math" w:hAnsi="Cambria Math"/>
            </w:rPr>
            <m:t>2</m:t>
          </m:r>
          <m:nary>
            <m:naryPr>
              <m:chr m:val="∑"/>
              <m:limLoc m:val="undOvr"/>
              <m:supHide m:val="1"/>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j</m:t>
              </m:r>
            </m:sub>
            <m:sup>
              <m:r>
                <w:rPr>
                  <w:rFonts w:ascii="Cambria Math" w:hAnsi="Cambria Math"/>
                </w:rPr>
                <m:t>​</m:t>
              </m:r>
            </m:sup>
            <m:e>
              <m:sSub>
                <m:sSubPr>
                  <m:ctrlPr>
                    <w:rPr>
                      <w:rFonts w:ascii="Cambria Math" w:hAnsi="Cambria Math"/>
                    </w:rPr>
                  </m:ctrlPr>
                </m:sSubPr>
                <m:e>
                  <m:r>
                    <w:rPr>
                      <w:rFonts w:ascii="Cambria Math" w:hAnsi="Cambria Math"/>
                    </w:rPr>
                    <m:t>n</m:t>
                  </m:r>
                </m:e>
                <m:sub>
                  <m:r>
                    <w:rPr>
                      <w:rFonts w:ascii="Cambria Math" w:hAnsi="Cambria Math"/>
                    </w:rPr>
                    <m:t>ij</m:t>
                  </m:r>
                </m:sub>
              </m:sSub>
            </m:e>
          </m:nary>
          <m:r>
            <m:rPr>
              <m:sty m:val="p"/>
            </m:rPr>
            <w:rPr>
              <w:rFonts w:ascii="Cambria Math" w:hAnsi="Cambria Math"/>
            </w:rPr>
            <m:t>ln</m:t>
          </m:r>
          <m:f>
            <m:fPr>
              <m:ctrlPr>
                <w:rPr>
                  <w:rFonts w:ascii="Cambria Math" w:hAnsi="Cambria Math"/>
                </w:rPr>
              </m:ctrlPr>
            </m:fPr>
            <m:num>
              <m:sSub>
                <m:sSubPr>
                  <m:ctrlPr>
                    <w:rPr>
                      <w:rFonts w:ascii="Cambria Math" w:hAnsi="Cambria Math"/>
                    </w:rPr>
                  </m:ctrlPr>
                </m:sSubPr>
                <m:e>
                  <m:r>
                    <w:rPr>
                      <w:rFonts w:ascii="Cambria Math" w:hAnsi="Cambria Math"/>
                    </w:rPr>
                    <m:t>n</m:t>
                  </m:r>
                </m:e>
                <m:sub>
                  <m:r>
                    <w:rPr>
                      <w:rFonts w:ascii="Cambria Math" w:hAnsi="Cambria Math"/>
                    </w:rPr>
                    <m:t>ij</m:t>
                  </m:r>
                </m:sub>
              </m:sSub>
            </m:num>
            <m:den>
              <m:sSub>
                <m:sSubPr>
                  <m:ctrlPr>
                    <w:rPr>
                      <w:rFonts w:ascii="Cambria Math" w:hAnsi="Cambria Math"/>
                    </w:rPr>
                  </m:ctrlPr>
                </m:sSubPr>
                <m:e>
                  <m:r>
                    <w:rPr>
                      <w:rFonts w:ascii="Cambria Math" w:hAnsi="Cambria Math"/>
                    </w:rPr>
                    <m:t>e</m:t>
                  </m:r>
                </m:e>
                <m:sub>
                  <m:r>
                    <w:rPr>
                      <w:rFonts w:ascii="Cambria Math" w:hAnsi="Cambria Math"/>
                    </w:rPr>
                    <m:t>ij</m:t>
                  </m:r>
                </m:sub>
              </m:sSub>
            </m:den>
          </m:f>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7</m:t>
              </m:r>
            </m:e>
          </m:d>
        </m:oMath>
      </m:oMathPara>
    </w:p>
    <w:p w14:paraId="3629B0C5" w14:textId="77777777" w:rsidR="002E4036" w:rsidRDefault="00000000">
      <w:pPr>
        <w:pStyle w:val="FirstParagraph"/>
      </w:pPr>
      <w:r>
        <w:rPr>
          <w:highlight w:val="yellow"/>
        </w:rPr>
        <w:t>each is asymptotically chi-square distributed with</w:t>
      </w:r>
      <w:r>
        <w:t xml:space="preserve"> </w:t>
      </w:r>
      <m:oMath>
        <m:d>
          <m:dPr>
            <m:ctrlPr>
              <w:rPr>
                <w:rFonts w:ascii="Cambria Math" w:hAnsi="Cambria Math"/>
              </w:rPr>
            </m:ctrlPr>
          </m:dPr>
          <m:e>
            <m:r>
              <w:rPr>
                <w:rFonts w:ascii="Cambria Math" w:hAnsi="Cambria Math"/>
              </w:rPr>
              <m:t>3</m:t>
            </m:r>
            <m:r>
              <m:rPr>
                <m:sty m:val="p"/>
              </m:rPr>
              <w:rPr>
                <w:rFonts w:ascii="Cambria Math" w:hAnsi="Cambria Math"/>
              </w:rPr>
              <m:t>-</m:t>
            </m:r>
            <m:r>
              <w:rPr>
                <w:rFonts w:ascii="Cambria Math" w:hAnsi="Cambria Math"/>
              </w:rPr>
              <m:t>1</m:t>
            </m:r>
          </m:e>
        </m:d>
        <m:d>
          <m:dPr>
            <m:ctrlPr>
              <w:rPr>
                <w:rFonts w:ascii="Cambria Math" w:hAnsi="Cambria Math"/>
              </w:rPr>
            </m:ctrlPr>
          </m:dPr>
          <m:e>
            <m:r>
              <w:rPr>
                <w:rFonts w:ascii="Cambria Math" w:hAnsi="Cambria Math"/>
              </w:rPr>
              <m:t>3</m:t>
            </m:r>
            <m:r>
              <m:rPr>
                <m:sty m:val="p"/>
              </m:rPr>
              <w:rPr>
                <w:rFonts w:ascii="Cambria Math" w:hAnsi="Cambria Math"/>
              </w:rPr>
              <m:t>-</m:t>
            </m:r>
            <m:r>
              <w:rPr>
                <w:rFonts w:ascii="Cambria Math" w:hAnsi="Cambria Math"/>
              </w:rPr>
              <m:t>1</m:t>
            </m:r>
          </m:e>
        </m:d>
        <m:r>
          <m:rPr>
            <m:sty m:val="p"/>
          </m:rPr>
          <w:rPr>
            <w:rFonts w:ascii="Cambria Math" w:hAnsi="Cambria Math"/>
          </w:rPr>
          <m:t>=</m:t>
        </m:r>
        <m:r>
          <w:rPr>
            <w:rFonts w:ascii="Cambria Math" w:hAnsi="Cambria Math"/>
          </w:rPr>
          <m:t>4</m:t>
        </m:r>
      </m:oMath>
      <w:r>
        <w:t xml:space="preserve"> degrees of freedom under the null hypothesis. The strength of association is summarised by Cramér’s </w:t>
      </w:r>
      <m:oMath>
        <m:r>
          <w:rPr>
            <w:rFonts w:ascii="Cambria Math" w:hAnsi="Cambria Math"/>
          </w:rPr>
          <m:t>V</m:t>
        </m:r>
        <m:r>
          <m:rPr>
            <m:sty m:val="p"/>
          </m:rPr>
          <w:rPr>
            <w:rFonts w:ascii="Cambria Math" w:hAnsi="Cambria Math"/>
          </w:rPr>
          <m:t>=</m:t>
        </m:r>
        <m:rad>
          <m:radPr>
            <m:degHide m:val="1"/>
            <m:ctrlPr>
              <w:rPr>
                <w:rFonts w:ascii="Cambria Math" w:hAnsi="Cambria Math"/>
              </w:rPr>
            </m:ctrlPr>
          </m:radPr>
          <m:deg/>
          <m:e>
            <m:sSup>
              <m:sSupPr>
                <m:ctrlPr>
                  <w:rPr>
                    <w:rFonts w:ascii="Cambria Math" w:hAnsi="Cambria Math"/>
                  </w:rPr>
                </m:ctrlPr>
              </m:sSupPr>
              <m:e>
                <m:r>
                  <w:rPr>
                    <w:rFonts w:ascii="Cambria Math" w:hAnsi="Cambria Math"/>
                  </w:rPr>
                  <m:t>X</m:t>
                </m:r>
              </m:e>
              <m:sup>
                <m:r>
                  <w:rPr>
                    <w:rFonts w:ascii="Cambria Math" w:hAnsi="Cambria Math"/>
                  </w:rPr>
                  <m:t>2</m:t>
                </m:r>
              </m:sup>
            </m:sSup>
            <m:r>
              <m:rPr>
                <m:sty m:val="p"/>
              </m:rPr>
              <w:rPr>
                <w:rFonts w:ascii="Cambria Math" w:hAnsi="Cambria Math"/>
              </w:rPr>
              <m:t>/{</m:t>
            </m:r>
            <m:r>
              <w:rPr>
                <w:rFonts w:ascii="Cambria Math" w:hAnsi="Cambria Math"/>
              </w:rPr>
              <m:t>n</m:t>
            </m:r>
            <m:d>
              <m:dPr>
                <m:ctrlPr>
                  <w:rPr>
                    <w:rFonts w:ascii="Cambria Math" w:hAnsi="Cambria Math"/>
                  </w:rPr>
                </m:ctrlPr>
              </m:dPr>
              <m:e>
                <m:r>
                  <m:rPr>
                    <m:sty m:val="p"/>
                  </m:rPr>
                  <w:rPr>
                    <w:rFonts w:ascii="Cambria Math" w:hAnsi="Cambria Math"/>
                  </w:rPr>
                  <m:t>min</m:t>
                </m:r>
                <m:d>
                  <m:dPr>
                    <m:ctrlPr>
                      <w:rPr>
                        <w:rFonts w:ascii="Cambria Math" w:hAnsi="Cambria Math"/>
                      </w:rPr>
                    </m:ctrlPr>
                  </m:dPr>
                  <m:e>
                    <m:r>
                      <w:rPr>
                        <w:rFonts w:ascii="Cambria Math" w:hAnsi="Cambria Math"/>
                      </w:rPr>
                      <m:t>r</m:t>
                    </m:r>
                    <m:r>
                      <m:rPr>
                        <m:sty m:val="p"/>
                      </m:rPr>
                      <w:rPr>
                        <w:rFonts w:ascii="Cambria Math" w:hAnsi="Cambria Math"/>
                      </w:rPr>
                      <m:t>,</m:t>
                    </m:r>
                    <m:r>
                      <w:rPr>
                        <w:rFonts w:ascii="Cambria Math" w:hAnsi="Cambria Math"/>
                      </w:rPr>
                      <m:t>c</m:t>
                    </m:r>
                  </m:e>
                </m:d>
                <m:r>
                  <m:rPr>
                    <m:sty m:val="p"/>
                  </m:rPr>
                  <w:rPr>
                    <w:rFonts w:ascii="Cambria Math" w:hAnsi="Cambria Math"/>
                  </w:rPr>
                  <m:t>-</m:t>
                </m:r>
                <m:r>
                  <w:rPr>
                    <w:rFonts w:ascii="Cambria Math" w:hAnsi="Cambria Math"/>
                  </w:rPr>
                  <m:t>1</m:t>
                </m:r>
              </m:e>
            </m:d>
            <m:r>
              <m:rPr>
                <m:sty m:val="p"/>
              </m:rPr>
              <w:rPr>
                <w:rFonts w:ascii="Cambria Math" w:hAnsi="Cambria Math"/>
              </w:rPr>
              <m:t>}</m:t>
            </m:r>
          </m:e>
        </m:rad>
      </m:oMath>
      <w:r>
        <w:t xml:space="preserve"> with </w:t>
      </w:r>
      <m:oMath>
        <m:r>
          <w:rPr>
            <w:rFonts w:ascii="Cambria Math" w:hAnsi="Cambria Math"/>
          </w:rPr>
          <m:t>r</m:t>
        </m:r>
        <m:r>
          <m:rPr>
            <m:sty m:val="p"/>
          </m:rPr>
          <w:rPr>
            <w:rFonts w:ascii="Cambria Math" w:hAnsi="Cambria Math"/>
          </w:rPr>
          <m:t>=</m:t>
        </m:r>
        <m:r>
          <w:rPr>
            <w:rFonts w:ascii="Cambria Math" w:hAnsi="Cambria Math"/>
          </w:rPr>
          <m:t>c</m:t>
        </m:r>
        <m:r>
          <m:rPr>
            <m:sty m:val="p"/>
          </m:rPr>
          <w:rPr>
            <w:rFonts w:ascii="Cambria Math" w:hAnsi="Cambria Math"/>
          </w:rPr>
          <m:t>=</m:t>
        </m:r>
        <m:r>
          <w:rPr>
            <w:rFonts w:ascii="Cambria Math" w:hAnsi="Cambria Math"/>
          </w:rPr>
          <m:t>3</m:t>
        </m:r>
      </m:oMath>
      <w:r>
        <w:t xml:space="preserve">. Pairwise homogeneity of two rows is assessed with the corresponding </w:t>
      </w:r>
      <m:oMath>
        <m:r>
          <w:rPr>
            <w:rFonts w:ascii="Cambria Math" w:hAnsi="Cambria Math"/>
          </w:rPr>
          <m:t>2</m:t>
        </m:r>
        <m:r>
          <m:rPr>
            <m:sty m:val="p"/>
          </m:rPr>
          <w:rPr>
            <w:rFonts w:ascii="Cambria Math" w:hAnsi="Cambria Math"/>
          </w:rPr>
          <m:t>×</m:t>
        </m:r>
        <m:r>
          <w:rPr>
            <w:rFonts w:ascii="Cambria Math" w:hAnsi="Cambria Math"/>
          </w:rPr>
          <m:t>3</m:t>
        </m:r>
      </m:oMath>
      <w:r>
        <w:t xml:space="preserve"> chi-square statistic (2 degrees of freedom), and the three pairwise tests are evaluated at the Bonferroni-adjusted level </w:t>
      </w:r>
      <m:oMath>
        <m:r>
          <w:rPr>
            <w:rFonts w:ascii="Cambria Math" w:hAnsi="Cambria Math"/>
          </w:rPr>
          <m:t>0.05</m:t>
        </m:r>
        <m:r>
          <m:rPr>
            <m:sty m:val="p"/>
          </m:rPr>
          <w:rPr>
            <w:rFonts w:ascii="Cambria Math" w:hAnsi="Cambria Math"/>
          </w:rPr>
          <m:t>/</m:t>
        </m:r>
        <m:r>
          <w:rPr>
            <w:rFonts w:ascii="Cambria Math" w:hAnsi="Cambria Math"/>
          </w:rPr>
          <m:t>3</m:t>
        </m:r>
      </m:oMath>
      <w:r>
        <w:t>.</w:t>
      </w:r>
    </w:p>
    <w:p w14:paraId="786F449D" w14:textId="77777777" w:rsidR="002E4036" w:rsidRDefault="00000000">
      <w:pPr>
        <w:pStyle w:val="Heading2"/>
      </w:pPr>
      <w:bookmarkStart w:id="5" w:name="logistic-regression"/>
      <w:bookmarkEnd w:id="4"/>
      <w:r>
        <w:t>2.4 Logistic regression</w:t>
      </w:r>
    </w:p>
    <w:p w14:paraId="5FA82D13" w14:textId="77777777" w:rsidR="002E4036" w:rsidRDefault="00000000">
      <w:pPr>
        <w:pStyle w:val="FirstParagraph"/>
      </w:pPr>
      <w:r>
        <w:t xml:space="preserve">Logistic regression is applied to the grouped transition counts. For a group defined by the state at the current observation, let </w:t>
      </w:r>
      <m:oMath>
        <m:r>
          <w:rPr>
            <w:rFonts w:ascii="Cambria Math" w:hAnsi="Cambria Math"/>
          </w:rPr>
          <m:t>y</m:t>
        </m:r>
      </m:oMath>
      <w:r>
        <w:t xml:space="preserve"> be the number of transitions with the outcome of interest among </w:t>
      </w:r>
      <m:oMath>
        <m:r>
          <w:rPr>
            <w:rFonts w:ascii="Cambria Math" w:hAnsi="Cambria Math"/>
          </w:rPr>
          <m:t>m</m:t>
        </m:r>
      </m:oMath>
      <w:r>
        <w:t xml:space="preserve"> transitions. With covariate vector </w:t>
      </w:r>
      <m:oMath>
        <m:r>
          <m:rPr>
            <m:sty m:val="b"/>
          </m:rPr>
          <w:rPr>
            <w:rFonts w:ascii="Cambria Math" w:hAnsi="Cambria Math"/>
          </w:rPr>
          <m:t>x</m:t>
        </m:r>
      </m:oMath>
      <w:r>
        <w:t>, the model is</w:t>
      </w:r>
    </w:p>
    <w:p w14:paraId="51D61D6C" w14:textId="77777777" w:rsidR="002E4036" w:rsidRDefault="00000000">
      <w:pPr>
        <w:pStyle w:val="BodyText"/>
      </w:pPr>
      <m:oMathPara>
        <m:oMathParaPr>
          <m:jc m:val="center"/>
        </m:oMathParaPr>
        <m:oMath>
          <m:r>
            <m:rPr>
              <m:sty m:val="p"/>
            </m:rPr>
            <w:rPr>
              <w:rFonts w:ascii="Cambria Math" w:hAnsi="Cambria Math"/>
            </w:rPr>
            <m:t>logit</m:t>
          </m:r>
          <m:r>
            <w:rPr>
              <w:rFonts w:ascii="Cambria Math" w:hAnsi="Cambria Math"/>
            </w:rPr>
            <m:t>P</m:t>
          </m:r>
          <m:d>
            <m:dPr>
              <m:ctrlPr>
                <w:rPr>
                  <w:rFonts w:ascii="Cambria Math" w:hAnsi="Cambria Math"/>
                </w:rPr>
              </m:ctrlPr>
            </m:dPr>
            <m:e>
              <m:r>
                <w:rPr>
                  <w:rFonts w:ascii="Cambria Math" w:hAnsi="Cambria Math"/>
                </w:rPr>
                <m:t>Y</m:t>
              </m:r>
              <m:r>
                <m:rPr>
                  <m:sty m:val="p"/>
                </m:rPr>
                <w:rPr>
                  <w:rFonts w:ascii="Cambria Math" w:hAnsi="Cambria Math"/>
                </w:rPr>
                <m:t>=</m:t>
              </m:r>
              <m:r>
                <w:rPr>
                  <w:rFonts w:ascii="Cambria Math" w:hAnsi="Cambria Math"/>
                </w:rPr>
                <m:t>1</m:t>
              </m:r>
              <m:r>
                <m:rPr>
                  <m:sty m:val="p"/>
                </m:rPr>
                <w:rPr>
                  <w:rFonts w:ascii="Cambria Math" w:hAnsi="Cambria Math"/>
                </w:rPr>
                <m:t>∣</m:t>
              </m:r>
              <m:r>
                <m:rPr>
                  <m:sty m:val="b"/>
                </m:rPr>
                <w:rPr>
                  <w:rFonts w:ascii="Cambria Math" w:hAnsi="Cambria Math"/>
                </w:rPr>
                <m:t>x</m:t>
              </m:r>
            </m:e>
          </m:d>
          <m:r>
            <m:rPr>
              <m:sty m:val="p"/>
            </m:rPr>
            <w:rPr>
              <w:rFonts w:ascii="Cambria Math" w:hAnsi="Cambria Math"/>
            </w:rPr>
            <m:t>=ln</m:t>
          </m:r>
          <m:f>
            <m:fPr>
              <m:ctrlPr>
                <w:rPr>
                  <w:rFonts w:ascii="Cambria Math" w:hAnsi="Cambria Math"/>
                </w:rPr>
              </m:ctrlPr>
            </m:fPr>
            <m:num>
              <m:r>
                <w:rPr>
                  <w:rFonts w:ascii="Cambria Math" w:hAnsi="Cambria Math"/>
                </w:rPr>
                <m:t>P</m:t>
              </m:r>
              <m:d>
                <m:dPr>
                  <m:ctrlPr>
                    <w:rPr>
                      <w:rFonts w:ascii="Cambria Math" w:hAnsi="Cambria Math"/>
                    </w:rPr>
                  </m:ctrlPr>
                </m:dPr>
                <m:e>
                  <m:r>
                    <w:rPr>
                      <w:rFonts w:ascii="Cambria Math" w:hAnsi="Cambria Math"/>
                    </w:rPr>
                    <m:t>Y</m:t>
                  </m:r>
                  <m:r>
                    <m:rPr>
                      <m:sty m:val="p"/>
                    </m:rPr>
                    <w:rPr>
                      <w:rFonts w:ascii="Cambria Math" w:hAnsi="Cambria Math"/>
                    </w:rPr>
                    <m:t>=</m:t>
                  </m:r>
                  <m:r>
                    <w:rPr>
                      <w:rFonts w:ascii="Cambria Math" w:hAnsi="Cambria Math"/>
                    </w:rPr>
                    <m:t>1</m:t>
                  </m:r>
                  <m:r>
                    <m:rPr>
                      <m:sty m:val="p"/>
                    </m:rPr>
                    <w:rPr>
                      <w:rFonts w:ascii="Cambria Math" w:hAnsi="Cambria Math"/>
                    </w:rPr>
                    <m:t>∣</m:t>
                  </m:r>
                  <m:r>
                    <m:rPr>
                      <m:sty m:val="b"/>
                    </m:rPr>
                    <w:rPr>
                      <w:rFonts w:ascii="Cambria Math" w:hAnsi="Cambria Math"/>
                    </w:rPr>
                    <m:t>x</m:t>
                  </m:r>
                </m:e>
              </m:d>
            </m:num>
            <m:den>
              <m:r>
                <w:rPr>
                  <w:rFonts w:ascii="Cambria Math" w:hAnsi="Cambria Math"/>
                </w:rPr>
                <m:t>1</m:t>
              </m:r>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Y</m:t>
                  </m:r>
                  <m:r>
                    <m:rPr>
                      <m:sty m:val="p"/>
                    </m:rPr>
                    <w:rPr>
                      <w:rFonts w:ascii="Cambria Math" w:hAnsi="Cambria Math"/>
                    </w:rPr>
                    <m:t>=</m:t>
                  </m:r>
                  <m:r>
                    <w:rPr>
                      <w:rFonts w:ascii="Cambria Math" w:hAnsi="Cambria Math"/>
                    </w:rPr>
                    <m:t>1</m:t>
                  </m:r>
                  <m:r>
                    <m:rPr>
                      <m:sty m:val="p"/>
                    </m:rPr>
                    <w:rPr>
                      <w:rFonts w:ascii="Cambria Math" w:hAnsi="Cambria Math"/>
                    </w:rPr>
                    <m:t>∣</m:t>
                  </m:r>
                  <m:r>
                    <m:rPr>
                      <m:sty m:val="b"/>
                    </m:rPr>
                    <w:rPr>
                      <w:rFonts w:ascii="Cambria Math" w:hAnsi="Cambria Math"/>
                    </w:rPr>
                    <m:t>x</m:t>
                  </m:r>
                </m:e>
              </m:d>
            </m:den>
          </m:f>
          <m:r>
            <m:rPr>
              <m:sty m:val="p"/>
            </m:rP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0</m:t>
              </m:r>
            </m:sub>
          </m:sSub>
          <m:r>
            <m:rPr>
              <m:sty m:val="p"/>
            </m:rPr>
            <w:rPr>
              <w:rFonts w:ascii="Cambria Math" w:hAnsi="Cambria Math"/>
            </w:rPr>
            <m:t>+</m:t>
          </m:r>
          <m:sSup>
            <m:sSupPr>
              <m:ctrlPr>
                <w:rPr>
                  <w:rFonts w:ascii="Cambria Math" w:hAnsi="Cambria Math"/>
                </w:rPr>
              </m:ctrlPr>
            </m:sSupPr>
            <m:e>
              <m:r>
                <m:rPr>
                  <m:sty m:val="b"/>
                </m:rPr>
                <w:rPr>
                  <w:rFonts w:ascii="Cambria Math" w:hAnsi="Cambria Math"/>
                </w:rPr>
                <m:t>β</m:t>
              </m:r>
            </m:e>
            <m:sup>
              <m:r>
                <m:rPr>
                  <m:sty m:val="p"/>
                </m:rPr>
                <w:rPr>
                  <w:rFonts w:ascii="Cambria Math" w:hAnsi="Cambria Math"/>
                </w:rPr>
                <m:t>⊤</m:t>
              </m:r>
            </m:sup>
          </m:sSup>
          <m:r>
            <m:rPr>
              <m:sty m:val="b"/>
            </m:rPr>
            <w:rPr>
              <w:rFonts w:ascii="Cambria Math" w:hAnsi="Cambria Math"/>
            </w:rPr>
            <m:t>x</m:t>
          </m:r>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8</m:t>
              </m:r>
            </m:e>
          </m:d>
        </m:oMath>
      </m:oMathPara>
    </w:p>
    <w:p w14:paraId="1E33AB2D" w14:textId="77777777" w:rsidR="002E4036" w:rsidRDefault="00000000">
      <w:pPr>
        <w:pStyle w:val="FirstParagraph"/>
      </w:pPr>
      <w:r>
        <w:t xml:space="preserve">and </w:t>
      </w:r>
      <m:oMath>
        <m:sSup>
          <m:sSupPr>
            <m:ctrlPr>
              <w:rPr>
                <w:rFonts w:ascii="Cambria Math" w:hAnsi="Cambria Math"/>
              </w:rPr>
            </m:ctrlPr>
          </m:sSupPr>
          <m:e>
            <m:r>
              <w:rPr>
                <w:rFonts w:ascii="Cambria Math" w:hAnsi="Cambria Math"/>
              </w:rPr>
              <m:t>e</m:t>
            </m:r>
          </m:e>
          <m:sup>
            <m:sSub>
              <m:sSubPr>
                <m:ctrlPr>
                  <w:rPr>
                    <w:rFonts w:ascii="Cambria Math" w:hAnsi="Cambria Math"/>
                  </w:rPr>
                </m:ctrlPr>
              </m:sSubPr>
              <m:e>
                <m:r>
                  <w:rPr>
                    <w:rFonts w:ascii="Cambria Math" w:hAnsi="Cambria Math"/>
                  </w:rPr>
                  <m:t>β</m:t>
                </m:r>
              </m:e>
              <m:sub>
                <m:r>
                  <w:rPr>
                    <w:rFonts w:ascii="Cambria Math" w:hAnsi="Cambria Math"/>
                  </w:rPr>
                  <m:t>k</m:t>
                </m:r>
              </m:sub>
            </m:sSub>
          </m:sup>
        </m:sSup>
      </m:oMath>
      <w:r>
        <w:t xml:space="preserve"> is the odds ratio associated with the covariate. Parameters were estimated by maximum likelihood for grouped binomial data using iteratively reweighted least squares (Agresti, 2013). Wald intervals are </w:t>
      </w:r>
      <m:oMath>
        <m:r>
          <m:rPr>
            <m:sty m:val="p"/>
          </m:rPr>
          <w:rPr>
            <w:rFonts w:ascii="Cambria Math" w:hAnsi="Cambria Math"/>
          </w:rPr>
          <m:t>exp</m:t>
        </m:r>
        <m:d>
          <m:dPr>
            <m:ctrlPr>
              <w:rPr>
                <w:rFonts w:ascii="Cambria Math" w:hAnsi="Cambria Math"/>
              </w:rPr>
            </m:ctrlPr>
          </m:dPr>
          <m:e>
            <m:sSub>
              <m:sSubPr>
                <m:ctrlPr>
                  <w:rPr>
                    <w:rFonts w:ascii="Cambria Math" w:hAnsi="Cambria Math"/>
                  </w:rPr>
                </m:ctrlPr>
              </m:sSubPr>
              <m:e>
                <m:acc>
                  <m:accPr>
                    <m:ctrlPr>
                      <w:rPr>
                        <w:rFonts w:ascii="Cambria Math" w:hAnsi="Cambria Math"/>
                      </w:rPr>
                    </m:ctrlPr>
                  </m:accPr>
                  <m:e>
                    <m:r>
                      <w:rPr>
                        <w:rFonts w:ascii="Cambria Math" w:hAnsi="Cambria Math"/>
                      </w:rPr>
                      <m:t>β</m:t>
                    </m:r>
                  </m:e>
                </m:acc>
              </m:e>
              <m:sub>
                <m:r>
                  <w:rPr>
                    <w:rFonts w:ascii="Cambria Math" w:hAnsi="Cambria Math"/>
                  </w:rPr>
                  <m:t>k</m:t>
                </m:r>
              </m:sub>
            </m:sSub>
            <m:r>
              <m:rPr>
                <m:sty m:val="p"/>
              </m:rPr>
              <w:rPr>
                <w:rFonts w:ascii="Cambria Math" w:hAnsi="Cambria Math"/>
              </w:rPr>
              <m:t>±</m:t>
            </m:r>
            <m:r>
              <w:rPr>
                <w:rFonts w:ascii="Cambria Math" w:hAnsi="Cambria Math"/>
              </w:rPr>
              <m:t>1.96 </m:t>
            </m:r>
            <m:sSub>
              <m:sSubPr>
                <m:ctrlPr>
                  <w:rPr>
                    <w:rFonts w:ascii="Cambria Math" w:hAnsi="Cambria Math"/>
                  </w:rPr>
                </m:ctrlPr>
              </m:sSubPr>
              <m:e>
                <m:r>
                  <m:rPr>
                    <m:sty m:val="p"/>
                  </m:rPr>
                  <w:rPr>
                    <w:rFonts w:ascii="Cambria Math" w:hAnsi="Cambria Math"/>
                  </w:rPr>
                  <m:t>SE</m:t>
                </m:r>
              </m:e>
              <m:sub>
                <m:r>
                  <w:rPr>
                    <w:rFonts w:ascii="Cambria Math" w:hAnsi="Cambria Math"/>
                  </w:rPr>
                  <m:t>k</m:t>
                </m:r>
              </m:sub>
            </m:sSub>
          </m:e>
        </m:d>
      </m:oMath>
      <w:r>
        <w:t>, and nested models were compared by likelihood-ratio statistics. Conditional on the initial state, the likelihood of a first-order Markov chain is the product of row-wise multinomial likelihoods, so that regression on the transition counts is a valid conditional-likelihood analysis of the chain (Anderson &amp; Goodman, 1957). Three models were fitted. Model A relates the odds that the next observation is a price change (R or I, versus N) to whether the current observation is a price change. Model A2 uses the t</w:t>
      </w:r>
      <w:proofErr w:type="spellStart"/>
      <w:r>
        <w:t>hree</w:t>
      </w:r>
      <w:proofErr w:type="spellEnd"/>
      <w:r>
        <w:t xml:space="preserve"> current states, </w:t>
      </w:r>
      <w:r>
        <w:rPr>
          <w:highlight w:val="yellow"/>
        </w:rPr>
        <w:t>with R as the reference category</w:t>
      </w:r>
      <w:r>
        <w:t xml:space="preserve">. Model B relates the odds that a price change is a decrease rather than an increase to the current state, </w:t>
      </w:r>
      <w:r>
        <w:rPr>
          <w:highlight w:val="yellow"/>
        </w:rPr>
        <w:t>with R as the reference category</w:t>
      </w:r>
      <w:r>
        <w:t>.</w:t>
      </w:r>
    </w:p>
    <w:p w14:paraId="3F3AA940" w14:textId="77777777" w:rsidR="002E4036" w:rsidRDefault="00000000">
      <w:pPr>
        <w:pStyle w:val="Heading1"/>
      </w:pPr>
      <w:bookmarkStart w:id="6" w:name="results-and-discussion"/>
      <w:bookmarkEnd w:id="1"/>
      <w:bookmarkEnd w:id="5"/>
      <w:r>
        <w:lastRenderedPageBreak/>
        <w:t>3. Results and Discussion</w:t>
      </w:r>
    </w:p>
    <w:p w14:paraId="487BD62A" w14:textId="77777777" w:rsidR="002E4036" w:rsidRDefault="00000000">
      <w:pPr>
        <w:pStyle w:val="Heading2"/>
      </w:pPr>
      <w:bookmarkStart w:id="7" w:name="observed-transitions"/>
      <w:r>
        <w:t>3.1 Observed transitions</w:t>
      </w:r>
    </w:p>
    <w:p w14:paraId="51D3E1E6" w14:textId="77777777" w:rsidR="002E4036" w:rsidRDefault="00000000">
      <w:pPr>
        <w:pStyle w:val="FirstParagraph"/>
      </w:pPr>
      <w:r>
        <w:t>Table 1 presents the observed transition counts, and Figure 1 shows them as a surface over the current and next states. The total number of transitions is 1,481. The marginal frequencies of the states were 615 decreases (41.5%), 263 increases (17.8%) and 603 unchanged prices (40.7%). The largest counts lie on the main diagonal for R (415) and N (384), which indicates that the state at one observation tends to be repeated at the next.</w:t>
      </w:r>
    </w:p>
    <w:p w14:paraId="488E09D3" w14:textId="77777777" w:rsidR="002E4036" w:rsidRDefault="00000000">
      <w:pPr>
        <w:pStyle w:val="Caption"/>
        <w:keepNext/>
      </w:pPr>
      <w:r>
        <w:rPr>
          <w:b/>
          <w:bCs/>
        </w:rPr>
        <w:t>Table 1.</w:t>
      </w:r>
      <w:r>
        <w:t xml:space="preserve"> Observed transition counts among the price-movement states of Fidelity Bank Plc</w:t>
      </w:r>
    </w:p>
    <w:tbl>
      <w:tblPr>
        <w:tblStyle w:val="Table"/>
        <w:tblW w:w="5000" w:type="pct"/>
        <w:tblBorders>
          <w:top w:val="single" w:sz="12" w:space="0" w:color="000000"/>
          <w:left w:val="nil"/>
          <w:bottom w:val="single" w:sz="12" w:space="0" w:color="000000"/>
          <w:right w:val="nil"/>
          <w:insideH w:val="nil"/>
          <w:insideV w:val="nil"/>
        </w:tblBorders>
        <w:tblLook w:val="0020" w:firstRow="1" w:lastRow="0" w:firstColumn="0" w:lastColumn="0" w:noHBand="0" w:noVBand="0"/>
      </w:tblPr>
      <w:tblGrid>
        <w:gridCol w:w="2521"/>
        <w:gridCol w:w="1635"/>
        <w:gridCol w:w="1514"/>
        <w:gridCol w:w="1635"/>
        <w:gridCol w:w="1937"/>
      </w:tblGrid>
      <w:tr w:rsidR="002E4036" w14:paraId="4FEBB6B0" w14:textId="77777777" w:rsidTr="002E4036">
        <w:trPr>
          <w:cnfStyle w:val="100000000000" w:firstRow="1" w:lastRow="0" w:firstColumn="0" w:lastColumn="0" w:oddVBand="0" w:evenVBand="0" w:oddHBand="0" w:evenHBand="0" w:firstRowFirstColumn="0" w:firstRowLastColumn="0" w:lastRowFirstColumn="0" w:lastRowLastColumn="0"/>
          <w:cantSplit/>
          <w:tblHeader/>
        </w:trPr>
        <w:tc>
          <w:tcPr>
            <w:tcW w:w="0" w:type="auto"/>
            <w:tcBorders>
              <w:bottom w:val="single" w:sz="8" w:space="0" w:color="000000"/>
            </w:tcBorders>
            <w:tcMar>
              <w:top w:w="40" w:type="dxa"/>
              <w:bottom w:w="40" w:type="dxa"/>
            </w:tcMar>
          </w:tcPr>
          <w:p w14:paraId="0C1BB241" w14:textId="77777777" w:rsidR="002E4036" w:rsidRDefault="00000000">
            <w:pPr>
              <w:pStyle w:val="Compact"/>
              <w:keepNext/>
              <w:spacing w:after="0" w:line="240" w:lineRule="auto"/>
              <w:jc w:val="left"/>
            </w:pPr>
            <w:r>
              <w:rPr>
                <w:b/>
                <w:sz w:val="18"/>
              </w:rPr>
              <w:t>Current state</w:t>
            </w:r>
          </w:p>
        </w:tc>
        <w:tc>
          <w:tcPr>
            <w:tcW w:w="0" w:type="auto"/>
            <w:tcBorders>
              <w:bottom w:val="single" w:sz="8" w:space="0" w:color="000000"/>
            </w:tcBorders>
            <w:tcMar>
              <w:top w:w="40" w:type="dxa"/>
              <w:bottom w:w="40" w:type="dxa"/>
            </w:tcMar>
          </w:tcPr>
          <w:p w14:paraId="1D922FD9" w14:textId="77777777" w:rsidR="002E4036" w:rsidRDefault="00000000">
            <w:pPr>
              <w:pStyle w:val="Compact"/>
              <w:keepNext/>
              <w:spacing w:after="0" w:line="240" w:lineRule="auto"/>
              <w:jc w:val="right"/>
            </w:pPr>
            <w:r>
              <w:rPr>
                <w:b/>
                <w:sz w:val="18"/>
              </w:rPr>
              <w:t>Next: R</w:t>
            </w:r>
          </w:p>
        </w:tc>
        <w:tc>
          <w:tcPr>
            <w:tcW w:w="0" w:type="auto"/>
            <w:tcBorders>
              <w:bottom w:val="single" w:sz="8" w:space="0" w:color="000000"/>
            </w:tcBorders>
            <w:tcMar>
              <w:top w:w="40" w:type="dxa"/>
              <w:bottom w:w="40" w:type="dxa"/>
            </w:tcMar>
          </w:tcPr>
          <w:p w14:paraId="0C424F35" w14:textId="77777777" w:rsidR="002E4036" w:rsidRDefault="00000000">
            <w:pPr>
              <w:pStyle w:val="Compact"/>
              <w:keepNext/>
              <w:spacing w:after="0" w:line="240" w:lineRule="auto"/>
              <w:jc w:val="right"/>
            </w:pPr>
            <w:r>
              <w:rPr>
                <w:b/>
                <w:sz w:val="18"/>
              </w:rPr>
              <w:t>Next: I</w:t>
            </w:r>
          </w:p>
        </w:tc>
        <w:tc>
          <w:tcPr>
            <w:tcW w:w="0" w:type="auto"/>
            <w:tcBorders>
              <w:bottom w:val="single" w:sz="8" w:space="0" w:color="000000"/>
            </w:tcBorders>
            <w:tcMar>
              <w:top w:w="40" w:type="dxa"/>
              <w:bottom w:w="40" w:type="dxa"/>
            </w:tcMar>
          </w:tcPr>
          <w:p w14:paraId="66E560A5" w14:textId="77777777" w:rsidR="002E4036" w:rsidRDefault="00000000">
            <w:pPr>
              <w:pStyle w:val="Compact"/>
              <w:keepNext/>
              <w:spacing w:after="0" w:line="240" w:lineRule="auto"/>
              <w:jc w:val="right"/>
            </w:pPr>
            <w:r>
              <w:rPr>
                <w:b/>
                <w:sz w:val="18"/>
              </w:rPr>
              <w:t>Next: N</w:t>
            </w:r>
          </w:p>
        </w:tc>
        <w:tc>
          <w:tcPr>
            <w:tcW w:w="0" w:type="auto"/>
            <w:tcBorders>
              <w:bottom w:val="single" w:sz="8" w:space="0" w:color="000000"/>
            </w:tcBorders>
            <w:tcMar>
              <w:top w:w="40" w:type="dxa"/>
              <w:bottom w:w="40" w:type="dxa"/>
            </w:tcMar>
          </w:tcPr>
          <w:p w14:paraId="08B98338" w14:textId="77777777" w:rsidR="002E4036" w:rsidRDefault="00000000">
            <w:pPr>
              <w:pStyle w:val="Compact"/>
              <w:keepNext/>
              <w:spacing w:after="0" w:line="240" w:lineRule="auto"/>
              <w:jc w:val="right"/>
            </w:pPr>
            <w:r>
              <w:rPr>
                <w:b/>
                <w:sz w:val="18"/>
              </w:rPr>
              <w:t>Row total</w:t>
            </w:r>
          </w:p>
        </w:tc>
      </w:tr>
      <w:tr w:rsidR="002E4036" w14:paraId="1E7E8AF9" w14:textId="77777777" w:rsidTr="002E4036">
        <w:trPr>
          <w:cantSplit/>
        </w:trPr>
        <w:tc>
          <w:tcPr>
            <w:tcW w:w="0" w:type="auto"/>
            <w:tcMar>
              <w:top w:w="40" w:type="dxa"/>
              <w:bottom w:w="40" w:type="dxa"/>
            </w:tcMar>
          </w:tcPr>
          <w:p w14:paraId="20CC5262" w14:textId="77777777" w:rsidR="002E4036" w:rsidRDefault="00000000">
            <w:pPr>
              <w:pStyle w:val="Compact"/>
              <w:keepNext/>
              <w:spacing w:after="0" w:line="240" w:lineRule="auto"/>
              <w:jc w:val="left"/>
            </w:pPr>
            <w:r>
              <w:rPr>
                <w:sz w:val="18"/>
              </w:rPr>
              <w:t>R (decrease)</w:t>
            </w:r>
          </w:p>
        </w:tc>
        <w:tc>
          <w:tcPr>
            <w:tcW w:w="0" w:type="auto"/>
            <w:tcMar>
              <w:top w:w="40" w:type="dxa"/>
              <w:bottom w:w="40" w:type="dxa"/>
            </w:tcMar>
          </w:tcPr>
          <w:p w14:paraId="59814846" w14:textId="77777777" w:rsidR="002E4036" w:rsidRDefault="00000000">
            <w:pPr>
              <w:pStyle w:val="Compact"/>
              <w:keepNext/>
              <w:spacing w:after="0" w:line="240" w:lineRule="auto"/>
              <w:jc w:val="right"/>
            </w:pPr>
            <w:r>
              <w:rPr>
                <w:sz w:val="18"/>
              </w:rPr>
              <w:t>415</w:t>
            </w:r>
          </w:p>
        </w:tc>
        <w:tc>
          <w:tcPr>
            <w:tcW w:w="0" w:type="auto"/>
            <w:tcMar>
              <w:top w:w="40" w:type="dxa"/>
              <w:bottom w:w="40" w:type="dxa"/>
            </w:tcMar>
          </w:tcPr>
          <w:p w14:paraId="4FBE9AFE" w14:textId="77777777" w:rsidR="002E4036" w:rsidRDefault="00000000">
            <w:pPr>
              <w:pStyle w:val="Compact"/>
              <w:keepNext/>
              <w:spacing w:after="0" w:line="240" w:lineRule="auto"/>
              <w:jc w:val="right"/>
            </w:pPr>
            <w:r>
              <w:rPr>
                <w:sz w:val="18"/>
              </w:rPr>
              <w:t>62</w:t>
            </w:r>
          </w:p>
        </w:tc>
        <w:tc>
          <w:tcPr>
            <w:tcW w:w="0" w:type="auto"/>
            <w:tcMar>
              <w:top w:w="40" w:type="dxa"/>
              <w:bottom w:w="40" w:type="dxa"/>
            </w:tcMar>
          </w:tcPr>
          <w:p w14:paraId="5E4CDBE3" w14:textId="77777777" w:rsidR="002E4036" w:rsidRDefault="00000000">
            <w:pPr>
              <w:pStyle w:val="Compact"/>
              <w:keepNext/>
              <w:spacing w:after="0" w:line="240" w:lineRule="auto"/>
              <w:jc w:val="right"/>
            </w:pPr>
            <w:r>
              <w:rPr>
                <w:sz w:val="18"/>
              </w:rPr>
              <w:t>138</w:t>
            </w:r>
          </w:p>
        </w:tc>
        <w:tc>
          <w:tcPr>
            <w:tcW w:w="0" w:type="auto"/>
            <w:tcMar>
              <w:top w:w="40" w:type="dxa"/>
              <w:bottom w:w="40" w:type="dxa"/>
            </w:tcMar>
          </w:tcPr>
          <w:p w14:paraId="459C7698" w14:textId="77777777" w:rsidR="002E4036" w:rsidRDefault="00000000">
            <w:pPr>
              <w:pStyle w:val="Compact"/>
              <w:keepNext/>
              <w:spacing w:after="0" w:line="240" w:lineRule="auto"/>
              <w:jc w:val="right"/>
            </w:pPr>
            <w:r>
              <w:rPr>
                <w:sz w:val="18"/>
              </w:rPr>
              <w:t>615</w:t>
            </w:r>
          </w:p>
        </w:tc>
      </w:tr>
      <w:tr w:rsidR="002E4036" w14:paraId="5617F945" w14:textId="77777777" w:rsidTr="002E4036">
        <w:trPr>
          <w:cantSplit/>
        </w:trPr>
        <w:tc>
          <w:tcPr>
            <w:tcW w:w="0" w:type="auto"/>
            <w:tcMar>
              <w:top w:w="40" w:type="dxa"/>
              <w:bottom w:w="40" w:type="dxa"/>
            </w:tcMar>
          </w:tcPr>
          <w:p w14:paraId="77A63F8E" w14:textId="77777777" w:rsidR="002E4036" w:rsidRDefault="00000000">
            <w:pPr>
              <w:pStyle w:val="Compact"/>
              <w:keepNext/>
              <w:spacing w:after="0" w:line="240" w:lineRule="auto"/>
              <w:jc w:val="left"/>
            </w:pPr>
            <w:r>
              <w:rPr>
                <w:sz w:val="18"/>
              </w:rPr>
              <w:t>I (increase)</w:t>
            </w:r>
          </w:p>
        </w:tc>
        <w:tc>
          <w:tcPr>
            <w:tcW w:w="0" w:type="auto"/>
            <w:tcMar>
              <w:top w:w="40" w:type="dxa"/>
              <w:bottom w:w="40" w:type="dxa"/>
            </w:tcMar>
          </w:tcPr>
          <w:p w14:paraId="3FE12744" w14:textId="77777777" w:rsidR="002E4036" w:rsidRDefault="00000000">
            <w:pPr>
              <w:pStyle w:val="Compact"/>
              <w:keepNext/>
              <w:spacing w:after="0" w:line="240" w:lineRule="auto"/>
              <w:jc w:val="right"/>
            </w:pPr>
            <w:r>
              <w:rPr>
                <w:sz w:val="18"/>
              </w:rPr>
              <w:t>61</w:t>
            </w:r>
          </w:p>
        </w:tc>
        <w:tc>
          <w:tcPr>
            <w:tcW w:w="0" w:type="auto"/>
            <w:tcMar>
              <w:top w:w="40" w:type="dxa"/>
              <w:bottom w:w="40" w:type="dxa"/>
            </w:tcMar>
          </w:tcPr>
          <w:p w14:paraId="3BAC3F22" w14:textId="77777777" w:rsidR="002E4036" w:rsidRDefault="00000000">
            <w:pPr>
              <w:pStyle w:val="Compact"/>
              <w:keepNext/>
              <w:spacing w:after="0" w:line="240" w:lineRule="auto"/>
              <w:jc w:val="right"/>
            </w:pPr>
            <w:r>
              <w:rPr>
                <w:sz w:val="18"/>
              </w:rPr>
              <w:t>121</w:t>
            </w:r>
          </w:p>
        </w:tc>
        <w:tc>
          <w:tcPr>
            <w:tcW w:w="0" w:type="auto"/>
            <w:tcMar>
              <w:top w:w="40" w:type="dxa"/>
              <w:bottom w:w="40" w:type="dxa"/>
            </w:tcMar>
          </w:tcPr>
          <w:p w14:paraId="59FED69D" w14:textId="77777777" w:rsidR="002E4036" w:rsidRDefault="00000000">
            <w:pPr>
              <w:pStyle w:val="Compact"/>
              <w:keepNext/>
              <w:spacing w:after="0" w:line="240" w:lineRule="auto"/>
              <w:jc w:val="right"/>
            </w:pPr>
            <w:r>
              <w:rPr>
                <w:sz w:val="18"/>
              </w:rPr>
              <w:t>81</w:t>
            </w:r>
          </w:p>
        </w:tc>
        <w:tc>
          <w:tcPr>
            <w:tcW w:w="0" w:type="auto"/>
            <w:tcMar>
              <w:top w:w="40" w:type="dxa"/>
              <w:bottom w:w="40" w:type="dxa"/>
            </w:tcMar>
          </w:tcPr>
          <w:p w14:paraId="207C2805" w14:textId="77777777" w:rsidR="002E4036" w:rsidRDefault="00000000">
            <w:pPr>
              <w:pStyle w:val="Compact"/>
              <w:keepNext/>
              <w:spacing w:after="0" w:line="240" w:lineRule="auto"/>
              <w:jc w:val="right"/>
            </w:pPr>
            <w:r>
              <w:rPr>
                <w:sz w:val="18"/>
              </w:rPr>
              <w:t>263</w:t>
            </w:r>
          </w:p>
        </w:tc>
      </w:tr>
      <w:tr w:rsidR="002E4036" w14:paraId="5BFD48D8" w14:textId="77777777" w:rsidTr="002E4036">
        <w:trPr>
          <w:cantSplit/>
        </w:trPr>
        <w:tc>
          <w:tcPr>
            <w:tcW w:w="0" w:type="auto"/>
            <w:tcMar>
              <w:top w:w="40" w:type="dxa"/>
              <w:bottom w:w="40" w:type="dxa"/>
            </w:tcMar>
          </w:tcPr>
          <w:p w14:paraId="70C2A168" w14:textId="77777777" w:rsidR="002E4036" w:rsidRDefault="00000000">
            <w:pPr>
              <w:pStyle w:val="Compact"/>
              <w:keepNext/>
              <w:spacing w:after="0" w:line="240" w:lineRule="auto"/>
              <w:jc w:val="left"/>
            </w:pPr>
            <w:r>
              <w:rPr>
                <w:sz w:val="18"/>
              </w:rPr>
              <w:t>N (no change)</w:t>
            </w:r>
          </w:p>
        </w:tc>
        <w:tc>
          <w:tcPr>
            <w:tcW w:w="0" w:type="auto"/>
            <w:tcMar>
              <w:top w:w="40" w:type="dxa"/>
              <w:bottom w:w="40" w:type="dxa"/>
            </w:tcMar>
          </w:tcPr>
          <w:p w14:paraId="75B70EB6" w14:textId="77777777" w:rsidR="002E4036" w:rsidRDefault="00000000">
            <w:pPr>
              <w:pStyle w:val="Compact"/>
              <w:keepNext/>
              <w:spacing w:after="0" w:line="240" w:lineRule="auto"/>
              <w:jc w:val="right"/>
            </w:pPr>
            <w:r>
              <w:rPr>
                <w:sz w:val="18"/>
              </w:rPr>
              <w:t>139</w:t>
            </w:r>
          </w:p>
        </w:tc>
        <w:tc>
          <w:tcPr>
            <w:tcW w:w="0" w:type="auto"/>
            <w:tcMar>
              <w:top w:w="40" w:type="dxa"/>
              <w:bottom w:w="40" w:type="dxa"/>
            </w:tcMar>
          </w:tcPr>
          <w:p w14:paraId="0ABC46BE" w14:textId="77777777" w:rsidR="002E4036" w:rsidRDefault="00000000">
            <w:pPr>
              <w:pStyle w:val="Compact"/>
              <w:keepNext/>
              <w:spacing w:after="0" w:line="240" w:lineRule="auto"/>
              <w:jc w:val="right"/>
            </w:pPr>
            <w:r>
              <w:rPr>
                <w:sz w:val="18"/>
              </w:rPr>
              <w:t>80</w:t>
            </w:r>
          </w:p>
        </w:tc>
        <w:tc>
          <w:tcPr>
            <w:tcW w:w="0" w:type="auto"/>
            <w:tcMar>
              <w:top w:w="40" w:type="dxa"/>
              <w:bottom w:w="40" w:type="dxa"/>
            </w:tcMar>
          </w:tcPr>
          <w:p w14:paraId="73F2ACC7" w14:textId="77777777" w:rsidR="002E4036" w:rsidRDefault="00000000">
            <w:pPr>
              <w:pStyle w:val="Compact"/>
              <w:keepNext/>
              <w:spacing w:after="0" w:line="240" w:lineRule="auto"/>
              <w:jc w:val="right"/>
            </w:pPr>
            <w:r>
              <w:rPr>
                <w:sz w:val="18"/>
              </w:rPr>
              <w:t>384</w:t>
            </w:r>
          </w:p>
        </w:tc>
        <w:tc>
          <w:tcPr>
            <w:tcW w:w="0" w:type="auto"/>
            <w:tcMar>
              <w:top w:w="40" w:type="dxa"/>
              <w:bottom w:w="40" w:type="dxa"/>
            </w:tcMar>
          </w:tcPr>
          <w:p w14:paraId="3FDB529E" w14:textId="77777777" w:rsidR="002E4036" w:rsidRDefault="00000000">
            <w:pPr>
              <w:pStyle w:val="Compact"/>
              <w:keepNext/>
              <w:spacing w:after="0" w:line="240" w:lineRule="auto"/>
              <w:jc w:val="right"/>
            </w:pPr>
            <w:r>
              <w:rPr>
                <w:sz w:val="18"/>
              </w:rPr>
              <w:t>603</w:t>
            </w:r>
          </w:p>
        </w:tc>
      </w:tr>
      <w:tr w:rsidR="002E4036" w14:paraId="712E75E7" w14:textId="77777777" w:rsidTr="002E4036">
        <w:trPr>
          <w:cantSplit/>
        </w:trPr>
        <w:tc>
          <w:tcPr>
            <w:tcW w:w="0" w:type="auto"/>
            <w:tcMar>
              <w:top w:w="40" w:type="dxa"/>
              <w:bottom w:w="40" w:type="dxa"/>
            </w:tcMar>
          </w:tcPr>
          <w:p w14:paraId="1EE07152" w14:textId="77777777" w:rsidR="002E4036" w:rsidRDefault="00000000">
            <w:pPr>
              <w:pStyle w:val="Compact"/>
              <w:keepNext/>
              <w:spacing w:after="0" w:line="240" w:lineRule="auto"/>
              <w:jc w:val="left"/>
            </w:pPr>
            <w:r>
              <w:rPr>
                <w:sz w:val="18"/>
              </w:rPr>
              <w:t>Column total</w:t>
            </w:r>
          </w:p>
        </w:tc>
        <w:tc>
          <w:tcPr>
            <w:tcW w:w="0" w:type="auto"/>
            <w:tcMar>
              <w:top w:w="40" w:type="dxa"/>
              <w:bottom w:w="40" w:type="dxa"/>
            </w:tcMar>
          </w:tcPr>
          <w:p w14:paraId="23680B04" w14:textId="77777777" w:rsidR="002E4036" w:rsidRDefault="00000000">
            <w:pPr>
              <w:pStyle w:val="Compact"/>
              <w:keepNext/>
              <w:spacing w:after="0" w:line="240" w:lineRule="auto"/>
              <w:jc w:val="right"/>
            </w:pPr>
            <w:r>
              <w:rPr>
                <w:sz w:val="18"/>
              </w:rPr>
              <w:t>615</w:t>
            </w:r>
          </w:p>
        </w:tc>
        <w:tc>
          <w:tcPr>
            <w:tcW w:w="0" w:type="auto"/>
            <w:tcMar>
              <w:top w:w="40" w:type="dxa"/>
              <w:bottom w:w="40" w:type="dxa"/>
            </w:tcMar>
          </w:tcPr>
          <w:p w14:paraId="697B6314" w14:textId="77777777" w:rsidR="002E4036" w:rsidRDefault="00000000">
            <w:pPr>
              <w:pStyle w:val="Compact"/>
              <w:keepNext/>
              <w:spacing w:after="0" w:line="240" w:lineRule="auto"/>
              <w:jc w:val="right"/>
            </w:pPr>
            <w:r>
              <w:rPr>
                <w:sz w:val="18"/>
              </w:rPr>
              <w:t>263</w:t>
            </w:r>
          </w:p>
        </w:tc>
        <w:tc>
          <w:tcPr>
            <w:tcW w:w="0" w:type="auto"/>
            <w:tcMar>
              <w:top w:w="40" w:type="dxa"/>
              <w:bottom w:w="40" w:type="dxa"/>
            </w:tcMar>
          </w:tcPr>
          <w:p w14:paraId="3D94F32C" w14:textId="77777777" w:rsidR="002E4036" w:rsidRDefault="00000000">
            <w:pPr>
              <w:pStyle w:val="Compact"/>
              <w:keepNext/>
              <w:spacing w:after="0" w:line="240" w:lineRule="auto"/>
              <w:jc w:val="right"/>
            </w:pPr>
            <w:r>
              <w:rPr>
                <w:sz w:val="18"/>
              </w:rPr>
              <w:t>603</w:t>
            </w:r>
          </w:p>
        </w:tc>
        <w:tc>
          <w:tcPr>
            <w:tcW w:w="0" w:type="auto"/>
            <w:tcMar>
              <w:top w:w="40" w:type="dxa"/>
              <w:bottom w:w="40" w:type="dxa"/>
            </w:tcMar>
          </w:tcPr>
          <w:p w14:paraId="1641B0F5" w14:textId="77777777" w:rsidR="002E4036" w:rsidRDefault="00000000">
            <w:pPr>
              <w:pStyle w:val="Compact"/>
              <w:keepNext/>
              <w:spacing w:after="0" w:line="240" w:lineRule="auto"/>
              <w:jc w:val="right"/>
            </w:pPr>
            <w:r>
              <w:rPr>
                <w:sz w:val="18"/>
              </w:rPr>
              <w:t>1,481</w:t>
            </w:r>
          </w:p>
        </w:tc>
      </w:tr>
    </w:tbl>
    <w:p w14:paraId="1E6E0306" w14:textId="77777777" w:rsidR="002E4036" w:rsidRDefault="00000000">
      <w:pPr>
        <w:pStyle w:val="Note"/>
      </w:pPr>
      <w:r>
        <w:rPr>
          <w:i/>
          <w:iCs/>
        </w:rPr>
        <w:t>Note.</w:t>
      </w:r>
      <w:r>
        <w:t xml:space="preserve"> R = price decreased; I = price increased; N = price unchanged. Counts are taken from Amadi et al. (2024); the underlying closing prices span 1 April 2016 to 23 March 2022 (Osu et al., 2024).</w:t>
      </w:r>
    </w:p>
    <w:p w14:paraId="7D76CA6D" w14:textId="77777777" w:rsidR="002E4036" w:rsidRDefault="00000000">
      <w:pPr>
        <w:pStyle w:val="BodyText"/>
        <w:keepNext/>
        <w:jc w:val="center"/>
      </w:pPr>
      <w:r>
        <w:rPr>
          <w:noProof/>
        </w:rPr>
        <w:drawing>
          <wp:inline distT="0" distB="0" distL="0" distR="0" wp14:anchorId="344DF669" wp14:editId="2DF2D68A">
            <wp:extent cx="5120640" cy="3724101"/>
            <wp:effectExtent l="0" t="0" r="0" b="0"/>
            <wp:docPr id="27" name="Picture"/>
            <wp:cNvGraphicFramePr/>
            <a:graphic xmlns:a="http://schemas.openxmlformats.org/drawingml/2006/main">
              <a:graphicData uri="http://schemas.openxmlformats.org/drawingml/2006/picture">
                <pic:pic xmlns:pic="http://schemas.openxmlformats.org/drawingml/2006/picture">
                  <pic:nvPicPr>
                    <pic:cNvPr id="28" name="Picture" descr="figure1.png"/>
                    <pic:cNvPicPr>
                      <a:picLocks noChangeAspect="1" noChangeArrowheads="1"/>
                    </pic:cNvPicPr>
                  </pic:nvPicPr>
                  <pic:blipFill>
                    <a:blip r:embed="rId7"/>
                    <a:stretch>
                      <a:fillRect/>
                    </a:stretch>
                  </pic:blipFill>
                  <pic:spPr bwMode="auto">
                    <a:xfrm>
                      <a:off x="0" y="0"/>
                      <a:ext cx="5120640" cy="3724101"/>
                    </a:xfrm>
                    <a:prstGeom prst="rect">
                      <a:avLst/>
                    </a:prstGeom>
                    <a:noFill/>
                    <a:ln w="9525">
                      <a:noFill/>
                      <a:headEnd/>
                      <a:tailEnd/>
                    </a:ln>
                  </pic:spPr>
                </pic:pic>
              </a:graphicData>
            </a:graphic>
          </wp:inline>
        </w:drawing>
      </w:r>
    </w:p>
    <w:p w14:paraId="5140C237" w14:textId="77777777" w:rsidR="002E4036" w:rsidRDefault="00000000">
      <w:pPr>
        <w:pStyle w:val="Caption"/>
        <w:jc w:val="center"/>
      </w:pPr>
      <w:r>
        <w:rPr>
          <w:b/>
          <w:bCs/>
        </w:rPr>
        <w:t>Figure 1.</w:t>
      </w:r>
      <w:r>
        <w:t xml:space="preserve"> Surface view of the observed transition counts between the price-movement states of Fidelity Bank Plc shares. R = decrease, I = increase, N = no change. Each vertex corresponds to one entry of Table 1.</w:t>
      </w:r>
    </w:p>
    <w:p w14:paraId="3C679352" w14:textId="77777777" w:rsidR="002E4036" w:rsidRDefault="00000000">
      <w:pPr>
        <w:pStyle w:val="BodyText"/>
      </w:pPr>
      <w:r>
        <w:t>Figure 1 shows two ridges, one at the R→R transition and one at the N→N transition, and a much lower level for transitions into the increase state. The surface joins only nine values, so it is a visual summary of Table 1 and not a fitted function.</w:t>
      </w:r>
    </w:p>
    <w:p w14:paraId="6C8B745F" w14:textId="77777777" w:rsidR="002E4036" w:rsidRDefault="00000000">
      <w:pPr>
        <w:pStyle w:val="Heading2"/>
      </w:pPr>
      <w:bookmarkStart w:id="8" w:name="Xe6396288683bd77b27b426f489720b1d0b9a349"/>
      <w:bookmarkEnd w:id="7"/>
      <w:r>
        <w:lastRenderedPageBreak/>
        <w:t>3.2 Transition probabilities and exact confidence limits</w:t>
      </w:r>
    </w:p>
    <w:p w14:paraId="3CFC5A92" w14:textId="77777777" w:rsidR="002E4036" w:rsidRDefault="00000000">
      <w:pPr>
        <w:pStyle w:val="FirstParagraph"/>
      </w:pPr>
      <w:r>
        <w:t>Table 2 gives the maximum-likelihood estimates of Equation (2) with 95% exact confidence limits obtained from Equations (6a) and (6b), and Figure 2 displays the estimated matrix. The estimated matrix is</w:t>
      </w:r>
    </w:p>
    <w:p w14:paraId="382B68D5" w14:textId="77777777" w:rsidR="002E4036" w:rsidRDefault="00000000">
      <w:pPr>
        <w:pStyle w:val="BodyText"/>
      </w:pPr>
      <m:oMathPara>
        <m:oMathParaPr>
          <m:jc m:val="center"/>
        </m:oMathParaPr>
        <m:oMath>
          <m:acc>
            <m:accPr>
              <m:ctrlPr>
                <w:rPr>
                  <w:rFonts w:ascii="Cambria Math" w:hAnsi="Cambria Math"/>
                </w:rPr>
              </m:ctrlPr>
            </m:accPr>
            <m:e>
              <m:r>
                <w:rPr>
                  <w:rFonts w:ascii="Cambria Math" w:hAnsi="Cambria Math"/>
                </w:rPr>
                <m:t>P</m:t>
              </m:r>
            </m:e>
          </m:acc>
          <m:r>
            <m:rPr>
              <m:sty m:val="p"/>
            </m:rPr>
            <w:rPr>
              <w:rFonts w:ascii="Cambria Math" w:hAnsi="Cambria Math"/>
            </w:rPr>
            <m:t>=</m:t>
          </m:r>
          <m:d>
            <m:dPr>
              <m:ctrlPr>
                <w:rPr>
                  <w:rFonts w:ascii="Cambria Math" w:hAnsi="Cambria Math"/>
                </w:rPr>
              </m:ctrlPr>
            </m:dPr>
            <m:e>
              <m:m>
                <m:mPr>
                  <m:plcHide m:val="1"/>
                  <m:mcs>
                    <m:mc>
                      <m:mcPr>
                        <m:count m:val="3"/>
                        <m:mcJc m:val="center"/>
                      </m:mcPr>
                    </m:mc>
                  </m:mcs>
                  <m:ctrlPr>
                    <w:rPr>
                      <w:rFonts w:ascii="Cambria Math" w:hAnsi="Cambria Math"/>
                    </w:rPr>
                  </m:ctrlPr>
                </m:mPr>
                <m:mr>
                  <m:e>
                    <m:r>
                      <w:rPr>
                        <w:rFonts w:ascii="Cambria Math" w:hAnsi="Cambria Math"/>
                      </w:rPr>
                      <m:t>0.6748</m:t>
                    </m:r>
                  </m:e>
                  <m:e>
                    <m:r>
                      <w:rPr>
                        <w:rFonts w:ascii="Cambria Math" w:hAnsi="Cambria Math"/>
                      </w:rPr>
                      <m:t>0.1008</m:t>
                    </m:r>
                  </m:e>
                  <m:e>
                    <m:r>
                      <w:rPr>
                        <w:rFonts w:ascii="Cambria Math" w:hAnsi="Cambria Math"/>
                      </w:rPr>
                      <m:t>0.2244</m:t>
                    </m:r>
                  </m:e>
                </m:mr>
                <m:mr>
                  <m:e>
                    <m:r>
                      <w:rPr>
                        <w:rFonts w:ascii="Cambria Math" w:hAnsi="Cambria Math"/>
                      </w:rPr>
                      <m:t>0.2319</m:t>
                    </m:r>
                  </m:e>
                  <m:e>
                    <m:r>
                      <w:rPr>
                        <w:rFonts w:ascii="Cambria Math" w:hAnsi="Cambria Math"/>
                      </w:rPr>
                      <m:t>0.4601</m:t>
                    </m:r>
                  </m:e>
                  <m:e>
                    <m:r>
                      <w:rPr>
                        <w:rFonts w:ascii="Cambria Math" w:hAnsi="Cambria Math"/>
                      </w:rPr>
                      <m:t>0.3080</m:t>
                    </m:r>
                  </m:e>
                </m:mr>
                <m:mr>
                  <m:e>
                    <m:r>
                      <w:rPr>
                        <w:rFonts w:ascii="Cambria Math" w:hAnsi="Cambria Math"/>
                      </w:rPr>
                      <m:t>0.2305</m:t>
                    </m:r>
                  </m:e>
                  <m:e>
                    <m:r>
                      <w:rPr>
                        <w:rFonts w:ascii="Cambria Math" w:hAnsi="Cambria Math"/>
                      </w:rPr>
                      <m:t>0.1327</m:t>
                    </m:r>
                  </m:e>
                  <m:e>
                    <m:r>
                      <w:rPr>
                        <w:rFonts w:ascii="Cambria Math" w:hAnsi="Cambria Math"/>
                      </w:rPr>
                      <m:t>0.6368</m:t>
                    </m:r>
                  </m:e>
                </m:mr>
              </m:m>
            </m:e>
          </m:d>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9</m:t>
              </m:r>
            </m:e>
          </m:d>
        </m:oMath>
      </m:oMathPara>
    </w:p>
    <w:p w14:paraId="74618C64" w14:textId="77777777" w:rsidR="002E4036" w:rsidRDefault="00000000">
      <w:pPr>
        <w:pStyle w:val="FirstParagraph"/>
      </w:pPr>
      <w:r>
        <w:t>and its rows reproduce the fractions of the counts in Table 1. All entries are positive, so Proposition 1 applies.</w:t>
      </w:r>
    </w:p>
    <w:p w14:paraId="5D53D070" w14:textId="77777777" w:rsidR="002E4036" w:rsidRDefault="00000000">
      <w:pPr>
        <w:pStyle w:val="Caption"/>
        <w:keepNext/>
      </w:pPr>
      <w:r>
        <w:rPr>
          <w:b/>
          <w:bCs/>
        </w:rPr>
        <w:t>Table 2.</w:t>
      </w:r>
      <w:r>
        <w:t xml:space="preserve"> Estimated transition probabilities with 95% exact (Clopper–Pearson) confidence limits</w:t>
      </w:r>
    </w:p>
    <w:tbl>
      <w:tblPr>
        <w:tblStyle w:val="Table"/>
        <w:tblW w:w="5000" w:type="pct"/>
        <w:tblBorders>
          <w:top w:val="single" w:sz="12" w:space="0" w:color="000000"/>
          <w:left w:val="nil"/>
          <w:bottom w:val="single" w:sz="12" w:space="0" w:color="000000"/>
          <w:right w:val="nil"/>
          <w:insideH w:val="nil"/>
          <w:insideV w:val="nil"/>
        </w:tblBorders>
        <w:tblLook w:val="0020" w:firstRow="1" w:lastRow="0" w:firstColumn="0" w:lastColumn="0" w:noHBand="0" w:noVBand="0"/>
      </w:tblPr>
      <w:tblGrid>
        <w:gridCol w:w="1832"/>
        <w:gridCol w:w="2470"/>
        <w:gridCol w:w="2470"/>
        <w:gridCol w:w="2470"/>
      </w:tblGrid>
      <w:tr w:rsidR="002E4036" w14:paraId="6378BC2A" w14:textId="77777777" w:rsidTr="002E4036">
        <w:trPr>
          <w:cnfStyle w:val="100000000000" w:firstRow="1" w:lastRow="0" w:firstColumn="0" w:lastColumn="0" w:oddVBand="0" w:evenVBand="0" w:oddHBand="0" w:evenHBand="0" w:firstRowFirstColumn="0" w:firstRowLastColumn="0" w:lastRowFirstColumn="0" w:lastRowLastColumn="0"/>
          <w:cantSplit/>
          <w:tblHeader/>
        </w:trPr>
        <w:tc>
          <w:tcPr>
            <w:tcW w:w="0" w:type="auto"/>
            <w:tcBorders>
              <w:bottom w:val="single" w:sz="8" w:space="0" w:color="000000"/>
            </w:tcBorders>
            <w:tcMar>
              <w:top w:w="40" w:type="dxa"/>
              <w:bottom w:w="40" w:type="dxa"/>
            </w:tcMar>
          </w:tcPr>
          <w:p w14:paraId="7370391E" w14:textId="77777777" w:rsidR="002E4036" w:rsidRDefault="00000000">
            <w:pPr>
              <w:pStyle w:val="Compact"/>
              <w:keepNext/>
              <w:spacing w:after="0" w:line="240" w:lineRule="auto"/>
              <w:jc w:val="left"/>
            </w:pPr>
            <w:r>
              <w:rPr>
                <w:b/>
                <w:sz w:val="18"/>
              </w:rPr>
              <w:t>Current state</w:t>
            </w:r>
          </w:p>
        </w:tc>
        <w:tc>
          <w:tcPr>
            <w:tcW w:w="0" w:type="auto"/>
            <w:tcBorders>
              <w:bottom w:val="single" w:sz="8" w:space="0" w:color="000000"/>
            </w:tcBorders>
            <w:tcMar>
              <w:top w:w="40" w:type="dxa"/>
              <w:bottom w:w="40" w:type="dxa"/>
            </w:tcMar>
          </w:tcPr>
          <w:p w14:paraId="334C2B56" w14:textId="77777777" w:rsidR="002E4036" w:rsidRDefault="00000000">
            <w:pPr>
              <w:pStyle w:val="Compact"/>
              <w:keepNext/>
              <w:spacing w:after="0" w:line="240" w:lineRule="auto"/>
              <w:jc w:val="center"/>
            </w:pPr>
            <w:r>
              <w:rPr>
                <w:b/>
                <w:sz w:val="18"/>
              </w:rPr>
              <w:t>Next: R</w:t>
            </w:r>
          </w:p>
        </w:tc>
        <w:tc>
          <w:tcPr>
            <w:tcW w:w="0" w:type="auto"/>
            <w:tcBorders>
              <w:bottom w:val="single" w:sz="8" w:space="0" w:color="000000"/>
            </w:tcBorders>
            <w:tcMar>
              <w:top w:w="40" w:type="dxa"/>
              <w:bottom w:w="40" w:type="dxa"/>
            </w:tcMar>
          </w:tcPr>
          <w:p w14:paraId="0C274A67" w14:textId="77777777" w:rsidR="002E4036" w:rsidRDefault="00000000">
            <w:pPr>
              <w:pStyle w:val="Compact"/>
              <w:keepNext/>
              <w:spacing w:after="0" w:line="240" w:lineRule="auto"/>
              <w:jc w:val="center"/>
            </w:pPr>
            <w:r>
              <w:rPr>
                <w:b/>
                <w:sz w:val="18"/>
              </w:rPr>
              <w:t>Next: I</w:t>
            </w:r>
          </w:p>
        </w:tc>
        <w:tc>
          <w:tcPr>
            <w:tcW w:w="0" w:type="auto"/>
            <w:tcBorders>
              <w:bottom w:val="single" w:sz="8" w:space="0" w:color="000000"/>
            </w:tcBorders>
            <w:tcMar>
              <w:top w:w="40" w:type="dxa"/>
              <w:bottom w:w="40" w:type="dxa"/>
            </w:tcMar>
          </w:tcPr>
          <w:p w14:paraId="5A5E01D2" w14:textId="77777777" w:rsidR="002E4036" w:rsidRDefault="00000000">
            <w:pPr>
              <w:pStyle w:val="Compact"/>
              <w:keepNext/>
              <w:spacing w:after="0" w:line="240" w:lineRule="auto"/>
              <w:jc w:val="center"/>
            </w:pPr>
            <w:r>
              <w:rPr>
                <w:b/>
                <w:sz w:val="18"/>
              </w:rPr>
              <w:t>Next: N</w:t>
            </w:r>
          </w:p>
        </w:tc>
      </w:tr>
      <w:tr w:rsidR="002E4036" w14:paraId="33A1CC47" w14:textId="77777777" w:rsidTr="002E4036">
        <w:trPr>
          <w:cantSplit/>
        </w:trPr>
        <w:tc>
          <w:tcPr>
            <w:tcW w:w="0" w:type="auto"/>
            <w:tcMar>
              <w:top w:w="40" w:type="dxa"/>
              <w:bottom w:w="40" w:type="dxa"/>
            </w:tcMar>
          </w:tcPr>
          <w:p w14:paraId="29D78029" w14:textId="77777777" w:rsidR="002E4036" w:rsidRDefault="00000000">
            <w:pPr>
              <w:pStyle w:val="Compact"/>
              <w:keepNext/>
              <w:spacing w:after="0" w:line="240" w:lineRule="auto"/>
              <w:jc w:val="left"/>
            </w:pPr>
            <w:r>
              <w:rPr>
                <w:sz w:val="18"/>
              </w:rPr>
              <w:t>R</w:t>
            </w:r>
          </w:p>
        </w:tc>
        <w:tc>
          <w:tcPr>
            <w:tcW w:w="0" w:type="auto"/>
            <w:tcMar>
              <w:top w:w="40" w:type="dxa"/>
              <w:bottom w:w="40" w:type="dxa"/>
            </w:tcMar>
          </w:tcPr>
          <w:p w14:paraId="4B5C63C2" w14:textId="77777777" w:rsidR="002E4036" w:rsidRDefault="00000000">
            <w:pPr>
              <w:pStyle w:val="Compact"/>
              <w:keepNext/>
              <w:spacing w:after="0" w:line="240" w:lineRule="auto"/>
              <w:jc w:val="center"/>
            </w:pPr>
            <w:r>
              <w:rPr>
                <w:sz w:val="18"/>
              </w:rPr>
              <w:t>0.675 (0.636, 0.712)</w:t>
            </w:r>
          </w:p>
        </w:tc>
        <w:tc>
          <w:tcPr>
            <w:tcW w:w="0" w:type="auto"/>
            <w:tcMar>
              <w:top w:w="40" w:type="dxa"/>
              <w:bottom w:w="40" w:type="dxa"/>
            </w:tcMar>
          </w:tcPr>
          <w:p w14:paraId="326BF287" w14:textId="77777777" w:rsidR="002E4036" w:rsidRDefault="00000000">
            <w:pPr>
              <w:pStyle w:val="Compact"/>
              <w:keepNext/>
              <w:spacing w:after="0" w:line="240" w:lineRule="auto"/>
              <w:jc w:val="center"/>
            </w:pPr>
            <w:r>
              <w:rPr>
                <w:sz w:val="18"/>
              </w:rPr>
              <w:t>0.101 (0.078, 0.127)</w:t>
            </w:r>
          </w:p>
        </w:tc>
        <w:tc>
          <w:tcPr>
            <w:tcW w:w="0" w:type="auto"/>
            <w:tcMar>
              <w:top w:w="40" w:type="dxa"/>
              <w:bottom w:w="40" w:type="dxa"/>
            </w:tcMar>
          </w:tcPr>
          <w:p w14:paraId="7243F1D7" w14:textId="77777777" w:rsidR="002E4036" w:rsidRDefault="00000000">
            <w:pPr>
              <w:pStyle w:val="Compact"/>
              <w:keepNext/>
              <w:spacing w:after="0" w:line="240" w:lineRule="auto"/>
              <w:jc w:val="center"/>
            </w:pPr>
            <w:r>
              <w:rPr>
                <w:sz w:val="18"/>
              </w:rPr>
              <w:t>0.224 (0.192, 0.260)</w:t>
            </w:r>
          </w:p>
        </w:tc>
      </w:tr>
      <w:tr w:rsidR="002E4036" w14:paraId="6EDDF170" w14:textId="77777777" w:rsidTr="002E4036">
        <w:trPr>
          <w:cantSplit/>
        </w:trPr>
        <w:tc>
          <w:tcPr>
            <w:tcW w:w="0" w:type="auto"/>
            <w:tcMar>
              <w:top w:w="40" w:type="dxa"/>
              <w:bottom w:w="40" w:type="dxa"/>
            </w:tcMar>
          </w:tcPr>
          <w:p w14:paraId="61268D58" w14:textId="77777777" w:rsidR="002E4036" w:rsidRDefault="00000000">
            <w:pPr>
              <w:pStyle w:val="Compact"/>
              <w:keepNext/>
              <w:spacing w:after="0" w:line="240" w:lineRule="auto"/>
              <w:jc w:val="left"/>
            </w:pPr>
            <w:r>
              <w:rPr>
                <w:sz w:val="18"/>
              </w:rPr>
              <w:t>I</w:t>
            </w:r>
          </w:p>
        </w:tc>
        <w:tc>
          <w:tcPr>
            <w:tcW w:w="0" w:type="auto"/>
            <w:tcMar>
              <w:top w:w="40" w:type="dxa"/>
              <w:bottom w:w="40" w:type="dxa"/>
            </w:tcMar>
          </w:tcPr>
          <w:p w14:paraId="1F0942BC" w14:textId="77777777" w:rsidR="002E4036" w:rsidRDefault="00000000">
            <w:pPr>
              <w:pStyle w:val="Compact"/>
              <w:keepNext/>
              <w:spacing w:after="0" w:line="240" w:lineRule="auto"/>
              <w:jc w:val="center"/>
            </w:pPr>
            <w:r>
              <w:rPr>
                <w:sz w:val="18"/>
              </w:rPr>
              <w:t>0.232 (0.182, 0.288)</w:t>
            </w:r>
          </w:p>
        </w:tc>
        <w:tc>
          <w:tcPr>
            <w:tcW w:w="0" w:type="auto"/>
            <w:tcMar>
              <w:top w:w="40" w:type="dxa"/>
              <w:bottom w:w="40" w:type="dxa"/>
            </w:tcMar>
          </w:tcPr>
          <w:p w14:paraId="4151F100" w14:textId="77777777" w:rsidR="002E4036" w:rsidRDefault="00000000">
            <w:pPr>
              <w:pStyle w:val="Compact"/>
              <w:keepNext/>
              <w:spacing w:after="0" w:line="240" w:lineRule="auto"/>
              <w:jc w:val="center"/>
            </w:pPr>
            <w:r>
              <w:rPr>
                <w:sz w:val="18"/>
              </w:rPr>
              <w:t>0.460 (0.399, 0.522)</w:t>
            </w:r>
          </w:p>
        </w:tc>
        <w:tc>
          <w:tcPr>
            <w:tcW w:w="0" w:type="auto"/>
            <w:tcMar>
              <w:top w:w="40" w:type="dxa"/>
              <w:bottom w:w="40" w:type="dxa"/>
            </w:tcMar>
          </w:tcPr>
          <w:p w14:paraId="7F976A82" w14:textId="77777777" w:rsidR="002E4036" w:rsidRDefault="00000000">
            <w:pPr>
              <w:pStyle w:val="Compact"/>
              <w:keepNext/>
              <w:spacing w:after="0" w:line="240" w:lineRule="auto"/>
              <w:jc w:val="center"/>
            </w:pPr>
            <w:r>
              <w:rPr>
                <w:sz w:val="18"/>
              </w:rPr>
              <w:t>0.308 (0.253, 0.368)</w:t>
            </w:r>
          </w:p>
        </w:tc>
      </w:tr>
      <w:tr w:rsidR="002E4036" w14:paraId="7FC3B261" w14:textId="77777777" w:rsidTr="002E4036">
        <w:trPr>
          <w:cantSplit/>
        </w:trPr>
        <w:tc>
          <w:tcPr>
            <w:tcW w:w="0" w:type="auto"/>
            <w:tcMar>
              <w:top w:w="40" w:type="dxa"/>
              <w:bottom w:w="40" w:type="dxa"/>
            </w:tcMar>
          </w:tcPr>
          <w:p w14:paraId="53844B66" w14:textId="77777777" w:rsidR="002E4036" w:rsidRDefault="00000000">
            <w:pPr>
              <w:pStyle w:val="Compact"/>
              <w:keepNext/>
              <w:spacing w:after="0" w:line="240" w:lineRule="auto"/>
              <w:jc w:val="left"/>
            </w:pPr>
            <w:r>
              <w:rPr>
                <w:sz w:val="18"/>
              </w:rPr>
              <w:t>N</w:t>
            </w:r>
          </w:p>
        </w:tc>
        <w:tc>
          <w:tcPr>
            <w:tcW w:w="0" w:type="auto"/>
            <w:tcMar>
              <w:top w:w="40" w:type="dxa"/>
              <w:bottom w:w="40" w:type="dxa"/>
            </w:tcMar>
          </w:tcPr>
          <w:p w14:paraId="154D6FAF" w14:textId="77777777" w:rsidR="002E4036" w:rsidRDefault="00000000">
            <w:pPr>
              <w:pStyle w:val="Compact"/>
              <w:keepNext/>
              <w:spacing w:after="0" w:line="240" w:lineRule="auto"/>
              <w:jc w:val="center"/>
            </w:pPr>
            <w:r>
              <w:rPr>
                <w:sz w:val="18"/>
              </w:rPr>
              <w:t>0.231 (0.198, 0.266)</w:t>
            </w:r>
          </w:p>
        </w:tc>
        <w:tc>
          <w:tcPr>
            <w:tcW w:w="0" w:type="auto"/>
            <w:tcMar>
              <w:top w:w="40" w:type="dxa"/>
              <w:bottom w:w="40" w:type="dxa"/>
            </w:tcMar>
          </w:tcPr>
          <w:p w14:paraId="56C24811" w14:textId="77777777" w:rsidR="002E4036" w:rsidRDefault="00000000">
            <w:pPr>
              <w:pStyle w:val="Compact"/>
              <w:keepNext/>
              <w:spacing w:after="0" w:line="240" w:lineRule="auto"/>
              <w:jc w:val="center"/>
            </w:pPr>
            <w:r>
              <w:rPr>
                <w:sz w:val="18"/>
              </w:rPr>
              <w:t>0.133 (0.107, 0.162)</w:t>
            </w:r>
          </w:p>
        </w:tc>
        <w:tc>
          <w:tcPr>
            <w:tcW w:w="0" w:type="auto"/>
            <w:tcMar>
              <w:top w:w="40" w:type="dxa"/>
              <w:bottom w:w="40" w:type="dxa"/>
            </w:tcMar>
          </w:tcPr>
          <w:p w14:paraId="7653968E" w14:textId="77777777" w:rsidR="002E4036" w:rsidRDefault="00000000">
            <w:pPr>
              <w:pStyle w:val="Compact"/>
              <w:keepNext/>
              <w:spacing w:after="0" w:line="240" w:lineRule="auto"/>
              <w:jc w:val="center"/>
            </w:pPr>
            <w:r>
              <w:rPr>
                <w:sz w:val="18"/>
              </w:rPr>
              <w:t>0.637 (0.597, 0.675)</w:t>
            </w:r>
          </w:p>
        </w:tc>
      </w:tr>
    </w:tbl>
    <w:p w14:paraId="119F298E" w14:textId="77777777" w:rsidR="002E4036" w:rsidRDefault="00000000">
      <w:pPr>
        <w:pStyle w:val="Note"/>
      </w:pPr>
      <w:r>
        <w:rPr>
          <w:i/>
          <w:iCs/>
        </w:rPr>
        <w:t>Note.</w:t>
      </w:r>
      <w:r>
        <w:t xml:space="preserve"> Values are estimates with 95% confidence limits in parentheses, computed from F quantiles as in Equations (6a) and (6b). Row sizes are 615 (R), 263 (I) and 603 (N).</w:t>
      </w:r>
    </w:p>
    <w:p w14:paraId="2209D8DF" w14:textId="77777777" w:rsidR="002E4036" w:rsidRDefault="00000000">
      <w:pPr>
        <w:pStyle w:val="BodyText"/>
        <w:keepNext/>
        <w:jc w:val="center"/>
      </w:pPr>
      <w:r>
        <w:rPr>
          <w:noProof/>
        </w:rPr>
        <w:drawing>
          <wp:inline distT="0" distB="0" distL="0" distR="0" wp14:anchorId="581D2F0B" wp14:editId="72A29AB3">
            <wp:extent cx="3931919" cy="3175781"/>
            <wp:effectExtent l="0" t="0" r="0" b="0"/>
            <wp:docPr id="31" name="Picture"/>
            <wp:cNvGraphicFramePr/>
            <a:graphic xmlns:a="http://schemas.openxmlformats.org/drawingml/2006/main">
              <a:graphicData uri="http://schemas.openxmlformats.org/drawingml/2006/picture">
                <pic:pic xmlns:pic="http://schemas.openxmlformats.org/drawingml/2006/picture">
                  <pic:nvPicPr>
                    <pic:cNvPr id="32" name="Picture" descr="figure2.png"/>
                    <pic:cNvPicPr>
                      <a:picLocks noChangeAspect="1" noChangeArrowheads="1"/>
                    </pic:cNvPicPr>
                  </pic:nvPicPr>
                  <pic:blipFill>
                    <a:blip r:embed="rId8"/>
                    <a:stretch>
                      <a:fillRect/>
                    </a:stretch>
                  </pic:blipFill>
                  <pic:spPr bwMode="auto">
                    <a:xfrm>
                      <a:off x="0" y="0"/>
                      <a:ext cx="3931919" cy="3175781"/>
                    </a:xfrm>
                    <a:prstGeom prst="rect">
                      <a:avLst/>
                    </a:prstGeom>
                    <a:noFill/>
                    <a:ln w="9525">
                      <a:noFill/>
                      <a:headEnd/>
                      <a:tailEnd/>
                    </a:ln>
                  </pic:spPr>
                </pic:pic>
              </a:graphicData>
            </a:graphic>
          </wp:inline>
        </w:drawing>
      </w:r>
    </w:p>
    <w:p w14:paraId="6ED1A3E6" w14:textId="77777777" w:rsidR="002E4036" w:rsidRDefault="00000000">
      <w:pPr>
        <w:pStyle w:val="Caption"/>
        <w:jc w:val="center"/>
      </w:pPr>
      <w:r>
        <w:rPr>
          <w:b/>
          <w:bCs/>
        </w:rPr>
        <w:t>Figure 2.</w:t>
      </w:r>
      <w:r>
        <w:t xml:space="preserve"> Heat map of the estimated one-step transition probability matrix. Darker cells indicate higher probabilities.</w:t>
      </w:r>
    </w:p>
    <w:p w14:paraId="7B8993EE" w14:textId="77777777" w:rsidR="002E4036" w:rsidRDefault="00000000">
      <w:pPr>
        <w:pStyle w:val="BodyText"/>
      </w:pPr>
      <w:r>
        <w:t>Same-state persistence is high for decreases (0.675; 95% CI 0.636–0.712) and for unchanged prices (0.637; 0.597–0.675) and lower for increases (0.460; 0.399–0.522). The interval for the persistence of decreases does not overlap that for increases, so the data support the statement that decreases were more persistent than increases. After an increase or an unchanged price, the probability of a decrease at the next observation was nearly identical (0.232 and 0.231), while after a decrease the probability of an increase was only 0.101 (0.078–0.127). Direct reversals from a decrease to an increase were therefore uncommon.</w:t>
      </w:r>
    </w:p>
    <w:p w14:paraId="67FD0885" w14:textId="77777777" w:rsidR="002E4036" w:rsidRDefault="00000000">
      <w:pPr>
        <w:pStyle w:val="Heading2"/>
      </w:pPr>
      <w:bookmarkStart w:id="9" w:name="continuous-time-representation"/>
      <w:bookmarkEnd w:id="8"/>
      <w:r>
        <w:lastRenderedPageBreak/>
        <w:t>3.3 Continuous-time representation</w:t>
      </w:r>
    </w:p>
    <w:p w14:paraId="713CC848" w14:textId="77777777" w:rsidR="002E4036" w:rsidRDefault="00000000">
      <w:pPr>
        <w:pStyle w:val="FirstParagraph"/>
      </w:pPr>
      <w:r>
        <w:t xml:space="preserve">The eigenvalues of </w:t>
      </w:r>
      <m:oMath>
        <m:acc>
          <m:accPr>
            <m:ctrlPr>
              <w:rPr>
                <w:rFonts w:ascii="Cambria Math" w:hAnsi="Cambria Math"/>
              </w:rPr>
            </m:ctrlPr>
          </m:accPr>
          <m:e>
            <m:r>
              <w:rPr>
                <w:rFonts w:ascii="Cambria Math" w:hAnsi="Cambria Math"/>
              </w:rPr>
              <m:t>P</m:t>
            </m:r>
          </m:e>
        </m:acc>
      </m:oMath>
      <w:r>
        <w:t xml:space="preserve"> are 1, 0.444 and 0.328; they are real, positive and distinct, so the principal logarithm of </w:t>
      </w:r>
      <m:oMath>
        <m:acc>
          <m:accPr>
            <m:ctrlPr>
              <w:rPr>
                <w:rFonts w:ascii="Cambria Math" w:hAnsi="Cambria Math"/>
              </w:rPr>
            </m:ctrlPr>
          </m:accPr>
          <m:e>
            <m:r>
              <w:rPr>
                <w:rFonts w:ascii="Cambria Math" w:hAnsi="Cambria Math"/>
              </w:rPr>
              <m:t>P</m:t>
            </m:r>
          </m:e>
        </m:acc>
      </m:oMath>
      <w:r>
        <w:t xml:space="preserve"> is real. It equals</w:t>
      </w:r>
    </w:p>
    <w:p w14:paraId="43DC568F" w14:textId="77777777" w:rsidR="002E4036" w:rsidRDefault="00000000">
      <w:pPr>
        <w:pStyle w:val="BodyText"/>
      </w:pPr>
      <m:oMathPara>
        <m:oMathParaPr>
          <m:jc m:val="center"/>
        </m:oMathParaPr>
        <m:oMath>
          <m:acc>
            <m:accPr>
              <m:ctrlPr>
                <w:rPr>
                  <w:rFonts w:ascii="Cambria Math" w:hAnsi="Cambria Math"/>
                </w:rPr>
              </m:ctrlPr>
            </m:accPr>
            <m:e>
              <m:r>
                <w:rPr>
                  <w:rFonts w:ascii="Cambria Math" w:hAnsi="Cambria Math"/>
                </w:rPr>
                <m:t>Q</m:t>
              </m:r>
            </m:e>
          </m:acc>
          <m:r>
            <m:rPr>
              <m:sty m:val="p"/>
            </m:rPr>
            <w:rPr>
              <w:rFonts w:ascii="Cambria Math" w:hAnsi="Cambria Math"/>
            </w:rPr>
            <m:t>=log</m:t>
          </m:r>
          <m:acc>
            <m:accPr>
              <m:ctrlPr>
                <w:rPr>
                  <w:rFonts w:ascii="Cambria Math" w:hAnsi="Cambria Math"/>
                </w:rPr>
              </m:ctrlPr>
            </m:accPr>
            <m:e>
              <m:r>
                <w:rPr>
                  <w:rFonts w:ascii="Cambria Math" w:hAnsi="Cambria Math"/>
                </w:rPr>
                <m:t>P</m:t>
              </m:r>
            </m:e>
          </m:acc>
          <m:r>
            <m:rPr>
              <m:sty m:val="p"/>
            </m:rPr>
            <w:rPr>
              <w:rFonts w:ascii="Cambria Math" w:hAnsi="Cambria Math"/>
            </w:rPr>
            <m:t>=</m:t>
          </m:r>
          <m:d>
            <m:dPr>
              <m:ctrlPr>
                <w:rPr>
                  <w:rFonts w:ascii="Cambria Math" w:hAnsi="Cambria Math"/>
                </w:rPr>
              </m:ctrlPr>
            </m:dPr>
            <m:e>
              <m:m>
                <m:mPr>
                  <m:plcHide m:val="1"/>
                  <m:mcs>
                    <m:mc>
                      <m:mcPr>
                        <m:count m:val="3"/>
                        <m:mcJc m:val="center"/>
                      </m:mcPr>
                    </m:mc>
                  </m:mcs>
                  <m:ctrlPr>
                    <w:rPr>
                      <w:rFonts w:ascii="Cambria Math" w:hAnsi="Cambria Math"/>
                    </w:rPr>
                  </m:ctrlPr>
                </m:mPr>
                <m:mr>
                  <m:e>
                    <m:r>
                      <m:rPr>
                        <m:sty m:val="p"/>
                      </m:rPr>
                      <w:rPr>
                        <w:rFonts w:ascii="Cambria Math" w:hAnsi="Cambria Math"/>
                      </w:rPr>
                      <m:t>-</m:t>
                    </m:r>
                    <m:r>
                      <w:rPr>
                        <w:rFonts w:ascii="Cambria Math" w:hAnsi="Cambria Math"/>
                      </w:rPr>
                      <m:t>0.475</m:t>
                    </m:r>
                  </m:e>
                  <m:e>
                    <m:r>
                      <w:rPr>
                        <w:rFonts w:ascii="Cambria Math" w:hAnsi="Cambria Math"/>
                      </w:rPr>
                      <m:t>0.150</m:t>
                    </m:r>
                  </m:e>
                  <m:e>
                    <m:r>
                      <w:rPr>
                        <w:rFonts w:ascii="Cambria Math" w:hAnsi="Cambria Math"/>
                      </w:rPr>
                      <m:t>0.325</m:t>
                    </m:r>
                  </m:e>
                </m:mr>
                <m:mr>
                  <m:e>
                    <m:r>
                      <w:rPr>
                        <w:rFonts w:ascii="Cambria Math" w:hAnsi="Cambria Math"/>
                      </w:rPr>
                      <m:t>0.340</m:t>
                    </m:r>
                  </m:e>
                  <m:e>
                    <m:r>
                      <m:rPr>
                        <m:sty m:val="p"/>
                      </m:rPr>
                      <w:rPr>
                        <w:rFonts w:ascii="Cambria Math" w:hAnsi="Cambria Math"/>
                      </w:rPr>
                      <m:t>-</m:t>
                    </m:r>
                    <m:r>
                      <w:rPr>
                        <w:rFonts w:ascii="Cambria Math" w:hAnsi="Cambria Math"/>
                      </w:rPr>
                      <m:t>0.884</m:t>
                    </m:r>
                  </m:e>
                  <m:e>
                    <m:r>
                      <w:rPr>
                        <w:rFonts w:ascii="Cambria Math" w:hAnsi="Cambria Math"/>
                      </w:rPr>
                      <m:t>0.544</m:t>
                    </m:r>
                  </m:e>
                </m:mr>
                <m:mr>
                  <m:e>
                    <m:r>
                      <w:rPr>
                        <w:rFonts w:ascii="Cambria Math" w:hAnsi="Cambria Math"/>
                      </w:rPr>
                      <m:t>0.336</m:t>
                    </m:r>
                  </m:e>
                  <m:e>
                    <m:r>
                      <w:rPr>
                        <w:rFonts w:ascii="Cambria Math" w:hAnsi="Cambria Math"/>
                      </w:rPr>
                      <m:t>0.233</m:t>
                    </m:r>
                  </m:e>
                  <m:e>
                    <m:r>
                      <m:rPr>
                        <m:sty m:val="p"/>
                      </m:rPr>
                      <w:rPr>
                        <w:rFonts w:ascii="Cambria Math" w:hAnsi="Cambria Math"/>
                      </w:rPr>
                      <m:t>-</m:t>
                    </m:r>
                    <m:r>
                      <w:rPr>
                        <w:rFonts w:ascii="Cambria Math" w:hAnsi="Cambria Math"/>
                      </w:rPr>
                      <m:t>0.569</m:t>
                    </m:r>
                  </m:e>
                </m:mr>
              </m:m>
            </m:e>
          </m:d>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10</m:t>
              </m:r>
            </m:e>
          </m:d>
        </m:oMath>
      </m:oMathPara>
    </w:p>
    <w:p w14:paraId="76F19512" w14:textId="77777777" w:rsidR="002E4036" w:rsidRDefault="00000000">
      <w:pPr>
        <w:pStyle w:val="FirstParagraph"/>
      </w:pPr>
      <w:r>
        <w:t xml:space="preserve">with time measured in observation intervals. All off-diagonal entries are non-negative (the smallest is 0.150) and the row sums are zero, so </w:t>
      </w:r>
      <m:oMath>
        <m:acc>
          <m:accPr>
            <m:ctrlPr>
              <w:rPr>
                <w:rFonts w:ascii="Cambria Math" w:hAnsi="Cambria Math"/>
              </w:rPr>
            </m:ctrlPr>
          </m:accPr>
          <m:e>
            <m:r>
              <w:rPr>
                <w:rFonts w:ascii="Cambria Math" w:hAnsi="Cambria Math"/>
              </w:rPr>
              <m:t>Q</m:t>
            </m:r>
          </m:e>
        </m:acc>
      </m:oMath>
      <w:r>
        <w:t xml:space="preserve"> is a valid generator, and a numerical check gave </w:t>
      </w:r>
      <m:oMath>
        <m:sSup>
          <m:sSupPr>
            <m:ctrlPr>
              <w:rPr>
                <w:rFonts w:ascii="Cambria Math" w:hAnsi="Cambria Math"/>
              </w:rPr>
            </m:ctrlPr>
          </m:sSupPr>
          <m:e>
            <m:r>
              <w:rPr>
                <w:rFonts w:ascii="Cambria Math" w:hAnsi="Cambria Math"/>
              </w:rPr>
              <m:t>e</m:t>
            </m:r>
          </m:e>
          <m:sup>
            <m:acc>
              <m:accPr>
                <m:ctrlPr>
                  <w:rPr>
                    <w:rFonts w:ascii="Cambria Math" w:hAnsi="Cambria Math"/>
                  </w:rPr>
                </m:ctrlPr>
              </m:accPr>
              <m:e>
                <m:r>
                  <w:rPr>
                    <w:rFonts w:ascii="Cambria Math" w:hAnsi="Cambria Math"/>
                  </w:rPr>
                  <m:t>Q</m:t>
                </m:r>
              </m:e>
            </m:acc>
          </m:sup>
        </m:sSup>
        <m:r>
          <m:rPr>
            <m:sty m:val="p"/>
          </m:rPr>
          <w:rPr>
            <w:rFonts w:ascii="Cambria Math" w:hAnsi="Cambria Math"/>
          </w:rPr>
          <m:t>=</m:t>
        </m:r>
        <m:acc>
          <m:accPr>
            <m:ctrlPr>
              <w:rPr>
                <w:rFonts w:ascii="Cambria Math" w:hAnsi="Cambria Math"/>
              </w:rPr>
            </m:ctrlPr>
          </m:accPr>
          <m:e>
            <m:r>
              <w:rPr>
                <w:rFonts w:ascii="Cambria Math" w:hAnsi="Cambria Math"/>
              </w:rPr>
              <m:t>P</m:t>
            </m:r>
          </m:e>
        </m:acc>
      </m:oMath>
      <w:r>
        <w:t xml:space="preserve"> to machine precision and </w:t>
      </w:r>
      <m:oMath>
        <m:r>
          <w:rPr>
            <w:rFonts w:ascii="Cambria Math" w:hAnsi="Cambria Math"/>
          </w:rPr>
          <m:t>π</m:t>
        </m:r>
        <m:acc>
          <m:accPr>
            <m:ctrlPr>
              <w:rPr>
                <w:rFonts w:ascii="Cambria Math" w:hAnsi="Cambria Math"/>
              </w:rPr>
            </m:ctrlPr>
          </m:accPr>
          <m:e>
            <m:r>
              <w:rPr>
                <w:rFonts w:ascii="Cambria Math" w:hAnsi="Cambria Math"/>
              </w:rPr>
              <m:t>Q</m:t>
            </m:r>
          </m:e>
        </m:acc>
        <m:r>
          <m:rPr>
            <m:sty m:val="p"/>
          </m:rPr>
          <w:rPr>
            <w:rFonts w:ascii="Cambria Math" w:hAnsi="Cambria Math"/>
          </w:rPr>
          <m:t>=</m:t>
        </m:r>
        <m:r>
          <w:rPr>
            <w:rFonts w:ascii="Cambria Math" w:hAnsi="Cambria Math"/>
          </w:rPr>
          <m:t>0</m:t>
        </m:r>
      </m:oMath>
      <w:r>
        <w:t xml:space="preserve">. The exit rates are </w:t>
      </w:r>
      <m:oMath>
        <m:sSub>
          <m:sSubPr>
            <m:ctrlPr>
              <w:rPr>
                <w:rFonts w:ascii="Cambria Math" w:hAnsi="Cambria Math"/>
              </w:rPr>
            </m:ctrlPr>
          </m:sSubPr>
          <m:e>
            <m:acc>
              <m:accPr>
                <m:ctrlPr>
                  <w:rPr>
                    <w:rFonts w:ascii="Cambria Math" w:hAnsi="Cambria Math"/>
                  </w:rPr>
                </m:ctrlPr>
              </m:accPr>
              <m:e>
                <m:r>
                  <w:rPr>
                    <w:rFonts w:ascii="Cambria Math" w:hAnsi="Cambria Math"/>
                  </w:rPr>
                  <m:t>q</m:t>
                </m:r>
              </m:e>
            </m:acc>
          </m:e>
          <m:sub>
            <m:r>
              <w:rPr>
                <w:rFonts w:ascii="Cambria Math" w:hAnsi="Cambria Math"/>
              </w:rPr>
              <m:t>R</m:t>
            </m:r>
          </m:sub>
        </m:sSub>
        <m:r>
          <m:rPr>
            <m:sty m:val="p"/>
          </m:rPr>
          <w:rPr>
            <w:rFonts w:ascii="Cambria Math" w:hAnsi="Cambria Math"/>
          </w:rPr>
          <m:t>=</m:t>
        </m:r>
        <m:r>
          <w:rPr>
            <w:rFonts w:ascii="Cambria Math" w:hAnsi="Cambria Math"/>
          </w:rPr>
          <m:t>0.475</m:t>
        </m:r>
      </m:oMath>
      <w:r>
        <w:t xml:space="preserve">, </w:t>
      </w:r>
      <m:oMath>
        <m:sSub>
          <m:sSubPr>
            <m:ctrlPr>
              <w:rPr>
                <w:rFonts w:ascii="Cambria Math" w:hAnsi="Cambria Math"/>
              </w:rPr>
            </m:ctrlPr>
          </m:sSubPr>
          <m:e>
            <m:acc>
              <m:accPr>
                <m:ctrlPr>
                  <w:rPr>
                    <w:rFonts w:ascii="Cambria Math" w:hAnsi="Cambria Math"/>
                  </w:rPr>
                </m:ctrlPr>
              </m:accPr>
              <m:e>
                <m:r>
                  <w:rPr>
                    <w:rFonts w:ascii="Cambria Math" w:hAnsi="Cambria Math"/>
                  </w:rPr>
                  <m:t>q</m:t>
                </m:r>
              </m:e>
            </m:acc>
          </m:e>
          <m:sub>
            <m:r>
              <w:rPr>
                <w:rFonts w:ascii="Cambria Math" w:hAnsi="Cambria Math"/>
              </w:rPr>
              <m:t>I</m:t>
            </m:r>
          </m:sub>
        </m:sSub>
        <m:r>
          <m:rPr>
            <m:sty m:val="p"/>
          </m:rPr>
          <w:rPr>
            <w:rFonts w:ascii="Cambria Math" w:hAnsi="Cambria Math"/>
          </w:rPr>
          <m:t>=</m:t>
        </m:r>
        <m:r>
          <w:rPr>
            <w:rFonts w:ascii="Cambria Math" w:hAnsi="Cambria Math"/>
          </w:rPr>
          <m:t>0.884</m:t>
        </m:r>
      </m:oMath>
      <w:r>
        <w:t xml:space="preserve"> and </w:t>
      </w:r>
      <m:oMath>
        <m:sSub>
          <m:sSubPr>
            <m:ctrlPr>
              <w:rPr>
                <w:rFonts w:ascii="Cambria Math" w:hAnsi="Cambria Math"/>
              </w:rPr>
            </m:ctrlPr>
          </m:sSubPr>
          <m:e>
            <m:acc>
              <m:accPr>
                <m:ctrlPr>
                  <w:rPr>
                    <w:rFonts w:ascii="Cambria Math" w:hAnsi="Cambria Math"/>
                  </w:rPr>
                </m:ctrlPr>
              </m:accPr>
              <m:e>
                <m:r>
                  <w:rPr>
                    <w:rFonts w:ascii="Cambria Math" w:hAnsi="Cambria Math"/>
                  </w:rPr>
                  <m:t>q</m:t>
                </m:r>
              </m:e>
            </m:acc>
          </m:e>
          <m:sub>
            <m:r>
              <w:rPr>
                <w:rFonts w:ascii="Cambria Math" w:hAnsi="Cambria Math"/>
              </w:rPr>
              <m:t>N</m:t>
            </m:r>
          </m:sub>
        </m:sSub>
        <m:r>
          <m:rPr>
            <m:sty m:val="p"/>
          </m:rPr>
          <w:rPr>
            <w:rFonts w:ascii="Cambria Math" w:hAnsi="Cambria Math"/>
          </w:rPr>
          <m:t>=</m:t>
        </m:r>
        <m:r>
          <w:rPr>
            <w:rFonts w:ascii="Cambria Math" w:hAnsi="Cambria Math"/>
          </w:rPr>
          <m:t>0.569</m:t>
        </m:r>
      </m:oMath>
      <w:r>
        <w:t xml:space="preserve">, corresponding to mean holding times of 2.11, 1.13 and 1.76 observation intervals. As noted in Section 2.2, a generator consistent with a given transition matrix is not necessarily unique (Israel et al., 2001), and holding times in continuous time cannot be verified against data recorded at discrete times. They should therefore be read as model-based </w:t>
      </w:r>
      <w:r>
        <w:rPr>
          <w:highlight w:val="yellow"/>
        </w:rPr>
        <w:t>summaries implied by</w:t>
      </w:r>
      <w:r>
        <w:t xml:space="preserve"> the chosen generator. The quantities that are directly observable are those of the discrete-time chain, reported in Table 4.</w:t>
      </w:r>
    </w:p>
    <w:p w14:paraId="2CF0CDAC" w14:textId="77777777" w:rsidR="002E4036" w:rsidRDefault="00000000">
      <w:pPr>
        <w:pStyle w:val="BodyText"/>
      </w:pPr>
      <w:r>
        <w:t xml:space="preserve">Table 3 gives the three-step-ahead transition probabilities from each starting state. For integer time </w:t>
      </w:r>
      <m:oMath>
        <m:r>
          <w:rPr>
            <w:rFonts w:ascii="Cambria Math" w:hAnsi="Cambria Math"/>
          </w:rPr>
          <m:t>t</m:t>
        </m:r>
      </m:oMath>
      <w:r>
        <w:t xml:space="preserve">, </w:t>
      </w:r>
      <m:oMath>
        <m:sSup>
          <m:sSupPr>
            <m:ctrlPr>
              <w:rPr>
                <w:rFonts w:ascii="Cambria Math" w:hAnsi="Cambria Math"/>
              </w:rPr>
            </m:ctrlPr>
          </m:sSupPr>
          <m:e>
            <m:r>
              <w:rPr>
                <w:rFonts w:ascii="Cambria Math" w:hAnsi="Cambria Math"/>
              </w:rPr>
              <m:t>e</m:t>
            </m:r>
          </m:e>
          <m:sup>
            <m:acc>
              <m:accPr>
                <m:ctrlPr>
                  <w:rPr>
                    <w:rFonts w:ascii="Cambria Math" w:hAnsi="Cambria Math"/>
                  </w:rPr>
                </m:ctrlPr>
              </m:accPr>
              <m:e>
                <m:r>
                  <w:rPr>
                    <w:rFonts w:ascii="Cambria Math" w:hAnsi="Cambria Math"/>
                  </w:rPr>
                  <m:t>Q</m:t>
                </m:r>
              </m:e>
            </m:acc>
            <m:r>
              <w:rPr>
                <w:rFonts w:ascii="Cambria Math" w:hAnsi="Cambria Math"/>
              </w:rPr>
              <m:t>t</m:t>
            </m:r>
          </m:sup>
        </m:sSup>
        <m:r>
          <m:rPr>
            <m:sty m:val="p"/>
          </m:rPr>
          <w:rPr>
            <w:rFonts w:ascii="Cambria Math" w:hAnsi="Cambria Math"/>
          </w:rPr>
          <m:t>=</m:t>
        </m:r>
        <m:sSup>
          <m:sSupPr>
            <m:ctrlPr>
              <w:rPr>
                <w:rFonts w:ascii="Cambria Math" w:hAnsi="Cambria Math"/>
              </w:rPr>
            </m:ctrlPr>
          </m:sSupPr>
          <m:e>
            <m:acc>
              <m:accPr>
                <m:ctrlPr>
                  <w:rPr>
                    <w:rFonts w:ascii="Cambria Math" w:hAnsi="Cambria Math"/>
                  </w:rPr>
                </m:ctrlPr>
              </m:accPr>
              <m:e>
                <m:r>
                  <w:rPr>
                    <w:rFonts w:ascii="Cambria Math" w:hAnsi="Cambria Math"/>
                  </w:rPr>
                  <m:t>P</m:t>
                </m:r>
              </m:e>
            </m:acc>
          </m:e>
          <m:sup>
            <m:r>
              <w:rPr>
                <w:rFonts w:ascii="Cambria Math" w:hAnsi="Cambria Math"/>
              </w:rPr>
              <m:t>t</m:t>
            </m:r>
          </m:sup>
        </m:sSup>
      </m:oMath>
      <w:r>
        <w:t>, so the same values are obtained from the continuous-time and discrete-time formulations.</w:t>
      </w:r>
    </w:p>
    <w:p w14:paraId="2D0F1C52" w14:textId="77777777" w:rsidR="002E4036" w:rsidRDefault="00000000">
      <w:pPr>
        <w:pStyle w:val="Caption"/>
        <w:keepNext/>
      </w:pPr>
      <w:r>
        <w:rPr>
          <w:b/>
          <w:bCs/>
        </w:rPr>
        <w:t>Table 3.</w:t>
      </w:r>
      <w:r>
        <w:t xml:space="preserve"> Scenario analysis: three-step-ahead transition probabilities</w:t>
      </w:r>
    </w:p>
    <w:tbl>
      <w:tblPr>
        <w:tblStyle w:val="Table"/>
        <w:tblW w:w="5000" w:type="pct"/>
        <w:tblBorders>
          <w:top w:val="single" w:sz="12" w:space="0" w:color="000000"/>
          <w:left w:val="nil"/>
          <w:bottom w:val="single" w:sz="12" w:space="0" w:color="000000"/>
          <w:right w:val="nil"/>
          <w:insideH w:val="nil"/>
          <w:insideV w:val="nil"/>
        </w:tblBorders>
        <w:tblLook w:val="0020" w:firstRow="1" w:lastRow="0" w:firstColumn="0" w:lastColumn="0" w:noHBand="0" w:noVBand="0"/>
      </w:tblPr>
      <w:tblGrid>
        <w:gridCol w:w="1423"/>
        <w:gridCol w:w="1032"/>
        <w:gridCol w:w="1755"/>
        <w:gridCol w:w="5032"/>
      </w:tblGrid>
      <w:tr w:rsidR="002E4036" w14:paraId="4453CF1A" w14:textId="77777777" w:rsidTr="002E4036">
        <w:trPr>
          <w:cnfStyle w:val="100000000000" w:firstRow="1" w:lastRow="0" w:firstColumn="0" w:lastColumn="0" w:oddVBand="0" w:evenVBand="0" w:oddHBand="0" w:evenHBand="0" w:firstRowFirstColumn="0" w:firstRowLastColumn="0" w:lastRowFirstColumn="0" w:lastRowLastColumn="0"/>
          <w:cantSplit/>
          <w:tblHeader/>
        </w:trPr>
        <w:tc>
          <w:tcPr>
            <w:tcW w:w="0" w:type="auto"/>
            <w:tcBorders>
              <w:bottom w:val="single" w:sz="8" w:space="0" w:color="000000"/>
            </w:tcBorders>
            <w:tcMar>
              <w:top w:w="40" w:type="dxa"/>
              <w:bottom w:w="40" w:type="dxa"/>
            </w:tcMar>
          </w:tcPr>
          <w:p w14:paraId="37BE51A7" w14:textId="77777777" w:rsidR="002E4036" w:rsidRDefault="00000000">
            <w:pPr>
              <w:pStyle w:val="Compact"/>
              <w:keepNext/>
              <w:spacing w:after="0" w:line="240" w:lineRule="auto"/>
              <w:jc w:val="left"/>
            </w:pPr>
            <w:r>
              <w:rPr>
                <w:b/>
                <w:sz w:val="18"/>
              </w:rPr>
              <w:t>Scenario</w:t>
            </w:r>
          </w:p>
        </w:tc>
        <w:tc>
          <w:tcPr>
            <w:tcW w:w="0" w:type="auto"/>
            <w:tcBorders>
              <w:bottom w:val="single" w:sz="8" w:space="0" w:color="000000"/>
            </w:tcBorders>
            <w:tcMar>
              <w:top w:w="40" w:type="dxa"/>
              <w:bottom w:w="40" w:type="dxa"/>
            </w:tcMar>
          </w:tcPr>
          <w:p w14:paraId="1B4F41AC" w14:textId="77777777" w:rsidR="002E4036" w:rsidRDefault="00000000">
            <w:pPr>
              <w:pStyle w:val="Compact"/>
              <w:keepNext/>
              <w:spacing w:after="0" w:line="240" w:lineRule="auto"/>
              <w:jc w:val="left"/>
            </w:pPr>
            <w:r>
              <w:rPr>
                <w:b/>
                <w:sz w:val="18"/>
              </w:rPr>
              <w:t>Starting state</w:t>
            </w:r>
          </w:p>
        </w:tc>
        <w:tc>
          <w:tcPr>
            <w:tcW w:w="0" w:type="auto"/>
            <w:tcBorders>
              <w:bottom w:val="single" w:sz="8" w:space="0" w:color="000000"/>
            </w:tcBorders>
            <w:tcMar>
              <w:top w:w="40" w:type="dxa"/>
              <w:bottom w:w="40" w:type="dxa"/>
            </w:tcMar>
          </w:tcPr>
          <w:p w14:paraId="4A971A55" w14:textId="77777777" w:rsidR="002E4036" w:rsidRDefault="00000000">
            <w:pPr>
              <w:pStyle w:val="Compact"/>
              <w:keepNext/>
              <w:spacing w:after="0" w:line="240" w:lineRule="auto"/>
              <w:jc w:val="left"/>
            </w:pPr>
            <w:r>
              <w:rPr>
                <w:b/>
                <w:sz w:val="18"/>
              </w:rPr>
              <w:t>Probability at step 3 (R / I / N)</w:t>
            </w:r>
          </w:p>
        </w:tc>
        <w:tc>
          <w:tcPr>
            <w:tcW w:w="0" w:type="auto"/>
            <w:tcBorders>
              <w:bottom w:val="single" w:sz="8" w:space="0" w:color="000000"/>
            </w:tcBorders>
            <w:tcMar>
              <w:top w:w="40" w:type="dxa"/>
              <w:bottom w:w="40" w:type="dxa"/>
            </w:tcMar>
          </w:tcPr>
          <w:p w14:paraId="21DA0739" w14:textId="77777777" w:rsidR="002E4036" w:rsidRDefault="00000000">
            <w:pPr>
              <w:pStyle w:val="Compact"/>
              <w:keepNext/>
              <w:spacing w:after="0" w:line="240" w:lineRule="auto"/>
              <w:jc w:val="left"/>
            </w:pPr>
            <w:r>
              <w:rPr>
                <w:b/>
                <w:sz w:val="18"/>
              </w:rPr>
              <w:t>Interpretation</w:t>
            </w:r>
          </w:p>
        </w:tc>
      </w:tr>
      <w:tr w:rsidR="002E4036" w14:paraId="2B2C5F20" w14:textId="77777777" w:rsidTr="002E4036">
        <w:trPr>
          <w:cantSplit/>
        </w:trPr>
        <w:tc>
          <w:tcPr>
            <w:tcW w:w="0" w:type="auto"/>
            <w:tcMar>
              <w:top w:w="40" w:type="dxa"/>
              <w:bottom w:w="40" w:type="dxa"/>
            </w:tcMar>
          </w:tcPr>
          <w:p w14:paraId="5E3CF787" w14:textId="77777777" w:rsidR="002E4036" w:rsidRDefault="00000000">
            <w:pPr>
              <w:pStyle w:val="Compact"/>
              <w:keepNext/>
              <w:spacing w:after="0" w:line="240" w:lineRule="auto"/>
              <w:jc w:val="left"/>
            </w:pPr>
            <w:r>
              <w:rPr>
                <w:sz w:val="18"/>
              </w:rPr>
              <w:t>Downward momentum</w:t>
            </w:r>
          </w:p>
        </w:tc>
        <w:tc>
          <w:tcPr>
            <w:tcW w:w="0" w:type="auto"/>
            <w:tcMar>
              <w:top w:w="40" w:type="dxa"/>
              <w:bottom w:w="40" w:type="dxa"/>
            </w:tcMar>
          </w:tcPr>
          <w:p w14:paraId="63F0E323" w14:textId="77777777" w:rsidR="002E4036" w:rsidRDefault="00000000">
            <w:pPr>
              <w:pStyle w:val="Compact"/>
              <w:keepNext/>
              <w:spacing w:after="0" w:line="240" w:lineRule="auto"/>
              <w:jc w:val="left"/>
            </w:pPr>
            <w:r>
              <w:rPr>
                <w:sz w:val="18"/>
              </w:rPr>
              <w:t>R</w:t>
            </w:r>
          </w:p>
        </w:tc>
        <w:tc>
          <w:tcPr>
            <w:tcW w:w="0" w:type="auto"/>
            <w:tcMar>
              <w:top w:w="40" w:type="dxa"/>
              <w:bottom w:w="40" w:type="dxa"/>
            </w:tcMar>
          </w:tcPr>
          <w:p w14:paraId="2B46A18A" w14:textId="77777777" w:rsidR="002E4036" w:rsidRDefault="00000000">
            <w:pPr>
              <w:pStyle w:val="Compact"/>
              <w:keepNext/>
              <w:spacing w:after="0" w:line="240" w:lineRule="auto"/>
              <w:jc w:val="left"/>
            </w:pPr>
            <w:r>
              <w:rPr>
                <w:sz w:val="18"/>
              </w:rPr>
              <w:t>0.466 / 0.163 / 0.371</w:t>
            </w:r>
          </w:p>
        </w:tc>
        <w:tc>
          <w:tcPr>
            <w:tcW w:w="0" w:type="auto"/>
            <w:tcMar>
              <w:top w:w="40" w:type="dxa"/>
              <w:bottom w:w="40" w:type="dxa"/>
            </w:tcMar>
          </w:tcPr>
          <w:p w14:paraId="4FAFED38" w14:textId="77777777" w:rsidR="002E4036" w:rsidRDefault="00000000">
            <w:pPr>
              <w:pStyle w:val="Compact"/>
              <w:keepNext/>
              <w:spacing w:after="0" w:line="240" w:lineRule="auto"/>
              <w:jc w:val="left"/>
            </w:pPr>
            <w:r>
              <w:rPr>
                <w:sz w:val="18"/>
              </w:rPr>
              <w:t>The probability of a decrease remains above the long-run value (0.415) three steps after a decrease.</w:t>
            </w:r>
          </w:p>
        </w:tc>
      </w:tr>
      <w:tr w:rsidR="002E4036" w14:paraId="10B8E39A" w14:textId="77777777" w:rsidTr="002E4036">
        <w:trPr>
          <w:cantSplit/>
        </w:trPr>
        <w:tc>
          <w:tcPr>
            <w:tcW w:w="0" w:type="auto"/>
            <w:tcMar>
              <w:top w:w="40" w:type="dxa"/>
              <w:bottom w:w="40" w:type="dxa"/>
            </w:tcMar>
          </w:tcPr>
          <w:p w14:paraId="604A2A09" w14:textId="77777777" w:rsidR="002E4036" w:rsidRDefault="00000000">
            <w:pPr>
              <w:pStyle w:val="Compact"/>
              <w:keepNext/>
              <w:spacing w:after="0" w:line="240" w:lineRule="auto"/>
              <w:jc w:val="left"/>
            </w:pPr>
            <w:r>
              <w:rPr>
                <w:sz w:val="18"/>
              </w:rPr>
              <w:t>Upward move</w:t>
            </w:r>
          </w:p>
        </w:tc>
        <w:tc>
          <w:tcPr>
            <w:tcW w:w="0" w:type="auto"/>
            <w:tcMar>
              <w:top w:w="40" w:type="dxa"/>
              <w:bottom w:w="40" w:type="dxa"/>
            </w:tcMar>
          </w:tcPr>
          <w:p w14:paraId="183B8C30" w14:textId="77777777" w:rsidR="002E4036" w:rsidRDefault="00000000">
            <w:pPr>
              <w:pStyle w:val="Compact"/>
              <w:keepNext/>
              <w:spacing w:after="0" w:line="240" w:lineRule="auto"/>
              <w:jc w:val="left"/>
            </w:pPr>
            <w:r>
              <w:rPr>
                <w:sz w:val="18"/>
              </w:rPr>
              <w:t>I</w:t>
            </w:r>
          </w:p>
        </w:tc>
        <w:tc>
          <w:tcPr>
            <w:tcW w:w="0" w:type="auto"/>
            <w:tcMar>
              <w:top w:w="40" w:type="dxa"/>
              <w:bottom w:w="40" w:type="dxa"/>
            </w:tcMar>
          </w:tcPr>
          <w:p w14:paraId="3F7DDD03" w14:textId="77777777" w:rsidR="002E4036" w:rsidRDefault="00000000">
            <w:pPr>
              <w:pStyle w:val="Compact"/>
              <w:keepNext/>
              <w:spacing w:after="0" w:line="240" w:lineRule="auto"/>
              <w:jc w:val="left"/>
            </w:pPr>
            <w:r>
              <w:rPr>
                <w:sz w:val="18"/>
              </w:rPr>
              <w:t>0.379 / 0.212 / 0.408</w:t>
            </w:r>
          </w:p>
        </w:tc>
        <w:tc>
          <w:tcPr>
            <w:tcW w:w="0" w:type="auto"/>
            <w:tcMar>
              <w:top w:w="40" w:type="dxa"/>
              <w:bottom w:w="40" w:type="dxa"/>
            </w:tcMar>
          </w:tcPr>
          <w:p w14:paraId="5A94922E" w14:textId="77777777" w:rsidR="002E4036" w:rsidRDefault="00000000">
            <w:pPr>
              <w:pStyle w:val="Compact"/>
              <w:keepNext/>
              <w:spacing w:after="0" w:line="240" w:lineRule="auto"/>
              <w:jc w:val="left"/>
            </w:pPr>
            <w:r>
              <w:rPr>
                <w:sz w:val="18"/>
              </w:rPr>
              <w:t>Three steps after an increase, the probability of a decrease is below the long-run value and that of an increase is above it.</w:t>
            </w:r>
          </w:p>
        </w:tc>
      </w:tr>
      <w:tr w:rsidR="002E4036" w14:paraId="40BF84C4" w14:textId="77777777" w:rsidTr="002E4036">
        <w:trPr>
          <w:cantSplit/>
        </w:trPr>
        <w:tc>
          <w:tcPr>
            <w:tcW w:w="0" w:type="auto"/>
            <w:tcMar>
              <w:top w:w="40" w:type="dxa"/>
              <w:bottom w:w="40" w:type="dxa"/>
            </w:tcMar>
          </w:tcPr>
          <w:p w14:paraId="20004C36" w14:textId="77777777" w:rsidR="002E4036" w:rsidRDefault="00000000">
            <w:pPr>
              <w:pStyle w:val="Compact"/>
              <w:keepNext/>
              <w:spacing w:after="0" w:line="240" w:lineRule="auto"/>
              <w:jc w:val="left"/>
            </w:pPr>
            <w:r>
              <w:rPr>
                <w:sz w:val="18"/>
              </w:rPr>
              <w:t>Quiet market</w:t>
            </w:r>
          </w:p>
        </w:tc>
        <w:tc>
          <w:tcPr>
            <w:tcW w:w="0" w:type="auto"/>
            <w:tcMar>
              <w:top w:w="40" w:type="dxa"/>
              <w:bottom w:w="40" w:type="dxa"/>
            </w:tcMar>
          </w:tcPr>
          <w:p w14:paraId="46786F1C" w14:textId="77777777" w:rsidR="002E4036" w:rsidRDefault="00000000">
            <w:pPr>
              <w:pStyle w:val="Compact"/>
              <w:keepNext/>
              <w:spacing w:after="0" w:line="240" w:lineRule="auto"/>
              <w:jc w:val="left"/>
            </w:pPr>
            <w:r>
              <w:rPr>
                <w:sz w:val="18"/>
              </w:rPr>
              <w:t>N</w:t>
            </w:r>
          </w:p>
        </w:tc>
        <w:tc>
          <w:tcPr>
            <w:tcW w:w="0" w:type="auto"/>
            <w:tcMar>
              <w:top w:w="40" w:type="dxa"/>
              <w:bottom w:w="40" w:type="dxa"/>
            </w:tcMar>
          </w:tcPr>
          <w:p w14:paraId="154B678E" w14:textId="77777777" w:rsidR="002E4036" w:rsidRDefault="00000000">
            <w:pPr>
              <w:pStyle w:val="Compact"/>
              <w:keepNext/>
              <w:spacing w:after="0" w:line="240" w:lineRule="auto"/>
              <w:jc w:val="left"/>
            </w:pPr>
            <w:r>
              <w:rPr>
                <w:sz w:val="18"/>
              </w:rPr>
              <w:t>0.379 / 0.177 / 0.444</w:t>
            </w:r>
          </w:p>
        </w:tc>
        <w:tc>
          <w:tcPr>
            <w:tcW w:w="0" w:type="auto"/>
            <w:tcMar>
              <w:top w:w="40" w:type="dxa"/>
              <w:bottom w:w="40" w:type="dxa"/>
            </w:tcMar>
          </w:tcPr>
          <w:p w14:paraId="08D07906" w14:textId="77777777" w:rsidR="002E4036" w:rsidRDefault="00000000">
            <w:pPr>
              <w:pStyle w:val="Compact"/>
              <w:keepNext/>
              <w:spacing w:after="0" w:line="240" w:lineRule="auto"/>
              <w:jc w:val="left"/>
            </w:pPr>
            <w:r>
              <w:rPr>
                <w:sz w:val="18"/>
              </w:rPr>
              <w:t>Three steps after an unchanged price, the probability of a decrease is below the long-run value and that of no change is above it.</w:t>
            </w:r>
          </w:p>
        </w:tc>
      </w:tr>
    </w:tbl>
    <w:p w14:paraId="0E5525C7" w14:textId="77777777" w:rsidR="002E4036" w:rsidRDefault="00000000">
      <w:pPr>
        <w:pStyle w:val="Note"/>
      </w:pPr>
      <w:r>
        <w:rPr>
          <w:i/>
          <w:iCs/>
        </w:rPr>
        <w:t>Note.</w:t>
      </w:r>
      <w:r>
        <w:t xml:space="preserve"> Long-run probabilities (R / I / N): 0.415 / 0.178 / 0.407. After ten steps, all three rows agree with the long-run values to within 0.001.</w:t>
      </w:r>
    </w:p>
    <w:p w14:paraId="7396FD36" w14:textId="77777777" w:rsidR="002E4036" w:rsidRDefault="00000000">
      <w:pPr>
        <w:pStyle w:val="BodyText"/>
      </w:pPr>
      <w:r>
        <w:t xml:space="preserve">The influence of the starting state fades quickly. The second-largest eigenvalue of </w:t>
      </w:r>
      <m:oMath>
        <m:acc>
          <m:accPr>
            <m:ctrlPr>
              <w:rPr>
                <w:rFonts w:ascii="Cambria Math" w:hAnsi="Cambria Math"/>
              </w:rPr>
            </m:ctrlPr>
          </m:accPr>
          <m:e>
            <m:r>
              <w:rPr>
                <w:rFonts w:ascii="Cambria Math" w:hAnsi="Cambria Math"/>
              </w:rPr>
              <m:t>P</m:t>
            </m:r>
          </m:e>
        </m:acc>
      </m:oMath>
      <w:r>
        <w:t xml:space="preserve"> is 0.444, so the departure from the stationary distribution shrinks by roughly this factor at each step, and after ten steps the rows of </w:t>
      </w:r>
      <m:oMath>
        <m:sSup>
          <m:sSupPr>
            <m:ctrlPr>
              <w:rPr>
                <w:rFonts w:ascii="Cambria Math" w:hAnsi="Cambria Math"/>
              </w:rPr>
            </m:ctrlPr>
          </m:sSupPr>
          <m:e>
            <m:acc>
              <m:accPr>
                <m:ctrlPr>
                  <w:rPr>
                    <w:rFonts w:ascii="Cambria Math" w:hAnsi="Cambria Math"/>
                  </w:rPr>
                </m:ctrlPr>
              </m:accPr>
              <m:e>
                <m:r>
                  <w:rPr>
                    <w:rFonts w:ascii="Cambria Math" w:hAnsi="Cambria Math"/>
                  </w:rPr>
                  <m:t>P</m:t>
                </m:r>
              </m:e>
            </m:acc>
          </m:e>
          <m:sup>
            <m:r>
              <w:rPr>
                <w:rFonts w:ascii="Cambria Math" w:hAnsi="Cambria Math"/>
              </w:rPr>
              <m:t>10</m:t>
            </m:r>
          </m:sup>
        </m:sSup>
      </m:oMath>
      <w:r>
        <w:t xml:space="preserve"> agree with the stationary distribution to three decimal places. Persistence of the price-movement states is therefore short-lived in the sense that the memory of the chain is measured in a few observations.</w:t>
      </w:r>
    </w:p>
    <w:p w14:paraId="027CEA1F" w14:textId="77777777" w:rsidR="002E4036" w:rsidRDefault="00000000">
      <w:pPr>
        <w:pStyle w:val="Heading2"/>
      </w:pPr>
      <w:bookmarkStart w:id="10" w:name="X38e685f40e073d9477df5218f1717af3681ce3f"/>
      <w:bookmarkEnd w:id="9"/>
      <w:r>
        <w:t>3.4 Stationary distribution and sojourn times</w:t>
      </w:r>
    </w:p>
    <w:p w14:paraId="0D2E5126" w14:textId="77777777" w:rsidR="002E4036" w:rsidRDefault="00000000">
      <w:pPr>
        <w:pStyle w:val="FirstParagraph"/>
      </w:pPr>
      <w:r>
        <w:t>Table 4 reports the stationary distribution and sojourn-time characteristics implied by Equations (3) and (5). The stationary distribution (0.415, 0.178, 0.407) equals the empirical marginal distribution of the states, as it must when row and column totals coincide.</w:t>
      </w:r>
    </w:p>
    <w:p w14:paraId="44EBE6E3" w14:textId="77777777" w:rsidR="002E4036" w:rsidRDefault="00000000">
      <w:pPr>
        <w:pStyle w:val="Caption"/>
        <w:keepNext/>
      </w:pPr>
      <w:r>
        <w:rPr>
          <w:b/>
          <w:bCs/>
        </w:rPr>
        <w:t>Table 4.</w:t>
      </w:r>
      <w:r>
        <w:t xml:space="preserve"> Stationary probabilities and sojourn-time characteristics by state</w:t>
      </w:r>
    </w:p>
    <w:tbl>
      <w:tblPr>
        <w:tblStyle w:val="Table"/>
        <w:tblW w:w="5000" w:type="pct"/>
        <w:tblBorders>
          <w:top w:val="single" w:sz="12" w:space="0" w:color="000000"/>
          <w:left w:val="nil"/>
          <w:bottom w:val="single" w:sz="12" w:space="0" w:color="000000"/>
          <w:right w:val="nil"/>
          <w:insideH w:val="nil"/>
          <w:insideV w:val="nil"/>
        </w:tblBorders>
        <w:tblLook w:val="0020" w:firstRow="1" w:lastRow="0" w:firstColumn="0" w:lastColumn="0" w:noHBand="0" w:noVBand="0"/>
      </w:tblPr>
      <w:tblGrid>
        <w:gridCol w:w="728"/>
        <w:gridCol w:w="1069"/>
        <w:gridCol w:w="745"/>
        <w:gridCol w:w="1549"/>
        <w:gridCol w:w="2095"/>
        <w:gridCol w:w="745"/>
        <w:gridCol w:w="2311"/>
      </w:tblGrid>
      <w:tr w:rsidR="002E4036" w14:paraId="5ADF1FB2" w14:textId="77777777" w:rsidTr="002E4036">
        <w:trPr>
          <w:cnfStyle w:val="100000000000" w:firstRow="1" w:lastRow="0" w:firstColumn="0" w:lastColumn="0" w:oddVBand="0" w:evenVBand="0" w:oddHBand="0" w:evenHBand="0" w:firstRowFirstColumn="0" w:firstRowLastColumn="0" w:lastRowFirstColumn="0" w:lastRowLastColumn="0"/>
          <w:cantSplit/>
          <w:tblHeader/>
        </w:trPr>
        <w:tc>
          <w:tcPr>
            <w:tcW w:w="0" w:type="auto"/>
            <w:tcBorders>
              <w:bottom w:val="single" w:sz="8" w:space="0" w:color="000000"/>
            </w:tcBorders>
            <w:tcMar>
              <w:top w:w="40" w:type="dxa"/>
              <w:bottom w:w="40" w:type="dxa"/>
            </w:tcMar>
          </w:tcPr>
          <w:p w14:paraId="29057942" w14:textId="77777777" w:rsidR="002E4036" w:rsidRDefault="00000000">
            <w:pPr>
              <w:pStyle w:val="Compact"/>
              <w:keepNext/>
              <w:spacing w:after="0" w:line="240" w:lineRule="auto"/>
              <w:jc w:val="left"/>
            </w:pPr>
            <w:r>
              <w:rPr>
                <w:b/>
                <w:sz w:val="18"/>
              </w:rPr>
              <w:t>State</w:t>
            </w:r>
          </w:p>
        </w:tc>
        <w:tc>
          <w:tcPr>
            <w:tcW w:w="0" w:type="auto"/>
            <w:tcBorders>
              <w:bottom w:val="single" w:sz="8" w:space="0" w:color="000000"/>
            </w:tcBorders>
            <w:tcMar>
              <w:top w:w="40" w:type="dxa"/>
              <w:bottom w:w="40" w:type="dxa"/>
            </w:tcMar>
          </w:tcPr>
          <w:p w14:paraId="5209AB9F" w14:textId="77777777" w:rsidR="002E4036" w:rsidRDefault="00000000">
            <w:pPr>
              <w:pStyle w:val="Compact"/>
              <w:keepNext/>
              <w:spacing w:after="0" w:line="240" w:lineRule="auto"/>
              <w:jc w:val="right"/>
            </w:pPr>
            <w:r>
              <w:rPr>
                <w:b/>
                <w:sz w:val="18"/>
              </w:rPr>
              <w:t>Row size</w:t>
            </w:r>
          </w:p>
        </w:tc>
        <w:tc>
          <w:tcPr>
            <w:tcW w:w="0" w:type="auto"/>
            <w:tcBorders>
              <w:bottom w:val="single" w:sz="8" w:space="0" w:color="000000"/>
            </w:tcBorders>
            <w:tcMar>
              <w:top w:w="40" w:type="dxa"/>
              <w:bottom w:w="40" w:type="dxa"/>
            </w:tcMar>
          </w:tcPr>
          <w:p w14:paraId="5809DA03" w14:textId="77777777" w:rsidR="002E4036" w:rsidRDefault="00000000">
            <w:pPr>
              <w:pStyle w:val="Compact"/>
              <w:keepNext/>
              <w:spacing w:after="0" w:line="240" w:lineRule="auto"/>
              <w:jc w:val="right"/>
            </w:pPr>
            <w:proofErr w:type="spellStart"/>
            <w:r>
              <w:rPr>
                <w:b/>
                <w:i/>
                <w:iCs/>
                <w:sz w:val="18"/>
              </w:rPr>
              <w:t>p̂</w:t>
            </w:r>
            <w:r>
              <w:rPr>
                <w:b/>
                <w:sz w:val="18"/>
                <w:vertAlign w:val="subscript"/>
              </w:rPr>
              <w:t>ii</w:t>
            </w:r>
            <w:proofErr w:type="spellEnd"/>
          </w:p>
        </w:tc>
        <w:tc>
          <w:tcPr>
            <w:tcW w:w="0" w:type="auto"/>
            <w:tcBorders>
              <w:bottom w:val="single" w:sz="8" w:space="0" w:color="000000"/>
            </w:tcBorders>
            <w:tcMar>
              <w:top w:w="40" w:type="dxa"/>
              <w:bottom w:w="40" w:type="dxa"/>
            </w:tcMar>
          </w:tcPr>
          <w:p w14:paraId="0CFD8A79" w14:textId="77777777" w:rsidR="002E4036" w:rsidRDefault="00000000">
            <w:pPr>
              <w:pStyle w:val="Compact"/>
              <w:keepNext/>
              <w:spacing w:after="0" w:line="240" w:lineRule="auto"/>
              <w:jc w:val="right"/>
            </w:pPr>
            <w:r>
              <w:rPr>
                <w:b/>
                <w:sz w:val="18"/>
              </w:rPr>
              <w:t>Mean sojourn</w:t>
            </w:r>
          </w:p>
        </w:tc>
        <w:tc>
          <w:tcPr>
            <w:tcW w:w="0" w:type="auto"/>
            <w:tcBorders>
              <w:bottom w:val="single" w:sz="8" w:space="0" w:color="000000"/>
            </w:tcBorders>
            <w:tcMar>
              <w:top w:w="40" w:type="dxa"/>
              <w:bottom w:w="40" w:type="dxa"/>
            </w:tcMar>
          </w:tcPr>
          <w:p w14:paraId="75B5EE37" w14:textId="77777777" w:rsidR="002E4036" w:rsidRDefault="00000000">
            <w:pPr>
              <w:pStyle w:val="Compact"/>
              <w:keepNext/>
              <w:spacing w:after="0" w:line="240" w:lineRule="auto"/>
              <w:jc w:val="right"/>
            </w:pPr>
            <w:r>
              <w:rPr>
                <w:b/>
                <w:sz w:val="18"/>
              </w:rPr>
              <w:t>Variance of sojourn</w:t>
            </w:r>
          </w:p>
        </w:tc>
        <w:tc>
          <w:tcPr>
            <w:tcW w:w="0" w:type="auto"/>
            <w:tcBorders>
              <w:bottom w:val="single" w:sz="8" w:space="0" w:color="000000"/>
            </w:tcBorders>
            <w:tcMar>
              <w:top w:w="40" w:type="dxa"/>
              <w:bottom w:w="40" w:type="dxa"/>
            </w:tcMar>
          </w:tcPr>
          <w:p w14:paraId="5F809EE7" w14:textId="77777777" w:rsidR="002E4036" w:rsidRDefault="00000000">
            <w:pPr>
              <w:pStyle w:val="Compact"/>
              <w:keepNext/>
              <w:spacing w:after="0" w:line="240" w:lineRule="auto"/>
              <w:jc w:val="right"/>
            </w:pPr>
            <w:r>
              <w:rPr>
                <w:b/>
                <w:sz w:val="18"/>
              </w:rPr>
              <w:t>π̂</w:t>
            </w:r>
            <w:proofErr w:type="spellStart"/>
            <w:r>
              <w:rPr>
                <w:b/>
                <w:sz w:val="18"/>
                <w:vertAlign w:val="subscript"/>
              </w:rPr>
              <w:t>i</w:t>
            </w:r>
            <w:proofErr w:type="spellEnd"/>
          </w:p>
        </w:tc>
        <w:tc>
          <w:tcPr>
            <w:tcW w:w="0" w:type="auto"/>
            <w:tcBorders>
              <w:bottom w:val="single" w:sz="8" w:space="0" w:color="000000"/>
            </w:tcBorders>
            <w:tcMar>
              <w:top w:w="40" w:type="dxa"/>
              <w:bottom w:w="40" w:type="dxa"/>
            </w:tcMar>
          </w:tcPr>
          <w:p w14:paraId="645CE58C" w14:textId="77777777" w:rsidR="002E4036" w:rsidRDefault="00000000">
            <w:pPr>
              <w:pStyle w:val="Compact"/>
              <w:keepNext/>
              <w:spacing w:after="0" w:line="240" w:lineRule="auto"/>
              <w:jc w:val="right"/>
            </w:pPr>
            <w:r>
              <w:rPr>
                <w:b/>
                <w:sz w:val="18"/>
              </w:rPr>
              <w:t>Mean recurrence time</w:t>
            </w:r>
          </w:p>
        </w:tc>
      </w:tr>
      <w:tr w:rsidR="002E4036" w14:paraId="6F42DDD8" w14:textId="77777777" w:rsidTr="002E4036">
        <w:trPr>
          <w:cantSplit/>
        </w:trPr>
        <w:tc>
          <w:tcPr>
            <w:tcW w:w="0" w:type="auto"/>
            <w:tcMar>
              <w:top w:w="40" w:type="dxa"/>
              <w:bottom w:w="40" w:type="dxa"/>
            </w:tcMar>
          </w:tcPr>
          <w:p w14:paraId="3CCFE8D3" w14:textId="77777777" w:rsidR="002E4036" w:rsidRDefault="00000000">
            <w:pPr>
              <w:pStyle w:val="Compact"/>
              <w:keepNext/>
              <w:spacing w:after="0" w:line="240" w:lineRule="auto"/>
              <w:jc w:val="left"/>
            </w:pPr>
            <w:r>
              <w:rPr>
                <w:sz w:val="18"/>
              </w:rPr>
              <w:t>R</w:t>
            </w:r>
          </w:p>
        </w:tc>
        <w:tc>
          <w:tcPr>
            <w:tcW w:w="0" w:type="auto"/>
            <w:tcMar>
              <w:top w:w="40" w:type="dxa"/>
              <w:bottom w:w="40" w:type="dxa"/>
            </w:tcMar>
          </w:tcPr>
          <w:p w14:paraId="0F23B57B" w14:textId="77777777" w:rsidR="002E4036" w:rsidRDefault="00000000">
            <w:pPr>
              <w:pStyle w:val="Compact"/>
              <w:keepNext/>
              <w:spacing w:after="0" w:line="240" w:lineRule="auto"/>
              <w:jc w:val="right"/>
            </w:pPr>
            <w:r>
              <w:rPr>
                <w:sz w:val="18"/>
              </w:rPr>
              <w:t>615</w:t>
            </w:r>
          </w:p>
        </w:tc>
        <w:tc>
          <w:tcPr>
            <w:tcW w:w="0" w:type="auto"/>
            <w:tcMar>
              <w:top w:w="40" w:type="dxa"/>
              <w:bottom w:w="40" w:type="dxa"/>
            </w:tcMar>
          </w:tcPr>
          <w:p w14:paraId="67F5E674" w14:textId="77777777" w:rsidR="002E4036" w:rsidRDefault="00000000">
            <w:pPr>
              <w:pStyle w:val="Compact"/>
              <w:keepNext/>
              <w:spacing w:after="0" w:line="240" w:lineRule="auto"/>
              <w:jc w:val="right"/>
            </w:pPr>
            <w:r>
              <w:rPr>
                <w:sz w:val="18"/>
              </w:rPr>
              <w:t>0.675</w:t>
            </w:r>
          </w:p>
        </w:tc>
        <w:tc>
          <w:tcPr>
            <w:tcW w:w="0" w:type="auto"/>
            <w:tcMar>
              <w:top w:w="40" w:type="dxa"/>
              <w:bottom w:w="40" w:type="dxa"/>
            </w:tcMar>
          </w:tcPr>
          <w:p w14:paraId="5F96E7E0" w14:textId="77777777" w:rsidR="002E4036" w:rsidRDefault="00000000">
            <w:pPr>
              <w:pStyle w:val="Compact"/>
              <w:keepNext/>
              <w:spacing w:after="0" w:line="240" w:lineRule="auto"/>
              <w:jc w:val="right"/>
            </w:pPr>
            <w:r>
              <w:rPr>
                <w:sz w:val="18"/>
              </w:rPr>
              <w:t>3.08</w:t>
            </w:r>
          </w:p>
        </w:tc>
        <w:tc>
          <w:tcPr>
            <w:tcW w:w="0" w:type="auto"/>
            <w:tcMar>
              <w:top w:w="40" w:type="dxa"/>
              <w:bottom w:w="40" w:type="dxa"/>
            </w:tcMar>
          </w:tcPr>
          <w:p w14:paraId="3B4A6041" w14:textId="77777777" w:rsidR="002E4036" w:rsidRDefault="00000000">
            <w:pPr>
              <w:pStyle w:val="Compact"/>
              <w:keepNext/>
              <w:spacing w:after="0" w:line="240" w:lineRule="auto"/>
              <w:jc w:val="right"/>
            </w:pPr>
            <w:r>
              <w:rPr>
                <w:sz w:val="18"/>
              </w:rPr>
              <w:t>6.38</w:t>
            </w:r>
          </w:p>
        </w:tc>
        <w:tc>
          <w:tcPr>
            <w:tcW w:w="0" w:type="auto"/>
            <w:tcMar>
              <w:top w:w="40" w:type="dxa"/>
              <w:bottom w:w="40" w:type="dxa"/>
            </w:tcMar>
          </w:tcPr>
          <w:p w14:paraId="2F5B7C53" w14:textId="77777777" w:rsidR="002E4036" w:rsidRDefault="00000000">
            <w:pPr>
              <w:pStyle w:val="Compact"/>
              <w:keepNext/>
              <w:spacing w:after="0" w:line="240" w:lineRule="auto"/>
              <w:jc w:val="right"/>
            </w:pPr>
            <w:r>
              <w:rPr>
                <w:sz w:val="18"/>
              </w:rPr>
              <w:t>0.415</w:t>
            </w:r>
          </w:p>
        </w:tc>
        <w:tc>
          <w:tcPr>
            <w:tcW w:w="0" w:type="auto"/>
            <w:tcMar>
              <w:top w:w="40" w:type="dxa"/>
              <w:bottom w:w="40" w:type="dxa"/>
            </w:tcMar>
          </w:tcPr>
          <w:p w14:paraId="63BD4668" w14:textId="77777777" w:rsidR="002E4036" w:rsidRDefault="00000000">
            <w:pPr>
              <w:pStyle w:val="Compact"/>
              <w:keepNext/>
              <w:spacing w:after="0" w:line="240" w:lineRule="auto"/>
              <w:jc w:val="right"/>
            </w:pPr>
            <w:r>
              <w:rPr>
                <w:sz w:val="18"/>
              </w:rPr>
              <w:t>2.41</w:t>
            </w:r>
          </w:p>
        </w:tc>
      </w:tr>
      <w:tr w:rsidR="002E4036" w14:paraId="2BEF01E0" w14:textId="77777777" w:rsidTr="002E4036">
        <w:trPr>
          <w:cantSplit/>
        </w:trPr>
        <w:tc>
          <w:tcPr>
            <w:tcW w:w="0" w:type="auto"/>
            <w:tcMar>
              <w:top w:w="40" w:type="dxa"/>
              <w:bottom w:w="40" w:type="dxa"/>
            </w:tcMar>
          </w:tcPr>
          <w:p w14:paraId="73458E0B" w14:textId="77777777" w:rsidR="002E4036" w:rsidRDefault="00000000">
            <w:pPr>
              <w:pStyle w:val="Compact"/>
              <w:keepNext/>
              <w:spacing w:after="0" w:line="240" w:lineRule="auto"/>
              <w:jc w:val="left"/>
            </w:pPr>
            <w:r>
              <w:rPr>
                <w:sz w:val="18"/>
              </w:rPr>
              <w:t>I</w:t>
            </w:r>
          </w:p>
        </w:tc>
        <w:tc>
          <w:tcPr>
            <w:tcW w:w="0" w:type="auto"/>
            <w:tcMar>
              <w:top w:w="40" w:type="dxa"/>
              <w:bottom w:w="40" w:type="dxa"/>
            </w:tcMar>
          </w:tcPr>
          <w:p w14:paraId="4E672F76" w14:textId="77777777" w:rsidR="002E4036" w:rsidRDefault="00000000">
            <w:pPr>
              <w:pStyle w:val="Compact"/>
              <w:keepNext/>
              <w:spacing w:after="0" w:line="240" w:lineRule="auto"/>
              <w:jc w:val="right"/>
            </w:pPr>
            <w:r>
              <w:rPr>
                <w:sz w:val="18"/>
              </w:rPr>
              <w:t>263</w:t>
            </w:r>
          </w:p>
        </w:tc>
        <w:tc>
          <w:tcPr>
            <w:tcW w:w="0" w:type="auto"/>
            <w:tcMar>
              <w:top w:w="40" w:type="dxa"/>
              <w:bottom w:w="40" w:type="dxa"/>
            </w:tcMar>
          </w:tcPr>
          <w:p w14:paraId="67949842" w14:textId="77777777" w:rsidR="002E4036" w:rsidRDefault="00000000">
            <w:pPr>
              <w:pStyle w:val="Compact"/>
              <w:keepNext/>
              <w:spacing w:after="0" w:line="240" w:lineRule="auto"/>
              <w:jc w:val="right"/>
            </w:pPr>
            <w:r>
              <w:rPr>
                <w:sz w:val="18"/>
              </w:rPr>
              <w:t>0.460</w:t>
            </w:r>
          </w:p>
        </w:tc>
        <w:tc>
          <w:tcPr>
            <w:tcW w:w="0" w:type="auto"/>
            <w:tcMar>
              <w:top w:w="40" w:type="dxa"/>
              <w:bottom w:w="40" w:type="dxa"/>
            </w:tcMar>
          </w:tcPr>
          <w:p w14:paraId="4AA20660" w14:textId="77777777" w:rsidR="002E4036" w:rsidRDefault="00000000">
            <w:pPr>
              <w:pStyle w:val="Compact"/>
              <w:keepNext/>
              <w:spacing w:after="0" w:line="240" w:lineRule="auto"/>
              <w:jc w:val="right"/>
            </w:pPr>
            <w:r>
              <w:rPr>
                <w:sz w:val="18"/>
              </w:rPr>
              <w:t>1.85</w:t>
            </w:r>
          </w:p>
        </w:tc>
        <w:tc>
          <w:tcPr>
            <w:tcW w:w="0" w:type="auto"/>
            <w:tcMar>
              <w:top w:w="40" w:type="dxa"/>
              <w:bottom w:w="40" w:type="dxa"/>
            </w:tcMar>
          </w:tcPr>
          <w:p w14:paraId="44DB6804" w14:textId="77777777" w:rsidR="002E4036" w:rsidRDefault="00000000">
            <w:pPr>
              <w:pStyle w:val="Compact"/>
              <w:keepNext/>
              <w:spacing w:after="0" w:line="240" w:lineRule="auto"/>
              <w:jc w:val="right"/>
            </w:pPr>
            <w:r>
              <w:rPr>
                <w:sz w:val="18"/>
              </w:rPr>
              <w:t>1.58</w:t>
            </w:r>
          </w:p>
        </w:tc>
        <w:tc>
          <w:tcPr>
            <w:tcW w:w="0" w:type="auto"/>
            <w:tcMar>
              <w:top w:w="40" w:type="dxa"/>
              <w:bottom w:w="40" w:type="dxa"/>
            </w:tcMar>
          </w:tcPr>
          <w:p w14:paraId="303244CF" w14:textId="77777777" w:rsidR="002E4036" w:rsidRDefault="00000000">
            <w:pPr>
              <w:pStyle w:val="Compact"/>
              <w:keepNext/>
              <w:spacing w:after="0" w:line="240" w:lineRule="auto"/>
              <w:jc w:val="right"/>
            </w:pPr>
            <w:r>
              <w:rPr>
                <w:sz w:val="18"/>
              </w:rPr>
              <w:t>0.178</w:t>
            </w:r>
          </w:p>
        </w:tc>
        <w:tc>
          <w:tcPr>
            <w:tcW w:w="0" w:type="auto"/>
            <w:tcMar>
              <w:top w:w="40" w:type="dxa"/>
              <w:bottom w:w="40" w:type="dxa"/>
            </w:tcMar>
          </w:tcPr>
          <w:p w14:paraId="13868D7F" w14:textId="77777777" w:rsidR="002E4036" w:rsidRDefault="00000000">
            <w:pPr>
              <w:pStyle w:val="Compact"/>
              <w:keepNext/>
              <w:spacing w:after="0" w:line="240" w:lineRule="auto"/>
              <w:jc w:val="right"/>
            </w:pPr>
            <w:r>
              <w:rPr>
                <w:sz w:val="18"/>
              </w:rPr>
              <w:t>5.63</w:t>
            </w:r>
          </w:p>
        </w:tc>
      </w:tr>
      <w:tr w:rsidR="002E4036" w14:paraId="1386F562" w14:textId="77777777" w:rsidTr="002E4036">
        <w:trPr>
          <w:cantSplit/>
        </w:trPr>
        <w:tc>
          <w:tcPr>
            <w:tcW w:w="0" w:type="auto"/>
            <w:tcMar>
              <w:top w:w="40" w:type="dxa"/>
              <w:bottom w:w="40" w:type="dxa"/>
            </w:tcMar>
          </w:tcPr>
          <w:p w14:paraId="0B27C5D2" w14:textId="77777777" w:rsidR="002E4036" w:rsidRDefault="00000000">
            <w:pPr>
              <w:pStyle w:val="Compact"/>
              <w:keepNext/>
              <w:spacing w:after="0" w:line="240" w:lineRule="auto"/>
              <w:jc w:val="left"/>
            </w:pPr>
            <w:r>
              <w:rPr>
                <w:sz w:val="18"/>
              </w:rPr>
              <w:t>N</w:t>
            </w:r>
          </w:p>
        </w:tc>
        <w:tc>
          <w:tcPr>
            <w:tcW w:w="0" w:type="auto"/>
            <w:tcMar>
              <w:top w:w="40" w:type="dxa"/>
              <w:bottom w:w="40" w:type="dxa"/>
            </w:tcMar>
          </w:tcPr>
          <w:p w14:paraId="0FDCBBCB" w14:textId="77777777" w:rsidR="002E4036" w:rsidRDefault="00000000">
            <w:pPr>
              <w:pStyle w:val="Compact"/>
              <w:keepNext/>
              <w:spacing w:after="0" w:line="240" w:lineRule="auto"/>
              <w:jc w:val="right"/>
            </w:pPr>
            <w:r>
              <w:rPr>
                <w:sz w:val="18"/>
              </w:rPr>
              <w:t>603</w:t>
            </w:r>
          </w:p>
        </w:tc>
        <w:tc>
          <w:tcPr>
            <w:tcW w:w="0" w:type="auto"/>
            <w:tcMar>
              <w:top w:w="40" w:type="dxa"/>
              <w:bottom w:w="40" w:type="dxa"/>
            </w:tcMar>
          </w:tcPr>
          <w:p w14:paraId="221D1E8F" w14:textId="77777777" w:rsidR="002E4036" w:rsidRDefault="00000000">
            <w:pPr>
              <w:pStyle w:val="Compact"/>
              <w:keepNext/>
              <w:spacing w:after="0" w:line="240" w:lineRule="auto"/>
              <w:jc w:val="right"/>
            </w:pPr>
            <w:r>
              <w:rPr>
                <w:sz w:val="18"/>
              </w:rPr>
              <w:t>0.637</w:t>
            </w:r>
          </w:p>
        </w:tc>
        <w:tc>
          <w:tcPr>
            <w:tcW w:w="0" w:type="auto"/>
            <w:tcMar>
              <w:top w:w="40" w:type="dxa"/>
              <w:bottom w:w="40" w:type="dxa"/>
            </w:tcMar>
          </w:tcPr>
          <w:p w14:paraId="522A162F" w14:textId="77777777" w:rsidR="002E4036" w:rsidRDefault="00000000">
            <w:pPr>
              <w:pStyle w:val="Compact"/>
              <w:keepNext/>
              <w:spacing w:after="0" w:line="240" w:lineRule="auto"/>
              <w:jc w:val="right"/>
            </w:pPr>
            <w:r>
              <w:rPr>
                <w:sz w:val="18"/>
              </w:rPr>
              <w:t>2.75</w:t>
            </w:r>
          </w:p>
        </w:tc>
        <w:tc>
          <w:tcPr>
            <w:tcW w:w="0" w:type="auto"/>
            <w:tcMar>
              <w:top w:w="40" w:type="dxa"/>
              <w:bottom w:w="40" w:type="dxa"/>
            </w:tcMar>
          </w:tcPr>
          <w:p w14:paraId="33A1F8CB" w14:textId="77777777" w:rsidR="002E4036" w:rsidRDefault="00000000">
            <w:pPr>
              <w:pStyle w:val="Compact"/>
              <w:keepNext/>
              <w:spacing w:after="0" w:line="240" w:lineRule="auto"/>
              <w:jc w:val="right"/>
            </w:pPr>
            <w:r>
              <w:rPr>
                <w:sz w:val="18"/>
              </w:rPr>
              <w:t>4.83</w:t>
            </w:r>
          </w:p>
        </w:tc>
        <w:tc>
          <w:tcPr>
            <w:tcW w:w="0" w:type="auto"/>
            <w:tcMar>
              <w:top w:w="40" w:type="dxa"/>
              <w:bottom w:w="40" w:type="dxa"/>
            </w:tcMar>
          </w:tcPr>
          <w:p w14:paraId="67D256EA" w14:textId="77777777" w:rsidR="002E4036" w:rsidRDefault="00000000">
            <w:pPr>
              <w:pStyle w:val="Compact"/>
              <w:keepNext/>
              <w:spacing w:after="0" w:line="240" w:lineRule="auto"/>
              <w:jc w:val="right"/>
            </w:pPr>
            <w:r>
              <w:rPr>
                <w:sz w:val="18"/>
              </w:rPr>
              <w:t>0.407</w:t>
            </w:r>
          </w:p>
        </w:tc>
        <w:tc>
          <w:tcPr>
            <w:tcW w:w="0" w:type="auto"/>
            <w:tcMar>
              <w:top w:w="40" w:type="dxa"/>
              <w:bottom w:w="40" w:type="dxa"/>
            </w:tcMar>
          </w:tcPr>
          <w:p w14:paraId="0B5D40AD" w14:textId="77777777" w:rsidR="002E4036" w:rsidRDefault="00000000">
            <w:pPr>
              <w:pStyle w:val="Compact"/>
              <w:keepNext/>
              <w:spacing w:after="0" w:line="240" w:lineRule="auto"/>
              <w:jc w:val="right"/>
            </w:pPr>
            <w:r>
              <w:rPr>
                <w:sz w:val="18"/>
              </w:rPr>
              <w:t>2.46</w:t>
            </w:r>
          </w:p>
        </w:tc>
      </w:tr>
    </w:tbl>
    <w:p w14:paraId="3B805D7C" w14:textId="77777777" w:rsidR="002E4036" w:rsidRDefault="00000000">
      <w:pPr>
        <w:pStyle w:val="Note"/>
      </w:pPr>
      <w:r>
        <w:rPr>
          <w:i/>
          <w:iCs/>
        </w:rPr>
        <w:t>Note.</w:t>
      </w:r>
      <w:r>
        <w:t xml:space="preserve"> Sojourn time is the number of consecutive observations spent in a state. Times are expressed in observation intervals.</w:t>
      </w:r>
    </w:p>
    <w:p w14:paraId="468F3051" w14:textId="77777777" w:rsidR="002E4036" w:rsidRDefault="00000000">
      <w:pPr>
        <w:pStyle w:val="BodyText"/>
      </w:pPr>
      <w:r>
        <w:lastRenderedPageBreak/>
        <w:t xml:space="preserve">A run of decreases lasts on average 3.08 observations, compared with 1.85 for increases and 2.75 for unchanged prices. </w:t>
      </w:r>
      <w:r>
        <w:rPr>
          <w:highlight w:val="yellow"/>
        </w:rPr>
        <w:t>Increases are the least frequent state and recur, on average, only about once every 5.6 observations.</w:t>
      </w:r>
      <w:r>
        <w:t xml:space="preserve"> Mean first-passage times show the same asymmetry: from a decrease, the mean time to the first increase is 8.85 observations, compared with 4.21 to the first unchanged price, and from an unchanged price the mean time to the first increase is 8.37 observations. Raheem and </w:t>
      </w:r>
      <w:proofErr w:type="spellStart"/>
      <w:r>
        <w:t>Ezepue</w:t>
      </w:r>
      <w:proofErr w:type="spellEnd"/>
      <w:r>
        <w:t xml:space="preserve"> (2016) reported maximum expected run lengths of about four observations for positive and negative return states of a different Nigerian bank over 2005–2012. </w:t>
      </w:r>
      <w:r>
        <w:rPr>
          <w:highlight w:val="yellow"/>
        </w:rPr>
        <w:t>The order of magnitude of the run lengths found here is similar</w:t>
      </w:r>
      <w:r>
        <w:t>, although the data, period and state definitions differ and the comparison is only qualitative.</w:t>
      </w:r>
    </w:p>
    <w:p w14:paraId="7E3D7E32" w14:textId="77777777" w:rsidR="002E4036" w:rsidRDefault="00000000">
      <w:pPr>
        <w:pStyle w:val="Heading2"/>
      </w:pPr>
      <w:bookmarkStart w:id="11" w:name="X37ee27c21bed5a3c48424827434532683547c49"/>
      <w:bookmarkEnd w:id="10"/>
      <w:r>
        <w:t>3.5 Tests of dependence between consecutive states</w:t>
      </w:r>
    </w:p>
    <w:p w14:paraId="181F3E26" w14:textId="77777777" w:rsidR="002E4036" w:rsidRDefault="00000000">
      <w:pPr>
        <w:pStyle w:val="FirstParagraph"/>
      </w:pPr>
      <w:r>
        <w:t xml:space="preserve">Table 5 shows that the null hypothesis of independence between consecutive states is rejected decisively. The Pearson statistic is </w:t>
      </w:r>
      <m:oMath>
        <m:sSup>
          <m:sSupPr>
            <m:ctrlPr>
              <w:rPr>
                <w:rFonts w:ascii="Cambria Math" w:hAnsi="Cambria Math"/>
              </w:rPr>
            </m:ctrlPr>
          </m:sSupPr>
          <m:e>
            <m:r>
              <w:rPr>
                <w:rFonts w:ascii="Cambria Math" w:hAnsi="Cambria Math"/>
              </w:rPr>
              <m:t>X</m:t>
            </m:r>
          </m:e>
          <m:sup>
            <m:r>
              <w:rPr>
                <w:rFonts w:ascii="Cambria Math" w:hAnsi="Cambria Math"/>
              </w:rPr>
              <m:t>2</m:t>
            </m:r>
          </m:sup>
        </m:sSup>
        <m:r>
          <m:rPr>
            <m:sty m:val="p"/>
          </m:rPr>
          <w:rPr>
            <w:rFonts w:ascii="Cambria Math" w:hAnsi="Cambria Math"/>
          </w:rPr>
          <m:t>=</m:t>
        </m:r>
        <m:r>
          <w:rPr>
            <w:rFonts w:ascii="Cambria Math" w:hAnsi="Cambria Math"/>
          </w:rPr>
          <m:t>450.97</m:t>
        </m:r>
      </m:oMath>
      <w:r>
        <w:t xml:space="preserve"> and the likelihood-ratio statistic </w:t>
      </w:r>
      <m:oMath>
        <m:sSup>
          <m:sSupPr>
            <m:ctrlPr>
              <w:rPr>
                <w:rFonts w:ascii="Cambria Math" w:hAnsi="Cambria Math"/>
              </w:rPr>
            </m:ctrlPr>
          </m:sSupPr>
          <m:e>
            <m:r>
              <w:rPr>
                <w:rFonts w:ascii="Cambria Math" w:hAnsi="Cambria Math"/>
              </w:rPr>
              <m:t>G</m:t>
            </m:r>
          </m:e>
          <m:sup>
            <m:r>
              <w:rPr>
                <w:rFonts w:ascii="Cambria Math" w:hAnsi="Cambria Math"/>
              </w:rPr>
              <m:t>2</m:t>
            </m:r>
          </m:sup>
        </m:sSup>
        <m:r>
          <m:rPr>
            <m:sty m:val="p"/>
          </m:rPr>
          <w:rPr>
            <w:rFonts w:ascii="Cambria Math" w:hAnsi="Cambria Math"/>
          </w:rPr>
          <m:t>=</m:t>
        </m:r>
        <m:r>
          <w:rPr>
            <w:rFonts w:ascii="Cambria Math" w:hAnsi="Cambria Math"/>
          </w:rPr>
          <m:t>415.65</m:t>
        </m:r>
      </m:oMath>
      <w:r>
        <w:t xml:space="preserve">, each with 4 degrees of freedom, and both correspond to </w:t>
      </w:r>
      <m:oMath>
        <m:r>
          <w:rPr>
            <w:rFonts w:ascii="Cambria Math" w:hAnsi="Cambria Math"/>
          </w:rPr>
          <m:t>p</m:t>
        </m:r>
        <m:r>
          <m:rPr>
            <m:sty m:val="p"/>
          </m:rPr>
          <w:rPr>
            <w:rFonts w:ascii="Cambria Math" w:hAnsi="Cambria Math"/>
          </w:rPr>
          <m:t>&lt;</m:t>
        </m:r>
        <m:r>
          <w:rPr>
            <w:rFonts w:ascii="Cambria Math" w:hAnsi="Cambria Math"/>
          </w:rPr>
          <m:t>0.001</m:t>
        </m:r>
      </m:oMath>
      <w:r>
        <w:t xml:space="preserve">. Cramér’s </w:t>
      </w:r>
      <m:oMath>
        <m:r>
          <w:rPr>
            <w:rFonts w:ascii="Cambria Math" w:hAnsi="Cambria Math"/>
          </w:rPr>
          <m:t>V</m:t>
        </m:r>
      </m:oMath>
      <w:r>
        <w:t xml:space="preserve"> is 0.390, which indicates a moderate to strong association. The standardised residuals are large and positive on the diagonal (9.99, 10.87 and 8.84 for R, I and N) and negative off it, so the dependence arises mainly from the repetition of the current state. All three pairwise comparisons of rows are also significant at the Bonferroni-adjusted level, which shows that the distribution of the next state differs according to whether the current state is R, I or N.</w:t>
      </w:r>
    </w:p>
    <w:p w14:paraId="01A0068F" w14:textId="77777777" w:rsidR="002E4036" w:rsidRDefault="00000000">
      <w:pPr>
        <w:pStyle w:val="Caption"/>
        <w:keepNext/>
      </w:pPr>
      <w:r>
        <w:rPr>
          <w:b/>
          <w:bCs/>
        </w:rPr>
        <w:t>Table 5.</w:t>
      </w:r>
      <w:r>
        <w:t xml:space="preserve"> Chi-square tests of independence and homogeneity of the transition distributions</w:t>
      </w:r>
    </w:p>
    <w:tbl>
      <w:tblPr>
        <w:tblStyle w:val="Table"/>
        <w:tblW w:w="5000" w:type="pct"/>
        <w:tblBorders>
          <w:top w:val="single" w:sz="12" w:space="0" w:color="000000"/>
          <w:left w:val="nil"/>
          <w:bottom w:val="single" w:sz="12" w:space="0" w:color="000000"/>
          <w:right w:val="nil"/>
          <w:insideH w:val="nil"/>
          <w:insideV w:val="nil"/>
        </w:tblBorders>
        <w:tblLook w:val="0020" w:firstRow="1" w:lastRow="0" w:firstColumn="0" w:lastColumn="0" w:noHBand="0" w:noVBand="0"/>
      </w:tblPr>
      <w:tblGrid>
        <w:gridCol w:w="5394"/>
        <w:gridCol w:w="1079"/>
        <w:gridCol w:w="486"/>
        <w:gridCol w:w="991"/>
        <w:gridCol w:w="1292"/>
      </w:tblGrid>
      <w:tr w:rsidR="002E4036" w14:paraId="4EFFB3D1" w14:textId="77777777" w:rsidTr="002E4036">
        <w:trPr>
          <w:cnfStyle w:val="100000000000" w:firstRow="1" w:lastRow="0" w:firstColumn="0" w:lastColumn="0" w:oddVBand="0" w:evenVBand="0" w:oddHBand="0" w:evenHBand="0" w:firstRowFirstColumn="0" w:firstRowLastColumn="0" w:lastRowFirstColumn="0" w:lastRowLastColumn="0"/>
          <w:cantSplit/>
          <w:tblHeader/>
        </w:trPr>
        <w:tc>
          <w:tcPr>
            <w:tcW w:w="0" w:type="auto"/>
            <w:tcBorders>
              <w:bottom w:val="single" w:sz="8" w:space="0" w:color="000000"/>
            </w:tcBorders>
            <w:tcMar>
              <w:top w:w="40" w:type="dxa"/>
              <w:bottom w:w="40" w:type="dxa"/>
            </w:tcMar>
          </w:tcPr>
          <w:p w14:paraId="73284BC0" w14:textId="77777777" w:rsidR="002E4036" w:rsidRDefault="00000000">
            <w:pPr>
              <w:pStyle w:val="Compact"/>
              <w:keepNext/>
              <w:spacing w:after="0" w:line="240" w:lineRule="auto"/>
              <w:jc w:val="left"/>
            </w:pPr>
            <w:r>
              <w:rPr>
                <w:b/>
                <w:sz w:val="18"/>
              </w:rPr>
              <w:t>Test</w:t>
            </w:r>
          </w:p>
        </w:tc>
        <w:tc>
          <w:tcPr>
            <w:tcW w:w="0" w:type="auto"/>
            <w:tcBorders>
              <w:bottom w:val="single" w:sz="8" w:space="0" w:color="000000"/>
            </w:tcBorders>
            <w:tcMar>
              <w:top w:w="40" w:type="dxa"/>
              <w:bottom w:w="40" w:type="dxa"/>
            </w:tcMar>
          </w:tcPr>
          <w:p w14:paraId="6BEF009B" w14:textId="77777777" w:rsidR="002E4036" w:rsidRDefault="00000000">
            <w:pPr>
              <w:pStyle w:val="Compact"/>
              <w:keepNext/>
              <w:spacing w:after="0" w:line="240" w:lineRule="auto"/>
              <w:jc w:val="right"/>
            </w:pPr>
            <w:r>
              <w:rPr>
                <w:b/>
                <w:sz w:val="18"/>
              </w:rPr>
              <w:t>Statistic</w:t>
            </w:r>
          </w:p>
        </w:tc>
        <w:tc>
          <w:tcPr>
            <w:tcW w:w="0" w:type="auto"/>
            <w:tcBorders>
              <w:bottom w:val="single" w:sz="8" w:space="0" w:color="000000"/>
            </w:tcBorders>
            <w:tcMar>
              <w:top w:w="40" w:type="dxa"/>
              <w:bottom w:w="40" w:type="dxa"/>
            </w:tcMar>
          </w:tcPr>
          <w:p w14:paraId="4AF7296D" w14:textId="77777777" w:rsidR="002E4036" w:rsidRDefault="00000000">
            <w:pPr>
              <w:pStyle w:val="Compact"/>
              <w:keepNext/>
              <w:spacing w:after="0" w:line="240" w:lineRule="auto"/>
              <w:jc w:val="right"/>
            </w:pPr>
            <w:proofErr w:type="spellStart"/>
            <w:r>
              <w:rPr>
                <w:b/>
                <w:sz w:val="18"/>
              </w:rPr>
              <w:t>df</w:t>
            </w:r>
            <w:proofErr w:type="spellEnd"/>
          </w:p>
        </w:tc>
        <w:tc>
          <w:tcPr>
            <w:tcW w:w="0" w:type="auto"/>
            <w:tcBorders>
              <w:bottom w:val="single" w:sz="8" w:space="0" w:color="000000"/>
            </w:tcBorders>
            <w:tcMar>
              <w:top w:w="40" w:type="dxa"/>
              <w:bottom w:w="40" w:type="dxa"/>
            </w:tcMar>
          </w:tcPr>
          <w:p w14:paraId="06FD22D4" w14:textId="77777777" w:rsidR="002E4036" w:rsidRDefault="00000000">
            <w:pPr>
              <w:pStyle w:val="Compact"/>
              <w:keepNext/>
              <w:spacing w:after="0" w:line="240" w:lineRule="auto"/>
              <w:jc w:val="center"/>
            </w:pPr>
            <w:r>
              <w:rPr>
                <w:b/>
                <w:i/>
                <w:iCs/>
                <w:sz w:val="18"/>
              </w:rPr>
              <w:t>p</w:t>
            </w:r>
          </w:p>
        </w:tc>
        <w:tc>
          <w:tcPr>
            <w:tcW w:w="0" w:type="auto"/>
            <w:tcBorders>
              <w:bottom w:val="single" w:sz="8" w:space="0" w:color="000000"/>
            </w:tcBorders>
            <w:tcMar>
              <w:top w:w="40" w:type="dxa"/>
              <w:bottom w:w="40" w:type="dxa"/>
            </w:tcMar>
          </w:tcPr>
          <w:p w14:paraId="382DC588" w14:textId="77777777" w:rsidR="002E4036" w:rsidRDefault="00000000">
            <w:pPr>
              <w:pStyle w:val="Compact"/>
              <w:keepNext/>
              <w:spacing w:after="0" w:line="240" w:lineRule="auto"/>
              <w:jc w:val="center"/>
            </w:pPr>
            <w:r>
              <w:rPr>
                <w:b/>
                <w:sz w:val="18"/>
              </w:rPr>
              <w:t>Effect size</w:t>
            </w:r>
          </w:p>
        </w:tc>
      </w:tr>
      <w:tr w:rsidR="002E4036" w14:paraId="4D0F780B" w14:textId="77777777" w:rsidTr="002E4036">
        <w:trPr>
          <w:cantSplit/>
        </w:trPr>
        <w:tc>
          <w:tcPr>
            <w:tcW w:w="0" w:type="auto"/>
            <w:tcMar>
              <w:top w:w="40" w:type="dxa"/>
              <w:bottom w:w="40" w:type="dxa"/>
            </w:tcMar>
          </w:tcPr>
          <w:p w14:paraId="42A248B8" w14:textId="77777777" w:rsidR="002E4036" w:rsidRDefault="00000000">
            <w:pPr>
              <w:pStyle w:val="Compact"/>
              <w:keepNext/>
              <w:spacing w:after="0" w:line="240" w:lineRule="auto"/>
              <w:jc w:val="left"/>
            </w:pPr>
            <w:r>
              <w:rPr>
                <w:sz w:val="18"/>
              </w:rPr>
              <w:t xml:space="preserve">Independence of consecutive states, Pearson </w:t>
            </w:r>
            <w:r>
              <w:rPr>
                <w:i/>
                <w:iCs/>
                <w:sz w:val="18"/>
              </w:rPr>
              <w:t>X</w:t>
            </w:r>
            <w:r>
              <w:rPr>
                <w:sz w:val="18"/>
                <w:vertAlign w:val="superscript"/>
              </w:rPr>
              <w:t>2</w:t>
            </w:r>
          </w:p>
        </w:tc>
        <w:tc>
          <w:tcPr>
            <w:tcW w:w="0" w:type="auto"/>
            <w:tcMar>
              <w:top w:w="40" w:type="dxa"/>
              <w:bottom w:w="40" w:type="dxa"/>
            </w:tcMar>
          </w:tcPr>
          <w:p w14:paraId="66CC94FB" w14:textId="77777777" w:rsidR="002E4036" w:rsidRDefault="00000000">
            <w:pPr>
              <w:pStyle w:val="Compact"/>
              <w:keepNext/>
              <w:spacing w:after="0" w:line="240" w:lineRule="auto"/>
              <w:jc w:val="right"/>
            </w:pPr>
            <w:r>
              <w:rPr>
                <w:sz w:val="18"/>
              </w:rPr>
              <w:t>450.97</w:t>
            </w:r>
          </w:p>
        </w:tc>
        <w:tc>
          <w:tcPr>
            <w:tcW w:w="0" w:type="auto"/>
            <w:tcMar>
              <w:top w:w="40" w:type="dxa"/>
              <w:bottom w:w="40" w:type="dxa"/>
            </w:tcMar>
          </w:tcPr>
          <w:p w14:paraId="517C4EBA" w14:textId="77777777" w:rsidR="002E4036" w:rsidRDefault="00000000">
            <w:pPr>
              <w:pStyle w:val="Compact"/>
              <w:keepNext/>
              <w:spacing w:after="0" w:line="240" w:lineRule="auto"/>
              <w:jc w:val="right"/>
            </w:pPr>
            <w:r>
              <w:rPr>
                <w:sz w:val="18"/>
              </w:rPr>
              <w:t>4</w:t>
            </w:r>
          </w:p>
        </w:tc>
        <w:tc>
          <w:tcPr>
            <w:tcW w:w="0" w:type="auto"/>
            <w:tcMar>
              <w:top w:w="40" w:type="dxa"/>
              <w:bottom w:w="40" w:type="dxa"/>
            </w:tcMar>
          </w:tcPr>
          <w:p w14:paraId="28E524D7" w14:textId="77777777" w:rsidR="002E4036" w:rsidRDefault="00000000">
            <w:pPr>
              <w:pStyle w:val="Compact"/>
              <w:keepNext/>
              <w:spacing w:after="0" w:line="240" w:lineRule="auto"/>
              <w:jc w:val="center"/>
            </w:pPr>
            <w:r>
              <w:rPr>
                <w:sz w:val="18"/>
              </w:rPr>
              <w:t>&lt; 0.001</w:t>
            </w:r>
          </w:p>
        </w:tc>
        <w:tc>
          <w:tcPr>
            <w:tcW w:w="0" w:type="auto"/>
            <w:tcMar>
              <w:top w:w="40" w:type="dxa"/>
              <w:bottom w:w="40" w:type="dxa"/>
            </w:tcMar>
          </w:tcPr>
          <w:p w14:paraId="79C31BD3" w14:textId="77777777" w:rsidR="002E4036" w:rsidRDefault="00000000">
            <w:pPr>
              <w:pStyle w:val="Compact"/>
              <w:keepNext/>
              <w:spacing w:after="0" w:line="240" w:lineRule="auto"/>
              <w:jc w:val="center"/>
            </w:pPr>
            <w:r>
              <w:rPr>
                <w:i/>
                <w:iCs/>
                <w:sz w:val="18"/>
              </w:rPr>
              <w:t>V</w:t>
            </w:r>
            <w:r>
              <w:rPr>
                <w:sz w:val="18"/>
              </w:rPr>
              <w:t xml:space="preserve"> = 0.390</w:t>
            </w:r>
          </w:p>
        </w:tc>
      </w:tr>
      <w:tr w:rsidR="002E4036" w14:paraId="7DCA0A9E" w14:textId="77777777" w:rsidTr="002E4036">
        <w:trPr>
          <w:cantSplit/>
        </w:trPr>
        <w:tc>
          <w:tcPr>
            <w:tcW w:w="0" w:type="auto"/>
            <w:tcMar>
              <w:top w:w="40" w:type="dxa"/>
              <w:bottom w:w="40" w:type="dxa"/>
            </w:tcMar>
          </w:tcPr>
          <w:p w14:paraId="657D2AB7" w14:textId="77777777" w:rsidR="002E4036" w:rsidRDefault="00000000">
            <w:pPr>
              <w:pStyle w:val="Compact"/>
              <w:keepNext/>
              <w:spacing w:after="0" w:line="240" w:lineRule="auto"/>
              <w:jc w:val="left"/>
            </w:pPr>
            <w:r>
              <w:rPr>
                <w:sz w:val="18"/>
              </w:rPr>
              <w:t xml:space="preserve">Independence of consecutive states, likelihood ratio </w:t>
            </w:r>
            <w:r>
              <w:rPr>
                <w:i/>
                <w:iCs/>
                <w:sz w:val="18"/>
              </w:rPr>
              <w:t>G</w:t>
            </w:r>
            <w:r>
              <w:rPr>
                <w:sz w:val="18"/>
                <w:vertAlign w:val="superscript"/>
              </w:rPr>
              <w:t>2</w:t>
            </w:r>
          </w:p>
        </w:tc>
        <w:tc>
          <w:tcPr>
            <w:tcW w:w="0" w:type="auto"/>
            <w:tcMar>
              <w:top w:w="40" w:type="dxa"/>
              <w:bottom w:w="40" w:type="dxa"/>
            </w:tcMar>
          </w:tcPr>
          <w:p w14:paraId="0DDC9DD4" w14:textId="77777777" w:rsidR="002E4036" w:rsidRDefault="00000000">
            <w:pPr>
              <w:pStyle w:val="Compact"/>
              <w:keepNext/>
              <w:spacing w:after="0" w:line="240" w:lineRule="auto"/>
              <w:jc w:val="right"/>
            </w:pPr>
            <w:r>
              <w:rPr>
                <w:sz w:val="18"/>
              </w:rPr>
              <w:t>415.65</w:t>
            </w:r>
          </w:p>
        </w:tc>
        <w:tc>
          <w:tcPr>
            <w:tcW w:w="0" w:type="auto"/>
            <w:tcMar>
              <w:top w:w="40" w:type="dxa"/>
              <w:bottom w:w="40" w:type="dxa"/>
            </w:tcMar>
          </w:tcPr>
          <w:p w14:paraId="639F7E58" w14:textId="77777777" w:rsidR="002E4036" w:rsidRDefault="00000000">
            <w:pPr>
              <w:pStyle w:val="Compact"/>
              <w:keepNext/>
              <w:spacing w:after="0" w:line="240" w:lineRule="auto"/>
              <w:jc w:val="right"/>
            </w:pPr>
            <w:r>
              <w:rPr>
                <w:sz w:val="18"/>
              </w:rPr>
              <w:t>4</w:t>
            </w:r>
          </w:p>
        </w:tc>
        <w:tc>
          <w:tcPr>
            <w:tcW w:w="0" w:type="auto"/>
            <w:tcMar>
              <w:top w:w="40" w:type="dxa"/>
              <w:bottom w:w="40" w:type="dxa"/>
            </w:tcMar>
          </w:tcPr>
          <w:p w14:paraId="78BED5E0" w14:textId="77777777" w:rsidR="002E4036" w:rsidRDefault="00000000">
            <w:pPr>
              <w:pStyle w:val="Compact"/>
              <w:keepNext/>
              <w:spacing w:after="0" w:line="240" w:lineRule="auto"/>
              <w:jc w:val="center"/>
            </w:pPr>
            <w:r>
              <w:rPr>
                <w:sz w:val="18"/>
              </w:rPr>
              <w:t>&lt; 0.001</w:t>
            </w:r>
          </w:p>
        </w:tc>
        <w:tc>
          <w:tcPr>
            <w:tcW w:w="0" w:type="auto"/>
            <w:tcMar>
              <w:top w:w="40" w:type="dxa"/>
              <w:bottom w:w="40" w:type="dxa"/>
            </w:tcMar>
          </w:tcPr>
          <w:p w14:paraId="4C1FDF65" w14:textId="77777777" w:rsidR="002E4036" w:rsidRDefault="002E4036">
            <w:pPr>
              <w:pStyle w:val="Compact"/>
              <w:keepNext/>
              <w:spacing w:after="0" w:line="240" w:lineRule="auto"/>
            </w:pPr>
          </w:p>
        </w:tc>
      </w:tr>
      <w:tr w:rsidR="002E4036" w14:paraId="6B1721FE" w14:textId="77777777" w:rsidTr="002E4036">
        <w:trPr>
          <w:cantSplit/>
        </w:trPr>
        <w:tc>
          <w:tcPr>
            <w:tcW w:w="0" w:type="auto"/>
            <w:tcMar>
              <w:top w:w="40" w:type="dxa"/>
              <w:bottom w:w="40" w:type="dxa"/>
            </w:tcMar>
          </w:tcPr>
          <w:p w14:paraId="4B0642F0" w14:textId="77777777" w:rsidR="002E4036" w:rsidRDefault="00000000">
            <w:pPr>
              <w:pStyle w:val="Compact"/>
              <w:keepNext/>
              <w:spacing w:after="0" w:line="240" w:lineRule="auto"/>
              <w:jc w:val="left"/>
            </w:pPr>
            <w:r>
              <w:rPr>
                <w:sz w:val="18"/>
              </w:rPr>
              <w:t>Homogeneity of rows R and I</w:t>
            </w:r>
          </w:p>
        </w:tc>
        <w:tc>
          <w:tcPr>
            <w:tcW w:w="0" w:type="auto"/>
            <w:tcMar>
              <w:top w:w="40" w:type="dxa"/>
              <w:bottom w:w="40" w:type="dxa"/>
            </w:tcMar>
          </w:tcPr>
          <w:p w14:paraId="4A42CE9F" w14:textId="77777777" w:rsidR="002E4036" w:rsidRDefault="00000000">
            <w:pPr>
              <w:pStyle w:val="Compact"/>
              <w:keepNext/>
              <w:spacing w:after="0" w:line="240" w:lineRule="auto"/>
              <w:jc w:val="right"/>
            </w:pPr>
            <w:r>
              <w:rPr>
                <w:sz w:val="18"/>
              </w:rPr>
              <w:t>185.88</w:t>
            </w:r>
          </w:p>
        </w:tc>
        <w:tc>
          <w:tcPr>
            <w:tcW w:w="0" w:type="auto"/>
            <w:tcMar>
              <w:top w:w="40" w:type="dxa"/>
              <w:bottom w:w="40" w:type="dxa"/>
            </w:tcMar>
          </w:tcPr>
          <w:p w14:paraId="7FFD9701" w14:textId="77777777" w:rsidR="002E4036" w:rsidRDefault="00000000">
            <w:pPr>
              <w:pStyle w:val="Compact"/>
              <w:keepNext/>
              <w:spacing w:after="0" w:line="240" w:lineRule="auto"/>
              <w:jc w:val="right"/>
            </w:pPr>
            <w:r>
              <w:rPr>
                <w:sz w:val="18"/>
              </w:rPr>
              <w:t>2</w:t>
            </w:r>
          </w:p>
        </w:tc>
        <w:tc>
          <w:tcPr>
            <w:tcW w:w="0" w:type="auto"/>
            <w:tcMar>
              <w:top w:w="40" w:type="dxa"/>
              <w:bottom w:w="40" w:type="dxa"/>
            </w:tcMar>
          </w:tcPr>
          <w:p w14:paraId="3E96FB1F" w14:textId="77777777" w:rsidR="002E4036" w:rsidRDefault="00000000">
            <w:pPr>
              <w:pStyle w:val="Compact"/>
              <w:keepNext/>
              <w:spacing w:after="0" w:line="240" w:lineRule="auto"/>
              <w:jc w:val="center"/>
            </w:pPr>
            <w:r>
              <w:rPr>
                <w:sz w:val="18"/>
              </w:rPr>
              <w:t>&lt; 0.001</w:t>
            </w:r>
          </w:p>
        </w:tc>
        <w:tc>
          <w:tcPr>
            <w:tcW w:w="0" w:type="auto"/>
            <w:tcMar>
              <w:top w:w="40" w:type="dxa"/>
              <w:bottom w:w="40" w:type="dxa"/>
            </w:tcMar>
          </w:tcPr>
          <w:p w14:paraId="412CB48B" w14:textId="77777777" w:rsidR="002E4036" w:rsidRDefault="002E4036">
            <w:pPr>
              <w:pStyle w:val="Compact"/>
              <w:keepNext/>
              <w:spacing w:after="0" w:line="240" w:lineRule="auto"/>
            </w:pPr>
          </w:p>
        </w:tc>
      </w:tr>
      <w:tr w:rsidR="002E4036" w14:paraId="7485BA7F" w14:textId="77777777" w:rsidTr="002E4036">
        <w:trPr>
          <w:cantSplit/>
        </w:trPr>
        <w:tc>
          <w:tcPr>
            <w:tcW w:w="0" w:type="auto"/>
            <w:tcMar>
              <w:top w:w="40" w:type="dxa"/>
              <w:bottom w:w="40" w:type="dxa"/>
            </w:tcMar>
          </w:tcPr>
          <w:p w14:paraId="718003E2" w14:textId="77777777" w:rsidR="002E4036" w:rsidRDefault="00000000">
            <w:pPr>
              <w:pStyle w:val="Compact"/>
              <w:keepNext/>
              <w:spacing w:after="0" w:line="240" w:lineRule="auto"/>
              <w:jc w:val="left"/>
            </w:pPr>
            <w:r>
              <w:rPr>
                <w:sz w:val="18"/>
              </w:rPr>
              <w:t>Homogeneity of rows R and N</w:t>
            </w:r>
          </w:p>
        </w:tc>
        <w:tc>
          <w:tcPr>
            <w:tcW w:w="0" w:type="auto"/>
            <w:tcMar>
              <w:top w:w="40" w:type="dxa"/>
              <w:bottom w:w="40" w:type="dxa"/>
            </w:tcMar>
          </w:tcPr>
          <w:p w14:paraId="5721E39F" w14:textId="77777777" w:rsidR="002E4036" w:rsidRDefault="00000000">
            <w:pPr>
              <w:pStyle w:val="Compact"/>
              <w:keepNext/>
              <w:spacing w:after="0" w:line="240" w:lineRule="auto"/>
              <w:jc w:val="right"/>
            </w:pPr>
            <w:r>
              <w:rPr>
                <w:sz w:val="18"/>
              </w:rPr>
              <w:t>255.62</w:t>
            </w:r>
          </w:p>
        </w:tc>
        <w:tc>
          <w:tcPr>
            <w:tcW w:w="0" w:type="auto"/>
            <w:tcMar>
              <w:top w:w="40" w:type="dxa"/>
              <w:bottom w:w="40" w:type="dxa"/>
            </w:tcMar>
          </w:tcPr>
          <w:p w14:paraId="4A26219A" w14:textId="77777777" w:rsidR="002E4036" w:rsidRDefault="00000000">
            <w:pPr>
              <w:pStyle w:val="Compact"/>
              <w:keepNext/>
              <w:spacing w:after="0" w:line="240" w:lineRule="auto"/>
              <w:jc w:val="right"/>
            </w:pPr>
            <w:r>
              <w:rPr>
                <w:sz w:val="18"/>
              </w:rPr>
              <w:t>2</w:t>
            </w:r>
          </w:p>
        </w:tc>
        <w:tc>
          <w:tcPr>
            <w:tcW w:w="0" w:type="auto"/>
            <w:tcMar>
              <w:top w:w="40" w:type="dxa"/>
              <w:bottom w:w="40" w:type="dxa"/>
            </w:tcMar>
          </w:tcPr>
          <w:p w14:paraId="33E3FECB" w14:textId="77777777" w:rsidR="002E4036" w:rsidRDefault="00000000">
            <w:pPr>
              <w:pStyle w:val="Compact"/>
              <w:keepNext/>
              <w:spacing w:after="0" w:line="240" w:lineRule="auto"/>
              <w:jc w:val="center"/>
            </w:pPr>
            <w:r>
              <w:rPr>
                <w:sz w:val="18"/>
              </w:rPr>
              <w:t>&lt; 0.001</w:t>
            </w:r>
          </w:p>
        </w:tc>
        <w:tc>
          <w:tcPr>
            <w:tcW w:w="0" w:type="auto"/>
            <w:tcMar>
              <w:top w:w="40" w:type="dxa"/>
              <w:bottom w:w="40" w:type="dxa"/>
            </w:tcMar>
          </w:tcPr>
          <w:p w14:paraId="4CB27029" w14:textId="77777777" w:rsidR="002E4036" w:rsidRDefault="002E4036">
            <w:pPr>
              <w:pStyle w:val="Compact"/>
              <w:keepNext/>
              <w:spacing w:after="0" w:line="240" w:lineRule="auto"/>
            </w:pPr>
          </w:p>
        </w:tc>
      </w:tr>
      <w:tr w:rsidR="002E4036" w14:paraId="44E08839" w14:textId="77777777" w:rsidTr="002E4036">
        <w:trPr>
          <w:cantSplit/>
        </w:trPr>
        <w:tc>
          <w:tcPr>
            <w:tcW w:w="0" w:type="auto"/>
            <w:tcMar>
              <w:top w:w="40" w:type="dxa"/>
              <w:bottom w:w="40" w:type="dxa"/>
            </w:tcMar>
          </w:tcPr>
          <w:p w14:paraId="49507FAA" w14:textId="77777777" w:rsidR="002E4036" w:rsidRDefault="00000000">
            <w:pPr>
              <w:pStyle w:val="Compact"/>
              <w:keepNext/>
              <w:spacing w:after="0" w:line="240" w:lineRule="auto"/>
              <w:jc w:val="left"/>
            </w:pPr>
            <w:r>
              <w:rPr>
                <w:sz w:val="18"/>
              </w:rPr>
              <w:t>Homogeneity of rows I and N</w:t>
            </w:r>
          </w:p>
        </w:tc>
        <w:tc>
          <w:tcPr>
            <w:tcW w:w="0" w:type="auto"/>
            <w:tcMar>
              <w:top w:w="40" w:type="dxa"/>
              <w:bottom w:w="40" w:type="dxa"/>
            </w:tcMar>
          </w:tcPr>
          <w:p w14:paraId="303E7B65" w14:textId="77777777" w:rsidR="002E4036" w:rsidRDefault="00000000">
            <w:pPr>
              <w:pStyle w:val="Compact"/>
              <w:keepNext/>
              <w:spacing w:after="0" w:line="240" w:lineRule="auto"/>
              <w:jc w:val="right"/>
            </w:pPr>
            <w:r>
              <w:rPr>
                <w:sz w:val="18"/>
              </w:rPr>
              <w:t>121.46</w:t>
            </w:r>
          </w:p>
        </w:tc>
        <w:tc>
          <w:tcPr>
            <w:tcW w:w="0" w:type="auto"/>
            <w:tcMar>
              <w:top w:w="40" w:type="dxa"/>
              <w:bottom w:w="40" w:type="dxa"/>
            </w:tcMar>
          </w:tcPr>
          <w:p w14:paraId="681094FA" w14:textId="77777777" w:rsidR="002E4036" w:rsidRDefault="00000000">
            <w:pPr>
              <w:pStyle w:val="Compact"/>
              <w:keepNext/>
              <w:spacing w:after="0" w:line="240" w:lineRule="auto"/>
              <w:jc w:val="right"/>
            </w:pPr>
            <w:r>
              <w:rPr>
                <w:sz w:val="18"/>
              </w:rPr>
              <w:t>2</w:t>
            </w:r>
          </w:p>
        </w:tc>
        <w:tc>
          <w:tcPr>
            <w:tcW w:w="0" w:type="auto"/>
            <w:tcMar>
              <w:top w:w="40" w:type="dxa"/>
              <w:bottom w:w="40" w:type="dxa"/>
            </w:tcMar>
          </w:tcPr>
          <w:p w14:paraId="5F301901" w14:textId="77777777" w:rsidR="002E4036" w:rsidRDefault="00000000">
            <w:pPr>
              <w:pStyle w:val="Compact"/>
              <w:keepNext/>
              <w:spacing w:after="0" w:line="240" w:lineRule="auto"/>
              <w:jc w:val="center"/>
            </w:pPr>
            <w:r>
              <w:rPr>
                <w:sz w:val="18"/>
              </w:rPr>
              <w:t>&lt; 0.001</w:t>
            </w:r>
          </w:p>
        </w:tc>
        <w:tc>
          <w:tcPr>
            <w:tcW w:w="0" w:type="auto"/>
            <w:tcMar>
              <w:top w:w="40" w:type="dxa"/>
              <w:bottom w:w="40" w:type="dxa"/>
            </w:tcMar>
          </w:tcPr>
          <w:p w14:paraId="533C2191" w14:textId="77777777" w:rsidR="002E4036" w:rsidRDefault="002E4036">
            <w:pPr>
              <w:pStyle w:val="Compact"/>
              <w:keepNext/>
              <w:spacing w:after="0" w:line="240" w:lineRule="auto"/>
            </w:pPr>
          </w:p>
        </w:tc>
      </w:tr>
    </w:tbl>
    <w:p w14:paraId="74D6D6A9" w14:textId="77777777" w:rsidR="002E4036" w:rsidRDefault="00000000">
      <w:pPr>
        <w:pStyle w:val="Note"/>
      </w:pPr>
      <w:r>
        <w:rPr>
          <w:i/>
          <w:iCs/>
        </w:rPr>
        <w:t>Note.</w:t>
      </w:r>
      <w:r>
        <w:t xml:space="preserve"> </w:t>
      </w:r>
      <w:r>
        <w:rPr>
          <w:i/>
          <w:iCs/>
        </w:rPr>
        <w:t>V</w:t>
      </w:r>
      <w:r>
        <w:t xml:space="preserve"> = Cramér’s </w:t>
      </w:r>
      <w:r>
        <w:rPr>
          <w:i/>
          <w:iCs/>
        </w:rPr>
        <w:t>V</w:t>
      </w:r>
      <w:r>
        <w:t>. Pairwise tests were assessed at the Bonferroni-adjusted level 0.05/3.</w:t>
      </w:r>
    </w:p>
    <w:p w14:paraId="70F5F712" w14:textId="77777777" w:rsidR="002E4036" w:rsidRDefault="00000000">
      <w:pPr>
        <w:pStyle w:val="BodyText"/>
      </w:pPr>
      <w:r>
        <w:t>This result is inconsistent with independence of consecutive states and supports first-order dependence over a zero-order chain, in the sense of the tests of Anderson and Goodman (1957). It concerns the states defined by the direction of the price change, including the unchanged state. It should not be read as a test of the random-walk hypothesis for returns, which involves the magnitude of returns and calendar-dated data (</w:t>
      </w:r>
      <w:proofErr w:type="spellStart"/>
      <w:r>
        <w:t>Agwuegbo</w:t>
      </w:r>
      <w:proofErr w:type="spellEnd"/>
      <w:r>
        <w:t xml:space="preserve"> et al., 2010).</w:t>
      </w:r>
    </w:p>
    <w:p w14:paraId="27145A1D" w14:textId="77777777" w:rsidR="002E4036" w:rsidRDefault="00000000">
      <w:pPr>
        <w:pStyle w:val="Heading2"/>
      </w:pPr>
      <w:bookmarkStart w:id="12" w:name="logistic-regression-1"/>
      <w:bookmarkEnd w:id="11"/>
      <w:r>
        <w:t>3.6 Logistic regression</w:t>
      </w:r>
    </w:p>
    <w:p w14:paraId="52D1C5A7" w14:textId="77777777" w:rsidR="002E4036" w:rsidRDefault="00000000">
      <w:pPr>
        <w:pStyle w:val="FirstParagraph"/>
      </w:pPr>
      <w:r>
        <w:t xml:space="preserve">Table 6 reports the logistic models. In Model A, the odds that the next observation was a price change were 0.57 (95% CI 0.48–0.67) when the current price was unchanged and were multiplied by 5.28 (95% CI 4.21–6.61; Wald </w:t>
      </w:r>
      <m:oMath>
        <m:r>
          <w:rPr>
            <w:rFonts w:ascii="Cambria Math" w:hAnsi="Cambria Math"/>
          </w:rPr>
          <m:t>z</m:t>
        </m:r>
      </m:oMath>
      <w:r>
        <w:t xml:space="preserve"> = 14.45, </w:t>
      </w:r>
      <m:oMath>
        <m:r>
          <w:rPr>
            <w:rFonts w:ascii="Cambria Math" w:hAnsi="Cambria Math"/>
          </w:rPr>
          <m:t>p</m:t>
        </m:r>
        <m:r>
          <m:rPr>
            <m:sty m:val="p"/>
          </m:rPr>
          <w:rPr>
            <w:rFonts w:ascii="Cambria Math" w:hAnsi="Cambria Math"/>
          </w:rPr>
          <m:t>&lt;</m:t>
        </m:r>
        <m:r>
          <w:rPr>
            <w:rFonts w:ascii="Cambria Math" w:hAnsi="Cambria Math"/>
          </w:rPr>
          <m:t>0.001</m:t>
        </m:r>
      </m:oMath>
      <w:r>
        <w:t xml:space="preserve">) when the current observation was itself a price change. The likelihood-ratio statistic against the null model was 225.18 (1 degree of freedom, </w:t>
      </w:r>
      <m:oMath>
        <m:r>
          <w:rPr>
            <w:rFonts w:ascii="Cambria Math" w:hAnsi="Cambria Math"/>
          </w:rPr>
          <m:t>p</m:t>
        </m:r>
        <m:r>
          <m:rPr>
            <m:sty m:val="p"/>
          </m:rPr>
          <w:rPr>
            <w:rFonts w:ascii="Cambria Math" w:hAnsi="Cambria Math"/>
          </w:rPr>
          <m:t>&lt;</m:t>
        </m:r>
        <m:r>
          <w:rPr>
            <w:rFonts w:ascii="Cambria Math" w:hAnsi="Cambria Math"/>
          </w:rPr>
          <m:t>0.001</m:t>
        </m:r>
      </m:oMath>
      <w:r>
        <w:t xml:space="preserve">). Price-changing observations therefore cluster: </w:t>
      </w:r>
      <w:r>
        <w:rPr>
          <w:highlight w:val="yellow"/>
        </w:rPr>
        <w:t>a change is followed by another change considerably more often than an unchanged price is followed by a change.</w:t>
      </w:r>
      <w:r>
        <w:t xml:space="preserve"> </w:t>
      </w:r>
      <w:r>
        <w:rPr>
          <w:highlight w:val="yellow"/>
        </w:rPr>
        <w:t>For price activity, this is analogous to the persistence that</w:t>
      </w:r>
      <w:r>
        <w:t xml:space="preserve"> conditional-variance models describe for return magnitudes (Engle, 1982; Bollerslev, 1986), although the present analysis does not measure the size of price changes.</w:t>
      </w:r>
    </w:p>
    <w:p w14:paraId="54987D92" w14:textId="77777777" w:rsidR="002E4036" w:rsidRDefault="00000000">
      <w:pPr>
        <w:pStyle w:val="BodyText"/>
      </w:pPr>
      <w:r>
        <w:t xml:space="preserve">Model A2 shows that the activity effect is not uniform across the two price-changing states. Relative to a previous decrease, the odds of a subsequent price change were lower after an increase (odds ratio 0.65; 95% CI 0.47–0.90; </w:t>
      </w:r>
      <m:oMath>
        <m:r>
          <w:rPr>
            <w:rFonts w:ascii="Cambria Math" w:hAnsi="Cambria Math"/>
          </w:rPr>
          <m:t>p</m:t>
        </m:r>
      </m:oMath>
      <w:r>
        <w:t xml:space="preserve"> = 0.009) and much lower after an unchanged price (odds ratio 0.165; </w:t>
      </w:r>
      <w:r>
        <w:lastRenderedPageBreak/>
        <w:t xml:space="preserve">0.128–0.212). The likelihood-ratio statistic for Model A2 against the null was 231.88 (2 degrees of freedom, </w:t>
      </w:r>
      <m:oMath>
        <m:r>
          <w:rPr>
            <w:rFonts w:ascii="Cambria Math" w:hAnsi="Cambria Math"/>
          </w:rPr>
          <m:t>p</m:t>
        </m:r>
        <m:r>
          <m:rPr>
            <m:sty m:val="p"/>
          </m:rPr>
          <w:rPr>
            <w:rFonts w:ascii="Cambria Math" w:hAnsi="Cambria Math"/>
          </w:rPr>
          <m:t>&lt;</m:t>
        </m:r>
        <m:r>
          <w:rPr>
            <w:rFonts w:ascii="Cambria Math" w:hAnsi="Cambria Math"/>
          </w:rPr>
          <m:t>0.001</m:t>
        </m:r>
      </m:oMath>
      <w:r>
        <w:t>).</w:t>
      </w:r>
    </w:p>
    <w:p w14:paraId="79162513" w14:textId="77777777" w:rsidR="002E4036" w:rsidRDefault="00000000">
      <w:pPr>
        <w:pStyle w:val="BodyText"/>
      </w:pPr>
      <w:r>
        <w:t>Model B addresses direction. Among price changes that followed a decrease, the odds of another decrease (rather than an increase) were 6.69 (95% CI 5.13–8.74), equivalent to a probability of 0.870. After an increase, the odds fell to 0.075 times that value (95% CI 0.050–0.113)</w:t>
      </w:r>
      <w:r>
        <w:rPr>
          <w:highlight w:val="yellow"/>
        </w:rPr>
        <w:t>, and after an unchanged price, they fell to 0.260 times that value</w:t>
      </w:r>
      <w:r>
        <w:t xml:space="preserve"> (0.177–0.381). Direction therefore tends to repeat: 87.0% of price changes following a decrease were decreases, 66.5% of price changes following an increase were increases and 63.5% of price changes following an unchanged price were decreases. The likelihood-ratio statistic for Model B against the null was 183.77 (2 degrees of freedom, </w:t>
      </w:r>
      <m:oMath>
        <m:r>
          <w:rPr>
            <w:rFonts w:ascii="Cambria Math" w:hAnsi="Cambria Math"/>
          </w:rPr>
          <m:t>p</m:t>
        </m:r>
        <m:r>
          <m:rPr>
            <m:sty m:val="p"/>
          </m:rPr>
          <w:rPr>
            <w:rFonts w:ascii="Cambria Math" w:hAnsi="Cambria Math"/>
          </w:rPr>
          <m:t>&lt;</m:t>
        </m:r>
        <m:r>
          <w:rPr>
            <w:rFonts w:ascii="Cambria Math" w:hAnsi="Cambria Math"/>
          </w:rPr>
          <m:t>0.001</m:t>
        </m:r>
      </m:oMath>
      <w:r>
        <w:t>).</w:t>
      </w:r>
    </w:p>
    <w:p w14:paraId="61993E57" w14:textId="77777777" w:rsidR="002E4036" w:rsidRDefault="00000000">
      <w:pPr>
        <w:pStyle w:val="Caption"/>
        <w:keepNext/>
      </w:pPr>
      <w:r>
        <w:rPr>
          <w:b/>
          <w:bCs/>
        </w:rPr>
        <w:t>Table 6.</w:t>
      </w:r>
      <w:r>
        <w:t xml:space="preserve"> Logistic regression analysis of price-movement activity and direction</w:t>
      </w:r>
    </w:p>
    <w:tbl>
      <w:tblPr>
        <w:tblStyle w:val="Table"/>
        <w:tblW w:w="5000" w:type="pct"/>
        <w:tblBorders>
          <w:top w:val="single" w:sz="12" w:space="0" w:color="000000"/>
          <w:left w:val="nil"/>
          <w:bottom w:val="single" w:sz="12" w:space="0" w:color="000000"/>
          <w:right w:val="nil"/>
          <w:insideH w:val="nil"/>
          <w:insideV w:val="nil"/>
        </w:tblBorders>
        <w:tblLook w:val="0020" w:firstRow="1" w:lastRow="0" w:firstColumn="0" w:lastColumn="0" w:noHBand="0" w:noVBand="0"/>
      </w:tblPr>
      <w:tblGrid>
        <w:gridCol w:w="4363"/>
        <w:gridCol w:w="723"/>
        <w:gridCol w:w="621"/>
        <w:gridCol w:w="993"/>
        <w:gridCol w:w="1068"/>
        <w:gridCol w:w="723"/>
        <w:gridCol w:w="751"/>
      </w:tblGrid>
      <w:tr w:rsidR="002E4036" w14:paraId="538292FE" w14:textId="77777777" w:rsidTr="002E4036">
        <w:trPr>
          <w:cnfStyle w:val="100000000000" w:firstRow="1" w:lastRow="0" w:firstColumn="0" w:lastColumn="0" w:oddVBand="0" w:evenVBand="0" w:oddHBand="0" w:evenHBand="0" w:firstRowFirstColumn="0" w:firstRowLastColumn="0" w:lastRowFirstColumn="0" w:lastRowLastColumn="0"/>
          <w:cantSplit/>
          <w:tblHeader/>
        </w:trPr>
        <w:tc>
          <w:tcPr>
            <w:tcW w:w="0" w:type="auto"/>
            <w:tcBorders>
              <w:bottom w:val="single" w:sz="8" w:space="0" w:color="000000"/>
            </w:tcBorders>
            <w:tcMar>
              <w:top w:w="40" w:type="dxa"/>
              <w:bottom w:w="40" w:type="dxa"/>
            </w:tcMar>
          </w:tcPr>
          <w:p w14:paraId="4EF973EF" w14:textId="77777777" w:rsidR="002E4036" w:rsidRDefault="00000000">
            <w:pPr>
              <w:pStyle w:val="Compact"/>
              <w:keepNext/>
              <w:spacing w:after="0" w:line="240" w:lineRule="auto"/>
              <w:jc w:val="left"/>
            </w:pPr>
            <w:r>
              <w:rPr>
                <w:b/>
                <w:sz w:val="18"/>
              </w:rPr>
              <w:t>Model and predictor</w:t>
            </w:r>
          </w:p>
        </w:tc>
        <w:tc>
          <w:tcPr>
            <w:tcW w:w="0" w:type="auto"/>
            <w:tcBorders>
              <w:bottom w:val="single" w:sz="8" w:space="0" w:color="000000"/>
            </w:tcBorders>
            <w:tcMar>
              <w:top w:w="40" w:type="dxa"/>
              <w:bottom w:w="40" w:type="dxa"/>
            </w:tcMar>
          </w:tcPr>
          <w:p w14:paraId="52E179FB" w14:textId="77777777" w:rsidR="002E4036" w:rsidRDefault="00000000">
            <w:pPr>
              <w:pStyle w:val="Compact"/>
              <w:keepNext/>
              <w:spacing w:after="0" w:line="240" w:lineRule="auto"/>
              <w:jc w:val="right"/>
            </w:pPr>
            <w:r>
              <w:rPr>
                <w:b/>
                <w:sz w:val="18"/>
              </w:rPr>
              <w:t>β̂</w:t>
            </w:r>
          </w:p>
        </w:tc>
        <w:tc>
          <w:tcPr>
            <w:tcW w:w="0" w:type="auto"/>
            <w:tcBorders>
              <w:bottom w:val="single" w:sz="8" w:space="0" w:color="000000"/>
            </w:tcBorders>
            <w:tcMar>
              <w:top w:w="40" w:type="dxa"/>
              <w:bottom w:w="40" w:type="dxa"/>
            </w:tcMar>
          </w:tcPr>
          <w:p w14:paraId="2F116A13" w14:textId="77777777" w:rsidR="002E4036" w:rsidRDefault="00000000">
            <w:pPr>
              <w:pStyle w:val="Compact"/>
              <w:keepNext/>
              <w:spacing w:after="0" w:line="240" w:lineRule="auto"/>
              <w:jc w:val="right"/>
            </w:pPr>
            <w:r>
              <w:rPr>
                <w:b/>
                <w:sz w:val="18"/>
              </w:rPr>
              <w:t>SE</w:t>
            </w:r>
          </w:p>
        </w:tc>
        <w:tc>
          <w:tcPr>
            <w:tcW w:w="0" w:type="auto"/>
            <w:tcBorders>
              <w:bottom w:val="single" w:sz="8" w:space="0" w:color="000000"/>
            </w:tcBorders>
            <w:tcMar>
              <w:top w:w="40" w:type="dxa"/>
              <w:bottom w:w="40" w:type="dxa"/>
            </w:tcMar>
          </w:tcPr>
          <w:p w14:paraId="4A1F3737" w14:textId="77777777" w:rsidR="002E4036" w:rsidRDefault="00000000">
            <w:pPr>
              <w:pStyle w:val="Compact"/>
              <w:keepNext/>
              <w:spacing w:after="0" w:line="240" w:lineRule="auto"/>
              <w:jc w:val="right"/>
            </w:pPr>
            <w:r>
              <w:rPr>
                <w:b/>
                <w:sz w:val="18"/>
              </w:rPr>
              <w:t>Odds ratio</w:t>
            </w:r>
          </w:p>
        </w:tc>
        <w:tc>
          <w:tcPr>
            <w:tcW w:w="0" w:type="auto"/>
            <w:tcBorders>
              <w:bottom w:val="single" w:sz="8" w:space="0" w:color="000000"/>
            </w:tcBorders>
            <w:tcMar>
              <w:top w:w="40" w:type="dxa"/>
              <w:bottom w:w="40" w:type="dxa"/>
            </w:tcMar>
          </w:tcPr>
          <w:p w14:paraId="2A960A6E" w14:textId="77777777" w:rsidR="002E4036" w:rsidRDefault="00000000">
            <w:pPr>
              <w:pStyle w:val="Compact"/>
              <w:keepNext/>
              <w:spacing w:after="0" w:line="240" w:lineRule="auto"/>
              <w:jc w:val="center"/>
            </w:pPr>
            <w:r>
              <w:rPr>
                <w:b/>
                <w:sz w:val="18"/>
              </w:rPr>
              <w:t>95% CI</w:t>
            </w:r>
          </w:p>
        </w:tc>
        <w:tc>
          <w:tcPr>
            <w:tcW w:w="0" w:type="auto"/>
            <w:tcBorders>
              <w:bottom w:val="single" w:sz="8" w:space="0" w:color="000000"/>
            </w:tcBorders>
            <w:tcMar>
              <w:top w:w="40" w:type="dxa"/>
              <w:bottom w:w="40" w:type="dxa"/>
            </w:tcMar>
          </w:tcPr>
          <w:p w14:paraId="591AE272" w14:textId="77777777" w:rsidR="002E4036" w:rsidRDefault="00000000">
            <w:pPr>
              <w:pStyle w:val="Compact"/>
              <w:keepNext/>
              <w:spacing w:after="0" w:line="240" w:lineRule="auto"/>
              <w:jc w:val="right"/>
            </w:pPr>
            <w:r>
              <w:rPr>
                <w:b/>
                <w:i/>
                <w:iCs/>
                <w:sz w:val="18"/>
              </w:rPr>
              <w:t>z</w:t>
            </w:r>
          </w:p>
        </w:tc>
        <w:tc>
          <w:tcPr>
            <w:tcW w:w="0" w:type="auto"/>
            <w:tcBorders>
              <w:bottom w:val="single" w:sz="8" w:space="0" w:color="000000"/>
            </w:tcBorders>
            <w:tcMar>
              <w:top w:w="40" w:type="dxa"/>
              <w:bottom w:w="40" w:type="dxa"/>
            </w:tcMar>
          </w:tcPr>
          <w:p w14:paraId="776E0A00" w14:textId="77777777" w:rsidR="002E4036" w:rsidRDefault="00000000">
            <w:pPr>
              <w:pStyle w:val="Compact"/>
              <w:keepNext/>
              <w:spacing w:after="0" w:line="240" w:lineRule="auto"/>
              <w:jc w:val="center"/>
            </w:pPr>
            <w:r>
              <w:rPr>
                <w:b/>
                <w:i/>
                <w:iCs/>
                <w:sz w:val="18"/>
              </w:rPr>
              <w:t>p</w:t>
            </w:r>
          </w:p>
        </w:tc>
      </w:tr>
      <w:tr w:rsidR="002E4036" w14:paraId="1119458B" w14:textId="77777777" w:rsidTr="002E4036">
        <w:trPr>
          <w:cantSplit/>
        </w:trPr>
        <w:tc>
          <w:tcPr>
            <w:tcW w:w="0" w:type="auto"/>
            <w:tcMar>
              <w:top w:w="40" w:type="dxa"/>
              <w:bottom w:w="40" w:type="dxa"/>
            </w:tcMar>
          </w:tcPr>
          <w:p w14:paraId="534DF0D1" w14:textId="77777777" w:rsidR="002E4036" w:rsidRDefault="00000000">
            <w:pPr>
              <w:pStyle w:val="Compact"/>
              <w:keepNext/>
              <w:spacing w:after="0" w:line="240" w:lineRule="auto"/>
              <w:jc w:val="left"/>
            </w:pPr>
            <w:r>
              <w:rPr>
                <w:b/>
                <w:bCs/>
                <w:sz w:val="18"/>
              </w:rPr>
              <w:t>Model A</w:t>
            </w:r>
            <w:r>
              <w:rPr>
                <w:sz w:val="18"/>
              </w:rPr>
              <w:t xml:space="preserve"> (outcome: price change vs no change)</w:t>
            </w:r>
          </w:p>
        </w:tc>
        <w:tc>
          <w:tcPr>
            <w:tcW w:w="0" w:type="auto"/>
            <w:tcMar>
              <w:top w:w="40" w:type="dxa"/>
              <w:bottom w:w="40" w:type="dxa"/>
            </w:tcMar>
          </w:tcPr>
          <w:p w14:paraId="701C53E5" w14:textId="77777777" w:rsidR="002E4036" w:rsidRDefault="002E4036">
            <w:pPr>
              <w:pStyle w:val="Compact"/>
              <w:keepNext/>
              <w:spacing w:after="0" w:line="240" w:lineRule="auto"/>
            </w:pPr>
          </w:p>
        </w:tc>
        <w:tc>
          <w:tcPr>
            <w:tcW w:w="0" w:type="auto"/>
            <w:tcMar>
              <w:top w:w="40" w:type="dxa"/>
              <w:bottom w:w="40" w:type="dxa"/>
            </w:tcMar>
          </w:tcPr>
          <w:p w14:paraId="09CB6D75" w14:textId="77777777" w:rsidR="002E4036" w:rsidRDefault="002E4036">
            <w:pPr>
              <w:pStyle w:val="Compact"/>
              <w:keepNext/>
              <w:spacing w:after="0" w:line="240" w:lineRule="auto"/>
            </w:pPr>
          </w:p>
        </w:tc>
        <w:tc>
          <w:tcPr>
            <w:tcW w:w="0" w:type="auto"/>
            <w:tcMar>
              <w:top w:w="40" w:type="dxa"/>
              <w:bottom w:w="40" w:type="dxa"/>
            </w:tcMar>
          </w:tcPr>
          <w:p w14:paraId="5C32DF51" w14:textId="77777777" w:rsidR="002E4036" w:rsidRDefault="002E4036">
            <w:pPr>
              <w:pStyle w:val="Compact"/>
              <w:keepNext/>
              <w:spacing w:after="0" w:line="240" w:lineRule="auto"/>
            </w:pPr>
          </w:p>
        </w:tc>
        <w:tc>
          <w:tcPr>
            <w:tcW w:w="0" w:type="auto"/>
            <w:tcMar>
              <w:top w:w="40" w:type="dxa"/>
              <w:bottom w:w="40" w:type="dxa"/>
            </w:tcMar>
          </w:tcPr>
          <w:p w14:paraId="26AE2103" w14:textId="77777777" w:rsidR="002E4036" w:rsidRDefault="002E4036">
            <w:pPr>
              <w:pStyle w:val="Compact"/>
              <w:keepNext/>
              <w:spacing w:after="0" w:line="240" w:lineRule="auto"/>
            </w:pPr>
          </w:p>
        </w:tc>
        <w:tc>
          <w:tcPr>
            <w:tcW w:w="0" w:type="auto"/>
            <w:tcMar>
              <w:top w:w="40" w:type="dxa"/>
              <w:bottom w:w="40" w:type="dxa"/>
            </w:tcMar>
          </w:tcPr>
          <w:p w14:paraId="013529DD" w14:textId="77777777" w:rsidR="002E4036" w:rsidRDefault="002E4036">
            <w:pPr>
              <w:pStyle w:val="Compact"/>
              <w:keepNext/>
              <w:spacing w:after="0" w:line="240" w:lineRule="auto"/>
            </w:pPr>
          </w:p>
        </w:tc>
        <w:tc>
          <w:tcPr>
            <w:tcW w:w="0" w:type="auto"/>
            <w:tcMar>
              <w:top w:w="40" w:type="dxa"/>
              <w:bottom w:w="40" w:type="dxa"/>
            </w:tcMar>
          </w:tcPr>
          <w:p w14:paraId="6F93B87B" w14:textId="77777777" w:rsidR="002E4036" w:rsidRDefault="002E4036">
            <w:pPr>
              <w:pStyle w:val="Compact"/>
              <w:keepNext/>
              <w:spacing w:after="0" w:line="240" w:lineRule="auto"/>
            </w:pPr>
          </w:p>
        </w:tc>
      </w:tr>
      <w:tr w:rsidR="002E4036" w14:paraId="67442325" w14:textId="77777777" w:rsidTr="002E4036">
        <w:trPr>
          <w:cantSplit/>
        </w:trPr>
        <w:tc>
          <w:tcPr>
            <w:tcW w:w="0" w:type="auto"/>
            <w:tcMar>
              <w:top w:w="40" w:type="dxa"/>
              <w:bottom w:w="40" w:type="dxa"/>
            </w:tcMar>
          </w:tcPr>
          <w:p w14:paraId="118D9215" w14:textId="77777777" w:rsidR="002E4036" w:rsidRDefault="00000000">
            <w:pPr>
              <w:pStyle w:val="Compact"/>
              <w:keepNext/>
              <w:spacing w:after="0" w:line="240" w:lineRule="auto"/>
              <w:jc w:val="left"/>
            </w:pPr>
            <w:r>
              <w:rPr>
                <w:sz w:val="18"/>
              </w:rPr>
              <w:t>Intercept (previous state N; odds)</w:t>
            </w:r>
          </w:p>
        </w:tc>
        <w:tc>
          <w:tcPr>
            <w:tcW w:w="0" w:type="auto"/>
            <w:tcMar>
              <w:top w:w="40" w:type="dxa"/>
              <w:bottom w:w="40" w:type="dxa"/>
            </w:tcMar>
          </w:tcPr>
          <w:p w14:paraId="7F29E606" w14:textId="77777777" w:rsidR="002E4036" w:rsidRDefault="00000000">
            <w:pPr>
              <w:pStyle w:val="Compact"/>
              <w:keepNext/>
              <w:spacing w:after="0" w:line="240" w:lineRule="auto"/>
              <w:jc w:val="right"/>
            </w:pPr>
            <w:r>
              <w:rPr>
                <w:sz w:val="18"/>
              </w:rPr>
              <w:t>−0.562</w:t>
            </w:r>
          </w:p>
        </w:tc>
        <w:tc>
          <w:tcPr>
            <w:tcW w:w="0" w:type="auto"/>
            <w:tcMar>
              <w:top w:w="40" w:type="dxa"/>
              <w:bottom w:w="40" w:type="dxa"/>
            </w:tcMar>
          </w:tcPr>
          <w:p w14:paraId="056A6F71" w14:textId="77777777" w:rsidR="002E4036" w:rsidRDefault="00000000">
            <w:pPr>
              <w:pStyle w:val="Compact"/>
              <w:keepNext/>
              <w:spacing w:after="0" w:line="240" w:lineRule="auto"/>
              <w:jc w:val="right"/>
            </w:pPr>
            <w:r>
              <w:rPr>
                <w:sz w:val="18"/>
              </w:rPr>
              <w:t>0.085</w:t>
            </w:r>
          </w:p>
        </w:tc>
        <w:tc>
          <w:tcPr>
            <w:tcW w:w="0" w:type="auto"/>
            <w:tcMar>
              <w:top w:w="40" w:type="dxa"/>
              <w:bottom w:w="40" w:type="dxa"/>
            </w:tcMar>
          </w:tcPr>
          <w:p w14:paraId="5F41EDE2" w14:textId="77777777" w:rsidR="002E4036" w:rsidRDefault="00000000">
            <w:pPr>
              <w:pStyle w:val="Compact"/>
              <w:keepNext/>
              <w:spacing w:after="0" w:line="240" w:lineRule="auto"/>
              <w:jc w:val="right"/>
            </w:pPr>
            <w:r>
              <w:rPr>
                <w:sz w:val="18"/>
              </w:rPr>
              <w:t>0.570</w:t>
            </w:r>
          </w:p>
        </w:tc>
        <w:tc>
          <w:tcPr>
            <w:tcW w:w="0" w:type="auto"/>
            <w:tcMar>
              <w:top w:w="40" w:type="dxa"/>
              <w:bottom w:w="40" w:type="dxa"/>
            </w:tcMar>
          </w:tcPr>
          <w:p w14:paraId="7F4FDAE7" w14:textId="77777777" w:rsidR="002E4036" w:rsidRDefault="00000000">
            <w:pPr>
              <w:pStyle w:val="Compact"/>
              <w:keepNext/>
              <w:spacing w:after="0" w:line="240" w:lineRule="auto"/>
              <w:jc w:val="center"/>
            </w:pPr>
            <w:r>
              <w:rPr>
                <w:sz w:val="18"/>
              </w:rPr>
              <w:t>0.483–0.673</w:t>
            </w:r>
          </w:p>
        </w:tc>
        <w:tc>
          <w:tcPr>
            <w:tcW w:w="0" w:type="auto"/>
            <w:tcMar>
              <w:top w:w="40" w:type="dxa"/>
              <w:bottom w:w="40" w:type="dxa"/>
            </w:tcMar>
          </w:tcPr>
          <w:p w14:paraId="358DCE06" w14:textId="77777777" w:rsidR="002E4036" w:rsidRDefault="00000000">
            <w:pPr>
              <w:pStyle w:val="Compact"/>
              <w:keepNext/>
              <w:spacing w:after="0" w:line="240" w:lineRule="auto"/>
              <w:jc w:val="right"/>
            </w:pPr>
            <w:r>
              <w:rPr>
                <w:sz w:val="18"/>
              </w:rPr>
              <w:t>−6.63</w:t>
            </w:r>
          </w:p>
        </w:tc>
        <w:tc>
          <w:tcPr>
            <w:tcW w:w="0" w:type="auto"/>
            <w:tcMar>
              <w:top w:w="40" w:type="dxa"/>
              <w:bottom w:w="40" w:type="dxa"/>
            </w:tcMar>
          </w:tcPr>
          <w:p w14:paraId="1C258AA2" w14:textId="77777777" w:rsidR="002E4036" w:rsidRDefault="00000000">
            <w:pPr>
              <w:pStyle w:val="Compact"/>
              <w:keepNext/>
              <w:spacing w:after="0" w:line="240" w:lineRule="auto"/>
              <w:jc w:val="center"/>
            </w:pPr>
            <w:r>
              <w:rPr>
                <w:sz w:val="18"/>
              </w:rPr>
              <w:t>&lt; 0.001</w:t>
            </w:r>
          </w:p>
        </w:tc>
      </w:tr>
      <w:tr w:rsidR="002E4036" w14:paraId="060124DC" w14:textId="77777777" w:rsidTr="002E4036">
        <w:trPr>
          <w:cantSplit/>
        </w:trPr>
        <w:tc>
          <w:tcPr>
            <w:tcW w:w="0" w:type="auto"/>
            <w:tcMar>
              <w:top w:w="40" w:type="dxa"/>
              <w:bottom w:w="40" w:type="dxa"/>
            </w:tcMar>
          </w:tcPr>
          <w:p w14:paraId="3C05286B" w14:textId="77777777" w:rsidR="002E4036" w:rsidRDefault="00000000">
            <w:pPr>
              <w:pStyle w:val="Compact"/>
              <w:keepNext/>
              <w:spacing w:after="0" w:line="240" w:lineRule="auto"/>
              <w:jc w:val="left"/>
            </w:pPr>
            <w:r>
              <w:rPr>
                <w:sz w:val="18"/>
              </w:rPr>
              <w:t>Previous state R or I</w:t>
            </w:r>
          </w:p>
        </w:tc>
        <w:tc>
          <w:tcPr>
            <w:tcW w:w="0" w:type="auto"/>
            <w:tcMar>
              <w:top w:w="40" w:type="dxa"/>
              <w:bottom w:w="40" w:type="dxa"/>
            </w:tcMar>
          </w:tcPr>
          <w:p w14:paraId="2CEC72E1" w14:textId="77777777" w:rsidR="002E4036" w:rsidRDefault="00000000">
            <w:pPr>
              <w:pStyle w:val="Compact"/>
              <w:keepNext/>
              <w:spacing w:after="0" w:line="240" w:lineRule="auto"/>
              <w:jc w:val="right"/>
            </w:pPr>
            <w:r>
              <w:rPr>
                <w:sz w:val="18"/>
              </w:rPr>
              <w:t>1.663</w:t>
            </w:r>
          </w:p>
        </w:tc>
        <w:tc>
          <w:tcPr>
            <w:tcW w:w="0" w:type="auto"/>
            <w:tcMar>
              <w:top w:w="40" w:type="dxa"/>
              <w:bottom w:w="40" w:type="dxa"/>
            </w:tcMar>
          </w:tcPr>
          <w:p w14:paraId="05FFEBB2" w14:textId="77777777" w:rsidR="002E4036" w:rsidRDefault="00000000">
            <w:pPr>
              <w:pStyle w:val="Compact"/>
              <w:keepNext/>
              <w:spacing w:after="0" w:line="240" w:lineRule="auto"/>
              <w:jc w:val="right"/>
            </w:pPr>
            <w:r>
              <w:rPr>
                <w:sz w:val="18"/>
              </w:rPr>
              <w:t>0.115</w:t>
            </w:r>
          </w:p>
        </w:tc>
        <w:tc>
          <w:tcPr>
            <w:tcW w:w="0" w:type="auto"/>
            <w:tcMar>
              <w:top w:w="40" w:type="dxa"/>
              <w:bottom w:w="40" w:type="dxa"/>
            </w:tcMar>
          </w:tcPr>
          <w:p w14:paraId="4601C9DB" w14:textId="77777777" w:rsidR="002E4036" w:rsidRDefault="00000000">
            <w:pPr>
              <w:pStyle w:val="Compact"/>
              <w:keepNext/>
              <w:spacing w:after="0" w:line="240" w:lineRule="auto"/>
              <w:jc w:val="right"/>
            </w:pPr>
            <w:r>
              <w:rPr>
                <w:sz w:val="18"/>
              </w:rPr>
              <w:t>5.276</w:t>
            </w:r>
          </w:p>
        </w:tc>
        <w:tc>
          <w:tcPr>
            <w:tcW w:w="0" w:type="auto"/>
            <w:tcMar>
              <w:top w:w="40" w:type="dxa"/>
              <w:bottom w:w="40" w:type="dxa"/>
            </w:tcMar>
          </w:tcPr>
          <w:p w14:paraId="4DA9A741" w14:textId="77777777" w:rsidR="002E4036" w:rsidRDefault="00000000">
            <w:pPr>
              <w:pStyle w:val="Compact"/>
              <w:keepNext/>
              <w:spacing w:after="0" w:line="240" w:lineRule="auto"/>
              <w:jc w:val="center"/>
            </w:pPr>
            <w:r>
              <w:rPr>
                <w:sz w:val="18"/>
              </w:rPr>
              <w:t>4.210–6.612</w:t>
            </w:r>
          </w:p>
        </w:tc>
        <w:tc>
          <w:tcPr>
            <w:tcW w:w="0" w:type="auto"/>
            <w:tcMar>
              <w:top w:w="40" w:type="dxa"/>
              <w:bottom w:w="40" w:type="dxa"/>
            </w:tcMar>
          </w:tcPr>
          <w:p w14:paraId="00825A82" w14:textId="77777777" w:rsidR="002E4036" w:rsidRDefault="00000000">
            <w:pPr>
              <w:pStyle w:val="Compact"/>
              <w:keepNext/>
              <w:spacing w:after="0" w:line="240" w:lineRule="auto"/>
              <w:jc w:val="right"/>
            </w:pPr>
            <w:r>
              <w:rPr>
                <w:sz w:val="18"/>
              </w:rPr>
              <w:t>14.45</w:t>
            </w:r>
          </w:p>
        </w:tc>
        <w:tc>
          <w:tcPr>
            <w:tcW w:w="0" w:type="auto"/>
            <w:tcMar>
              <w:top w:w="40" w:type="dxa"/>
              <w:bottom w:w="40" w:type="dxa"/>
            </w:tcMar>
          </w:tcPr>
          <w:p w14:paraId="23D6E44D" w14:textId="77777777" w:rsidR="002E4036" w:rsidRDefault="00000000">
            <w:pPr>
              <w:pStyle w:val="Compact"/>
              <w:keepNext/>
              <w:spacing w:after="0" w:line="240" w:lineRule="auto"/>
              <w:jc w:val="center"/>
            </w:pPr>
            <w:r>
              <w:rPr>
                <w:sz w:val="18"/>
              </w:rPr>
              <w:t>&lt; 0.001</w:t>
            </w:r>
          </w:p>
        </w:tc>
      </w:tr>
      <w:tr w:rsidR="002E4036" w14:paraId="2580948A" w14:textId="77777777" w:rsidTr="002E4036">
        <w:trPr>
          <w:cantSplit/>
        </w:trPr>
        <w:tc>
          <w:tcPr>
            <w:tcW w:w="0" w:type="auto"/>
            <w:tcMar>
              <w:top w:w="40" w:type="dxa"/>
              <w:bottom w:w="40" w:type="dxa"/>
            </w:tcMar>
          </w:tcPr>
          <w:p w14:paraId="74EFC474" w14:textId="77777777" w:rsidR="002E4036" w:rsidRDefault="00000000">
            <w:pPr>
              <w:pStyle w:val="Compact"/>
              <w:keepNext/>
              <w:spacing w:after="0" w:line="240" w:lineRule="auto"/>
              <w:jc w:val="left"/>
            </w:pPr>
            <w:r>
              <w:rPr>
                <w:b/>
                <w:bCs/>
                <w:sz w:val="18"/>
              </w:rPr>
              <w:t>Model A2</w:t>
            </w:r>
            <w:r>
              <w:rPr>
                <w:sz w:val="18"/>
              </w:rPr>
              <w:t xml:space="preserve"> (outcome: price change vs no change)</w:t>
            </w:r>
          </w:p>
        </w:tc>
        <w:tc>
          <w:tcPr>
            <w:tcW w:w="0" w:type="auto"/>
            <w:tcMar>
              <w:top w:w="40" w:type="dxa"/>
              <w:bottom w:w="40" w:type="dxa"/>
            </w:tcMar>
          </w:tcPr>
          <w:p w14:paraId="2D508500" w14:textId="77777777" w:rsidR="002E4036" w:rsidRDefault="002E4036">
            <w:pPr>
              <w:pStyle w:val="Compact"/>
              <w:keepNext/>
              <w:spacing w:after="0" w:line="240" w:lineRule="auto"/>
            </w:pPr>
          </w:p>
        </w:tc>
        <w:tc>
          <w:tcPr>
            <w:tcW w:w="0" w:type="auto"/>
            <w:tcMar>
              <w:top w:w="40" w:type="dxa"/>
              <w:bottom w:w="40" w:type="dxa"/>
            </w:tcMar>
          </w:tcPr>
          <w:p w14:paraId="050B0D9F" w14:textId="77777777" w:rsidR="002E4036" w:rsidRDefault="002E4036">
            <w:pPr>
              <w:pStyle w:val="Compact"/>
              <w:keepNext/>
              <w:spacing w:after="0" w:line="240" w:lineRule="auto"/>
            </w:pPr>
          </w:p>
        </w:tc>
        <w:tc>
          <w:tcPr>
            <w:tcW w:w="0" w:type="auto"/>
            <w:tcMar>
              <w:top w:w="40" w:type="dxa"/>
              <w:bottom w:w="40" w:type="dxa"/>
            </w:tcMar>
          </w:tcPr>
          <w:p w14:paraId="14163E38" w14:textId="77777777" w:rsidR="002E4036" w:rsidRDefault="002E4036">
            <w:pPr>
              <w:pStyle w:val="Compact"/>
              <w:keepNext/>
              <w:spacing w:after="0" w:line="240" w:lineRule="auto"/>
            </w:pPr>
          </w:p>
        </w:tc>
        <w:tc>
          <w:tcPr>
            <w:tcW w:w="0" w:type="auto"/>
            <w:tcMar>
              <w:top w:w="40" w:type="dxa"/>
              <w:bottom w:w="40" w:type="dxa"/>
            </w:tcMar>
          </w:tcPr>
          <w:p w14:paraId="345D9953" w14:textId="77777777" w:rsidR="002E4036" w:rsidRDefault="002E4036">
            <w:pPr>
              <w:pStyle w:val="Compact"/>
              <w:keepNext/>
              <w:spacing w:after="0" w:line="240" w:lineRule="auto"/>
            </w:pPr>
          </w:p>
        </w:tc>
        <w:tc>
          <w:tcPr>
            <w:tcW w:w="0" w:type="auto"/>
            <w:tcMar>
              <w:top w:w="40" w:type="dxa"/>
              <w:bottom w:w="40" w:type="dxa"/>
            </w:tcMar>
          </w:tcPr>
          <w:p w14:paraId="05CFDAB9" w14:textId="77777777" w:rsidR="002E4036" w:rsidRDefault="002E4036">
            <w:pPr>
              <w:pStyle w:val="Compact"/>
              <w:keepNext/>
              <w:spacing w:after="0" w:line="240" w:lineRule="auto"/>
            </w:pPr>
          </w:p>
        </w:tc>
        <w:tc>
          <w:tcPr>
            <w:tcW w:w="0" w:type="auto"/>
            <w:tcMar>
              <w:top w:w="40" w:type="dxa"/>
              <w:bottom w:w="40" w:type="dxa"/>
            </w:tcMar>
          </w:tcPr>
          <w:p w14:paraId="1206AF52" w14:textId="77777777" w:rsidR="002E4036" w:rsidRDefault="002E4036">
            <w:pPr>
              <w:pStyle w:val="Compact"/>
              <w:keepNext/>
              <w:spacing w:after="0" w:line="240" w:lineRule="auto"/>
            </w:pPr>
          </w:p>
        </w:tc>
      </w:tr>
      <w:tr w:rsidR="002E4036" w14:paraId="3C3B536E" w14:textId="77777777" w:rsidTr="002E4036">
        <w:trPr>
          <w:cantSplit/>
        </w:trPr>
        <w:tc>
          <w:tcPr>
            <w:tcW w:w="0" w:type="auto"/>
            <w:tcMar>
              <w:top w:w="40" w:type="dxa"/>
              <w:bottom w:w="40" w:type="dxa"/>
            </w:tcMar>
          </w:tcPr>
          <w:p w14:paraId="50CF2B01" w14:textId="77777777" w:rsidR="002E4036" w:rsidRDefault="00000000">
            <w:pPr>
              <w:pStyle w:val="Compact"/>
              <w:keepNext/>
              <w:spacing w:after="0" w:line="240" w:lineRule="auto"/>
              <w:jc w:val="left"/>
            </w:pPr>
            <w:r>
              <w:rPr>
                <w:sz w:val="18"/>
              </w:rPr>
              <w:t>Intercept (previous state R; odds)</w:t>
            </w:r>
          </w:p>
        </w:tc>
        <w:tc>
          <w:tcPr>
            <w:tcW w:w="0" w:type="auto"/>
            <w:tcMar>
              <w:top w:w="40" w:type="dxa"/>
              <w:bottom w:w="40" w:type="dxa"/>
            </w:tcMar>
          </w:tcPr>
          <w:p w14:paraId="36B19A08" w14:textId="77777777" w:rsidR="002E4036" w:rsidRDefault="00000000">
            <w:pPr>
              <w:pStyle w:val="Compact"/>
              <w:keepNext/>
              <w:spacing w:after="0" w:line="240" w:lineRule="auto"/>
              <w:jc w:val="right"/>
            </w:pPr>
            <w:r>
              <w:rPr>
                <w:sz w:val="18"/>
              </w:rPr>
              <w:t>1.240</w:t>
            </w:r>
          </w:p>
        </w:tc>
        <w:tc>
          <w:tcPr>
            <w:tcW w:w="0" w:type="auto"/>
            <w:tcMar>
              <w:top w:w="40" w:type="dxa"/>
              <w:bottom w:w="40" w:type="dxa"/>
            </w:tcMar>
          </w:tcPr>
          <w:p w14:paraId="566F087C" w14:textId="77777777" w:rsidR="002E4036" w:rsidRDefault="00000000">
            <w:pPr>
              <w:pStyle w:val="Compact"/>
              <w:keepNext/>
              <w:spacing w:after="0" w:line="240" w:lineRule="auto"/>
              <w:jc w:val="right"/>
            </w:pPr>
            <w:r>
              <w:rPr>
                <w:sz w:val="18"/>
              </w:rPr>
              <w:t>0.097</w:t>
            </w:r>
          </w:p>
        </w:tc>
        <w:tc>
          <w:tcPr>
            <w:tcW w:w="0" w:type="auto"/>
            <w:tcMar>
              <w:top w:w="40" w:type="dxa"/>
              <w:bottom w:w="40" w:type="dxa"/>
            </w:tcMar>
          </w:tcPr>
          <w:p w14:paraId="7CA5663E" w14:textId="77777777" w:rsidR="002E4036" w:rsidRDefault="00000000">
            <w:pPr>
              <w:pStyle w:val="Compact"/>
              <w:keepNext/>
              <w:spacing w:after="0" w:line="240" w:lineRule="auto"/>
              <w:jc w:val="right"/>
            </w:pPr>
            <w:r>
              <w:rPr>
                <w:sz w:val="18"/>
              </w:rPr>
              <w:t>3.457</w:t>
            </w:r>
          </w:p>
        </w:tc>
        <w:tc>
          <w:tcPr>
            <w:tcW w:w="0" w:type="auto"/>
            <w:tcMar>
              <w:top w:w="40" w:type="dxa"/>
              <w:bottom w:w="40" w:type="dxa"/>
            </w:tcMar>
          </w:tcPr>
          <w:p w14:paraId="7050599F" w14:textId="77777777" w:rsidR="002E4036" w:rsidRDefault="00000000">
            <w:pPr>
              <w:pStyle w:val="Compact"/>
              <w:keepNext/>
              <w:spacing w:after="0" w:line="240" w:lineRule="auto"/>
              <w:jc w:val="center"/>
            </w:pPr>
            <w:r>
              <w:rPr>
                <w:sz w:val="18"/>
              </w:rPr>
              <w:t>2.860–4.177</w:t>
            </w:r>
          </w:p>
        </w:tc>
        <w:tc>
          <w:tcPr>
            <w:tcW w:w="0" w:type="auto"/>
            <w:tcMar>
              <w:top w:w="40" w:type="dxa"/>
              <w:bottom w:w="40" w:type="dxa"/>
            </w:tcMar>
          </w:tcPr>
          <w:p w14:paraId="558B27C4" w14:textId="77777777" w:rsidR="002E4036" w:rsidRDefault="00000000">
            <w:pPr>
              <w:pStyle w:val="Compact"/>
              <w:keepNext/>
              <w:spacing w:after="0" w:line="240" w:lineRule="auto"/>
              <w:jc w:val="right"/>
            </w:pPr>
            <w:r>
              <w:rPr>
                <w:sz w:val="18"/>
              </w:rPr>
              <w:t>12.83</w:t>
            </w:r>
          </w:p>
        </w:tc>
        <w:tc>
          <w:tcPr>
            <w:tcW w:w="0" w:type="auto"/>
            <w:tcMar>
              <w:top w:w="40" w:type="dxa"/>
              <w:bottom w:w="40" w:type="dxa"/>
            </w:tcMar>
          </w:tcPr>
          <w:p w14:paraId="56815F8C" w14:textId="77777777" w:rsidR="002E4036" w:rsidRDefault="00000000">
            <w:pPr>
              <w:pStyle w:val="Compact"/>
              <w:keepNext/>
              <w:spacing w:after="0" w:line="240" w:lineRule="auto"/>
              <w:jc w:val="center"/>
            </w:pPr>
            <w:r>
              <w:rPr>
                <w:sz w:val="18"/>
              </w:rPr>
              <w:t>&lt; 0.001</w:t>
            </w:r>
          </w:p>
        </w:tc>
      </w:tr>
      <w:tr w:rsidR="002E4036" w14:paraId="1EE7C986" w14:textId="77777777" w:rsidTr="002E4036">
        <w:trPr>
          <w:cantSplit/>
        </w:trPr>
        <w:tc>
          <w:tcPr>
            <w:tcW w:w="0" w:type="auto"/>
            <w:tcMar>
              <w:top w:w="40" w:type="dxa"/>
              <w:bottom w:w="40" w:type="dxa"/>
            </w:tcMar>
          </w:tcPr>
          <w:p w14:paraId="4AFC6712" w14:textId="77777777" w:rsidR="002E4036" w:rsidRDefault="00000000">
            <w:pPr>
              <w:pStyle w:val="Compact"/>
              <w:keepNext/>
              <w:spacing w:after="0" w:line="240" w:lineRule="auto"/>
              <w:jc w:val="left"/>
            </w:pPr>
            <w:r>
              <w:rPr>
                <w:sz w:val="18"/>
              </w:rPr>
              <w:t>Previous state I</w:t>
            </w:r>
          </w:p>
        </w:tc>
        <w:tc>
          <w:tcPr>
            <w:tcW w:w="0" w:type="auto"/>
            <w:tcMar>
              <w:top w:w="40" w:type="dxa"/>
              <w:bottom w:w="40" w:type="dxa"/>
            </w:tcMar>
          </w:tcPr>
          <w:p w14:paraId="500AFBA6" w14:textId="77777777" w:rsidR="002E4036" w:rsidRDefault="00000000">
            <w:pPr>
              <w:pStyle w:val="Compact"/>
              <w:keepNext/>
              <w:spacing w:after="0" w:line="240" w:lineRule="auto"/>
              <w:jc w:val="right"/>
            </w:pPr>
            <w:r>
              <w:rPr>
                <w:sz w:val="18"/>
              </w:rPr>
              <w:t>−0.431</w:t>
            </w:r>
          </w:p>
        </w:tc>
        <w:tc>
          <w:tcPr>
            <w:tcW w:w="0" w:type="auto"/>
            <w:tcMar>
              <w:top w:w="40" w:type="dxa"/>
              <w:bottom w:w="40" w:type="dxa"/>
            </w:tcMar>
          </w:tcPr>
          <w:p w14:paraId="5064EE8A" w14:textId="77777777" w:rsidR="002E4036" w:rsidRDefault="00000000">
            <w:pPr>
              <w:pStyle w:val="Compact"/>
              <w:keepNext/>
              <w:spacing w:after="0" w:line="240" w:lineRule="auto"/>
              <w:jc w:val="right"/>
            </w:pPr>
            <w:r>
              <w:rPr>
                <w:sz w:val="18"/>
              </w:rPr>
              <w:t>0.165</w:t>
            </w:r>
          </w:p>
        </w:tc>
        <w:tc>
          <w:tcPr>
            <w:tcW w:w="0" w:type="auto"/>
            <w:tcMar>
              <w:top w:w="40" w:type="dxa"/>
              <w:bottom w:w="40" w:type="dxa"/>
            </w:tcMar>
          </w:tcPr>
          <w:p w14:paraId="4B1FF8CD" w14:textId="77777777" w:rsidR="002E4036" w:rsidRDefault="00000000">
            <w:pPr>
              <w:pStyle w:val="Compact"/>
              <w:keepNext/>
              <w:spacing w:after="0" w:line="240" w:lineRule="auto"/>
              <w:jc w:val="right"/>
            </w:pPr>
            <w:r>
              <w:rPr>
                <w:sz w:val="18"/>
              </w:rPr>
              <w:t>0.650</w:t>
            </w:r>
          </w:p>
        </w:tc>
        <w:tc>
          <w:tcPr>
            <w:tcW w:w="0" w:type="auto"/>
            <w:tcMar>
              <w:top w:w="40" w:type="dxa"/>
              <w:bottom w:w="40" w:type="dxa"/>
            </w:tcMar>
          </w:tcPr>
          <w:p w14:paraId="2498B40E" w14:textId="77777777" w:rsidR="002E4036" w:rsidRDefault="00000000">
            <w:pPr>
              <w:pStyle w:val="Compact"/>
              <w:keepNext/>
              <w:spacing w:after="0" w:line="240" w:lineRule="auto"/>
              <w:jc w:val="center"/>
            </w:pPr>
            <w:r>
              <w:rPr>
                <w:sz w:val="18"/>
              </w:rPr>
              <w:t>0.471–0.898</w:t>
            </w:r>
          </w:p>
        </w:tc>
        <w:tc>
          <w:tcPr>
            <w:tcW w:w="0" w:type="auto"/>
            <w:tcMar>
              <w:top w:w="40" w:type="dxa"/>
              <w:bottom w:w="40" w:type="dxa"/>
            </w:tcMar>
          </w:tcPr>
          <w:p w14:paraId="11403FED" w14:textId="77777777" w:rsidR="002E4036" w:rsidRDefault="00000000">
            <w:pPr>
              <w:pStyle w:val="Compact"/>
              <w:keepNext/>
              <w:spacing w:after="0" w:line="240" w:lineRule="auto"/>
              <w:jc w:val="right"/>
            </w:pPr>
            <w:r>
              <w:rPr>
                <w:sz w:val="18"/>
              </w:rPr>
              <w:t>−2.61</w:t>
            </w:r>
          </w:p>
        </w:tc>
        <w:tc>
          <w:tcPr>
            <w:tcW w:w="0" w:type="auto"/>
            <w:tcMar>
              <w:top w:w="40" w:type="dxa"/>
              <w:bottom w:w="40" w:type="dxa"/>
            </w:tcMar>
          </w:tcPr>
          <w:p w14:paraId="68E11B78" w14:textId="77777777" w:rsidR="002E4036" w:rsidRDefault="00000000">
            <w:pPr>
              <w:pStyle w:val="Compact"/>
              <w:keepNext/>
              <w:spacing w:after="0" w:line="240" w:lineRule="auto"/>
              <w:jc w:val="center"/>
            </w:pPr>
            <w:r>
              <w:rPr>
                <w:sz w:val="18"/>
              </w:rPr>
              <w:t>0.009</w:t>
            </w:r>
          </w:p>
        </w:tc>
      </w:tr>
      <w:tr w:rsidR="002E4036" w14:paraId="07AE2C29" w14:textId="77777777" w:rsidTr="002E4036">
        <w:trPr>
          <w:cantSplit/>
        </w:trPr>
        <w:tc>
          <w:tcPr>
            <w:tcW w:w="0" w:type="auto"/>
            <w:tcMar>
              <w:top w:w="40" w:type="dxa"/>
              <w:bottom w:w="40" w:type="dxa"/>
            </w:tcMar>
          </w:tcPr>
          <w:p w14:paraId="3D2AE7FB" w14:textId="77777777" w:rsidR="002E4036" w:rsidRDefault="00000000">
            <w:pPr>
              <w:pStyle w:val="Compact"/>
              <w:keepNext/>
              <w:spacing w:after="0" w:line="240" w:lineRule="auto"/>
              <w:jc w:val="left"/>
            </w:pPr>
            <w:r>
              <w:rPr>
                <w:sz w:val="18"/>
              </w:rPr>
              <w:t>Previous state N</w:t>
            </w:r>
          </w:p>
        </w:tc>
        <w:tc>
          <w:tcPr>
            <w:tcW w:w="0" w:type="auto"/>
            <w:tcMar>
              <w:top w:w="40" w:type="dxa"/>
              <w:bottom w:w="40" w:type="dxa"/>
            </w:tcMar>
          </w:tcPr>
          <w:p w14:paraId="32125AE8" w14:textId="77777777" w:rsidR="002E4036" w:rsidRDefault="00000000">
            <w:pPr>
              <w:pStyle w:val="Compact"/>
              <w:keepNext/>
              <w:spacing w:after="0" w:line="240" w:lineRule="auto"/>
              <w:jc w:val="right"/>
            </w:pPr>
            <w:r>
              <w:rPr>
                <w:sz w:val="18"/>
              </w:rPr>
              <w:t>−1.802</w:t>
            </w:r>
          </w:p>
        </w:tc>
        <w:tc>
          <w:tcPr>
            <w:tcW w:w="0" w:type="auto"/>
            <w:tcMar>
              <w:top w:w="40" w:type="dxa"/>
              <w:bottom w:w="40" w:type="dxa"/>
            </w:tcMar>
          </w:tcPr>
          <w:p w14:paraId="05363E24" w14:textId="77777777" w:rsidR="002E4036" w:rsidRDefault="00000000">
            <w:pPr>
              <w:pStyle w:val="Compact"/>
              <w:keepNext/>
              <w:spacing w:after="0" w:line="240" w:lineRule="auto"/>
              <w:jc w:val="right"/>
            </w:pPr>
            <w:r>
              <w:rPr>
                <w:sz w:val="18"/>
              </w:rPr>
              <w:t>0.129</w:t>
            </w:r>
          </w:p>
        </w:tc>
        <w:tc>
          <w:tcPr>
            <w:tcW w:w="0" w:type="auto"/>
            <w:tcMar>
              <w:top w:w="40" w:type="dxa"/>
              <w:bottom w:w="40" w:type="dxa"/>
            </w:tcMar>
          </w:tcPr>
          <w:p w14:paraId="0CFAA5FA" w14:textId="77777777" w:rsidR="002E4036" w:rsidRDefault="00000000">
            <w:pPr>
              <w:pStyle w:val="Compact"/>
              <w:keepNext/>
              <w:spacing w:after="0" w:line="240" w:lineRule="auto"/>
              <w:jc w:val="right"/>
            </w:pPr>
            <w:r>
              <w:rPr>
                <w:sz w:val="18"/>
              </w:rPr>
              <w:t>0.165</w:t>
            </w:r>
          </w:p>
        </w:tc>
        <w:tc>
          <w:tcPr>
            <w:tcW w:w="0" w:type="auto"/>
            <w:tcMar>
              <w:top w:w="40" w:type="dxa"/>
              <w:bottom w:w="40" w:type="dxa"/>
            </w:tcMar>
          </w:tcPr>
          <w:p w14:paraId="06BE1275" w14:textId="77777777" w:rsidR="002E4036" w:rsidRDefault="00000000">
            <w:pPr>
              <w:pStyle w:val="Compact"/>
              <w:keepNext/>
              <w:spacing w:after="0" w:line="240" w:lineRule="auto"/>
              <w:jc w:val="center"/>
            </w:pPr>
            <w:r>
              <w:rPr>
                <w:sz w:val="18"/>
              </w:rPr>
              <w:t>0.128–0.212</w:t>
            </w:r>
          </w:p>
        </w:tc>
        <w:tc>
          <w:tcPr>
            <w:tcW w:w="0" w:type="auto"/>
            <w:tcMar>
              <w:top w:w="40" w:type="dxa"/>
              <w:bottom w:w="40" w:type="dxa"/>
            </w:tcMar>
          </w:tcPr>
          <w:p w14:paraId="44D6D38B" w14:textId="77777777" w:rsidR="002E4036" w:rsidRDefault="00000000">
            <w:pPr>
              <w:pStyle w:val="Compact"/>
              <w:keepNext/>
              <w:spacing w:after="0" w:line="240" w:lineRule="auto"/>
              <w:jc w:val="right"/>
            </w:pPr>
            <w:r>
              <w:rPr>
                <w:sz w:val="18"/>
              </w:rPr>
              <w:t>−14.02</w:t>
            </w:r>
          </w:p>
        </w:tc>
        <w:tc>
          <w:tcPr>
            <w:tcW w:w="0" w:type="auto"/>
            <w:tcMar>
              <w:top w:w="40" w:type="dxa"/>
              <w:bottom w:w="40" w:type="dxa"/>
            </w:tcMar>
          </w:tcPr>
          <w:p w14:paraId="007E4874" w14:textId="77777777" w:rsidR="002E4036" w:rsidRDefault="00000000">
            <w:pPr>
              <w:pStyle w:val="Compact"/>
              <w:keepNext/>
              <w:spacing w:after="0" w:line="240" w:lineRule="auto"/>
              <w:jc w:val="center"/>
            </w:pPr>
            <w:r>
              <w:rPr>
                <w:sz w:val="18"/>
              </w:rPr>
              <w:t>&lt; 0.001</w:t>
            </w:r>
          </w:p>
        </w:tc>
      </w:tr>
      <w:tr w:rsidR="002E4036" w14:paraId="50BBC427" w14:textId="77777777" w:rsidTr="002E4036">
        <w:trPr>
          <w:cantSplit/>
        </w:trPr>
        <w:tc>
          <w:tcPr>
            <w:tcW w:w="0" w:type="auto"/>
            <w:tcMar>
              <w:top w:w="40" w:type="dxa"/>
              <w:bottom w:w="40" w:type="dxa"/>
            </w:tcMar>
          </w:tcPr>
          <w:p w14:paraId="3FE0E634" w14:textId="77777777" w:rsidR="002E4036" w:rsidRDefault="00000000">
            <w:pPr>
              <w:pStyle w:val="Compact"/>
              <w:keepNext/>
              <w:spacing w:after="0" w:line="240" w:lineRule="auto"/>
              <w:jc w:val="left"/>
            </w:pPr>
            <w:r>
              <w:rPr>
                <w:b/>
                <w:bCs/>
                <w:sz w:val="18"/>
              </w:rPr>
              <w:t>Model B</w:t>
            </w:r>
            <w:r>
              <w:rPr>
                <w:sz w:val="18"/>
              </w:rPr>
              <w:t xml:space="preserve"> (outcome: decrease vs increase, among price changes)</w:t>
            </w:r>
          </w:p>
        </w:tc>
        <w:tc>
          <w:tcPr>
            <w:tcW w:w="0" w:type="auto"/>
            <w:tcMar>
              <w:top w:w="40" w:type="dxa"/>
              <w:bottom w:w="40" w:type="dxa"/>
            </w:tcMar>
          </w:tcPr>
          <w:p w14:paraId="31EC3EE8" w14:textId="77777777" w:rsidR="002E4036" w:rsidRDefault="002E4036">
            <w:pPr>
              <w:pStyle w:val="Compact"/>
              <w:keepNext/>
              <w:spacing w:after="0" w:line="240" w:lineRule="auto"/>
            </w:pPr>
          </w:p>
        </w:tc>
        <w:tc>
          <w:tcPr>
            <w:tcW w:w="0" w:type="auto"/>
            <w:tcMar>
              <w:top w:w="40" w:type="dxa"/>
              <w:bottom w:w="40" w:type="dxa"/>
            </w:tcMar>
          </w:tcPr>
          <w:p w14:paraId="4F361C8D" w14:textId="77777777" w:rsidR="002E4036" w:rsidRDefault="002E4036">
            <w:pPr>
              <w:pStyle w:val="Compact"/>
              <w:keepNext/>
              <w:spacing w:after="0" w:line="240" w:lineRule="auto"/>
            </w:pPr>
          </w:p>
        </w:tc>
        <w:tc>
          <w:tcPr>
            <w:tcW w:w="0" w:type="auto"/>
            <w:tcMar>
              <w:top w:w="40" w:type="dxa"/>
              <w:bottom w:w="40" w:type="dxa"/>
            </w:tcMar>
          </w:tcPr>
          <w:p w14:paraId="69F237FE" w14:textId="77777777" w:rsidR="002E4036" w:rsidRDefault="002E4036">
            <w:pPr>
              <w:pStyle w:val="Compact"/>
              <w:keepNext/>
              <w:spacing w:after="0" w:line="240" w:lineRule="auto"/>
            </w:pPr>
          </w:p>
        </w:tc>
        <w:tc>
          <w:tcPr>
            <w:tcW w:w="0" w:type="auto"/>
            <w:tcMar>
              <w:top w:w="40" w:type="dxa"/>
              <w:bottom w:w="40" w:type="dxa"/>
            </w:tcMar>
          </w:tcPr>
          <w:p w14:paraId="0C5B0543" w14:textId="77777777" w:rsidR="002E4036" w:rsidRDefault="002E4036">
            <w:pPr>
              <w:pStyle w:val="Compact"/>
              <w:keepNext/>
              <w:spacing w:after="0" w:line="240" w:lineRule="auto"/>
            </w:pPr>
          </w:p>
        </w:tc>
        <w:tc>
          <w:tcPr>
            <w:tcW w:w="0" w:type="auto"/>
            <w:tcMar>
              <w:top w:w="40" w:type="dxa"/>
              <w:bottom w:w="40" w:type="dxa"/>
            </w:tcMar>
          </w:tcPr>
          <w:p w14:paraId="1AE583BB" w14:textId="77777777" w:rsidR="002E4036" w:rsidRDefault="002E4036">
            <w:pPr>
              <w:pStyle w:val="Compact"/>
              <w:keepNext/>
              <w:spacing w:after="0" w:line="240" w:lineRule="auto"/>
            </w:pPr>
          </w:p>
        </w:tc>
        <w:tc>
          <w:tcPr>
            <w:tcW w:w="0" w:type="auto"/>
            <w:tcMar>
              <w:top w:w="40" w:type="dxa"/>
              <w:bottom w:w="40" w:type="dxa"/>
            </w:tcMar>
          </w:tcPr>
          <w:p w14:paraId="71FB4CBC" w14:textId="77777777" w:rsidR="002E4036" w:rsidRDefault="002E4036">
            <w:pPr>
              <w:pStyle w:val="Compact"/>
              <w:keepNext/>
              <w:spacing w:after="0" w:line="240" w:lineRule="auto"/>
            </w:pPr>
          </w:p>
        </w:tc>
      </w:tr>
      <w:tr w:rsidR="002E4036" w14:paraId="267450F2" w14:textId="77777777" w:rsidTr="002E4036">
        <w:trPr>
          <w:cantSplit/>
        </w:trPr>
        <w:tc>
          <w:tcPr>
            <w:tcW w:w="0" w:type="auto"/>
            <w:tcMar>
              <w:top w:w="40" w:type="dxa"/>
              <w:bottom w:w="40" w:type="dxa"/>
            </w:tcMar>
          </w:tcPr>
          <w:p w14:paraId="4E60EFBF" w14:textId="77777777" w:rsidR="002E4036" w:rsidRDefault="00000000">
            <w:pPr>
              <w:pStyle w:val="Compact"/>
              <w:keepNext/>
              <w:spacing w:after="0" w:line="240" w:lineRule="auto"/>
              <w:jc w:val="left"/>
            </w:pPr>
            <w:r>
              <w:rPr>
                <w:sz w:val="18"/>
              </w:rPr>
              <w:t>Intercept (previous state R; odds)</w:t>
            </w:r>
          </w:p>
        </w:tc>
        <w:tc>
          <w:tcPr>
            <w:tcW w:w="0" w:type="auto"/>
            <w:tcMar>
              <w:top w:w="40" w:type="dxa"/>
              <w:bottom w:w="40" w:type="dxa"/>
            </w:tcMar>
          </w:tcPr>
          <w:p w14:paraId="77DA5B95" w14:textId="77777777" w:rsidR="002E4036" w:rsidRDefault="00000000">
            <w:pPr>
              <w:pStyle w:val="Compact"/>
              <w:keepNext/>
              <w:spacing w:after="0" w:line="240" w:lineRule="auto"/>
              <w:jc w:val="right"/>
            </w:pPr>
            <w:r>
              <w:rPr>
                <w:sz w:val="18"/>
              </w:rPr>
              <w:t>1.901</w:t>
            </w:r>
          </w:p>
        </w:tc>
        <w:tc>
          <w:tcPr>
            <w:tcW w:w="0" w:type="auto"/>
            <w:tcMar>
              <w:top w:w="40" w:type="dxa"/>
              <w:bottom w:w="40" w:type="dxa"/>
            </w:tcMar>
          </w:tcPr>
          <w:p w14:paraId="0EF8643C" w14:textId="77777777" w:rsidR="002E4036" w:rsidRDefault="00000000">
            <w:pPr>
              <w:pStyle w:val="Compact"/>
              <w:keepNext/>
              <w:spacing w:after="0" w:line="240" w:lineRule="auto"/>
              <w:jc w:val="right"/>
            </w:pPr>
            <w:r>
              <w:rPr>
                <w:sz w:val="18"/>
              </w:rPr>
              <w:t>0.136</w:t>
            </w:r>
          </w:p>
        </w:tc>
        <w:tc>
          <w:tcPr>
            <w:tcW w:w="0" w:type="auto"/>
            <w:tcMar>
              <w:top w:w="40" w:type="dxa"/>
              <w:bottom w:w="40" w:type="dxa"/>
            </w:tcMar>
          </w:tcPr>
          <w:p w14:paraId="6A2A0412" w14:textId="77777777" w:rsidR="002E4036" w:rsidRDefault="00000000">
            <w:pPr>
              <w:pStyle w:val="Compact"/>
              <w:keepNext/>
              <w:spacing w:after="0" w:line="240" w:lineRule="auto"/>
              <w:jc w:val="right"/>
            </w:pPr>
            <w:r>
              <w:rPr>
                <w:sz w:val="18"/>
              </w:rPr>
              <w:t>6.694</w:t>
            </w:r>
          </w:p>
        </w:tc>
        <w:tc>
          <w:tcPr>
            <w:tcW w:w="0" w:type="auto"/>
            <w:tcMar>
              <w:top w:w="40" w:type="dxa"/>
              <w:bottom w:w="40" w:type="dxa"/>
            </w:tcMar>
          </w:tcPr>
          <w:p w14:paraId="68EB222B" w14:textId="77777777" w:rsidR="002E4036" w:rsidRDefault="00000000">
            <w:pPr>
              <w:pStyle w:val="Compact"/>
              <w:keepNext/>
              <w:spacing w:after="0" w:line="240" w:lineRule="auto"/>
              <w:jc w:val="center"/>
            </w:pPr>
            <w:r>
              <w:rPr>
                <w:sz w:val="18"/>
              </w:rPr>
              <w:t>5.126–8.741</w:t>
            </w:r>
          </w:p>
        </w:tc>
        <w:tc>
          <w:tcPr>
            <w:tcW w:w="0" w:type="auto"/>
            <w:tcMar>
              <w:top w:w="40" w:type="dxa"/>
              <w:bottom w:w="40" w:type="dxa"/>
            </w:tcMar>
          </w:tcPr>
          <w:p w14:paraId="1F8AC096" w14:textId="77777777" w:rsidR="002E4036" w:rsidRDefault="00000000">
            <w:pPr>
              <w:pStyle w:val="Compact"/>
              <w:keepNext/>
              <w:spacing w:after="0" w:line="240" w:lineRule="auto"/>
              <w:jc w:val="right"/>
            </w:pPr>
            <w:r>
              <w:rPr>
                <w:sz w:val="18"/>
              </w:rPr>
              <w:t>13.96</w:t>
            </w:r>
          </w:p>
        </w:tc>
        <w:tc>
          <w:tcPr>
            <w:tcW w:w="0" w:type="auto"/>
            <w:tcMar>
              <w:top w:w="40" w:type="dxa"/>
              <w:bottom w:w="40" w:type="dxa"/>
            </w:tcMar>
          </w:tcPr>
          <w:p w14:paraId="290B02BA" w14:textId="77777777" w:rsidR="002E4036" w:rsidRDefault="00000000">
            <w:pPr>
              <w:pStyle w:val="Compact"/>
              <w:keepNext/>
              <w:spacing w:after="0" w:line="240" w:lineRule="auto"/>
              <w:jc w:val="center"/>
            </w:pPr>
            <w:r>
              <w:rPr>
                <w:sz w:val="18"/>
              </w:rPr>
              <w:t>&lt; 0.001</w:t>
            </w:r>
          </w:p>
        </w:tc>
      </w:tr>
      <w:tr w:rsidR="002E4036" w14:paraId="51097E78" w14:textId="77777777" w:rsidTr="002E4036">
        <w:trPr>
          <w:cantSplit/>
        </w:trPr>
        <w:tc>
          <w:tcPr>
            <w:tcW w:w="0" w:type="auto"/>
            <w:tcMar>
              <w:top w:w="40" w:type="dxa"/>
              <w:bottom w:w="40" w:type="dxa"/>
            </w:tcMar>
          </w:tcPr>
          <w:p w14:paraId="5752104E" w14:textId="77777777" w:rsidR="002E4036" w:rsidRDefault="00000000">
            <w:pPr>
              <w:pStyle w:val="Compact"/>
              <w:keepNext/>
              <w:spacing w:after="0" w:line="240" w:lineRule="auto"/>
              <w:jc w:val="left"/>
            </w:pPr>
            <w:r>
              <w:rPr>
                <w:sz w:val="18"/>
              </w:rPr>
              <w:t>Previous state I</w:t>
            </w:r>
          </w:p>
        </w:tc>
        <w:tc>
          <w:tcPr>
            <w:tcW w:w="0" w:type="auto"/>
            <w:tcMar>
              <w:top w:w="40" w:type="dxa"/>
              <w:bottom w:w="40" w:type="dxa"/>
            </w:tcMar>
          </w:tcPr>
          <w:p w14:paraId="0248699D" w14:textId="77777777" w:rsidR="002E4036" w:rsidRDefault="00000000">
            <w:pPr>
              <w:pStyle w:val="Compact"/>
              <w:keepNext/>
              <w:spacing w:after="0" w:line="240" w:lineRule="auto"/>
              <w:jc w:val="right"/>
            </w:pPr>
            <w:r>
              <w:rPr>
                <w:sz w:val="18"/>
              </w:rPr>
              <w:t>−2.586</w:t>
            </w:r>
          </w:p>
        </w:tc>
        <w:tc>
          <w:tcPr>
            <w:tcW w:w="0" w:type="auto"/>
            <w:tcMar>
              <w:top w:w="40" w:type="dxa"/>
              <w:bottom w:w="40" w:type="dxa"/>
            </w:tcMar>
          </w:tcPr>
          <w:p w14:paraId="2F086761" w14:textId="77777777" w:rsidR="002E4036" w:rsidRDefault="00000000">
            <w:pPr>
              <w:pStyle w:val="Compact"/>
              <w:keepNext/>
              <w:spacing w:after="0" w:line="240" w:lineRule="auto"/>
              <w:jc w:val="right"/>
            </w:pPr>
            <w:r>
              <w:rPr>
                <w:sz w:val="18"/>
              </w:rPr>
              <w:t>0.208</w:t>
            </w:r>
          </w:p>
        </w:tc>
        <w:tc>
          <w:tcPr>
            <w:tcW w:w="0" w:type="auto"/>
            <w:tcMar>
              <w:top w:w="40" w:type="dxa"/>
              <w:bottom w:w="40" w:type="dxa"/>
            </w:tcMar>
          </w:tcPr>
          <w:p w14:paraId="7072C8AF" w14:textId="77777777" w:rsidR="002E4036" w:rsidRDefault="00000000">
            <w:pPr>
              <w:pStyle w:val="Compact"/>
              <w:keepNext/>
              <w:spacing w:after="0" w:line="240" w:lineRule="auto"/>
              <w:jc w:val="right"/>
            </w:pPr>
            <w:r>
              <w:rPr>
                <w:sz w:val="18"/>
              </w:rPr>
              <w:t>0.075</w:t>
            </w:r>
          </w:p>
        </w:tc>
        <w:tc>
          <w:tcPr>
            <w:tcW w:w="0" w:type="auto"/>
            <w:tcMar>
              <w:top w:w="40" w:type="dxa"/>
              <w:bottom w:w="40" w:type="dxa"/>
            </w:tcMar>
          </w:tcPr>
          <w:p w14:paraId="7E89C740" w14:textId="77777777" w:rsidR="002E4036" w:rsidRDefault="00000000">
            <w:pPr>
              <w:pStyle w:val="Compact"/>
              <w:keepNext/>
              <w:spacing w:after="0" w:line="240" w:lineRule="auto"/>
              <w:jc w:val="center"/>
            </w:pPr>
            <w:r>
              <w:rPr>
                <w:sz w:val="18"/>
              </w:rPr>
              <w:t>0.050–0.113</w:t>
            </w:r>
          </w:p>
        </w:tc>
        <w:tc>
          <w:tcPr>
            <w:tcW w:w="0" w:type="auto"/>
            <w:tcMar>
              <w:top w:w="40" w:type="dxa"/>
              <w:bottom w:w="40" w:type="dxa"/>
            </w:tcMar>
          </w:tcPr>
          <w:p w14:paraId="06ADCED3" w14:textId="77777777" w:rsidR="002E4036" w:rsidRDefault="00000000">
            <w:pPr>
              <w:pStyle w:val="Compact"/>
              <w:keepNext/>
              <w:spacing w:after="0" w:line="240" w:lineRule="auto"/>
              <w:jc w:val="right"/>
            </w:pPr>
            <w:r>
              <w:rPr>
                <w:sz w:val="18"/>
              </w:rPr>
              <w:t>−12.44</w:t>
            </w:r>
          </w:p>
        </w:tc>
        <w:tc>
          <w:tcPr>
            <w:tcW w:w="0" w:type="auto"/>
            <w:tcMar>
              <w:top w:w="40" w:type="dxa"/>
              <w:bottom w:w="40" w:type="dxa"/>
            </w:tcMar>
          </w:tcPr>
          <w:p w14:paraId="54E42FC5" w14:textId="77777777" w:rsidR="002E4036" w:rsidRDefault="00000000">
            <w:pPr>
              <w:pStyle w:val="Compact"/>
              <w:keepNext/>
              <w:spacing w:after="0" w:line="240" w:lineRule="auto"/>
              <w:jc w:val="center"/>
            </w:pPr>
            <w:r>
              <w:rPr>
                <w:sz w:val="18"/>
              </w:rPr>
              <w:t>&lt; 0.001</w:t>
            </w:r>
          </w:p>
        </w:tc>
      </w:tr>
      <w:tr w:rsidR="002E4036" w14:paraId="2256FB65" w14:textId="77777777" w:rsidTr="002E4036">
        <w:trPr>
          <w:cantSplit/>
        </w:trPr>
        <w:tc>
          <w:tcPr>
            <w:tcW w:w="0" w:type="auto"/>
            <w:tcMar>
              <w:top w:w="40" w:type="dxa"/>
              <w:bottom w:w="40" w:type="dxa"/>
            </w:tcMar>
          </w:tcPr>
          <w:p w14:paraId="74459CA1" w14:textId="77777777" w:rsidR="002E4036" w:rsidRDefault="00000000">
            <w:pPr>
              <w:pStyle w:val="Compact"/>
              <w:keepNext/>
              <w:spacing w:after="0" w:line="240" w:lineRule="auto"/>
              <w:jc w:val="left"/>
            </w:pPr>
            <w:r>
              <w:rPr>
                <w:sz w:val="18"/>
              </w:rPr>
              <w:t>Previous state N</w:t>
            </w:r>
          </w:p>
        </w:tc>
        <w:tc>
          <w:tcPr>
            <w:tcW w:w="0" w:type="auto"/>
            <w:tcMar>
              <w:top w:w="40" w:type="dxa"/>
              <w:bottom w:w="40" w:type="dxa"/>
            </w:tcMar>
          </w:tcPr>
          <w:p w14:paraId="2D96C0EE" w14:textId="77777777" w:rsidR="002E4036" w:rsidRDefault="00000000">
            <w:pPr>
              <w:pStyle w:val="Compact"/>
              <w:keepNext/>
              <w:spacing w:after="0" w:line="240" w:lineRule="auto"/>
              <w:jc w:val="right"/>
            </w:pPr>
            <w:r>
              <w:rPr>
                <w:sz w:val="18"/>
              </w:rPr>
              <w:t>−1.349</w:t>
            </w:r>
          </w:p>
        </w:tc>
        <w:tc>
          <w:tcPr>
            <w:tcW w:w="0" w:type="auto"/>
            <w:tcMar>
              <w:top w:w="40" w:type="dxa"/>
              <w:bottom w:w="40" w:type="dxa"/>
            </w:tcMar>
          </w:tcPr>
          <w:p w14:paraId="0B74286E" w14:textId="77777777" w:rsidR="002E4036" w:rsidRDefault="00000000">
            <w:pPr>
              <w:pStyle w:val="Compact"/>
              <w:keepNext/>
              <w:spacing w:after="0" w:line="240" w:lineRule="auto"/>
              <w:jc w:val="right"/>
            </w:pPr>
            <w:r>
              <w:rPr>
                <w:sz w:val="18"/>
              </w:rPr>
              <w:t>0.196</w:t>
            </w:r>
          </w:p>
        </w:tc>
        <w:tc>
          <w:tcPr>
            <w:tcW w:w="0" w:type="auto"/>
            <w:tcMar>
              <w:top w:w="40" w:type="dxa"/>
              <w:bottom w:w="40" w:type="dxa"/>
            </w:tcMar>
          </w:tcPr>
          <w:p w14:paraId="023FBFC2" w14:textId="77777777" w:rsidR="002E4036" w:rsidRDefault="00000000">
            <w:pPr>
              <w:pStyle w:val="Compact"/>
              <w:keepNext/>
              <w:spacing w:after="0" w:line="240" w:lineRule="auto"/>
              <w:jc w:val="right"/>
            </w:pPr>
            <w:r>
              <w:rPr>
                <w:sz w:val="18"/>
              </w:rPr>
              <w:t>0.260</w:t>
            </w:r>
          </w:p>
        </w:tc>
        <w:tc>
          <w:tcPr>
            <w:tcW w:w="0" w:type="auto"/>
            <w:tcMar>
              <w:top w:w="40" w:type="dxa"/>
              <w:bottom w:w="40" w:type="dxa"/>
            </w:tcMar>
          </w:tcPr>
          <w:p w14:paraId="62AC2701" w14:textId="77777777" w:rsidR="002E4036" w:rsidRDefault="00000000">
            <w:pPr>
              <w:pStyle w:val="Compact"/>
              <w:keepNext/>
              <w:spacing w:after="0" w:line="240" w:lineRule="auto"/>
              <w:jc w:val="center"/>
            </w:pPr>
            <w:r>
              <w:rPr>
                <w:sz w:val="18"/>
              </w:rPr>
              <w:t>0.177–0.381</w:t>
            </w:r>
          </w:p>
        </w:tc>
        <w:tc>
          <w:tcPr>
            <w:tcW w:w="0" w:type="auto"/>
            <w:tcMar>
              <w:top w:w="40" w:type="dxa"/>
              <w:bottom w:w="40" w:type="dxa"/>
            </w:tcMar>
          </w:tcPr>
          <w:p w14:paraId="01612DAE" w14:textId="77777777" w:rsidR="002E4036" w:rsidRDefault="00000000">
            <w:pPr>
              <w:pStyle w:val="Compact"/>
              <w:keepNext/>
              <w:spacing w:after="0" w:line="240" w:lineRule="auto"/>
              <w:jc w:val="right"/>
            </w:pPr>
            <w:r>
              <w:rPr>
                <w:sz w:val="18"/>
              </w:rPr>
              <w:t>−6.90</w:t>
            </w:r>
          </w:p>
        </w:tc>
        <w:tc>
          <w:tcPr>
            <w:tcW w:w="0" w:type="auto"/>
            <w:tcMar>
              <w:top w:w="40" w:type="dxa"/>
              <w:bottom w:w="40" w:type="dxa"/>
            </w:tcMar>
          </w:tcPr>
          <w:p w14:paraId="08222E4D" w14:textId="77777777" w:rsidR="002E4036" w:rsidRDefault="00000000">
            <w:pPr>
              <w:pStyle w:val="Compact"/>
              <w:keepNext/>
              <w:spacing w:after="0" w:line="240" w:lineRule="auto"/>
              <w:jc w:val="center"/>
            </w:pPr>
            <w:r>
              <w:rPr>
                <w:sz w:val="18"/>
              </w:rPr>
              <w:t>&lt; 0.001</w:t>
            </w:r>
          </w:p>
        </w:tc>
      </w:tr>
    </w:tbl>
    <w:p w14:paraId="7DF7123D" w14:textId="77777777" w:rsidR="002E4036" w:rsidRDefault="00000000">
      <w:pPr>
        <w:pStyle w:val="Note"/>
      </w:pPr>
      <w:r>
        <w:rPr>
          <w:i/>
          <w:iCs/>
        </w:rPr>
        <w:t>Note.</w:t>
      </w:r>
      <w:r>
        <w:t xml:space="preserve"> Odds ratios for intercepts are odds. Wald 95% confidence intervals are used. Likelihood-ratio statistics against the null model: Model A, 225.18 (</w:t>
      </w:r>
      <w:proofErr w:type="spellStart"/>
      <w:r>
        <w:t>df</w:t>
      </w:r>
      <w:proofErr w:type="spellEnd"/>
      <w:r>
        <w:t xml:space="preserve"> = 1); Model A2, 231.88 (</w:t>
      </w:r>
      <w:proofErr w:type="spellStart"/>
      <w:r>
        <w:t>df</w:t>
      </w:r>
      <w:proofErr w:type="spellEnd"/>
      <w:r>
        <w:t xml:space="preserve"> = 2); Model B, 183.77 (</w:t>
      </w:r>
      <w:proofErr w:type="spellStart"/>
      <w:r>
        <w:t>df</w:t>
      </w:r>
      <w:proofErr w:type="spellEnd"/>
      <w:r>
        <w:t xml:space="preserve"> = 2); all </w:t>
      </w:r>
      <w:r>
        <w:rPr>
          <w:i/>
          <w:iCs/>
        </w:rPr>
        <w:t>p</w:t>
      </w:r>
      <w:r>
        <w:t xml:space="preserve"> &lt; 0.001.</w:t>
      </w:r>
    </w:p>
    <w:p w14:paraId="0A83ADBB" w14:textId="77777777" w:rsidR="002E4036" w:rsidRDefault="00000000">
      <w:pPr>
        <w:pStyle w:val="Heading2"/>
      </w:pPr>
      <w:bookmarkStart w:id="13" w:name="X6b87629bd073b90812994f8568fe66ef31bc937"/>
      <w:bookmarkEnd w:id="12"/>
      <w:r>
        <w:t>3.7 Comparison of the three approaches and their implications</w:t>
      </w:r>
    </w:p>
    <w:p w14:paraId="78AC88AA" w14:textId="77777777" w:rsidR="002E4036" w:rsidRDefault="00000000">
      <w:pPr>
        <w:pStyle w:val="FirstParagraph"/>
      </w:pPr>
      <w:r>
        <w:t xml:space="preserve">The three tools provide different but consistent information. The CTMC and its discrete-time counterpart describe the dynamics in a compact form: state-specific persistence, the speed at which the memory of the starting state disappears, and the long-run composition of the sequence. The F-distribution-based exact limits quantify the precision of these quantities and show that the differences in persistence between decreases and increases are larger than the sampling variability. </w:t>
      </w:r>
      <w:r>
        <w:rPr>
          <w:highlight w:val="yellow"/>
        </w:rPr>
        <w:t>Logistic regression expresses the same dependence as odds ratios, distinguishing persistence of activity (Model A) from persistence of direction (Model B) and providing effect sizes with interval estimates.</w:t>
      </w:r>
      <w:r>
        <w:t xml:space="preserve"> The chi-square tests confirm formally that the dependence is not attributable to chance.</w:t>
      </w:r>
    </w:p>
    <w:p w14:paraId="0E03E8A2" w14:textId="77777777" w:rsidR="002E4036" w:rsidRDefault="00000000">
      <w:pPr>
        <w:pStyle w:val="BodyText"/>
      </w:pPr>
      <w:r>
        <w:t xml:space="preserve">The estimated transition matrix coincides with the Fidelity Bank matrix that underlies the earlier Markov analyses of the same price series (Osu et al., 2024; Amadi et al., 2024), which is expected because the same counts are used. The additional results are the exact intervals, the continuous-time representation, the tests and the regression models. For a decision-maker, the main implication is </w:t>
      </w:r>
      <w:r>
        <w:lastRenderedPageBreak/>
        <w:t>descriptive: a decrease was, over the study period, more likely to be followed by a further decrease than by an increase or an unchanged price, and the influence of the current state disappears within a few observations. These are statements about the frequency of price-movement states and do not constitute a forecast of returns or a trading rule.</w:t>
      </w:r>
    </w:p>
    <w:p w14:paraId="47004087" w14:textId="77777777" w:rsidR="002E4036" w:rsidRDefault="00000000">
      <w:pPr>
        <w:pStyle w:val="Heading2"/>
      </w:pPr>
      <w:bookmarkStart w:id="14" w:name="X7e06d30827d61ddc4c6f0a714bf91d833f193da"/>
      <w:bookmarkEnd w:id="13"/>
      <w:r>
        <w:t>3.8 Limitations and directions for future research</w:t>
      </w:r>
    </w:p>
    <w:p w14:paraId="6FB8654A" w14:textId="77777777" w:rsidR="002E4036" w:rsidRDefault="00000000">
      <w:pPr>
        <w:pStyle w:val="FirstParagraph"/>
      </w:pPr>
      <w:r>
        <w:t xml:space="preserve">Several limitations should be noted. First, the analysis uses aggregated transition counts; the dated price series and the magnitudes of the changes are not available in the reported data, so return volatility in the conditional-variance sense could not be estimated and GARCH-type or Markov-switching benchmarks (Engle, 1982; Bollerslev, 1986; Hamilton, 1989) could not be fitted. </w:t>
      </w:r>
      <w:r>
        <w:rPr>
          <w:highlight w:val="yellow"/>
        </w:rPr>
        <w:t>Second, the time-homogeneity of the transition probabilities over the six-year period and the adequacy</w:t>
      </w:r>
      <w:r>
        <w:t xml:space="preserve"> of a first-order chain compared with higher-order </w:t>
      </w:r>
      <w:r>
        <w:rPr>
          <w:highlight w:val="yellow"/>
        </w:rPr>
        <w:t>dependence cannot be tested</w:t>
      </w:r>
      <w:r>
        <w:t xml:space="preserve"> without the ordered sequence, although the tests of Anderson and Goodman (1957) are available for that purpose when the sequence is at hand. Third, the definition of the states does not distinguish small from large price changes, and the unchanged state may partly reflect the trading conditions of the stock. Fourth, the continuous-time generator obtained by the matrix logarithm is </w:t>
      </w:r>
      <w:r>
        <w:rPr>
          <w:highlight w:val="yellow"/>
        </w:rPr>
        <w:t>one of several possible generators</w:t>
      </w:r>
      <w:r>
        <w:t xml:space="preserve"> consistent with the daily matrix (Israel et al., 2001). Future research should use the dated daily closing prices of Fidelity Bank and other listed banks to define regimes from return magnitudes, to test time-homogeneity, to compare the Markov-chain results with GARCH-type and regime-switching models, and to evaluate out-of-sample performance.</w:t>
      </w:r>
    </w:p>
    <w:p w14:paraId="1012B774" w14:textId="77777777" w:rsidR="002E4036" w:rsidRDefault="00000000">
      <w:pPr>
        <w:pStyle w:val="Heading1"/>
      </w:pPr>
      <w:bookmarkStart w:id="15" w:name="conclusion"/>
      <w:bookmarkEnd w:id="6"/>
      <w:bookmarkEnd w:id="14"/>
      <w:r>
        <w:t>4. Conclusion</w:t>
      </w:r>
    </w:p>
    <w:p w14:paraId="3914A273" w14:textId="77777777" w:rsidR="002E4036" w:rsidRDefault="00000000">
      <w:pPr>
        <w:pStyle w:val="FirstParagraph"/>
      </w:pPr>
      <w:r>
        <w:t xml:space="preserve">This article </w:t>
      </w:r>
      <w:proofErr w:type="spellStart"/>
      <w:r>
        <w:t>analysed</w:t>
      </w:r>
      <w:proofErr w:type="spellEnd"/>
      <w:r>
        <w:t xml:space="preserve"> the price-movement dynamics of Fidelity Bank Plc using the matrix of transition counts among decrease, increase and no-change states for closing prices between 1 April 2016 and 23 March 2022. The estimated transition matrix showed strong persistence of decreases (0.675) and unchanged prices (0.637) and weaker persistence of increases (0.460), with exact 95% intervals that separate the persistence of decreases from that of increases. The continuous-time representation gave a valid generator whose stationary distribution (0.415, 0.178, 0.407) equals the empirical distribution of the states, and the influence of the starting state vanished within about ten observations. Independence of consecutive states was rejected (χ²(4) = 450.97, p &lt; 0.001; Cramér’s V = 0.390), and logistic regression </w:t>
      </w:r>
      <w:r>
        <w:rPr>
          <w:highlight w:val="yellow"/>
        </w:rPr>
        <w:t>showed that price changes clustered (odds ratio 5.28; 95% CI 4.21–6.61) and that their direction tended to repeat</w:t>
      </w:r>
      <w:r>
        <w:t xml:space="preserve">. The results </w:t>
      </w:r>
      <w:proofErr w:type="spellStart"/>
      <w:r>
        <w:t>characterise</w:t>
      </w:r>
      <w:proofErr w:type="spellEnd"/>
      <w:r>
        <w:t xml:space="preserve"> the persistence of price-movement activity and direction, and they should be complemented by analyses of dated return series to assess volatility in its usual sense.</w:t>
      </w:r>
    </w:p>
    <w:p w14:paraId="67A8F04A" w14:textId="77777777" w:rsidR="002E4036" w:rsidRDefault="00000000">
      <w:pPr>
        <w:pStyle w:val="Heading1"/>
      </w:pPr>
      <w:bookmarkStart w:id="16" w:name="data-availability-statement"/>
      <w:bookmarkEnd w:id="15"/>
      <w:r>
        <w:t>Data Availability Statement</w:t>
      </w:r>
    </w:p>
    <w:p w14:paraId="571730E8" w14:textId="77777777" w:rsidR="002E4036" w:rsidRDefault="00000000">
      <w:pPr>
        <w:pStyle w:val="FirstParagraph"/>
      </w:pPr>
      <w:r>
        <w:t xml:space="preserve">The transition counts </w:t>
      </w:r>
      <w:proofErr w:type="spellStart"/>
      <w:r>
        <w:t>analysed</w:t>
      </w:r>
      <w:proofErr w:type="spellEnd"/>
      <w:r>
        <w:t xml:space="preserve"> in this study are reported in Table 1 and in Amadi et al. (2024). The underlying closing prices are described by Osu et al. (2024) as covering 1 April 2016 to 23 March 2022 for Fidelity Bank Plc and Access Bank Plc.</w:t>
      </w:r>
    </w:p>
    <w:p w14:paraId="2FBC0EF2" w14:textId="77777777" w:rsidR="002E4036" w:rsidRDefault="00000000">
      <w:pPr>
        <w:pStyle w:val="Heading1"/>
      </w:pPr>
      <w:bookmarkStart w:id="17" w:name="references"/>
      <w:bookmarkEnd w:id="16"/>
      <w:r>
        <w:t>References</w:t>
      </w:r>
    </w:p>
    <w:bookmarkEnd w:id="17"/>
    <w:p w14:paraId="0E23DE09" w14:textId="77777777" w:rsidR="0032688A" w:rsidRPr="0032688A" w:rsidRDefault="0032688A" w:rsidP="0032688A">
      <w:pPr>
        <w:spacing w:before="100" w:beforeAutospacing="1" w:after="100" w:afterAutospacing="1" w:line="240" w:lineRule="auto"/>
        <w:ind w:left="540" w:hanging="540"/>
        <w:jc w:val="both"/>
        <w:rPr>
          <w:color w:val="auto"/>
          <w:sz w:val="24"/>
        </w:rPr>
      </w:pPr>
      <w:r w:rsidRPr="0032688A">
        <w:rPr>
          <w:color w:val="auto"/>
          <w:sz w:val="24"/>
        </w:rPr>
        <w:t xml:space="preserve">Adejumo, O. A., Albert, S., &amp; Asemota, O. J. (2020). Markov regime-switching autoregressive model of stock market returns in Nigeria. </w:t>
      </w:r>
      <w:r w:rsidRPr="0032688A">
        <w:rPr>
          <w:i/>
          <w:iCs/>
          <w:color w:val="auto"/>
          <w:sz w:val="24"/>
        </w:rPr>
        <w:t>CBN Journal of Applied Statistics, 11</w:t>
      </w:r>
      <w:r w:rsidRPr="0032688A">
        <w:rPr>
          <w:color w:val="auto"/>
          <w:sz w:val="24"/>
        </w:rPr>
        <w:t xml:space="preserve">(2), 65–83. </w:t>
      </w:r>
      <w:hyperlink r:id="rId9" w:history="1">
        <w:r w:rsidRPr="0032688A">
          <w:rPr>
            <w:color w:val="0000FF"/>
            <w:sz w:val="24"/>
            <w:u w:val="single"/>
          </w:rPr>
          <w:t>https://doi.org/10.33429/Cjas.11220.3/8</w:t>
        </w:r>
      </w:hyperlink>
    </w:p>
    <w:p w14:paraId="1109C9E7" w14:textId="20C7359D" w:rsidR="0032688A" w:rsidRPr="0032688A" w:rsidRDefault="0032688A" w:rsidP="0032688A">
      <w:pPr>
        <w:spacing w:before="100" w:beforeAutospacing="1" w:after="100" w:afterAutospacing="1" w:line="240" w:lineRule="auto"/>
        <w:ind w:left="540" w:hanging="540"/>
        <w:jc w:val="both"/>
        <w:rPr>
          <w:color w:val="auto"/>
          <w:sz w:val="24"/>
        </w:rPr>
      </w:pPr>
      <w:r w:rsidRPr="0032688A">
        <w:rPr>
          <w:color w:val="auto"/>
          <w:sz w:val="24"/>
        </w:rPr>
        <w:lastRenderedPageBreak/>
        <w:t xml:space="preserve">Agresti, A. (2013). </w:t>
      </w:r>
      <w:r w:rsidRPr="0032688A">
        <w:rPr>
          <w:i/>
          <w:iCs/>
          <w:color w:val="auto"/>
          <w:sz w:val="24"/>
        </w:rPr>
        <w:t>Categorical data analysis</w:t>
      </w:r>
      <w:r w:rsidRPr="0032688A">
        <w:rPr>
          <w:color w:val="auto"/>
          <w:sz w:val="24"/>
        </w:rPr>
        <w:t xml:space="preserve"> (3rd ed.). Wiley. </w:t>
      </w:r>
    </w:p>
    <w:p w14:paraId="3F936177" w14:textId="77777777" w:rsidR="0032688A" w:rsidRPr="0032688A" w:rsidRDefault="0032688A" w:rsidP="0032688A">
      <w:pPr>
        <w:spacing w:before="100" w:beforeAutospacing="1" w:after="100" w:afterAutospacing="1" w:line="240" w:lineRule="auto"/>
        <w:ind w:left="540" w:hanging="540"/>
        <w:jc w:val="both"/>
        <w:rPr>
          <w:color w:val="auto"/>
          <w:sz w:val="24"/>
        </w:rPr>
      </w:pPr>
      <w:proofErr w:type="spellStart"/>
      <w:r w:rsidRPr="0032688A">
        <w:rPr>
          <w:color w:val="auto"/>
          <w:sz w:val="24"/>
        </w:rPr>
        <w:t>Agwuegbo</w:t>
      </w:r>
      <w:proofErr w:type="spellEnd"/>
      <w:r w:rsidRPr="0032688A">
        <w:rPr>
          <w:color w:val="auto"/>
          <w:sz w:val="24"/>
        </w:rPr>
        <w:t xml:space="preserve">, S. O. N., Adewole, A. P., &amp; </w:t>
      </w:r>
      <w:proofErr w:type="spellStart"/>
      <w:r w:rsidRPr="0032688A">
        <w:rPr>
          <w:color w:val="auto"/>
          <w:sz w:val="24"/>
        </w:rPr>
        <w:t>Maduegbuna</w:t>
      </w:r>
      <w:proofErr w:type="spellEnd"/>
      <w:r w:rsidRPr="0032688A">
        <w:rPr>
          <w:color w:val="auto"/>
          <w:sz w:val="24"/>
        </w:rPr>
        <w:t xml:space="preserve">, A. N. (2010). A random walk model for stock market prices. </w:t>
      </w:r>
      <w:r w:rsidRPr="0032688A">
        <w:rPr>
          <w:i/>
          <w:iCs/>
          <w:color w:val="auto"/>
          <w:sz w:val="24"/>
        </w:rPr>
        <w:t>Journal of Mathematics and Statistics, 6</w:t>
      </w:r>
      <w:r w:rsidRPr="0032688A">
        <w:rPr>
          <w:color w:val="auto"/>
          <w:sz w:val="24"/>
        </w:rPr>
        <w:t xml:space="preserve">(3), 342–346. </w:t>
      </w:r>
      <w:hyperlink r:id="rId10" w:history="1">
        <w:r w:rsidRPr="0032688A">
          <w:rPr>
            <w:color w:val="0000FF"/>
            <w:sz w:val="24"/>
            <w:u w:val="single"/>
          </w:rPr>
          <w:t>https://doi.org/10.3844/jmssp.2010.342.346</w:t>
        </w:r>
      </w:hyperlink>
    </w:p>
    <w:p w14:paraId="140EE742" w14:textId="77777777" w:rsidR="0032688A" w:rsidRPr="0032688A" w:rsidRDefault="0032688A" w:rsidP="0032688A">
      <w:pPr>
        <w:spacing w:before="100" w:beforeAutospacing="1" w:after="100" w:afterAutospacing="1" w:line="240" w:lineRule="auto"/>
        <w:ind w:left="540" w:hanging="540"/>
        <w:jc w:val="both"/>
        <w:rPr>
          <w:color w:val="auto"/>
          <w:sz w:val="24"/>
        </w:rPr>
      </w:pPr>
      <w:r w:rsidRPr="0032688A">
        <w:rPr>
          <w:color w:val="auto"/>
          <w:sz w:val="24"/>
        </w:rPr>
        <w:t xml:space="preserve">Amadi, I. U., Howard, C., &amp; Azor, P. A. (2024). Robust methods of assessing Fidelity Bank share price movements in Nigeria stock market. </w:t>
      </w:r>
      <w:r w:rsidRPr="0032688A">
        <w:rPr>
          <w:i/>
          <w:iCs/>
          <w:color w:val="auto"/>
          <w:sz w:val="24"/>
        </w:rPr>
        <w:t>GPH-International Journal of Mathematics, 7</w:t>
      </w:r>
      <w:r w:rsidRPr="0032688A">
        <w:rPr>
          <w:color w:val="auto"/>
          <w:sz w:val="24"/>
        </w:rPr>
        <w:t xml:space="preserve">(4), 1–13. </w:t>
      </w:r>
      <w:hyperlink r:id="rId11" w:history="1">
        <w:r w:rsidRPr="0032688A">
          <w:rPr>
            <w:color w:val="0000FF"/>
            <w:sz w:val="24"/>
            <w:u w:val="single"/>
          </w:rPr>
          <w:t>https://doi.org/10.5281/zenodo.11151690</w:t>
        </w:r>
      </w:hyperlink>
    </w:p>
    <w:p w14:paraId="1ACA908B" w14:textId="77777777" w:rsidR="0032688A" w:rsidRPr="0032688A" w:rsidRDefault="0032688A" w:rsidP="0032688A">
      <w:pPr>
        <w:spacing w:before="100" w:beforeAutospacing="1" w:after="100" w:afterAutospacing="1" w:line="240" w:lineRule="auto"/>
        <w:ind w:left="540" w:hanging="540"/>
        <w:jc w:val="both"/>
        <w:rPr>
          <w:color w:val="auto"/>
          <w:sz w:val="24"/>
        </w:rPr>
      </w:pPr>
      <w:r w:rsidRPr="0032688A">
        <w:rPr>
          <w:color w:val="auto"/>
          <w:sz w:val="24"/>
        </w:rPr>
        <w:t xml:space="preserve">Anderson, T. W., &amp; Goodman, L. A. (1957). Statistical inference about Markov chains. </w:t>
      </w:r>
      <w:r w:rsidRPr="0032688A">
        <w:rPr>
          <w:i/>
          <w:iCs/>
          <w:color w:val="auto"/>
          <w:sz w:val="24"/>
        </w:rPr>
        <w:t>The Annals of Mathematical Statistics, 28</w:t>
      </w:r>
      <w:r w:rsidRPr="0032688A">
        <w:rPr>
          <w:color w:val="auto"/>
          <w:sz w:val="24"/>
        </w:rPr>
        <w:t xml:space="preserve">(1), 89–110. </w:t>
      </w:r>
      <w:hyperlink r:id="rId12" w:history="1">
        <w:r w:rsidRPr="0032688A">
          <w:rPr>
            <w:color w:val="0000FF"/>
            <w:sz w:val="24"/>
            <w:u w:val="single"/>
          </w:rPr>
          <w:t>https://doi.org/10.1214/aoms/1177707039</w:t>
        </w:r>
      </w:hyperlink>
    </w:p>
    <w:p w14:paraId="6817D57F" w14:textId="77777777" w:rsidR="0032688A" w:rsidRPr="0032688A" w:rsidRDefault="0032688A" w:rsidP="0032688A">
      <w:pPr>
        <w:spacing w:before="100" w:beforeAutospacing="1" w:after="100" w:afterAutospacing="1" w:line="240" w:lineRule="auto"/>
        <w:ind w:left="540" w:hanging="540"/>
        <w:jc w:val="both"/>
        <w:rPr>
          <w:color w:val="auto"/>
          <w:sz w:val="24"/>
        </w:rPr>
      </w:pPr>
      <w:r w:rsidRPr="0032688A">
        <w:rPr>
          <w:color w:val="auto"/>
          <w:sz w:val="24"/>
        </w:rPr>
        <w:t xml:space="preserve">Ang, A., &amp; Timmermann, A. (2012). Regime changes and financial markets. </w:t>
      </w:r>
      <w:r w:rsidRPr="0032688A">
        <w:rPr>
          <w:i/>
          <w:iCs/>
          <w:color w:val="auto"/>
          <w:sz w:val="24"/>
        </w:rPr>
        <w:t>Annual Review of Financial Economics, 4</w:t>
      </w:r>
      <w:r w:rsidRPr="0032688A">
        <w:rPr>
          <w:color w:val="auto"/>
          <w:sz w:val="24"/>
        </w:rPr>
        <w:t xml:space="preserve">, 313–337. </w:t>
      </w:r>
      <w:hyperlink r:id="rId13" w:history="1">
        <w:r w:rsidRPr="0032688A">
          <w:rPr>
            <w:color w:val="0000FF"/>
            <w:sz w:val="24"/>
            <w:u w:val="single"/>
          </w:rPr>
          <w:t>https://doi.org/10.1146/annurev-financial-110311-101808</w:t>
        </w:r>
      </w:hyperlink>
    </w:p>
    <w:p w14:paraId="75666165" w14:textId="77777777" w:rsidR="0032688A" w:rsidRPr="0032688A" w:rsidRDefault="0032688A" w:rsidP="0032688A">
      <w:pPr>
        <w:spacing w:before="100" w:beforeAutospacing="1" w:after="100" w:afterAutospacing="1" w:line="240" w:lineRule="auto"/>
        <w:ind w:left="540" w:hanging="540"/>
        <w:jc w:val="both"/>
        <w:rPr>
          <w:color w:val="auto"/>
          <w:sz w:val="24"/>
        </w:rPr>
      </w:pPr>
      <w:r w:rsidRPr="0032688A">
        <w:rPr>
          <w:color w:val="auto"/>
          <w:sz w:val="24"/>
        </w:rPr>
        <w:t xml:space="preserve">Ayo, A. S., &amp; </w:t>
      </w:r>
      <w:proofErr w:type="spellStart"/>
      <w:r w:rsidRPr="0032688A">
        <w:rPr>
          <w:color w:val="auto"/>
          <w:sz w:val="24"/>
        </w:rPr>
        <w:t>Uwabor</w:t>
      </w:r>
      <w:proofErr w:type="spellEnd"/>
      <w:r w:rsidRPr="0032688A">
        <w:rPr>
          <w:color w:val="auto"/>
          <w:sz w:val="24"/>
        </w:rPr>
        <w:t xml:space="preserve">, E. S. (2021). Markovian approach to stock price modelling in the Nigerian oil and gas sector. </w:t>
      </w:r>
      <w:r w:rsidRPr="0032688A">
        <w:rPr>
          <w:i/>
          <w:iCs/>
          <w:color w:val="auto"/>
          <w:sz w:val="24"/>
        </w:rPr>
        <w:t>CBN Journal of Applied Statistics, 12</w:t>
      </w:r>
      <w:r w:rsidRPr="0032688A">
        <w:rPr>
          <w:color w:val="auto"/>
          <w:sz w:val="24"/>
        </w:rPr>
        <w:t xml:space="preserve">(1), 23–43. </w:t>
      </w:r>
      <w:hyperlink r:id="rId14" w:history="1">
        <w:r w:rsidRPr="0032688A">
          <w:rPr>
            <w:color w:val="0000FF"/>
            <w:sz w:val="24"/>
            <w:u w:val="single"/>
          </w:rPr>
          <w:t>https://doi.org/10.33429/Cjas.12121.2/6</w:t>
        </w:r>
      </w:hyperlink>
    </w:p>
    <w:p w14:paraId="73B34DFC" w14:textId="77777777" w:rsidR="0032688A" w:rsidRPr="0032688A" w:rsidRDefault="0032688A" w:rsidP="0032688A">
      <w:pPr>
        <w:spacing w:before="100" w:beforeAutospacing="1" w:after="100" w:afterAutospacing="1" w:line="240" w:lineRule="auto"/>
        <w:ind w:left="540" w:hanging="540"/>
        <w:jc w:val="both"/>
        <w:rPr>
          <w:color w:val="auto"/>
          <w:sz w:val="24"/>
        </w:rPr>
      </w:pPr>
      <w:r w:rsidRPr="0032688A">
        <w:rPr>
          <w:color w:val="auto"/>
          <w:sz w:val="24"/>
        </w:rPr>
        <w:t xml:space="preserve">Billingsley, P. (1961). Statistical methods in Markov chains. </w:t>
      </w:r>
      <w:r w:rsidRPr="0032688A">
        <w:rPr>
          <w:i/>
          <w:iCs/>
          <w:color w:val="auto"/>
          <w:sz w:val="24"/>
        </w:rPr>
        <w:t>The Annals of Mathematical Statistics, 32</w:t>
      </w:r>
      <w:r w:rsidRPr="0032688A">
        <w:rPr>
          <w:color w:val="auto"/>
          <w:sz w:val="24"/>
        </w:rPr>
        <w:t xml:space="preserve">(1), 12–40. </w:t>
      </w:r>
      <w:hyperlink r:id="rId15" w:history="1">
        <w:r w:rsidRPr="0032688A">
          <w:rPr>
            <w:color w:val="0000FF"/>
            <w:sz w:val="24"/>
            <w:u w:val="single"/>
          </w:rPr>
          <w:t>https://doi.org/10.1214/aoms/1177705136</w:t>
        </w:r>
      </w:hyperlink>
    </w:p>
    <w:p w14:paraId="40C3A4C6" w14:textId="77777777" w:rsidR="0032688A" w:rsidRPr="0032688A" w:rsidRDefault="0032688A" w:rsidP="0032688A">
      <w:pPr>
        <w:spacing w:before="100" w:beforeAutospacing="1" w:after="100" w:afterAutospacing="1" w:line="240" w:lineRule="auto"/>
        <w:ind w:left="540" w:hanging="540"/>
        <w:jc w:val="both"/>
        <w:rPr>
          <w:color w:val="auto"/>
          <w:sz w:val="24"/>
        </w:rPr>
      </w:pPr>
      <w:r w:rsidRPr="0032688A">
        <w:rPr>
          <w:color w:val="auto"/>
          <w:sz w:val="24"/>
        </w:rPr>
        <w:t xml:space="preserve">Bishop, D. A. W., Amadi, I. U., &amp; </w:t>
      </w:r>
      <w:proofErr w:type="spellStart"/>
      <w:r w:rsidRPr="0032688A">
        <w:rPr>
          <w:color w:val="auto"/>
          <w:sz w:val="24"/>
        </w:rPr>
        <w:t>Isobeye</w:t>
      </w:r>
      <w:proofErr w:type="spellEnd"/>
      <w:r w:rsidRPr="0032688A">
        <w:rPr>
          <w:color w:val="auto"/>
          <w:sz w:val="24"/>
        </w:rPr>
        <w:t xml:space="preserve">, G. (2024). The influence of Markov chain and properties of principal component solutions in the analysis of share price movements for stock market. </w:t>
      </w:r>
      <w:r w:rsidRPr="0032688A">
        <w:rPr>
          <w:i/>
          <w:iCs/>
          <w:color w:val="auto"/>
          <w:sz w:val="24"/>
        </w:rPr>
        <w:t>Journal of Entrepreneurial and Business Diversity, 2</w:t>
      </w:r>
      <w:r w:rsidRPr="0032688A">
        <w:rPr>
          <w:color w:val="auto"/>
          <w:sz w:val="24"/>
        </w:rPr>
        <w:t xml:space="preserve">(3), 303–312. </w:t>
      </w:r>
      <w:hyperlink r:id="rId16" w:history="1">
        <w:r w:rsidRPr="0032688A">
          <w:rPr>
            <w:color w:val="0000FF"/>
            <w:sz w:val="24"/>
            <w:u w:val="single"/>
          </w:rPr>
          <w:t>https://doi.org/10.38142/jebd.v2i3.131</w:t>
        </w:r>
      </w:hyperlink>
    </w:p>
    <w:p w14:paraId="2C950CE2" w14:textId="77777777" w:rsidR="0032688A" w:rsidRPr="0032688A" w:rsidRDefault="0032688A" w:rsidP="0032688A">
      <w:pPr>
        <w:spacing w:before="100" w:beforeAutospacing="1" w:after="100" w:afterAutospacing="1" w:line="240" w:lineRule="auto"/>
        <w:ind w:left="540" w:hanging="540"/>
        <w:jc w:val="both"/>
        <w:rPr>
          <w:color w:val="auto"/>
          <w:sz w:val="24"/>
        </w:rPr>
      </w:pPr>
      <w:r w:rsidRPr="0032688A">
        <w:rPr>
          <w:color w:val="auto"/>
          <w:sz w:val="24"/>
        </w:rPr>
        <w:t xml:space="preserve">Bollerslev, T. (1986). Generalized autoregressive conditional heteroskedasticity. </w:t>
      </w:r>
      <w:r w:rsidRPr="0032688A">
        <w:rPr>
          <w:i/>
          <w:iCs/>
          <w:color w:val="auto"/>
          <w:sz w:val="24"/>
        </w:rPr>
        <w:t>Journal of Econometrics, 31</w:t>
      </w:r>
      <w:r w:rsidRPr="0032688A">
        <w:rPr>
          <w:color w:val="auto"/>
          <w:sz w:val="24"/>
        </w:rPr>
        <w:t xml:space="preserve">(3), 307–327. </w:t>
      </w:r>
      <w:hyperlink r:id="rId17" w:history="1">
        <w:r w:rsidRPr="0032688A">
          <w:rPr>
            <w:color w:val="0000FF"/>
            <w:sz w:val="24"/>
            <w:u w:val="single"/>
          </w:rPr>
          <w:t>https://doi.org/10.1016/0304-4076(86)90063-1</w:t>
        </w:r>
      </w:hyperlink>
    </w:p>
    <w:p w14:paraId="6D1C027B" w14:textId="77777777" w:rsidR="0032688A" w:rsidRPr="0032688A" w:rsidRDefault="0032688A" w:rsidP="0032688A">
      <w:pPr>
        <w:spacing w:before="100" w:beforeAutospacing="1" w:after="100" w:afterAutospacing="1" w:line="240" w:lineRule="auto"/>
        <w:ind w:left="540" w:hanging="540"/>
        <w:jc w:val="both"/>
        <w:rPr>
          <w:color w:val="auto"/>
          <w:sz w:val="24"/>
        </w:rPr>
      </w:pPr>
      <w:r w:rsidRPr="0032688A">
        <w:rPr>
          <w:color w:val="auto"/>
          <w:sz w:val="24"/>
        </w:rPr>
        <w:t xml:space="preserve">Clopper, C. J., &amp; Pearson, E. S. (1934). The use of confidence or fiducial limits illustrated in the case of the binomial. </w:t>
      </w:r>
      <w:proofErr w:type="spellStart"/>
      <w:r w:rsidRPr="0032688A">
        <w:rPr>
          <w:i/>
          <w:iCs/>
          <w:color w:val="auto"/>
          <w:sz w:val="24"/>
        </w:rPr>
        <w:t>Biometrika</w:t>
      </w:r>
      <w:proofErr w:type="spellEnd"/>
      <w:r w:rsidRPr="0032688A">
        <w:rPr>
          <w:i/>
          <w:iCs/>
          <w:color w:val="auto"/>
          <w:sz w:val="24"/>
        </w:rPr>
        <w:t>, 26</w:t>
      </w:r>
      <w:r w:rsidRPr="0032688A">
        <w:rPr>
          <w:color w:val="auto"/>
          <w:sz w:val="24"/>
        </w:rPr>
        <w:t xml:space="preserve">(4), 404–413. </w:t>
      </w:r>
      <w:hyperlink r:id="rId18" w:history="1">
        <w:r w:rsidRPr="0032688A">
          <w:rPr>
            <w:color w:val="0000FF"/>
            <w:sz w:val="24"/>
            <w:u w:val="single"/>
          </w:rPr>
          <w:t>https://doi.org/10.1093/biomet/26.4.404</w:t>
        </w:r>
      </w:hyperlink>
    </w:p>
    <w:p w14:paraId="6698145B" w14:textId="77777777" w:rsidR="0032688A" w:rsidRPr="0032688A" w:rsidRDefault="0032688A" w:rsidP="0032688A">
      <w:pPr>
        <w:spacing w:before="100" w:beforeAutospacing="1" w:after="100" w:afterAutospacing="1" w:line="240" w:lineRule="auto"/>
        <w:ind w:left="540" w:hanging="540"/>
        <w:jc w:val="both"/>
        <w:rPr>
          <w:color w:val="auto"/>
          <w:sz w:val="24"/>
        </w:rPr>
      </w:pPr>
      <w:r w:rsidRPr="0032688A">
        <w:rPr>
          <w:color w:val="auto"/>
          <w:sz w:val="24"/>
        </w:rPr>
        <w:t xml:space="preserve">Engle, R. F. (1982). Autoregressive conditional heteroscedasticity with estimates of the variance of United Kingdom inflation. </w:t>
      </w:r>
      <w:proofErr w:type="spellStart"/>
      <w:r w:rsidRPr="0032688A">
        <w:rPr>
          <w:i/>
          <w:iCs/>
          <w:color w:val="auto"/>
          <w:sz w:val="24"/>
        </w:rPr>
        <w:t>Econometrica</w:t>
      </w:r>
      <w:proofErr w:type="spellEnd"/>
      <w:r w:rsidRPr="0032688A">
        <w:rPr>
          <w:i/>
          <w:iCs/>
          <w:color w:val="auto"/>
          <w:sz w:val="24"/>
        </w:rPr>
        <w:t>, 50</w:t>
      </w:r>
      <w:r w:rsidRPr="0032688A">
        <w:rPr>
          <w:color w:val="auto"/>
          <w:sz w:val="24"/>
        </w:rPr>
        <w:t xml:space="preserve">(4), 987–1007. </w:t>
      </w:r>
      <w:hyperlink r:id="rId19" w:history="1">
        <w:r w:rsidRPr="0032688A">
          <w:rPr>
            <w:color w:val="0000FF"/>
            <w:sz w:val="24"/>
            <w:u w:val="single"/>
          </w:rPr>
          <w:t>https://doi.org/10.2307/1912773</w:t>
        </w:r>
      </w:hyperlink>
    </w:p>
    <w:p w14:paraId="7351C1A5" w14:textId="77777777" w:rsidR="0032688A" w:rsidRPr="0032688A" w:rsidRDefault="0032688A" w:rsidP="0032688A">
      <w:pPr>
        <w:spacing w:before="100" w:beforeAutospacing="1" w:after="100" w:afterAutospacing="1" w:line="240" w:lineRule="auto"/>
        <w:ind w:left="540" w:hanging="540"/>
        <w:jc w:val="both"/>
        <w:rPr>
          <w:color w:val="auto"/>
          <w:sz w:val="24"/>
        </w:rPr>
      </w:pPr>
      <w:r w:rsidRPr="0032688A">
        <w:rPr>
          <w:color w:val="auto"/>
          <w:sz w:val="24"/>
        </w:rPr>
        <w:t xml:space="preserve">Hamilton, J. D. (1989). A new approach to the economic analysis of nonstationary time series and the business cycle. </w:t>
      </w:r>
      <w:proofErr w:type="spellStart"/>
      <w:r w:rsidRPr="0032688A">
        <w:rPr>
          <w:i/>
          <w:iCs/>
          <w:color w:val="auto"/>
          <w:sz w:val="24"/>
        </w:rPr>
        <w:t>Econometrica</w:t>
      </w:r>
      <w:proofErr w:type="spellEnd"/>
      <w:r w:rsidRPr="0032688A">
        <w:rPr>
          <w:i/>
          <w:iCs/>
          <w:color w:val="auto"/>
          <w:sz w:val="24"/>
        </w:rPr>
        <w:t>, 57</w:t>
      </w:r>
      <w:r w:rsidRPr="0032688A">
        <w:rPr>
          <w:color w:val="auto"/>
          <w:sz w:val="24"/>
        </w:rPr>
        <w:t xml:space="preserve">(2), 357–384. </w:t>
      </w:r>
      <w:hyperlink r:id="rId20" w:history="1">
        <w:r w:rsidRPr="0032688A">
          <w:rPr>
            <w:color w:val="0000FF"/>
            <w:sz w:val="24"/>
            <w:u w:val="single"/>
          </w:rPr>
          <w:t>https://doi.org/10.2307/1912559</w:t>
        </w:r>
      </w:hyperlink>
    </w:p>
    <w:p w14:paraId="227EC7EF" w14:textId="77777777" w:rsidR="0032688A" w:rsidRPr="0032688A" w:rsidRDefault="0032688A" w:rsidP="0032688A">
      <w:pPr>
        <w:spacing w:before="100" w:beforeAutospacing="1" w:after="100" w:afterAutospacing="1" w:line="240" w:lineRule="auto"/>
        <w:ind w:left="540" w:hanging="540"/>
        <w:jc w:val="both"/>
        <w:rPr>
          <w:color w:val="auto"/>
          <w:sz w:val="24"/>
        </w:rPr>
      </w:pPr>
      <w:r w:rsidRPr="0032688A">
        <w:rPr>
          <w:color w:val="auto"/>
          <w:sz w:val="24"/>
        </w:rPr>
        <w:t xml:space="preserve">Israel, R. B., Rosenthal, J. S., &amp; Wei, J. Z. (2001). Finding generators for Markov chains via empirical transition matrices, with applications to credit ratings. </w:t>
      </w:r>
      <w:r w:rsidRPr="0032688A">
        <w:rPr>
          <w:i/>
          <w:iCs/>
          <w:color w:val="auto"/>
          <w:sz w:val="24"/>
        </w:rPr>
        <w:t>Mathematical Finance, 11</w:t>
      </w:r>
      <w:r w:rsidRPr="0032688A">
        <w:rPr>
          <w:color w:val="auto"/>
          <w:sz w:val="24"/>
        </w:rPr>
        <w:t xml:space="preserve">(2), 245–265. </w:t>
      </w:r>
      <w:hyperlink r:id="rId21" w:history="1">
        <w:r w:rsidRPr="0032688A">
          <w:rPr>
            <w:color w:val="0000FF"/>
            <w:sz w:val="24"/>
            <w:u w:val="single"/>
          </w:rPr>
          <w:t>https://doi.org/10.1111/1467-9965.00114</w:t>
        </w:r>
      </w:hyperlink>
    </w:p>
    <w:p w14:paraId="74C8F25D" w14:textId="77777777" w:rsidR="0032688A" w:rsidRPr="0032688A" w:rsidRDefault="0032688A" w:rsidP="0032688A">
      <w:pPr>
        <w:spacing w:before="100" w:beforeAutospacing="1" w:after="100" w:afterAutospacing="1" w:line="240" w:lineRule="auto"/>
        <w:ind w:left="540" w:hanging="540"/>
        <w:jc w:val="both"/>
        <w:rPr>
          <w:color w:val="auto"/>
          <w:sz w:val="24"/>
        </w:rPr>
      </w:pPr>
      <w:r w:rsidRPr="0032688A">
        <w:rPr>
          <w:color w:val="auto"/>
          <w:sz w:val="24"/>
        </w:rPr>
        <w:t xml:space="preserve">Manasseh, C. O., Iroha, N. M., Okere, K. I., </w:t>
      </w:r>
      <w:proofErr w:type="spellStart"/>
      <w:r w:rsidRPr="0032688A">
        <w:rPr>
          <w:color w:val="auto"/>
          <w:sz w:val="24"/>
        </w:rPr>
        <w:t>Nwakoby</w:t>
      </w:r>
      <w:proofErr w:type="spellEnd"/>
      <w:r w:rsidRPr="0032688A">
        <w:rPr>
          <w:color w:val="auto"/>
          <w:sz w:val="24"/>
        </w:rPr>
        <w:t xml:space="preserve">, I. C., </w:t>
      </w:r>
      <w:proofErr w:type="spellStart"/>
      <w:r w:rsidRPr="0032688A">
        <w:rPr>
          <w:color w:val="auto"/>
          <w:sz w:val="24"/>
        </w:rPr>
        <w:t>Okanya</w:t>
      </w:r>
      <w:proofErr w:type="spellEnd"/>
      <w:r w:rsidRPr="0032688A">
        <w:rPr>
          <w:color w:val="auto"/>
          <w:sz w:val="24"/>
        </w:rPr>
        <w:t xml:space="preserve">, O. C., Nwonye, N., </w:t>
      </w:r>
      <w:proofErr w:type="spellStart"/>
      <w:r w:rsidRPr="0032688A">
        <w:rPr>
          <w:color w:val="auto"/>
          <w:sz w:val="24"/>
        </w:rPr>
        <w:t>Odidi</w:t>
      </w:r>
      <w:proofErr w:type="spellEnd"/>
      <w:r w:rsidRPr="0032688A">
        <w:rPr>
          <w:color w:val="auto"/>
          <w:sz w:val="24"/>
        </w:rPr>
        <w:t xml:space="preserve">, O., &amp; </w:t>
      </w:r>
      <w:proofErr w:type="spellStart"/>
      <w:r w:rsidRPr="0032688A">
        <w:rPr>
          <w:color w:val="auto"/>
          <w:sz w:val="24"/>
        </w:rPr>
        <w:t>Inyiama</w:t>
      </w:r>
      <w:proofErr w:type="spellEnd"/>
      <w:r w:rsidRPr="0032688A">
        <w:rPr>
          <w:color w:val="auto"/>
          <w:sz w:val="24"/>
        </w:rPr>
        <w:t xml:space="preserve">, O. I. (2022). Application of Markov chain to share price </w:t>
      </w:r>
      <w:r w:rsidRPr="0032688A">
        <w:rPr>
          <w:color w:val="auto"/>
          <w:sz w:val="24"/>
        </w:rPr>
        <w:lastRenderedPageBreak/>
        <w:t xml:space="preserve">movement in Nigeria (1985–2019). </w:t>
      </w:r>
      <w:r w:rsidRPr="0032688A">
        <w:rPr>
          <w:i/>
          <w:iCs/>
          <w:color w:val="auto"/>
          <w:sz w:val="24"/>
        </w:rPr>
        <w:t>Future Business Journal, 8</w:t>
      </w:r>
      <w:r w:rsidRPr="0032688A">
        <w:rPr>
          <w:color w:val="auto"/>
          <w:sz w:val="24"/>
        </w:rPr>
        <w:t xml:space="preserve">, Article 59. </w:t>
      </w:r>
      <w:hyperlink r:id="rId22" w:history="1">
        <w:r w:rsidRPr="0032688A">
          <w:rPr>
            <w:color w:val="0000FF"/>
            <w:sz w:val="24"/>
            <w:u w:val="single"/>
          </w:rPr>
          <w:t>https://doi.org/10.1186/s43093-022-00168-y</w:t>
        </w:r>
      </w:hyperlink>
    </w:p>
    <w:p w14:paraId="5C06D21E" w14:textId="77777777" w:rsidR="0032688A" w:rsidRPr="0032688A" w:rsidRDefault="0032688A" w:rsidP="0032688A">
      <w:pPr>
        <w:spacing w:before="100" w:beforeAutospacing="1" w:after="100" w:afterAutospacing="1" w:line="240" w:lineRule="auto"/>
        <w:ind w:left="540" w:hanging="540"/>
        <w:jc w:val="both"/>
        <w:rPr>
          <w:color w:val="auto"/>
          <w:sz w:val="24"/>
        </w:rPr>
      </w:pPr>
      <w:r w:rsidRPr="0032688A">
        <w:rPr>
          <w:color w:val="auto"/>
          <w:sz w:val="24"/>
        </w:rPr>
        <w:t xml:space="preserve">Mettle, F. O., Quaye, E. N. B., &amp; Laryea, R. A. (2014). A methodology for stochastic analysis of share prices as Markov chains with finite states. </w:t>
      </w:r>
      <w:proofErr w:type="spellStart"/>
      <w:r w:rsidRPr="0032688A">
        <w:rPr>
          <w:i/>
          <w:iCs/>
          <w:color w:val="auto"/>
          <w:sz w:val="24"/>
        </w:rPr>
        <w:t>SpringerPlus</w:t>
      </w:r>
      <w:proofErr w:type="spellEnd"/>
      <w:r w:rsidRPr="0032688A">
        <w:rPr>
          <w:i/>
          <w:iCs/>
          <w:color w:val="auto"/>
          <w:sz w:val="24"/>
        </w:rPr>
        <w:t>, 3</w:t>
      </w:r>
      <w:r w:rsidRPr="0032688A">
        <w:rPr>
          <w:color w:val="auto"/>
          <w:sz w:val="24"/>
        </w:rPr>
        <w:t xml:space="preserve">, Article 657. </w:t>
      </w:r>
      <w:hyperlink r:id="rId23" w:history="1">
        <w:r w:rsidRPr="0032688A">
          <w:rPr>
            <w:color w:val="0000FF"/>
            <w:sz w:val="24"/>
            <w:u w:val="single"/>
          </w:rPr>
          <w:t>https://doi.org/10.1186/2193-1801-3-657</w:t>
        </w:r>
      </w:hyperlink>
    </w:p>
    <w:p w14:paraId="0CB7BE51" w14:textId="77777777" w:rsidR="0032688A" w:rsidRPr="0032688A" w:rsidRDefault="0032688A" w:rsidP="0032688A">
      <w:pPr>
        <w:spacing w:before="100" w:beforeAutospacing="1" w:after="100" w:afterAutospacing="1" w:line="240" w:lineRule="auto"/>
        <w:ind w:left="540" w:hanging="540"/>
        <w:jc w:val="both"/>
        <w:rPr>
          <w:color w:val="auto"/>
          <w:sz w:val="24"/>
        </w:rPr>
      </w:pPr>
      <w:r w:rsidRPr="0032688A">
        <w:rPr>
          <w:color w:val="auto"/>
          <w:sz w:val="24"/>
        </w:rPr>
        <w:t xml:space="preserve">Norris, J. R. (1997). </w:t>
      </w:r>
      <w:r w:rsidRPr="0032688A">
        <w:rPr>
          <w:i/>
          <w:iCs/>
          <w:color w:val="auto"/>
          <w:sz w:val="24"/>
        </w:rPr>
        <w:t>Markov chains</w:t>
      </w:r>
      <w:r w:rsidRPr="0032688A">
        <w:rPr>
          <w:color w:val="auto"/>
          <w:sz w:val="24"/>
        </w:rPr>
        <w:t xml:space="preserve">. Cambridge University Press. </w:t>
      </w:r>
      <w:hyperlink r:id="rId24" w:history="1">
        <w:r w:rsidRPr="0032688A">
          <w:rPr>
            <w:color w:val="0000FF"/>
            <w:sz w:val="24"/>
            <w:u w:val="single"/>
          </w:rPr>
          <w:t>https://doi.org/10.1017/CBO9780511810633</w:t>
        </w:r>
      </w:hyperlink>
    </w:p>
    <w:p w14:paraId="000CCEBF" w14:textId="5B2F1E98" w:rsidR="0032688A" w:rsidRPr="0032688A" w:rsidRDefault="0032688A" w:rsidP="0032688A">
      <w:pPr>
        <w:spacing w:before="100" w:beforeAutospacing="1" w:after="100" w:afterAutospacing="1" w:line="240" w:lineRule="auto"/>
        <w:ind w:left="540" w:hanging="540"/>
        <w:jc w:val="both"/>
        <w:rPr>
          <w:color w:val="auto"/>
          <w:sz w:val="24"/>
        </w:rPr>
      </w:pPr>
      <w:r w:rsidRPr="0032688A">
        <w:rPr>
          <w:color w:val="auto"/>
          <w:sz w:val="24"/>
        </w:rPr>
        <w:t xml:space="preserve">Chigozie, O., Ele, C. B., &amp; Uchenna, A. I. (2023). Generalized methods on Access Bank share price changes and variations in Nigeria stock market. </w:t>
      </w:r>
      <w:r w:rsidRPr="0032688A">
        <w:rPr>
          <w:i/>
          <w:iCs/>
          <w:color w:val="auto"/>
          <w:sz w:val="24"/>
        </w:rPr>
        <w:t>Journal of Entrepreneurial and Business Diversity, 1</w:t>
      </w:r>
      <w:r w:rsidRPr="0032688A">
        <w:rPr>
          <w:color w:val="auto"/>
          <w:sz w:val="24"/>
        </w:rPr>
        <w:t xml:space="preserve">(4), 151–159. </w:t>
      </w:r>
      <w:hyperlink r:id="rId25" w:history="1">
        <w:r w:rsidRPr="0032688A">
          <w:rPr>
            <w:color w:val="0000FF"/>
            <w:sz w:val="24"/>
            <w:u w:val="single"/>
          </w:rPr>
          <w:t>https://doi.org/10.38142/jebd.v1i4.108</w:t>
        </w:r>
      </w:hyperlink>
    </w:p>
    <w:p w14:paraId="06641409" w14:textId="77777777" w:rsidR="0032688A" w:rsidRPr="0032688A" w:rsidRDefault="0032688A" w:rsidP="0032688A">
      <w:pPr>
        <w:spacing w:before="100" w:beforeAutospacing="1" w:after="100" w:afterAutospacing="1" w:line="240" w:lineRule="auto"/>
        <w:ind w:left="540" w:hanging="540"/>
        <w:jc w:val="both"/>
        <w:rPr>
          <w:color w:val="auto"/>
          <w:sz w:val="24"/>
        </w:rPr>
      </w:pPr>
      <w:r w:rsidRPr="0032688A">
        <w:rPr>
          <w:color w:val="auto"/>
          <w:sz w:val="24"/>
        </w:rPr>
        <w:t xml:space="preserve">Osu, B. O., </w:t>
      </w:r>
      <w:proofErr w:type="spellStart"/>
      <w:r w:rsidRPr="0032688A">
        <w:rPr>
          <w:color w:val="auto"/>
          <w:sz w:val="24"/>
        </w:rPr>
        <w:t>Emenyonu</w:t>
      </w:r>
      <w:proofErr w:type="spellEnd"/>
      <w:r w:rsidRPr="0032688A">
        <w:rPr>
          <w:color w:val="auto"/>
          <w:sz w:val="24"/>
        </w:rPr>
        <w:t xml:space="preserve">, S. C., Ogbogbo, C. P., &amp; </w:t>
      </w:r>
      <w:proofErr w:type="spellStart"/>
      <w:r w:rsidRPr="0032688A">
        <w:rPr>
          <w:color w:val="auto"/>
          <w:sz w:val="24"/>
        </w:rPr>
        <w:t>Olunkwa</w:t>
      </w:r>
      <w:proofErr w:type="spellEnd"/>
      <w:r w:rsidRPr="0032688A">
        <w:rPr>
          <w:color w:val="auto"/>
          <w:sz w:val="24"/>
        </w:rPr>
        <w:t xml:space="preserve">, C. (2024). Markov models on share price movements in Nigeria stock market capitalization. </w:t>
      </w:r>
      <w:r w:rsidRPr="0032688A">
        <w:rPr>
          <w:i/>
          <w:iCs/>
          <w:color w:val="auto"/>
          <w:sz w:val="24"/>
        </w:rPr>
        <w:t>Journal of Statistics Applications &amp; Probability, 13</w:t>
      </w:r>
      <w:r w:rsidRPr="0032688A">
        <w:rPr>
          <w:color w:val="auto"/>
          <w:sz w:val="24"/>
        </w:rPr>
        <w:t xml:space="preserve">(1), 357–368. </w:t>
      </w:r>
      <w:hyperlink r:id="rId26" w:history="1">
        <w:r w:rsidRPr="0032688A">
          <w:rPr>
            <w:color w:val="0000FF"/>
            <w:sz w:val="24"/>
            <w:u w:val="single"/>
          </w:rPr>
          <w:t>https://doi.org/10.18576/jsap/130124</w:t>
        </w:r>
      </w:hyperlink>
    </w:p>
    <w:p w14:paraId="48615BE9" w14:textId="77777777" w:rsidR="0032688A" w:rsidRPr="0032688A" w:rsidRDefault="0032688A" w:rsidP="0032688A">
      <w:pPr>
        <w:spacing w:before="100" w:beforeAutospacing="1" w:after="100" w:afterAutospacing="1" w:line="240" w:lineRule="auto"/>
        <w:ind w:left="540" w:hanging="540"/>
        <w:jc w:val="both"/>
        <w:rPr>
          <w:color w:val="auto"/>
          <w:sz w:val="24"/>
        </w:rPr>
      </w:pPr>
      <w:r w:rsidRPr="0032688A">
        <w:rPr>
          <w:color w:val="auto"/>
          <w:sz w:val="24"/>
        </w:rPr>
        <w:t xml:space="preserve">Raheem, M. A., &amp; </w:t>
      </w:r>
      <w:proofErr w:type="spellStart"/>
      <w:r w:rsidRPr="0032688A">
        <w:rPr>
          <w:color w:val="auto"/>
          <w:sz w:val="24"/>
        </w:rPr>
        <w:t>Ezepue</w:t>
      </w:r>
      <w:proofErr w:type="spellEnd"/>
      <w:r w:rsidRPr="0032688A">
        <w:rPr>
          <w:color w:val="auto"/>
          <w:sz w:val="24"/>
        </w:rPr>
        <w:t xml:space="preserve">, P. O. (2016). A three-state Markov model for predicting movements of asset returns of a Nigerian bank. </w:t>
      </w:r>
      <w:r w:rsidRPr="0032688A">
        <w:rPr>
          <w:i/>
          <w:iCs/>
          <w:color w:val="auto"/>
          <w:sz w:val="24"/>
        </w:rPr>
        <w:t>CBN Journal of Applied Statistics, 7</w:t>
      </w:r>
      <w:r w:rsidRPr="0032688A">
        <w:rPr>
          <w:color w:val="auto"/>
          <w:sz w:val="24"/>
        </w:rPr>
        <w:t xml:space="preserve">(2), 77–99. </w:t>
      </w:r>
      <w:hyperlink r:id="rId27" w:history="1">
        <w:r w:rsidRPr="0032688A">
          <w:rPr>
            <w:color w:val="0000FF"/>
            <w:sz w:val="24"/>
            <w:u w:val="single"/>
          </w:rPr>
          <w:t>https://doi.org/10.33429/2476-8472.1132</w:t>
        </w:r>
      </w:hyperlink>
    </w:p>
    <w:p w14:paraId="5A0FDB72" w14:textId="77777777" w:rsidR="0032688A" w:rsidRPr="0032688A" w:rsidRDefault="0032688A" w:rsidP="0032688A">
      <w:pPr>
        <w:spacing w:before="100" w:beforeAutospacing="1" w:after="100" w:afterAutospacing="1" w:line="240" w:lineRule="auto"/>
        <w:ind w:left="540" w:hanging="540"/>
        <w:jc w:val="both"/>
        <w:rPr>
          <w:color w:val="auto"/>
          <w:sz w:val="24"/>
        </w:rPr>
      </w:pPr>
      <w:r w:rsidRPr="0032688A">
        <w:rPr>
          <w:color w:val="auto"/>
          <w:sz w:val="24"/>
        </w:rPr>
        <w:t xml:space="preserve">Yaya, O. S., Bada, A. S., &amp; </w:t>
      </w:r>
      <w:proofErr w:type="spellStart"/>
      <w:r w:rsidRPr="0032688A">
        <w:rPr>
          <w:color w:val="auto"/>
          <w:sz w:val="24"/>
        </w:rPr>
        <w:t>Atoi</w:t>
      </w:r>
      <w:proofErr w:type="spellEnd"/>
      <w:r w:rsidRPr="0032688A">
        <w:rPr>
          <w:color w:val="auto"/>
          <w:sz w:val="24"/>
        </w:rPr>
        <w:t xml:space="preserve">, N. V. (2016). Volatility in the Nigerian stock market: Empirical application of Beta-t-GARCH variants. </w:t>
      </w:r>
      <w:r w:rsidRPr="0032688A">
        <w:rPr>
          <w:i/>
          <w:iCs/>
          <w:color w:val="auto"/>
          <w:sz w:val="24"/>
        </w:rPr>
        <w:t>CBN Journal of Applied Statistics, 7</w:t>
      </w:r>
      <w:r w:rsidRPr="0032688A">
        <w:rPr>
          <w:color w:val="auto"/>
          <w:sz w:val="24"/>
        </w:rPr>
        <w:t xml:space="preserve">(2), 27–48. </w:t>
      </w:r>
      <w:hyperlink r:id="rId28" w:history="1">
        <w:r w:rsidRPr="0032688A">
          <w:rPr>
            <w:color w:val="0000FF"/>
            <w:sz w:val="24"/>
            <w:u w:val="single"/>
          </w:rPr>
          <w:t>https://doi.org/10.33429/2476-8472.1130</w:t>
        </w:r>
      </w:hyperlink>
    </w:p>
    <w:p w14:paraId="50C5189C" w14:textId="0031B61B" w:rsidR="002E4036" w:rsidRDefault="002E4036" w:rsidP="0032688A">
      <w:pPr>
        <w:pStyle w:val="References"/>
      </w:pPr>
    </w:p>
    <w:sectPr w:rsidR="002E4036">
      <w:footerReference w:type="default" r:id="rId29"/>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100A0" w14:textId="77777777" w:rsidR="003B362C" w:rsidRDefault="003B362C">
      <w:pPr>
        <w:spacing w:after="0" w:line="240" w:lineRule="auto"/>
      </w:pPr>
      <w:r>
        <w:separator/>
      </w:r>
    </w:p>
  </w:endnote>
  <w:endnote w:type="continuationSeparator" w:id="0">
    <w:p w14:paraId="1414AB22" w14:textId="77777777" w:rsidR="003B362C" w:rsidRDefault="003B36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550F5" w14:textId="77777777" w:rsidR="002E4036" w:rsidRDefault="00000000">
    <w:pPr>
      <w:jc w:val="center"/>
    </w:pPr>
    <w:r>
      <w:rPr>
        <w:sz w:val="20"/>
      </w:rPr>
      <w:fldChar w:fldCharType="begin"/>
    </w:r>
    <w:r>
      <w:rPr>
        <w:sz w:val="20"/>
      </w:rPr>
      <w:instrText>PAGE</w:instrText>
    </w:r>
    <w:r>
      <w:rPr>
        <w:sz w:val="20"/>
      </w:rPr>
      <w:fldChar w:fldCharType="separate"/>
    </w:r>
    <w:r w:rsidR="002342CF">
      <w:rPr>
        <w:noProof/>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BD43F" w14:textId="77777777" w:rsidR="003B362C" w:rsidRDefault="003B362C">
      <w:r>
        <w:separator/>
      </w:r>
    </w:p>
  </w:footnote>
  <w:footnote w:type="continuationSeparator" w:id="0">
    <w:p w14:paraId="14C7E54F" w14:textId="77777777" w:rsidR="003B362C" w:rsidRDefault="003B36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D6ECB2DC"/>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52FD0829"/>
    <w:multiLevelType w:val="multilevel"/>
    <w:tmpl w:val="7318C1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83040087">
    <w:abstractNumId w:val="0"/>
  </w:num>
  <w:num w:numId="2" w16cid:durableId="19865492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E4036"/>
    <w:rsid w:val="002342CF"/>
    <w:rsid w:val="002E4036"/>
    <w:rsid w:val="0032688A"/>
    <w:rsid w:val="003B362C"/>
    <w:rsid w:val="005A7B90"/>
    <w:rsid w:val="009C5A46"/>
    <w:rsid w:val="00AF5495"/>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99399"/>
  <w15:docId w15:val="{A3335412-38BA-4A3F-B15F-A83E05A01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20" w:line="276" w:lineRule="auto"/>
    </w:pPr>
    <w:rPr>
      <w:rFonts w:ascii="Times New Roman" w:eastAsia="Times New Roman" w:hAnsi="Times New Roman" w:cs="Times New Roman"/>
      <w:color w:val="000000"/>
      <w:sz w:val="22"/>
    </w:rPr>
  </w:style>
  <w:style w:type="paragraph" w:styleId="Heading1">
    <w:name w:val="heading 1"/>
    <w:basedOn w:val="Normal"/>
    <w:next w:val="BodyText"/>
    <w:uiPriority w:val="9"/>
    <w:qFormat/>
    <w:pPr>
      <w:keepNext/>
      <w:keepLines/>
      <w:spacing w:before="280"/>
      <w:outlineLvl w:val="0"/>
    </w:pPr>
    <w:rPr>
      <w:b/>
      <w:bCs/>
      <w:sz w:val="26"/>
      <w:szCs w:val="32"/>
    </w:rPr>
  </w:style>
  <w:style w:type="paragraph" w:styleId="Heading2">
    <w:name w:val="heading 2"/>
    <w:basedOn w:val="Normal"/>
    <w:next w:val="BodyText"/>
    <w:uiPriority w:val="9"/>
    <w:unhideWhenUsed/>
    <w:qFormat/>
    <w:pPr>
      <w:keepNext/>
      <w:keepLines/>
      <w:spacing w:before="200"/>
      <w:outlineLvl w:val="1"/>
    </w:pPr>
    <w:rPr>
      <w:b/>
      <w:bCs/>
      <w:sz w:val="24"/>
      <w:szCs w:val="28"/>
    </w:rPr>
  </w:style>
  <w:style w:type="paragraph" w:styleId="Heading3">
    <w:name w:val="heading 3"/>
    <w:basedOn w:val="Normal"/>
    <w:next w:val="BodyText"/>
    <w:uiPriority w:val="9"/>
    <w:unhideWhenUsed/>
    <w:qFormat/>
    <w:pPr>
      <w:keepNext/>
      <w:keepLines/>
      <w:spacing w:before="200"/>
      <w:outlineLvl w:val="2"/>
    </w:pPr>
    <w:rPr>
      <w:b/>
      <w:bCs/>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sz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jc w:val="both"/>
    </w:pPr>
  </w:style>
  <w:style w:type="paragraph" w:customStyle="1" w:styleId="FirstParagraph">
    <w:name w:val="First Paragraph"/>
    <w:basedOn w:val="BodyText"/>
    <w:next w:val="BodyText"/>
    <w:qFormat/>
  </w:style>
  <w:style w:type="paragraph" w:customStyle="1" w:styleId="Compact">
    <w:name w:val="Compact"/>
    <w:basedOn w:val="BodyText"/>
    <w:qFormat/>
  </w:style>
  <w:style w:type="paragraph" w:styleId="Title">
    <w:name w:val="Title"/>
    <w:basedOn w:val="Normal"/>
    <w:next w:val="BodyText"/>
    <w:qFormat/>
    <w:pPr>
      <w:keepNext/>
      <w:keepLines/>
      <w:spacing w:after="200"/>
      <w:jc w:val="center"/>
    </w:pPr>
    <w:rPr>
      <w:b/>
      <w:bCs/>
      <w:sz w:val="32"/>
      <w:szCs w:val="36"/>
    </w:rPr>
  </w:style>
  <w:style w:type="paragraph" w:styleId="Subtitle">
    <w:name w:val="Subtitle"/>
    <w:basedOn w:val="Title"/>
    <w:next w:val="BodyText"/>
    <w:qFormat/>
    <w:pPr>
      <w:spacing w:before="240" w:after="240"/>
    </w:pPr>
    <w:rPr>
      <w:sz w:val="30"/>
      <w:szCs w:val="30"/>
    </w:rPr>
  </w:style>
  <w:style w:type="paragraph" w:customStyle="1" w:styleId="Author">
    <w:name w:val="Author"/>
    <w:next w:val="BodyText"/>
    <w:qFormat/>
    <w:pPr>
      <w:keepNext/>
      <w:keepLines/>
      <w:spacing w:after="80"/>
      <w:jc w:val="center"/>
    </w:pPr>
    <w:rPr>
      <w:rFonts w:ascii="Times New Roman" w:eastAsia="Times New Roman" w:hAnsi="Times New Roman" w:cs="Times New Roman"/>
      <w:b/>
      <w:color w:val="000000"/>
    </w:r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ind w:left="454" w:right="454"/>
      <w:jc w:val="both"/>
    </w:pPr>
    <w:rPr>
      <w:sz w:val="21"/>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before="160" w:after="80"/>
    </w:pPr>
    <w:rPr>
      <w:i/>
      <w:sz w:val="20"/>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Affiliation">
    <w:name w:val="Affiliation"/>
    <w:basedOn w:val="Normal"/>
    <w:pPr>
      <w:spacing w:after="160"/>
      <w:jc w:val="center"/>
    </w:pPr>
    <w:rPr>
      <w:i/>
      <w:sz w:val="20"/>
    </w:rPr>
  </w:style>
  <w:style w:type="paragraph" w:customStyle="1" w:styleId="AbstractHeading">
    <w:name w:val="AbstractHeading"/>
    <w:basedOn w:val="Normal"/>
    <w:pPr>
      <w:spacing w:before="200" w:after="80"/>
      <w:jc w:val="center"/>
    </w:pPr>
    <w:rPr>
      <w:b/>
      <w:sz w:val="24"/>
    </w:rPr>
  </w:style>
  <w:style w:type="paragraph" w:customStyle="1" w:styleId="Keywords">
    <w:name w:val="Keywords"/>
    <w:basedOn w:val="Normal"/>
    <w:pPr>
      <w:spacing w:after="200"/>
      <w:ind w:left="454" w:right="454"/>
    </w:pPr>
    <w:rPr>
      <w:sz w:val="21"/>
    </w:rPr>
  </w:style>
  <w:style w:type="paragraph" w:customStyle="1" w:styleId="Note">
    <w:name w:val="Note"/>
    <w:basedOn w:val="Normal"/>
    <w:pPr>
      <w:spacing w:after="200"/>
    </w:pPr>
    <w:rPr>
      <w:sz w:val="18"/>
    </w:rPr>
  </w:style>
  <w:style w:type="paragraph" w:customStyle="1" w:styleId="References">
    <w:name w:val="References"/>
    <w:basedOn w:val="Normal"/>
    <w:pPr>
      <w:ind w:left="567" w:hanging="567"/>
    </w:pPr>
    <w:rPr>
      <w:sz w:val="21"/>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oi.org/10.1146/annurev-financial-110311-101808" TargetMode="External"/><Relationship Id="rId18" Type="http://schemas.openxmlformats.org/officeDocument/2006/relationships/hyperlink" Target="https://doi.org/10.1093/biomet/26.4.404" TargetMode="External"/><Relationship Id="rId26" Type="http://schemas.openxmlformats.org/officeDocument/2006/relationships/hyperlink" Target="https://doi.org/10.18576/jsap/130124" TargetMode="External"/><Relationship Id="rId3" Type="http://schemas.openxmlformats.org/officeDocument/2006/relationships/settings" Target="settings.xml"/><Relationship Id="rId21" Type="http://schemas.openxmlformats.org/officeDocument/2006/relationships/hyperlink" Target="https://doi.org/10.1111/1467-9965.00114" TargetMode="External"/><Relationship Id="rId7" Type="http://schemas.openxmlformats.org/officeDocument/2006/relationships/image" Target="media/image1.png"/><Relationship Id="rId12" Type="http://schemas.openxmlformats.org/officeDocument/2006/relationships/hyperlink" Target="https://doi.org/10.1214/aoms/1177707039" TargetMode="External"/><Relationship Id="rId17" Type="http://schemas.openxmlformats.org/officeDocument/2006/relationships/hyperlink" Target="https://doi.org/10.1016/0304-4076(86)90063-1" TargetMode="External"/><Relationship Id="rId25" Type="http://schemas.openxmlformats.org/officeDocument/2006/relationships/hyperlink" Target="https://doi.org/10.38142/jebd.v1i4.108" TargetMode="External"/><Relationship Id="rId2" Type="http://schemas.openxmlformats.org/officeDocument/2006/relationships/styles" Target="styles.xml"/><Relationship Id="rId16" Type="http://schemas.openxmlformats.org/officeDocument/2006/relationships/hyperlink" Target="https://doi.org/10.38142/jebd.v2i3.131" TargetMode="External"/><Relationship Id="rId20" Type="http://schemas.openxmlformats.org/officeDocument/2006/relationships/hyperlink" Target="https://doi.org/10.2307/1912559"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5281/zenodo.11151690" TargetMode="External"/><Relationship Id="rId24" Type="http://schemas.openxmlformats.org/officeDocument/2006/relationships/hyperlink" Target="https://doi.org/10.1017/CBO9780511810633" TargetMode="External"/><Relationship Id="rId5" Type="http://schemas.openxmlformats.org/officeDocument/2006/relationships/footnotes" Target="footnotes.xml"/><Relationship Id="rId15" Type="http://schemas.openxmlformats.org/officeDocument/2006/relationships/hyperlink" Target="https://doi.org/10.1214/aoms/1177705136" TargetMode="External"/><Relationship Id="rId23" Type="http://schemas.openxmlformats.org/officeDocument/2006/relationships/hyperlink" Target="https://doi.org/10.1186/2193-1801-3-657" TargetMode="External"/><Relationship Id="rId28" Type="http://schemas.openxmlformats.org/officeDocument/2006/relationships/hyperlink" Target="https://doi.org/10.33429/2476-8472.1130" TargetMode="External"/><Relationship Id="rId10" Type="http://schemas.openxmlformats.org/officeDocument/2006/relationships/hyperlink" Target="https://doi.org/10.3844/jmssp.2010.342.346" TargetMode="External"/><Relationship Id="rId19" Type="http://schemas.openxmlformats.org/officeDocument/2006/relationships/hyperlink" Target="https://doi.org/10.2307/1912773"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33429/Cjas.11220.3/8" TargetMode="External"/><Relationship Id="rId14" Type="http://schemas.openxmlformats.org/officeDocument/2006/relationships/hyperlink" Target="https://doi.org/10.33429/Cjas.12121.2/6" TargetMode="External"/><Relationship Id="rId22" Type="http://schemas.openxmlformats.org/officeDocument/2006/relationships/hyperlink" Target="https://doi.org/10.1186/s43093-022-00168-y" TargetMode="External"/><Relationship Id="rId27" Type="http://schemas.openxmlformats.org/officeDocument/2006/relationships/hyperlink" Target="https://doi.org/10.33429/2476-8472.1132"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12</Pages>
  <Words>5311</Words>
  <Characters>30274</Characters>
  <Application>Microsoft Office Word</Application>
  <DocSecurity>0</DocSecurity>
  <Lines>252</Lines>
  <Paragraphs>71</Paragraphs>
  <ScaleCrop>false</ScaleCrop>
  <Company/>
  <LinksUpToDate>false</LinksUpToDate>
  <CharactersWithSpaces>35514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Comparative Analysis of Continuous-Time Markov Chain, Logistic Regression and F-Distribution-Based Inference in Modelling Share Price Movement Dynamics of Fidelity Bank Plc</dc:title>
  <dc:creator>Dagogo Allen Wokoma; Innocent Uchenna Amadi</dc:creator>
  <cp:keywords>continuous-time Markov chain; logistic regression; F-distribution; Fidelity Bank Plc</cp:keywords>
  <dc:description/>
  <cp:lastModifiedBy>Editor-90</cp:lastModifiedBy>
  <cp:revision>3</cp:revision>
  <dcterms:created xsi:type="dcterms:W3CDTF">2026-09-19T10:32:00Z</dcterms:created>
  <dcterms:modified xsi:type="dcterms:W3CDTF">2026-09-28T06:20:00Z</dcterms:modified>
</cp:coreProperties>
</file>