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B2960" w14:textId="77777777" w:rsidR="00754C9A" w:rsidRPr="00A81E0C" w:rsidRDefault="006F01C1" w:rsidP="006B2B16">
      <w:pPr>
        <w:pStyle w:val="Title"/>
        <w:spacing w:after="0"/>
        <w:jc w:val="both"/>
        <w:rPr>
          <w:rFonts w:ascii="Arial" w:hAnsi="Arial" w:cs="Arial"/>
        </w:rPr>
      </w:pPr>
      <w:r w:rsidRPr="00A81E0C">
        <w:rPr>
          <w:rFonts w:ascii="Arial" w:hAnsi="Arial" w:cs="Arial"/>
        </w:rPr>
        <w:t>Original Research Article</w:t>
      </w:r>
    </w:p>
    <w:p w14:paraId="7F7EFD98" w14:textId="77777777" w:rsidR="006F01C1" w:rsidRPr="00A81E0C" w:rsidRDefault="006F01C1" w:rsidP="006B2B16">
      <w:pPr>
        <w:pStyle w:val="Title"/>
        <w:spacing w:after="0"/>
        <w:jc w:val="both"/>
        <w:rPr>
          <w:rFonts w:ascii="Arial" w:hAnsi="Arial" w:cs="Arial"/>
        </w:rPr>
      </w:pPr>
    </w:p>
    <w:p w14:paraId="45D3B97D" w14:textId="77777777" w:rsidR="006F01C1" w:rsidRPr="00A81E0C" w:rsidRDefault="006F01C1" w:rsidP="006B2B16">
      <w:pPr>
        <w:pStyle w:val="Title"/>
        <w:spacing w:after="0"/>
        <w:jc w:val="both"/>
        <w:rPr>
          <w:rFonts w:ascii="Arial" w:hAnsi="Arial" w:cs="Arial"/>
        </w:rPr>
      </w:pPr>
    </w:p>
    <w:p w14:paraId="667FC141" w14:textId="77777777" w:rsidR="00163BC4" w:rsidRPr="00A81E0C" w:rsidRDefault="00401927" w:rsidP="006B2B16">
      <w:pPr>
        <w:pStyle w:val="Author"/>
        <w:spacing w:line="240" w:lineRule="auto"/>
        <w:jc w:val="both"/>
        <w:rPr>
          <w:rFonts w:ascii="Arial" w:hAnsi="Arial" w:cs="Arial"/>
          <w:bCs/>
          <w:iCs/>
          <w:kern w:val="28"/>
          <w:sz w:val="36"/>
        </w:rPr>
      </w:pPr>
      <w:r w:rsidRPr="00A81E0C">
        <w:rPr>
          <w:rFonts w:ascii="Arial" w:hAnsi="Arial" w:cs="Arial"/>
          <w:bCs/>
          <w:iCs/>
          <w:kern w:val="28"/>
          <w:sz w:val="36"/>
        </w:rPr>
        <w:t>Relevance of the Specialization in Intelligent Logistics Systems at the Instituto Tecnológico de Colima, Mexico: Institutional Capacities, Regional Geoeconomic Context and Strategic Foresight</w:t>
      </w:r>
    </w:p>
    <w:p w14:paraId="4E25DA71" w14:textId="77777777" w:rsidR="00A258C3" w:rsidRPr="00A81E0C" w:rsidRDefault="00A258C3" w:rsidP="006B2B16">
      <w:pPr>
        <w:pStyle w:val="Author"/>
        <w:spacing w:line="240" w:lineRule="auto"/>
        <w:jc w:val="both"/>
        <w:rPr>
          <w:rFonts w:ascii="Arial" w:hAnsi="Arial" w:cs="Arial"/>
          <w:sz w:val="36"/>
        </w:rPr>
      </w:pPr>
    </w:p>
    <w:p w14:paraId="1D39F63F" w14:textId="77777777" w:rsidR="00633614" w:rsidRPr="00A81E0C" w:rsidRDefault="00633614" w:rsidP="006B2B16">
      <w:pPr>
        <w:pStyle w:val="Affiliation"/>
        <w:spacing w:after="0" w:line="240" w:lineRule="auto"/>
        <w:jc w:val="both"/>
        <w:rPr>
          <w:rFonts w:ascii="Arial" w:hAnsi="Arial" w:cs="Arial"/>
          <w:i/>
        </w:rPr>
      </w:pPr>
    </w:p>
    <w:p w14:paraId="53A89684" w14:textId="77777777" w:rsidR="00790ADA" w:rsidRPr="00A81E0C" w:rsidRDefault="00790ADA" w:rsidP="006B2B16">
      <w:pPr>
        <w:pStyle w:val="Affiliation"/>
        <w:spacing w:after="0" w:line="240" w:lineRule="auto"/>
        <w:jc w:val="both"/>
        <w:rPr>
          <w:rFonts w:ascii="Arial" w:hAnsi="Arial" w:cs="Arial"/>
        </w:rPr>
      </w:pPr>
    </w:p>
    <w:p w14:paraId="05A338AC" w14:textId="77777777" w:rsidR="002C57D2" w:rsidRPr="00A81E0C" w:rsidRDefault="002C57D2" w:rsidP="006B2B16">
      <w:pPr>
        <w:pStyle w:val="Affiliation"/>
        <w:spacing w:after="0" w:line="240" w:lineRule="auto"/>
        <w:jc w:val="both"/>
        <w:rPr>
          <w:rFonts w:ascii="Arial" w:hAnsi="Arial" w:cs="Arial"/>
        </w:rPr>
      </w:pPr>
    </w:p>
    <w:p w14:paraId="61C1D57B" w14:textId="77777777" w:rsidR="00B01FCD" w:rsidRPr="00A81E0C" w:rsidRDefault="00000000" w:rsidP="006B2B16">
      <w:pPr>
        <w:pStyle w:val="Copyright"/>
        <w:spacing w:after="0" w:line="240" w:lineRule="auto"/>
        <w:jc w:val="both"/>
        <w:rPr>
          <w:rFonts w:ascii="Arial" w:hAnsi="Arial" w:cs="Arial"/>
        </w:rPr>
        <w:sectPr w:rsidR="00B01FCD" w:rsidRPr="00A81E0C" w:rsidSect="00E152EA">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2735FAC6">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A81E0C">
        <w:rPr>
          <w:rFonts w:ascii="Arial" w:hAnsi="Arial" w:cs="Arial"/>
        </w:rPr>
        <w:t>.</w:t>
      </w:r>
    </w:p>
    <w:p w14:paraId="6427B5F5" w14:textId="77777777" w:rsidR="000403B8" w:rsidRPr="00A81E0C" w:rsidRDefault="00AC7B1E" w:rsidP="006B2B16">
      <w:pPr>
        <w:pStyle w:val="AbstHead"/>
        <w:spacing w:after="120"/>
        <w:jc w:val="both"/>
      </w:pPr>
      <w:r w:rsidRPr="00A81E0C">
        <w:rPr>
          <w:rFonts w:ascii="Arial" w:eastAsia="Arial" w:hAnsi="Arial" w:cs="Arial"/>
        </w:rPr>
        <w:t>ABSTRACT</w:t>
      </w:r>
    </w:p>
    <w:p w14:paraId="1889C2A1" w14:textId="77777777" w:rsidR="006B2B16" w:rsidRPr="006B2B16" w:rsidRDefault="006B2B16" w:rsidP="006B2B16">
      <w:pPr>
        <w:pStyle w:val="Body"/>
        <w:rPr>
          <w:highlight w:val="yellow"/>
        </w:rPr>
      </w:pPr>
      <w:r w:rsidRPr="006B2B16">
        <w:rPr>
          <w:b/>
          <w:bCs/>
          <w:highlight w:val="yellow"/>
        </w:rPr>
        <w:t>Aims:</w:t>
      </w:r>
      <w:r w:rsidRPr="006B2B16">
        <w:rPr>
          <w:highlight w:val="yellow"/>
        </w:rPr>
        <w:t xml:space="preserve"> This study assessed the relevance of the Specialization in Intelligent Logistics Systems within the Industrial Engineering </w:t>
      </w:r>
      <w:proofErr w:type="spellStart"/>
      <w:r w:rsidRPr="006B2B16">
        <w:rPr>
          <w:highlight w:val="yellow"/>
        </w:rPr>
        <w:t>programme</w:t>
      </w:r>
      <w:proofErr w:type="spellEnd"/>
      <w:r w:rsidRPr="006B2B16">
        <w:rPr>
          <w:highlight w:val="yellow"/>
        </w:rPr>
        <w:t xml:space="preserve"> at the Instituto Tecnológico de Colima, Mexico, by examining institutional capacity in relation to the Manzanillo port-logistics context.</w:t>
      </w:r>
    </w:p>
    <w:p w14:paraId="77FC67BC" w14:textId="77777777" w:rsidR="006B2B16" w:rsidRPr="006B2B16" w:rsidRDefault="006B2B16" w:rsidP="006B2B16">
      <w:pPr>
        <w:pStyle w:val="Body"/>
        <w:rPr>
          <w:highlight w:val="yellow"/>
        </w:rPr>
      </w:pPr>
      <w:r w:rsidRPr="006B2B16">
        <w:rPr>
          <w:b/>
          <w:bCs/>
          <w:highlight w:val="yellow"/>
        </w:rPr>
        <w:t>Study Design:</w:t>
      </w:r>
      <w:r w:rsidRPr="006B2B16">
        <w:rPr>
          <w:highlight w:val="yellow"/>
        </w:rPr>
        <w:t xml:space="preserve"> A convergent mixed-methods case study.</w:t>
      </w:r>
    </w:p>
    <w:p w14:paraId="2924A1EA" w14:textId="77777777" w:rsidR="006B2B16" w:rsidRPr="006B2B16" w:rsidRDefault="006B2B16" w:rsidP="006B2B16">
      <w:pPr>
        <w:pStyle w:val="Body"/>
        <w:rPr>
          <w:highlight w:val="yellow"/>
        </w:rPr>
      </w:pPr>
      <w:r w:rsidRPr="006B2B16">
        <w:rPr>
          <w:highlight w:val="yellow"/>
        </w:rPr>
        <w:t>Place and Duration of Study: Instituto Tecnológico de Colima, January–June 2026.</w:t>
      </w:r>
    </w:p>
    <w:p w14:paraId="7D646958" w14:textId="77777777" w:rsidR="006B2B16" w:rsidRPr="006B2B16" w:rsidRDefault="006B2B16" w:rsidP="006B2B16">
      <w:pPr>
        <w:pStyle w:val="Body"/>
        <w:rPr>
          <w:highlight w:val="yellow"/>
        </w:rPr>
      </w:pPr>
      <w:r w:rsidRPr="006B2B16">
        <w:rPr>
          <w:b/>
          <w:bCs/>
          <w:highlight w:val="yellow"/>
        </w:rPr>
        <w:t>Methodology:</w:t>
      </w:r>
      <w:r w:rsidRPr="006B2B16">
        <w:rPr>
          <w:highlight w:val="yellow"/>
        </w:rPr>
        <w:t xml:space="preserve"> The analysis triangulated an institutional capacity study covering four student cohorts, faculty profiles and infrastructure; a ten-item questionnaire completed by 438 of 460 active students (95.2% coverage); port and regional economic statistics for 2020–2024; and literature published during 2021–2026. Institutional and survey indicators were examined descriptively.</w:t>
      </w:r>
    </w:p>
    <w:p w14:paraId="102A3EEC" w14:textId="77777777" w:rsidR="006B2B16" w:rsidRPr="006B2B16" w:rsidRDefault="006B2B16" w:rsidP="006B2B16">
      <w:pPr>
        <w:pStyle w:val="Body"/>
        <w:rPr>
          <w:highlight w:val="yellow"/>
        </w:rPr>
      </w:pPr>
      <w:r w:rsidRPr="006B2B16">
        <w:rPr>
          <w:b/>
          <w:bCs/>
          <w:highlight w:val="yellow"/>
        </w:rPr>
        <w:t>Results:</w:t>
      </w:r>
      <w:r w:rsidRPr="006B2B16">
        <w:rPr>
          <w:highlight w:val="yellow"/>
        </w:rPr>
        <w:t xml:space="preserve"> Across the four cohorts, the mean course failure rate was 13.7%, the dropout rate declined from 18.5% to 12.0%, and the graduation rate rose from 52% to 62%. Logistics was the leading first-choice </w:t>
      </w:r>
      <w:proofErr w:type="spellStart"/>
      <w:r w:rsidRPr="006B2B16">
        <w:rPr>
          <w:highlight w:val="yellow"/>
        </w:rPr>
        <w:t>specialisation</w:t>
      </w:r>
      <w:proofErr w:type="spellEnd"/>
      <w:r w:rsidRPr="006B2B16">
        <w:rPr>
          <w:highlight w:val="yellow"/>
        </w:rPr>
        <w:t xml:space="preserve"> (27.4%), while 78.1% of respondents reported high employment expectations. Of 17 core faculty members, 88.2% had previous industrial experience. The principal technological shortfall was limited access to Logistics 4.0 tools, including warehouse management and supply chain analytics systems.</w:t>
      </w:r>
    </w:p>
    <w:p w14:paraId="21F1FA87" w14:textId="3FBC9137" w:rsidR="000403B8" w:rsidRPr="00A81E0C" w:rsidRDefault="006B2B16" w:rsidP="006B2B16">
      <w:pPr>
        <w:pStyle w:val="Body"/>
        <w:spacing w:after="0"/>
      </w:pPr>
      <w:r w:rsidRPr="006B2B16">
        <w:rPr>
          <w:b/>
          <w:bCs/>
          <w:highlight w:val="yellow"/>
        </w:rPr>
        <w:t>Conclusion:</w:t>
      </w:r>
      <w:r w:rsidRPr="006B2B16">
        <w:rPr>
          <w:highlight w:val="yellow"/>
        </w:rPr>
        <w:t xml:space="preserve"> The findings indicate alignment between the </w:t>
      </w:r>
      <w:proofErr w:type="spellStart"/>
      <w:r w:rsidRPr="006B2B16">
        <w:rPr>
          <w:highlight w:val="yellow"/>
        </w:rPr>
        <w:t>specialisation</w:t>
      </w:r>
      <w:proofErr w:type="spellEnd"/>
      <w:r w:rsidRPr="006B2B16">
        <w:rPr>
          <w:highlight w:val="yellow"/>
        </w:rPr>
        <w:t>, student interest and the regional logistics context, while identifying a need for technological updating. A five-measure action plan for 2026–2029 is proposed, with indicators to monitor implementation.</w:t>
      </w:r>
    </w:p>
    <w:p w14:paraId="4DEB6B8B" w14:textId="77777777" w:rsidR="006B2B16" w:rsidRDefault="006B2B16" w:rsidP="006B2B16">
      <w:pPr>
        <w:pStyle w:val="Body"/>
        <w:spacing w:after="120"/>
        <w:rPr>
          <w:rFonts w:ascii="Arial" w:eastAsia="Arial" w:hAnsi="Arial" w:cs="Arial"/>
          <w:i/>
        </w:rPr>
      </w:pPr>
    </w:p>
    <w:p w14:paraId="5B24C457" w14:textId="29EB9622" w:rsidR="000403B8" w:rsidRPr="00A81E0C" w:rsidRDefault="00AC7B1E" w:rsidP="006B2B16">
      <w:pPr>
        <w:pStyle w:val="Body"/>
        <w:spacing w:after="120"/>
      </w:pPr>
      <w:r w:rsidRPr="00A81E0C">
        <w:rPr>
          <w:rFonts w:ascii="Arial" w:eastAsia="Arial" w:hAnsi="Arial" w:cs="Arial"/>
          <w:i/>
        </w:rPr>
        <w:t>Keywords: Logistics engineering; industrial engineering; curricular relevance; technological higher education; port cluster; regional competitiveness; intelligent logistics.</w:t>
      </w:r>
    </w:p>
    <w:p w14:paraId="2C8D1965" w14:textId="77777777" w:rsidR="000403B8" w:rsidRPr="00A81E0C" w:rsidRDefault="000403B8" w:rsidP="006B2B16">
      <w:pPr>
        <w:pStyle w:val="Body"/>
        <w:spacing w:after="0"/>
      </w:pPr>
    </w:p>
    <w:p w14:paraId="3C13FEB9" w14:textId="77777777" w:rsidR="000403B8" w:rsidRPr="00A81E0C" w:rsidRDefault="00AC7B1E" w:rsidP="006B2B16">
      <w:pPr>
        <w:pStyle w:val="AbstHead"/>
        <w:spacing w:after="120"/>
        <w:jc w:val="both"/>
      </w:pPr>
      <w:r w:rsidRPr="00A81E0C">
        <w:rPr>
          <w:rFonts w:ascii="Arial" w:eastAsia="Arial" w:hAnsi="Arial" w:cs="Arial"/>
        </w:rPr>
        <w:lastRenderedPageBreak/>
        <w:t>1. INTRODUCTION</w:t>
      </w:r>
    </w:p>
    <w:p w14:paraId="661FE089" w14:textId="77777777" w:rsidR="000403B8" w:rsidRPr="00A81E0C" w:rsidRDefault="00AC7B1E" w:rsidP="006B2B16">
      <w:pPr>
        <w:pStyle w:val="Body"/>
        <w:spacing w:after="160"/>
      </w:pPr>
      <w:r w:rsidRPr="00A81E0C">
        <w:rPr>
          <w:rFonts w:ascii="Arial" w:eastAsia="Arial" w:hAnsi="Arial" w:cs="Arial"/>
        </w:rPr>
        <w:t>Whether a degree program</w:t>
      </w:r>
      <w:r w:rsidRPr="00A81E0C">
        <w:rPr>
          <w:rFonts w:ascii="Arial" w:eastAsia="Arial" w:hAnsi="Arial" w:cs="Arial"/>
          <w:highlight w:val="yellow"/>
        </w:rPr>
        <w:t>me</w:t>
      </w:r>
      <w:r w:rsidRPr="00A81E0C">
        <w:rPr>
          <w:rFonts w:ascii="Arial" w:eastAsia="Arial" w:hAnsi="Arial" w:cs="Arial"/>
        </w:rPr>
        <w:t xml:space="preserve"> responds to the needs of the territory </w:t>
      </w:r>
      <w:r w:rsidRPr="00A81E0C">
        <w:rPr>
          <w:rFonts w:ascii="Arial" w:eastAsia="Arial" w:hAnsi="Arial" w:cs="Arial"/>
          <w:highlight w:val="yellow"/>
        </w:rPr>
        <w:t>in w</w:t>
      </w:r>
      <w:r w:rsidRPr="00A81E0C">
        <w:rPr>
          <w:rFonts w:ascii="Arial" w:eastAsia="Arial" w:hAnsi="Arial" w:cs="Arial"/>
        </w:rPr>
        <w:t>h</w:t>
      </w:r>
      <w:r w:rsidRPr="00A81E0C">
        <w:rPr>
          <w:rFonts w:ascii="Arial" w:eastAsia="Arial" w:hAnsi="Arial" w:cs="Arial"/>
          <w:highlight w:val="yellow"/>
        </w:rPr>
        <w:t>ic</w:t>
      </w:r>
      <w:r w:rsidRPr="00A81E0C">
        <w:rPr>
          <w:rFonts w:ascii="Arial" w:eastAsia="Arial" w:hAnsi="Arial" w:cs="Arial"/>
        </w:rPr>
        <w:t>h it</w:t>
      </w:r>
      <w:r w:rsidRPr="00A81E0C">
        <w:rPr>
          <w:rFonts w:ascii="Arial" w:eastAsia="Arial" w:hAnsi="Arial" w:cs="Arial"/>
          <w:highlight w:val="yellow"/>
        </w:rPr>
        <w:t xml:space="preserve"> is located</w:t>
      </w:r>
      <w:r w:rsidRPr="00A81E0C">
        <w:rPr>
          <w:rFonts w:ascii="Arial" w:eastAsia="Arial" w:hAnsi="Arial" w:cs="Arial"/>
        </w:rPr>
        <w:t xml:space="preserve"> has become a central question for higher education policy in Latin America. Silva Medina et al. (2026) argue that bringing engineering curricula into line with an increasingly digital industry is now the most pressing task facing higher education institutions (HEIs) in the region. The roadmap discussed at UNESCO's 2022 World Higher Education Conference points in the same direction, asking institutions to become more flexible and to respond faster to social and labo</w:t>
      </w:r>
      <w:r w:rsidRPr="00A81E0C">
        <w:rPr>
          <w:rFonts w:ascii="Arial" w:eastAsia="Arial" w:hAnsi="Arial" w:cs="Arial"/>
          <w:highlight w:val="yellow"/>
        </w:rPr>
        <w:t>u</w:t>
      </w:r>
      <w:r w:rsidRPr="00A81E0C">
        <w:rPr>
          <w:rFonts w:ascii="Arial" w:eastAsia="Arial" w:hAnsi="Arial" w:cs="Arial"/>
        </w:rPr>
        <w:t>r-market change, including the digital transition (United Nations Educational, Scientific and Cultural Organization [UNESCO], 2022). Logistics shows the pressure clearly. Since 2020, successive disruptions have forced firms to rethink supply chains that had been built around efficiency and lean inventories (Ivanov &amp; Dolgui, 2022).</w:t>
      </w:r>
    </w:p>
    <w:p w14:paraId="6FF5E619" w14:textId="77777777" w:rsidR="000403B8" w:rsidRPr="00A81E0C" w:rsidRDefault="00AC7B1E" w:rsidP="006B2B16">
      <w:pPr>
        <w:pStyle w:val="Body"/>
        <w:spacing w:after="160"/>
      </w:pPr>
      <w:r w:rsidRPr="00A81E0C">
        <w:rPr>
          <w:rFonts w:ascii="Arial" w:eastAsia="Arial" w:hAnsi="Arial" w:cs="Arial"/>
        </w:rPr>
        <w:t>In Mexico, the Tecnológico Nacional de México (TecNM) has turned this concern into a formal requirement. Chapter 19 of its Academic-Administrative Guidelines states that every speciali</w:t>
      </w:r>
      <w:r w:rsidRPr="00A81E0C">
        <w:rPr>
          <w:rFonts w:ascii="Arial" w:eastAsia="Arial" w:hAnsi="Arial" w:cs="Arial"/>
          <w:highlight w:val="yellow"/>
        </w:rPr>
        <w:t>s</w:t>
      </w:r>
      <w:r w:rsidRPr="00A81E0C">
        <w:rPr>
          <w:rFonts w:ascii="Arial" w:eastAsia="Arial" w:hAnsi="Arial" w:cs="Arial"/>
        </w:rPr>
        <w:t>ation offered by its program</w:t>
      </w:r>
      <w:r w:rsidRPr="00A81E0C">
        <w:rPr>
          <w:rFonts w:ascii="Arial" w:eastAsia="Arial" w:hAnsi="Arial" w:cs="Arial"/>
          <w:highlight w:val="yellow"/>
        </w:rPr>
        <w:t>me</w:t>
      </w:r>
      <w:r w:rsidRPr="00A81E0C">
        <w:rPr>
          <w:rFonts w:ascii="Arial" w:eastAsia="Arial" w:hAnsi="Arial" w:cs="Arial"/>
        </w:rPr>
        <w:t xml:space="preserve">s must rest on an up-to-date regional diagnosis, valid for no less than one year and no more than three </w:t>
      </w:r>
      <w:r w:rsidRPr="00A81E0C">
        <w:rPr>
          <w:rFonts w:ascii="Arial" w:eastAsia="Arial" w:hAnsi="Arial" w:cs="Arial"/>
          <w:highlight w:val="yellow"/>
        </w:rPr>
        <w:t xml:space="preserve">years </w:t>
      </w:r>
      <w:r w:rsidRPr="00A81E0C">
        <w:rPr>
          <w:rFonts w:ascii="Arial" w:eastAsia="Arial" w:hAnsi="Arial" w:cs="Arial"/>
        </w:rPr>
        <w:t>(TecNM, 2015). Speciali</w:t>
      </w:r>
      <w:r w:rsidRPr="00A81E0C">
        <w:rPr>
          <w:rFonts w:ascii="Arial" w:eastAsia="Arial" w:hAnsi="Arial" w:cs="Arial"/>
          <w:highlight w:val="yellow"/>
        </w:rPr>
        <w:t>s</w:t>
      </w:r>
      <w:r w:rsidRPr="00A81E0C">
        <w:rPr>
          <w:rFonts w:ascii="Arial" w:eastAsia="Arial" w:hAnsi="Arial" w:cs="Arial"/>
        </w:rPr>
        <w:t xml:space="preserve">ations are thus subject to periodic review, and their continuation </w:t>
      </w:r>
      <w:r w:rsidRPr="00A81E0C">
        <w:rPr>
          <w:rFonts w:ascii="Arial" w:eastAsia="Arial" w:hAnsi="Arial" w:cs="Arial"/>
          <w:highlight w:val="yellow"/>
        </w:rPr>
        <w:t>mu</w:t>
      </w:r>
      <w:r w:rsidRPr="00A81E0C">
        <w:rPr>
          <w:rFonts w:ascii="Arial" w:eastAsia="Arial" w:hAnsi="Arial" w:cs="Arial"/>
        </w:rPr>
        <w:t xml:space="preserve">st be justified </w:t>
      </w:r>
      <w:r w:rsidRPr="00A81E0C">
        <w:rPr>
          <w:rFonts w:ascii="Arial" w:eastAsia="Arial" w:hAnsi="Arial" w:cs="Arial"/>
          <w:highlight w:val="yellow"/>
        </w:rPr>
        <w:t>by</w:t>
      </w:r>
      <w:r w:rsidRPr="00A81E0C">
        <w:rPr>
          <w:rFonts w:ascii="Arial" w:eastAsia="Arial" w:hAnsi="Arial" w:cs="Arial"/>
        </w:rPr>
        <w:t xml:space="preserve"> evidence.</w:t>
      </w:r>
    </w:p>
    <w:p w14:paraId="4789305D" w14:textId="77777777" w:rsidR="000403B8" w:rsidRPr="00A81E0C" w:rsidRDefault="00AC7B1E" w:rsidP="006B2B16">
      <w:pPr>
        <w:pStyle w:val="Body"/>
        <w:spacing w:after="160"/>
      </w:pPr>
      <w:r w:rsidRPr="00A81E0C">
        <w:rPr>
          <w:rFonts w:ascii="Arial" w:eastAsia="Arial" w:hAnsi="Arial" w:cs="Arial"/>
        </w:rPr>
        <w:t>The Instituto Tecnológico de Colima (ITC-</w:t>
      </w:r>
      <w:proofErr w:type="spellStart"/>
      <w:r w:rsidRPr="00A81E0C">
        <w:rPr>
          <w:rFonts w:ascii="Arial" w:eastAsia="Arial" w:hAnsi="Arial" w:cs="Arial"/>
        </w:rPr>
        <w:t>TecNM</w:t>
      </w:r>
      <w:proofErr w:type="spellEnd"/>
      <w:r w:rsidRPr="00A81E0C">
        <w:rPr>
          <w:rFonts w:ascii="Arial" w:eastAsia="Arial" w:hAnsi="Arial" w:cs="Arial"/>
        </w:rPr>
        <w:t xml:space="preserve">) offers a bachelor's degree in Industrial Engineering. Colima is one of the smallest states in Mexico by area, yet it hosts the Port of Manzanillo, the country's busiest container port (Administración del Sistema </w:t>
      </w:r>
      <w:proofErr w:type="spellStart"/>
      <w:r w:rsidRPr="00A81E0C">
        <w:rPr>
          <w:rFonts w:ascii="Arial" w:eastAsia="Arial" w:hAnsi="Arial" w:cs="Arial"/>
        </w:rPr>
        <w:t>Portuario</w:t>
      </w:r>
      <w:proofErr w:type="spellEnd"/>
      <w:r w:rsidRPr="00A81E0C">
        <w:rPr>
          <w:rFonts w:ascii="Arial" w:eastAsia="Arial" w:hAnsi="Arial" w:cs="Arial"/>
        </w:rPr>
        <w:t xml:space="preserve"> Nacional Manzanillo [ASIPONA Manzanillo], 2024). This gives the state a weight in the national logistics system out of proportion to its size and sustains a steady demand for professionals trained in logistics, supply chain management and foreign trade.</w:t>
      </w:r>
    </w:p>
    <w:p w14:paraId="75112D2F" w14:textId="77777777" w:rsidR="000403B8" w:rsidRPr="00A81E0C" w:rsidRDefault="00AC7B1E" w:rsidP="006B2B16">
      <w:pPr>
        <w:pStyle w:val="Body"/>
        <w:spacing w:after="160"/>
      </w:pPr>
      <w:r w:rsidRPr="00A81E0C">
        <w:rPr>
          <w:rFonts w:ascii="Arial" w:eastAsia="Arial" w:hAnsi="Arial" w:cs="Arial"/>
        </w:rPr>
        <w:t>The digitali</w:t>
      </w:r>
      <w:r w:rsidRPr="00A81E0C">
        <w:rPr>
          <w:rFonts w:ascii="Arial" w:eastAsia="Arial" w:hAnsi="Arial" w:cs="Arial"/>
          <w:highlight w:val="yellow"/>
        </w:rPr>
        <w:t>s</w:t>
      </w:r>
      <w:r w:rsidRPr="00A81E0C">
        <w:rPr>
          <w:rFonts w:ascii="Arial" w:eastAsia="Arial" w:hAnsi="Arial" w:cs="Arial"/>
        </w:rPr>
        <w:t xml:space="preserve">ation of logistics and the adoption of Industry 4.0 technologies are changing the competences </w:t>
      </w:r>
      <w:r w:rsidRPr="00A81E0C">
        <w:rPr>
          <w:rFonts w:ascii="Arial" w:eastAsia="Arial" w:hAnsi="Arial" w:cs="Arial"/>
          <w:highlight w:val="yellow"/>
        </w:rPr>
        <w:t xml:space="preserve">required by </w:t>
      </w:r>
      <w:r w:rsidRPr="00A81E0C">
        <w:rPr>
          <w:rFonts w:ascii="Arial" w:eastAsia="Arial" w:hAnsi="Arial" w:cs="Arial"/>
        </w:rPr>
        <w:t xml:space="preserve">the sector (Sheffi, 2023; World Economic Forum, 2023). Studies on Logistics 4.0 show that performance gains come from combining advanced technologies with redesigned processes, </w:t>
      </w:r>
      <w:r w:rsidRPr="00A81E0C">
        <w:rPr>
          <w:rFonts w:ascii="Arial" w:eastAsia="Arial" w:hAnsi="Arial" w:cs="Arial"/>
          <w:highlight w:val="yellow"/>
        </w:rPr>
        <w:t>rather tha</w:t>
      </w:r>
      <w:r w:rsidRPr="00A81E0C">
        <w:rPr>
          <w:rFonts w:ascii="Arial" w:eastAsia="Arial" w:hAnsi="Arial" w:cs="Arial"/>
        </w:rPr>
        <w:t xml:space="preserve">n from technology </w:t>
      </w:r>
      <w:r w:rsidRPr="00A81E0C">
        <w:rPr>
          <w:rFonts w:ascii="Arial" w:eastAsia="Arial" w:hAnsi="Arial" w:cs="Arial"/>
          <w:highlight w:val="yellow"/>
        </w:rPr>
        <w:t>al</w:t>
      </w:r>
      <w:r w:rsidRPr="00A81E0C">
        <w:rPr>
          <w:rFonts w:ascii="Arial" w:eastAsia="Arial" w:hAnsi="Arial" w:cs="Arial"/>
        </w:rPr>
        <w:t>on</w:t>
      </w:r>
      <w:r w:rsidRPr="00A81E0C">
        <w:rPr>
          <w:rFonts w:ascii="Arial" w:eastAsia="Arial" w:hAnsi="Arial" w:cs="Arial"/>
          <w:highlight w:val="yellow"/>
        </w:rPr>
        <w:t>e</w:t>
      </w:r>
      <w:r w:rsidRPr="00A81E0C">
        <w:rPr>
          <w:rFonts w:ascii="Arial" w:eastAsia="Arial" w:hAnsi="Arial" w:cs="Arial"/>
        </w:rPr>
        <w:t xml:space="preserve"> (Hrouga &amp; Sbihi, 2023; Monferdini et al., 2025). University program</w:t>
      </w:r>
      <w:r w:rsidRPr="00A81E0C">
        <w:rPr>
          <w:rFonts w:ascii="Arial" w:eastAsia="Arial" w:hAnsi="Arial" w:cs="Arial"/>
          <w:highlight w:val="yellow"/>
        </w:rPr>
        <w:t>me</w:t>
      </w:r>
      <w:r w:rsidRPr="00A81E0C">
        <w:rPr>
          <w:rFonts w:ascii="Arial" w:eastAsia="Arial" w:hAnsi="Arial" w:cs="Arial"/>
        </w:rPr>
        <w:t xml:space="preserve">s are expected to anticipate these shifts and to give graduates the analytical, digital and managerial tools that complex logistics settings demand. The Specialization in Intelligent Logistics Systems (code INDE-SLI-2026-02) of ITC-TecNM was designed </w:t>
      </w:r>
      <w:r w:rsidRPr="00A81E0C">
        <w:rPr>
          <w:rFonts w:ascii="Arial" w:eastAsia="Arial" w:hAnsi="Arial" w:cs="Arial"/>
          <w:highlight w:val="yellow"/>
        </w:rPr>
        <w:t>for</w:t>
      </w:r>
      <w:r w:rsidRPr="00A81E0C">
        <w:rPr>
          <w:rFonts w:ascii="Arial" w:eastAsia="Arial" w:hAnsi="Arial" w:cs="Arial"/>
        </w:rPr>
        <w:t xml:space="preserve"> th</w:t>
      </w:r>
      <w:r w:rsidRPr="00A81E0C">
        <w:rPr>
          <w:rFonts w:ascii="Arial" w:eastAsia="Arial" w:hAnsi="Arial" w:cs="Arial"/>
          <w:highlight w:val="yellow"/>
        </w:rPr>
        <w:t>is</w:t>
      </w:r>
      <w:r w:rsidRPr="00A81E0C">
        <w:rPr>
          <w:rFonts w:ascii="Arial" w:eastAsia="Arial" w:hAnsi="Arial" w:cs="Arial"/>
        </w:rPr>
        <w:t xml:space="preserve"> purpose.</w:t>
      </w:r>
    </w:p>
    <w:p w14:paraId="2EFF5644" w14:textId="77777777" w:rsidR="000403B8" w:rsidRPr="00A81E0C" w:rsidRDefault="00AC7B1E" w:rsidP="006B2B16">
      <w:pPr>
        <w:pStyle w:val="Body"/>
        <w:keepNext/>
        <w:spacing w:before="80" w:after="80"/>
      </w:pPr>
      <w:r w:rsidRPr="00A81E0C">
        <w:rPr>
          <w:rFonts w:ascii="Arial" w:eastAsia="Arial" w:hAnsi="Arial" w:cs="Arial"/>
          <w:b/>
          <w:sz w:val="22"/>
        </w:rPr>
        <w:t>1.1 Curricular Relevance in Technological Higher Education</w:t>
      </w:r>
    </w:p>
    <w:p w14:paraId="149D41A7" w14:textId="77777777" w:rsidR="000403B8" w:rsidRPr="00A81E0C" w:rsidRDefault="00AC7B1E" w:rsidP="006B2B16">
      <w:pPr>
        <w:pStyle w:val="Body"/>
        <w:spacing w:after="160"/>
      </w:pPr>
      <w:r w:rsidRPr="00A81E0C">
        <w:rPr>
          <w:rFonts w:ascii="Arial" w:eastAsia="Arial" w:hAnsi="Arial" w:cs="Arial"/>
          <w:highlight w:val="yellow"/>
        </w:rPr>
        <w:t>Withi</w:t>
      </w:r>
      <w:r w:rsidRPr="00A81E0C">
        <w:rPr>
          <w:rFonts w:ascii="Arial" w:eastAsia="Arial" w:hAnsi="Arial" w:cs="Arial"/>
        </w:rPr>
        <w:t>n the framework promoted by UNESCO (2022), relevance refers to the capacity of higher education program</w:t>
      </w:r>
      <w:r w:rsidRPr="00A81E0C">
        <w:rPr>
          <w:rFonts w:ascii="Arial" w:eastAsia="Arial" w:hAnsi="Arial" w:cs="Arial"/>
          <w:highlight w:val="yellow"/>
        </w:rPr>
        <w:t>me</w:t>
      </w:r>
      <w:r w:rsidRPr="00A81E0C">
        <w:rPr>
          <w:rFonts w:ascii="Arial" w:eastAsia="Arial" w:hAnsi="Arial" w:cs="Arial"/>
        </w:rPr>
        <w:t>s to meet individual, social and labo</w:t>
      </w:r>
      <w:r w:rsidRPr="00A81E0C">
        <w:rPr>
          <w:rFonts w:ascii="Arial" w:eastAsia="Arial" w:hAnsi="Arial" w:cs="Arial"/>
          <w:highlight w:val="yellow"/>
        </w:rPr>
        <w:t>u</w:t>
      </w:r>
      <w:r w:rsidRPr="00A81E0C">
        <w:rPr>
          <w:rFonts w:ascii="Arial" w:eastAsia="Arial" w:hAnsi="Arial" w:cs="Arial"/>
        </w:rPr>
        <w:t xml:space="preserve">r-market needs with equity and quality. In technological education, it is </w:t>
      </w:r>
      <w:r w:rsidRPr="00A81E0C">
        <w:rPr>
          <w:rFonts w:ascii="Arial" w:eastAsia="Arial" w:hAnsi="Arial" w:cs="Arial"/>
          <w:highlight w:val="yellow"/>
        </w:rPr>
        <w:t>gener</w:t>
      </w:r>
      <w:r w:rsidRPr="00A81E0C">
        <w:rPr>
          <w:rFonts w:ascii="Arial" w:eastAsia="Arial" w:hAnsi="Arial" w:cs="Arial"/>
        </w:rPr>
        <w:t xml:space="preserve">ally </w:t>
      </w:r>
      <w:r w:rsidRPr="00A81E0C">
        <w:rPr>
          <w:rFonts w:ascii="Arial" w:eastAsia="Arial" w:hAnsi="Arial" w:cs="Arial"/>
          <w:highlight w:val="yellow"/>
        </w:rPr>
        <w:t>assess</w:t>
      </w:r>
      <w:r w:rsidRPr="00A81E0C">
        <w:rPr>
          <w:rFonts w:ascii="Arial" w:eastAsia="Arial" w:hAnsi="Arial" w:cs="Arial"/>
        </w:rPr>
        <w:t xml:space="preserve">ed by the </w:t>
      </w:r>
      <w:r w:rsidRPr="00A81E0C">
        <w:rPr>
          <w:rFonts w:ascii="Arial" w:eastAsia="Arial" w:hAnsi="Arial" w:cs="Arial"/>
          <w:highlight w:val="yellow"/>
        </w:rPr>
        <w:t>al</w:t>
      </w:r>
      <w:r w:rsidRPr="00A81E0C">
        <w:rPr>
          <w:rFonts w:ascii="Arial" w:eastAsia="Arial" w:hAnsi="Arial" w:cs="Arial"/>
        </w:rPr>
        <w:t>i</w:t>
      </w:r>
      <w:r w:rsidRPr="00A81E0C">
        <w:rPr>
          <w:rFonts w:ascii="Arial" w:eastAsia="Arial" w:hAnsi="Arial" w:cs="Arial"/>
          <w:highlight w:val="yellow"/>
        </w:rPr>
        <w:t>gnmen</w:t>
      </w:r>
      <w:r w:rsidRPr="00A81E0C">
        <w:rPr>
          <w:rFonts w:ascii="Arial" w:eastAsia="Arial" w:hAnsi="Arial" w:cs="Arial"/>
        </w:rPr>
        <w:t>t between three elements: the graduate profile, the competences required by industry and the content of the curriculum. A program</w:t>
      </w:r>
      <w:r w:rsidRPr="00A81E0C">
        <w:rPr>
          <w:rFonts w:ascii="Arial" w:eastAsia="Arial" w:hAnsi="Arial" w:cs="Arial"/>
          <w:highlight w:val="yellow"/>
        </w:rPr>
        <w:t>me</w:t>
      </w:r>
      <w:r w:rsidRPr="00A81E0C">
        <w:rPr>
          <w:rFonts w:ascii="Arial" w:eastAsia="Arial" w:hAnsi="Arial" w:cs="Arial"/>
        </w:rPr>
        <w:t xml:space="preserve"> can lose relevance when any of the</w:t>
      </w:r>
      <w:r w:rsidRPr="00A81E0C">
        <w:rPr>
          <w:rFonts w:ascii="Arial" w:eastAsia="Arial" w:hAnsi="Arial" w:cs="Arial"/>
          <w:highlight w:val="yellow"/>
        </w:rPr>
        <w:t>se ele</w:t>
      </w:r>
      <w:r w:rsidRPr="00A81E0C">
        <w:rPr>
          <w:rFonts w:ascii="Arial" w:eastAsia="Arial" w:hAnsi="Arial" w:cs="Arial"/>
        </w:rPr>
        <w:t>m</w:t>
      </w:r>
      <w:r w:rsidRPr="00A81E0C">
        <w:rPr>
          <w:rFonts w:ascii="Arial" w:eastAsia="Arial" w:hAnsi="Arial" w:cs="Arial"/>
          <w:highlight w:val="yellow"/>
        </w:rPr>
        <w:t>ents</w:t>
      </w:r>
      <w:r w:rsidRPr="00A81E0C">
        <w:rPr>
          <w:rFonts w:ascii="Arial" w:eastAsia="Arial" w:hAnsi="Arial" w:cs="Arial"/>
        </w:rPr>
        <w:t xml:space="preserve"> </w:t>
      </w:r>
      <w:r w:rsidRPr="00A81E0C">
        <w:rPr>
          <w:rFonts w:ascii="Arial" w:eastAsia="Arial" w:hAnsi="Arial" w:cs="Arial"/>
          <w:highlight w:val="yellow"/>
        </w:rPr>
        <w:t>becomes mis</w:t>
      </w:r>
      <w:r w:rsidRPr="00A81E0C">
        <w:rPr>
          <w:rFonts w:ascii="Arial" w:eastAsia="Arial" w:hAnsi="Arial" w:cs="Arial"/>
        </w:rPr>
        <w:t>al</w:t>
      </w:r>
      <w:r w:rsidRPr="00A81E0C">
        <w:rPr>
          <w:rFonts w:ascii="Arial" w:eastAsia="Arial" w:hAnsi="Arial" w:cs="Arial"/>
          <w:highlight w:val="yellow"/>
        </w:rPr>
        <w:t>ign</w:t>
      </w:r>
      <w:r w:rsidRPr="00A81E0C">
        <w:rPr>
          <w:rFonts w:ascii="Arial" w:eastAsia="Arial" w:hAnsi="Arial" w:cs="Arial"/>
        </w:rPr>
        <w:t>e</w:t>
      </w:r>
      <w:r w:rsidRPr="00A81E0C">
        <w:rPr>
          <w:rFonts w:ascii="Arial" w:eastAsia="Arial" w:hAnsi="Arial" w:cs="Arial"/>
          <w:highlight w:val="yellow"/>
        </w:rPr>
        <w:t>d</w:t>
      </w:r>
      <w:r w:rsidRPr="00A81E0C">
        <w:rPr>
          <w:rFonts w:ascii="Arial" w:eastAsia="Arial" w:hAnsi="Arial" w:cs="Arial"/>
        </w:rPr>
        <w:t>, even if its internal indicators remain sound.</w:t>
      </w:r>
    </w:p>
    <w:p w14:paraId="6FEC5A10" w14:textId="77777777" w:rsidR="00F333B5" w:rsidRDefault="00000000" w:rsidP="006B2B16">
      <w:pPr>
        <w:pStyle w:val="Body"/>
        <w:spacing w:after="160"/>
      </w:pPr>
      <w:r>
        <w:rPr>
          <w:b/>
          <w:highlight w:val="yellow"/>
        </w:rPr>
        <w:t>Li and Jia (2024) found that the distribution of content across logistics courses did not fully match recruitment requirements in the Chinese universities they examined.</w:t>
      </w:r>
    </w:p>
    <w:p w14:paraId="59481311" w14:textId="77777777" w:rsidR="000403B8" w:rsidRPr="00A81E0C" w:rsidRDefault="00AC7B1E" w:rsidP="006B2B16">
      <w:pPr>
        <w:pStyle w:val="Body"/>
        <w:spacing w:after="160"/>
      </w:pPr>
      <w:r w:rsidRPr="00A81E0C">
        <w:rPr>
          <w:rFonts w:ascii="Arial" w:eastAsia="Arial" w:hAnsi="Arial" w:cs="Arial"/>
        </w:rPr>
        <w:t xml:space="preserve">From the perspective of regional innovation systems, technological institutes have a specific </w:t>
      </w:r>
      <w:r w:rsidRPr="00A81E0C">
        <w:rPr>
          <w:rFonts w:ascii="Arial" w:eastAsia="Arial" w:hAnsi="Arial" w:cs="Arial"/>
          <w:highlight w:val="yellow"/>
        </w:rPr>
        <w:t>r</w:t>
      </w:r>
      <w:r w:rsidRPr="00A81E0C">
        <w:rPr>
          <w:rFonts w:ascii="Arial" w:eastAsia="Arial" w:hAnsi="Arial" w:cs="Arial"/>
        </w:rPr>
        <w:t>o</w:t>
      </w:r>
      <w:r w:rsidRPr="00A81E0C">
        <w:rPr>
          <w:rFonts w:ascii="Arial" w:eastAsia="Arial" w:hAnsi="Arial" w:cs="Arial"/>
          <w:highlight w:val="yellow"/>
        </w:rPr>
        <w:t>le</w:t>
      </w:r>
      <w:r w:rsidRPr="00A81E0C">
        <w:rPr>
          <w:rFonts w:ascii="Arial" w:eastAsia="Arial" w:hAnsi="Arial" w:cs="Arial"/>
        </w:rPr>
        <w:t>: to supply speciali</w:t>
      </w:r>
      <w:r w:rsidRPr="00A81E0C">
        <w:rPr>
          <w:rFonts w:ascii="Arial" w:eastAsia="Arial" w:hAnsi="Arial" w:cs="Arial"/>
          <w:highlight w:val="yellow"/>
        </w:rPr>
        <w:t>s</w:t>
      </w:r>
      <w:r w:rsidRPr="00A81E0C">
        <w:rPr>
          <w:rFonts w:ascii="Arial" w:eastAsia="Arial" w:hAnsi="Arial" w:cs="Arial"/>
        </w:rPr>
        <w:t xml:space="preserve">ed human capital to local productive clusters. In port and logistics regions, international experience, including the cases of Rotterdam, Singapore and Valparaíso, indicates that a supply of engineers trained in logistics is necessary for port competitiveness, </w:t>
      </w:r>
      <w:r w:rsidRPr="00A81E0C">
        <w:rPr>
          <w:rFonts w:ascii="Arial" w:eastAsia="Arial" w:hAnsi="Arial" w:cs="Arial"/>
          <w:highlight w:val="yellow"/>
        </w:rPr>
        <w:t>al</w:t>
      </w:r>
      <w:r w:rsidRPr="00A81E0C">
        <w:rPr>
          <w:rFonts w:ascii="Arial" w:eastAsia="Arial" w:hAnsi="Arial" w:cs="Arial"/>
        </w:rPr>
        <w:t>though</w:t>
      </w:r>
      <w:r w:rsidRPr="00A81E0C">
        <w:rPr>
          <w:rFonts w:ascii="Arial" w:eastAsia="Arial" w:hAnsi="Arial" w:cs="Arial"/>
          <w:highlight w:val="yellow"/>
        </w:rPr>
        <w:t xml:space="preserve"> it is</w:t>
      </w:r>
      <w:r w:rsidRPr="00A81E0C">
        <w:rPr>
          <w:rFonts w:ascii="Arial" w:eastAsia="Arial" w:hAnsi="Arial" w:cs="Arial"/>
        </w:rPr>
        <w:t xml:space="preserve"> not sufficient on its own (Notteboom et al., 2022).</w:t>
      </w:r>
    </w:p>
    <w:p w14:paraId="3D106BBC" w14:textId="77777777" w:rsidR="00F333B5" w:rsidRDefault="00000000" w:rsidP="006B2B16">
      <w:pPr>
        <w:pStyle w:val="Body"/>
        <w:spacing w:after="160"/>
      </w:pPr>
      <w:r>
        <w:rPr>
          <w:b/>
          <w:highlight w:val="yellow"/>
        </w:rPr>
        <w:t>For maritime-related university programmes, Dai and Chen (2026) identified compatibility between training plans and industry needs, alongside school–enterprise cooperation, as pertinent considerations in industry–education integration.</w:t>
      </w:r>
    </w:p>
    <w:p w14:paraId="3A01EF1A" w14:textId="77777777" w:rsidR="00F333B5" w:rsidRDefault="00000000" w:rsidP="006B2B16">
      <w:pPr>
        <w:pStyle w:val="Body"/>
        <w:spacing w:after="160"/>
      </w:pPr>
      <w:r>
        <w:rPr>
          <w:b/>
          <w:highlight w:val="yellow"/>
        </w:rPr>
        <w:lastRenderedPageBreak/>
        <w:t>Dubois et al. (2026) similarly identified employer engagement and experiential learning as considerations when revising supply chain management curricula.</w:t>
      </w:r>
    </w:p>
    <w:p w14:paraId="773E902F" w14:textId="77777777" w:rsidR="000403B8" w:rsidRPr="00A81E0C" w:rsidRDefault="00AC7B1E" w:rsidP="006B2B16">
      <w:pPr>
        <w:pStyle w:val="Body"/>
        <w:spacing w:after="160"/>
      </w:pPr>
      <w:r w:rsidRPr="00A81E0C">
        <w:rPr>
          <w:rFonts w:ascii="Arial" w:eastAsia="Arial" w:hAnsi="Arial" w:cs="Arial"/>
        </w:rPr>
        <w:t xml:space="preserve">The literature on Logistics 4.0 describes a profile that </w:t>
      </w:r>
      <w:r w:rsidRPr="00A81E0C">
        <w:rPr>
          <w:rFonts w:ascii="Arial" w:eastAsia="Arial" w:hAnsi="Arial" w:cs="Arial"/>
          <w:highlight w:val="yellow"/>
        </w:rPr>
        <w:t>c</w:t>
      </w:r>
      <w:r w:rsidRPr="00A81E0C">
        <w:rPr>
          <w:rFonts w:ascii="Arial" w:eastAsia="Arial" w:hAnsi="Arial" w:cs="Arial"/>
        </w:rPr>
        <w:t>o</w:t>
      </w:r>
      <w:r w:rsidRPr="00A81E0C">
        <w:rPr>
          <w:rFonts w:ascii="Arial" w:eastAsia="Arial" w:hAnsi="Arial" w:cs="Arial"/>
          <w:highlight w:val="yellow"/>
        </w:rPr>
        <w:t>mb</w:t>
      </w:r>
      <w:r w:rsidRPr="00A81E0C">
        <w:rPr>
          <w:rFonts w:ascii="Arial" w:eastAsia="Arial" w:hAnsi="Arial" w:cs="Arial"/>
        </w:rPr>
        <w:t>in</w:t>
      </w:r>
      <w:r w:rsidRPr="00A81E0C">
        <w:rPr>
          <w:rFonts w:ascii="Arial" w:eastAsia="Arial" w:hAnsi="Arial" w:cs="Arial"/>
          <w:highlight w:val="yellow"/>
        </w:rPr>
        <w:t>e</w:t>
      </w:r>
      <w:r w:rsidRPr="00A81E0C">
        <w:rPr>
          <w:rFonts w:ascii="Arial" w:eastAsia="Arial" w:hAnsi="Arial" w:cs="Arial"/>
        </w:rPr>
        <w:t xml:space="preserve">s </w:t>
      </w:r>
      <w:r w:rsidRPr="00A81E0C">
        <w:rPr>
          <w:rFonts w:ascii="Arial" w:eastAsia="Arial" w:hAnsi="Arial" w:cs="Arial"/>
          <w:highlight w:val="yellow"/>
        </w:rPr>
        <w:t>estab</w:t>
      </w:r>
      <w:r w:rsidRPr="00A81E0C">
        <w:rPr>
          <w:rFonts w:ascii="Arial" w:eastAsia="Arial" w:hAnsi="Arial" w:cs="Arial"/>
        </w:rPr>
        <w:t>l</w:t>
      </w:r>
      <w:r w:rsidRPr="00A81E0C">
        <w:rPr>
          <w:rFonts w:ascii="Arial" w:eastAsia="Arial" w:hAnsi="Arial" w:cs="Arial"/>
          <w:highlight w:val="yellow"/>
        </w:rPr>
        <w:t>i</w:t>
      </w:r>
      <w:r w:rsidRPr="00A81E0C">
        <w:rPr>
          <w:rFonts w:ascii="Arial" w:eastAsia="Arial" w:hAnsi="Arial" w:cs="Arial"/>
        </w:rPr>
        <w:t>s</w:t>
      </w:r>
      <w:r w:rsidRPr="00A81E0C">
        <w:rPr>
          <w:rFonts w:ascii="Arial" w:eastAsia="Arial" w:hAnsi="Arial" w:cs="Arial"/>
          <w:highlight w:val="yellow"/>
        </w:rPr>
        <w:t>hed</w:t>
      </w:r>
      <w:r w:rsidRPr="00A81E0C">
        <w:rPr>
          <w:rFonts w:ascii="Arial" w:eastAsia="Arial" w:hAnsi="Arial" w:cs="Arial"/>
        </w:rPr>
        <w:t xml:space="preserve"> technical skills, such as route optimi</w:t>
      </w:r>
      <w:r w:rsidRPr="00A81E0C">
        <w:rPr>
          <w:rFonts w:ascii="Arial" w:eastAsia="Arial" w:hAnsi="Arial" w:cs="Arial"/>
          <w:highlight w:val="yellow"/>
        </w:rPr>
        <w:t>s</w:t>
      </w:r>
      <w:r w:rsidRPr="00A81E0C">
        <w:rPr>
          <w:rFonts w:ascii="Arial" w:eastAsia="Arial" w:hAnsi="Arial" w:cs="Arial"/>
        </w:rPr>
        <w:t>ation, inventory management and network design, with newer digital competences: data analytics based on machine learning, digital twins for warehouse operations, robotic automation and supply chain cybersecurity (Ivanov &amp; Dolgui, 2022; Sheffi, 2023). In warehousing, systematic reviews document the operational benefits of these technologies alongside the barriers to adopting them, among which cost</w:t>
      </w:r>
      <w:r w:rsidRPr="00A81E0C">
        <w:rPr>
          <w:rFonts w:ascii="Arial" w:eastAsia="Arial" w:hAnsi="Arial" w:cs="Arial"/>
          <w:highlight w:val="yellow"/>
        </w:rPr>
        <w:t>s</w:t>
      </w:r>
      <w:r w:rsidRPr="00A81E0C">
        <w:rPr>
          <w:rFonts w:ascii="Arial" w:eastAsia="Arial" w:hAnsi="Arial" w:cs="Arial"/>
        </w:rPr>
        <w:t xml:space="preserve"> and shortage</w:t>
      </w:r>
      <w:r w:rsidRPr="00A81E0C">
        <w:rPr>
          <w:rFonts w:ascii="Arial" w:eastAsia="Arial" w:hAnsi="Arial" w:cs="Arial"/>
          <w:highlight w:val="yellow"/>
        </w:rPr>
        <w:t>s</w:t>
      </w:r>
      <w:r w:rsidRPr="00A81E0C">
        <w:rPr>
          <w:rFonts w:ascii="Arial" w:eastAsia="Arial" w:hAnsi="Arial" w:cs="Arial"/>
        </w:rPr>
        <w:t xml:space="preserve"> of qualified staff recur (Perotti et al., 2022; Tikwayo &amp; Mathaba, 2023). Mohsen (2023) traces the same technologies across supply chain management more broadly. For universities, the implication is that teaching resources and software need continuous updating, </w:t>
      </w:r>
      <w:r w:rsidRPr="00A81E0C">
        <w:rPr>
          <w:rFonts w:ascii="Arial" w:eastAsia="Arial" w:hAnsi="Arial" w:cs="Arial"/>
          <w:highlight w:val="yellow"/>
        </w:rPr>
        <w:t>prov</w:t>
      </w:r>
      <w:r w:rsidRPr="00A81E0C">
        <w:rPr>
          <w:rFonts w:ascii="Arial" w:eastAsia="Arial" w:hAnsi="Arial" w:cs="Arial"/>
        </w:rPr>
        <w:t>i</w:t>
      </w:r>
      <w:r w:rsidRPr="00A81E0C">
        <w:rPr>
          <w:rFonts w:ascii="Arial" w:eastAsia="Arial" w:hAnsi="Arial" w:cs="Arial"/>
          <w:highlight w:val="yellow"/>
        </w:rPr>
        <w:t>d</w:t>
      </w:r>
      <w:r w:rsidRPr="00A81E0C">
        <w:rPr>
          <w:rFonts w:ascii="Arial" w:eastAsia="Arial" w:hAnsi="Arial" w:cs="Arial"/>
        </w:rPr>
        <w:t>i</w:t>
      </w:r>
      <w:r w:rsidRPr="00A81E0C">
        <w:rPr>
          <w:rFonts w:ascii="Arial" w:eastAsia="Arial" w:hAnsi="Arial" w:cs="Arial"/>
          <w:highlight w:val="yellow"/>
        </w:rPr>
        <w:t>ng</w:t>
      </w:r>
      <w:r w:rsidRPr="00A81E0C">
        <w:rPr>
          <w:rFonts w:ascii="Arial" w:eastAsia="Arial" w:hAnsi="Arial" w:cs="Arial"/>
        </w:rPr>
        <w:t xml:space="preserve"> the rationale for the moderni</w:t>
      </w:r>
      <w:r w:rsidRPr="00A81E0C">
        <w:rPr>
          <w:rFonts w:ascii="Arial" w:eastAsia="Arial" w:hAnsi="Arial" w:cs="Arial"/>
          <w:highlight w:val="yellow"/>
        </w:rPr>
        <w:t>s</w:t>
      </w:r>
      <w:r w:rsidRPr="00A81E0C">
        <w:rPr>
          <w:rFonts w:ascii="Arial" w:eastAsia="Arial" w:hAnsi="Arial" w:cs="Arial"/>
        </w:rPr>
        <w:t>ation measures proposed later in this article.</w:t>
      </w:r>
    </w:p>
    <w:p w14:paraId="362E4FD0" w14:textId="77777777" w:rsidR="00F333B5" w:rsidRDefault="00000000" w:rsidP="006B2B16">
      <w:pPr>
        <w:pStyle w:val="Body"/>
        <w:spacing w:after="160"/>
      </w:pPr>
      <w:r>
        <w:rPr>
          <w:b/>
          <w:highlight w:val="yellow"/>
        </w:rPr>
        <w:t>Belmonte et al. (2023) described an instructional approach that uses low-cost technologies to develop intelligent warehouse management skills in industrial engineering education.</w:t>
      </w:r>
    </w:p>
    <w:p w14:paraId="29B8B867" w14:textId="77777777" w:rsidR="000403B8" w:rsidRPr="00A81E0C" w:rsidRDefault="00AC7B1E" w:rsidP="006B2B16">
      <w:pPr>
        <w:pStyle w:val="Body"/>
        <w:spacing w:after="160"/>
      </w:pPr>
      <w:r w:rsidRPr="00A81E0C">
        <w:rPr>
          <w:rFonts w:ascii="Arial" w:eastAsia="Arial" w:hAnsi="Arial" w:cs="Arial"/>
        </w:rPr>
        <w:t xml:space="preserve">In </w:t>
      </w:r>
      <w:r w:rsidR="00257238" w:rsidRPr="00A81E0C">
        <w:rPr>
          <w:rFonts w:ascii="Arial" w:eastAsia="Arial" w:hAnsi="Arial" w:cs="Arial"/>
        </w:rPr>
        <w:t>Mexico, Guadarrama Atrizco and Pedraza Amador (2025) identify a gap between the training of the logistics workforce and the sector’s requirements, using the U.S. Department of Labo</w:t>
      </w:r>
      <w:r w:rsidR="00257238" w:rsidRPr="00A81E0C">
        <w:rPr>
          <w:rFonts w:ascii="Arial" w:eastAsia="Arial" w:hAnsi="Arial" w:cs="Arial"/>
          <w:highlight w:val="yellow"/>
        </w:rPr>
        <w:t>u</w:t>
      </w:r>
      <w:r w:rsidR="00257238" w:rsidRPr="00A81E0C">
        <w:rPr>
          <w:rFonts w:ascii="Arial" w:eastAsia="Arial" w:hAnsi="Arial" w:cs="Arial"/>
        </w:rPr>
        <w:t>r’s industry competency model as a benchmark. These findings support ITC</w:t>
      </w:r>
      <w:r w:rsidR="00257238" w:rsidRPr="00A81E0C">
        <w:rPr>
          <w:rFonts w:ascii="Cambria Math" w:eastAsia="Arial" w:hAnsi="Cambria Math" w:cs="Cambria Math"/>
        </w:rPr>
        <w:t>‑</w:t>
      </w:r>
      <w:r w:rsidR="00257238" w:rsidRPr="00A81E0C">
        <w:rPr>
          <w:rFonts w:ascii="Arial" w:eastAsia="Arial" w:hAnsi="Arial" w:cs="Arial"/>
        </w:rPr>
        <w:t>TecNM’s decision to maintain speciali</w:t>
      </w:r>
      <w:r w:rsidR="00257238" w:rsidRPr="00A81E0C">
        <w:rPr>
          <w:rFonts w:ascii="Arial" w:eastAsia="Arial" w:hAnsi="Arial" w:cs="Arial"/>
          <w:highlight w:val="yellow"/>
        </w:rPr>
        <w:t>s</w:t>
      </w:r>
      <w:r w:rsidR="00257238" w:rsidRPr="00A81E0C">
        <w:rPr>
          <w:rFonts w:ascii="Arial" w:eastAsia="Arial" w:hAnsi="Arial" w:cs="Arial"/>
        </w:rPr>
        <w:t>ations aligned with the region’s productive profile.</w:t>
      </w:r>
    </w:p>
    <w:p w14:paraId="2E871917" w14:textId="77777777" w:rsidR="00F333B5" w:rsidRDefault="00000000" w:rsidP="006B2B16">
      <w:pPr>
        <w:pStyle w:val="Body"/>
        <w:spacing w:after="160"/>
      </w:pPr>
      <w:r>
        <w:rPr>
          <w:b/>
          <w:highlight w:val="yellow"/>
        </w:rPr>
        <w:t>A review by Olatunji (2025) also describes the use of data-analytic methods in supply chain forecasting and inventory management, subjects that are aligned with the digital competencies discussed in this subsection.</w:t>
      </w:r>
    </w:p>
    <w:p w14:paraId="0FDA60C0" w14:textId="77777777" w:rsidR="000403B8" w:rsidRPr="00A81E0C" w:rsidRDefault="000403B8" w:rsidP="006B2B16">
      <w:pPr>
        <w:pStyle w:val="Body"/>
        <w:spacing w:after="0"/>
      </w:pPr>
    </w:p>
    <w:p w14:paraId="47BE4D9D" w14:textId="77777777" w:rsidR="00F333B5" w:rsidRDefault="00000000" w:rsidP="006B2B16">
      <w:pPr>
        <w:pStyle w:val="Body"/>
        <w:spacing w:after="80"/>
      </w:pPr>
      <w:r>
        <w:rPr>
          <w:b/>
          <w:highlight w:val="yellow"/>
        </w:rPr>
        <w:t>1.2 Research Gap and Study Objectives</w:t>
      </w:r>
    </w:p>
    <w:p w14:paraId="6AB44BC9" w14:textId="77777777" w:rsidR="00F333B5" w:rsidRDefault="00000000" w:rsidP="006B2B16">
      <w:pPr>
        <w:pStyle w:val="Body"/>
        <w:spacing w:after="160"/>
      </w:pPr>
      <w:r>
        <w:rPr>
          <w:b/>
          <w:highlight w:val="yellow"/>
        </w:rPr>
        <w:t>The evidence reviewed in this case calls for a programme-level assessment that considers regional logistics activity alongside student preferences, academic indicators, faculty resources and access to digital tools. Port activity and expressions of student interest, considered alone, cannot establish whether the proposed specialisation is supported by the institution’s teaching and technological capacities. The assessment therefore examines these dimensions together, while recognizing that the available data do not directly establish employers' competency requirements or graduate employment outcomes.</w:t>
      </w:r>
    </w:p>
    <w:p w14:paraId="21CC505D" w14:textId="77777777" w:rsidR="000403B8" w:rsidRPr="00A81E0C" w:rsidRDefault="00AC7B1E" w:rsidP="006B2B16">
      <w:pPr>
        <w:pStyle w:val="Body"/>
        <w:spacing w:after="160"/>
      </w:pPr>
      <w:r w:rsidRPr="00A81E0C">
        <w:rPr>
          <w:rFonts w:ascii="Arial" w:eastAsia="Arial" w:hAnsi="Arial" w:cs="Arial"/>
        </w:rPr>
        <w:t>This study assesses the relevance of that speciali</w:t>
      </w:r>
      <w:r w:rsidRPr="00A81E0C">
        <w:rPr>
          <w:rFonts w:ascii="Arial" w:eastAsia="Arial" w:hAnsi="Arial" w:cs="Arial"/>
          <w:highlight w:val="yellow"/>
        </w:rPr>
        <w:t>s</w:t>
      </w:r>
      <w:r w:rsidRPr="00A81E0C">
        <w:rPr>
          <w:rFonts w:ascii="Arial" w:eastAsia="Arial" w:hAnsi="Arial" w:cs="Arial"/>
        </w:rPr>
        <w:t>ation by examining the institutional capacities of the Industrial Engineering program</w:t>
      </w:r>
      <w:r w:rsidRPr="00A81E0C">
        <w:rPr>
          <w:rFonts w:ascii="Arial" w:eastAsia="Arial" w:hAnsi="Arial" w:cs="Arial"/>
          <w:highlight w:val="yellow"/>
        </w:rPr>
        <w:t>me</w:t>
      </w:r>
      <w:r w:rsidRPr="00A81E0C">
        <w:rPr>
          <w:rFonts w:ascii="Arial" w:eastAsia="Arial" w:hAnsi="Arial" w:cs="Arial"/>
        </w:rPr>
        <w:t xml:space="preserve"> together with the regional geoeconomic context. The analysis is organi</w:t>
      </w:r>
      <w:r w:rsidRPr="00A81E0C">
        <w:rPr>
          <w:rFonts w:ascii="Arial" w:eastAsia="Arial" w:hAnsi="Arial" w:cs="Arial"/>
          <w:highlight w:val="yellow"/>
        </w:rPr>
        <w:t>s</w:t>
      </w:r>
      <w:r w:rsidRPr="00A81E0C">
        <w:rPr>
          <w:rFonts w:ascii="Arial" w:eastAsia="Arial" w:hAnsi="Arial" w:cs="Arial"/>
        </w:rPr>
        <w:t>ed around four axes: (1) the geoeconomic role of Colima as a logistics node; (2) the academic and institutional indicators of the program</w:t>
      </w:r>
      <w:r w:rsidRPr="00A81E0C">
        <w:rPr>
          <w:rFonts w:ascii="Arial" w:eastAsia="Arial" w:hAnsi="Arial" w:cs="Arial"/>
          <w:highlight w:val="yellow"/>
        </w:rPr>
        <w:t>me</w:t>
      </w:r>
      <w:r w:rsidRPr="00A81E0C">
        <w:rPr>
          <w:rFonts w:ascii="Arial" w:eastAsia="Arial" w:hAnsi="Arial" w:cs="Arial"/>
        </w:rPr>
        <w:t>; (3) the available faculty and infrastructure; and (4) an operational plan to strengthen the speciali</w:t>
      </w:r>
      <w:r w:rsidRPr="00A81E0C">
        <w:rPr>
          <w:rFonts w:ascii="Arial" w:eastAsia="Arial" w:hAnsi="Arial" w:cs="Arial"/>
          <w:highlight w:val="yellow"/>
        </w:rPr>
        <w:t>s</w:t>
      </w:r>
      <w:r w:rsidRPr="00A81E0C">
        <w:rPr>
          <w:rFonts w:ascii="Arial" w:eastAsia="Arial" w:hAnsi="Arial" w:cs="Arial"/>
        </w:rPr>
        <w:t>ation, with monitoring indicators. The empirical evidence comes from a student survey conducted in March 2026 and from a capacity study prepared by the program</w:t>
      </w:r>
      <w:r w:rsidRPr="00A81E0C">
        <w:rPr>
          <w:rFonts w:ascii="Arial" w:eastAsia="Arial" w:hAnsi="Arial" w:cs="Arial"/>
          <w:highlight w:val="yellow"/>
        </w:rPr>
        <w:t>me</w:t>
      </w:r>
      <w:r w:rsidRPr="00A81E0C">
        <w:rPr>
          <w:rFonts w:ascii="Arial" w:eastAsia="Arial" w:hAnsi="Arial" w:cs="Arial"/>
        </w:rPr>
        <w:t>'s Academy of Industrial Engineering.</w:t>
      </w:r>
    </w:p>
    <w:p w14:paraId="3633BA4E" w14:textId="77777777" w:rsidR="000403B8" w:rsidRPr="00A81E0C" w:rsidRDefault="00AC7B1E" w:rsidP="006B2B16">
      <w:pPr>
        <w:pStyle w:val="AbstHead"/>
        <w:spacing w:after="120"/>
        <w:jc w:val="both"/>
      </w:pPr>
      <w:r w:rsidRPr="00A81E0C">
        <w:rPr>
          <w:rFonts w:ascii="Arial" w:eastAsia="Arial" w:hAnsi="Arial" w:cs="Arial"/>
        </w:rPr>
        <w:t>2. METHODOLOGY</w:t>
      </w:r>
    </w:p>
    <w:p w14:paraId="797F16DA" w14:textId="77777777" w:rsidR="000403B8" w:rsidRPr="00A81E0C" w:rsidRDefault="00AC7B1E" w:rsidP="006B2B16">
      <w:pPr>
        <w:pStyle w:val="Body"/>
        <w:keepNext/>
        <w:spacing w:before="80" w:after="80"/>
      </w:pPr>
      <w:r w:rsidRPr="00A81E0C">
        <w:rPr>
          <w:rFonts w:ascii="Arial" w:eastAsia="Arial" w:hAnsi="Arial" w:cs="Arial"/>
          <w:b/>
          <w:sz w:val="22"/>
        </w:rPr>
        <w:t>2.1 Study Design</w:t>
      </w:r>
    </w:p>
    <w:p w14:paraId="1B9CA534" w14:textId="77777777" w:rsidR="000403B8" w:rsidRPr="00A81E0C" w:rsidRDefault="00AC7B1E" w:rsidP="006B2B16">
      <w:pPr>
        <w:pStyle w:val="Body"/>
        <w:spacing w:after="160"/>
      </w:pPr>
      <w:r w:rsidRPr="00A81E0C">
        <w:rPr>
          <w:rFonts w:ascii="Arial" w:eastAsia="Arial" w:hAnsi="Arial" w:cs="Arial"/>
        </w:rPr>
        <w:t xml:space="preserve">The study </w:t>
      </w:r>
      <w:r w:rsidRPr="00A81E0C">
        <w:rPr>
          <w:rFonts w:ascii="Arial" w:eastAsia="Arial" w:hAnsi="Arial" w:cs="Arial"/>
          <w:highlight w:val="yellow"/>
        </w:rPr>
        <w:t>emp</w:t>
      </w:r>
      <w:r w:rsidRPr="00A81E0C">
        <w:rPr>
          <w:rFonts w:ascii="Arial" w:eastAsia="Arial" w:hAnsi="Arial" w:cs="Arial"/>
        </w:rPr>
        <w:t>lo</w:t>
      </w:r>
      <w:r w:rsidRPr="00A81E0C">
        <w:rPr>
          <w:rFonts w:ascii="Arial" w:eastAsia="Arial" w:hAnsi="Arial" w:cs="Arial"/>
          <w:highlight w:val="yellow"/>
        </w:rPr>
        <w:t>y</w:t>
      </w:r>
      <w:r w:rsidRPr="00A81E0C">
        <w:rPr>
          <w:rFonts w:ascii="Arial" w:eastAsia="Arial" w:hAnsi="Arial" w:cs="Arial"/>
        </w:rPr>
        <w:t>ed a convergent mixed-methods design (Creswell &amp; Creswell, 2023). Quantitative analysis of institutional indicators was combined with qualitative documentary analysis of the regional socioeconomic context. Each strand was analy</w:t>
      </w:r>
      <w:r w:rsidRPr="00A81E0C">
        <w:rPr>
          <w:rFonts w:ascii="Arial" w:eastAsia="Arial" w:hAnsi="Arial" w:cs="Arial"/>
          <w:highlight w:val="yellow"/>
        </w:rPr>
        <w:t>s</w:t>
      </w:r>
      <w:r w:rsidRPr="00A81E0C">
        <w:rPr>
          <w:rFonts w:ascii="Arial" w:eastAsia="Arial" w:hAnsi="Arial" w:cs="Arial"/>
        </w:rPr>
        <w:t>ed separately, and the results were integrated at the interpretation stage.</w:t>
      </w:r>
    </w:p>
    <w:p w14:paraId="637A870B" w14:textId="77777777" w:rsidR="000403B8" w:rsidRPr="00A81E0C" w:rsidRDefault="00AC7B1E" w:rsidP="006B2B16">
      <w:pPr>
        <w:pStyle w:val="Body"/>
        <w:keepNext/>
        <w:spacing w:before="80" w:after="80"/>
      </w:pPr>
      <w:r w:rsidRPr="00A81E0C">
        <w:rPr>
          <w:rFonts w:ascii="Arial" w:eastAsia="Arial" w:hAnsi="Arial" w:cs="Arial"/>
          <w:b/>
          <w:sz w:val="22"/>
        </w:rPr>
        <w:lastRenderedPageBreak/>
        <w:t>2.2 Data Sources</w:t>
      </w:r>
    </w:p>
    <w:p w14:paraId="6E9B91F3" w14:textId="77777777" w:rsidR="000403B8" w:rsidRPr="00A81E0C" w:rsidRDefault="00AC7B1E" w:rsidP="006B2B16">
      <w:pPr>
        <w:pStyle w:val="Body"/>
        <w:spacing w:after="160"/>
      </w:pPr>
      <w:r w:rsidRPr="00A81E0C">
        <w:rPr>
          <w:rFonts w:ascii="Arial" w:eastAsia="Arial" w:hAnsi="Arial" w:cs="Arial"/>
        </w:rPr>
        <w:t>Data were drawn from four sources.</w:t>
      </w:r>
    </w:p>
    <w:p w14:paraId="613B1920" w14:textId="77777777" w:rsidR="000403B8" w:rsidRPr="00A81E0C" w:rsidRDefault="00AC7B1E" w:rsidP="006B2B16">
      <w:pPr>
        <w:pStyle w:val="Body"/>
        <w:spacing w:after="160"/>
      </w:pPr>
      <w:r w:rsidRPr="00A81E0C">
        <w:rPr>
          <w:rFonts w:ascii="Arial" w:eastAsia="Arial" w:hAnsi="Arial" w:cs="Arial"/>
          <w:i/>
        </w:rPr>
        <w:t>Institutional capacity study.</w:t>
      </w:r>
      <w:r w:rsidRPr="00A81E0C">
        <w:rPr>
          <w:rFonts w:ascii="Arial" w:eastAsia="Arial" w:hAnsi="Arial" w:cs="Arial"/>
        </w:rPr>
        <w:t xml:space="preserve"> The Academy of Industrial Engineering of ITC-TecNM prepared this study in the first half of 2026 (unpublished institutional report). It is based on records from the Academic, Planning and Administrative Deputy Directorates, the Department of School Services and the Annual Results Reports for 2023, 2024 and 2025. It covers academic indicators for the four cohorts with consolidated data (2017–2026), </w:t>
      </w:r>
      <w:r w:rsidRPr="00A81E0C">
        <w:rPr>
          <w:rFonts w:ascii="Arial" w:eastAsia="Arial" w:hAnsi="Arial" w:cs="Arial"/>
          <w:highlight w:val="yellow"/>
        </w:rPr>
        <w:t>an</w:t>
      </w:r>
      <w:r w:rsidRPr="00A81E0C">
        <w:rPr>
          <w:rFonts w:ascii="Arial" w:eastAsia="Arial" w:hAnsi="Arial" w:cs="Arial"/>
        </w:rPr>
        <w:t xml:space="preserve"> inventory of physical and technical infrastructure and the profile of the teaching staff.</w:t>
      </w:r>
    </w:p>
    <w:p w14:paraId="333FD896" w14:textId="77777777" w:rsidR="000403B8" w:rsidRPr="00A81E0C" w:rsidRDefault="00AC7B1E" w:rsidP="006B2B16">
      <w:pPr>
        <w:pStyle w:val="Body"/>
        <w:spacing w:after="160"/>
      </w:pPr>
      <w:r w:rsidRPr="00A81E0C">
        <w:rPr>
          <w:rFonts w:ascii="Arial" w:eastAsia="Arial" w:hAnsi="Arial" w:cs="Arial"/>
          <w:i/>
        </w:rPr>
        <w:t>Student survey.</w:t>
      </w:r>
      <w:r w:rsidRPr="00A81E0C">
        <w:rPr>
          <w:rFonts w:ascii="Arial" w:eastAsia="Arial" w:hAnsi="Arial" w:cs="Arial"/>
        </w:rPr>
        <w:t xml:space="preserve"> A ten-item questionnaire was administered in March 2026 and </w:t>
      </w:r>
      <w:r w:rsidRPr="00A81E0C">
        <w:rPr>
          <w:rFonts w:ascii="Arial" w:eastAsia="Arial" w:hAnsi="Arial" w:cs="Arial"/>
          <w:highlight w:val="yellow"/>
        </w:rPr>
        <w:t>compl</w:t>
      </w:r>
      <w:r w:rsidRPr="00A81E0C">
        <w:rPr>
          <w:rFonts w:ascii="Arial" w:eastAsia="Arial" w:hAnsi="Arial" w:cs="Arial"/>
        </w:rPr>
        <w:t>e</w:t>
      </w:r>
      <w:r w:rsidRPr="00A81E0C">
        <w:rPr>
          <w:rFonts w:ascii="Arial" w:eastAsia="Arial" w:hAnsi="Arial" w:cs="Arial"/>
          <w:highlight w:val="yellow"/>
        </w:rPr>
        <w:t>t</w:t>
      </w:r>
      <w:r w:rsidRPr="00A81E0C">
        <w:rPr>
          <w:rFonts w:ascii="Arial" w:eastAsia="Arial" w:hAnsi="Arial" w:cs="Arial"/>
        </w:rPr>
        <w:t>ed by 438 of the 460 active students in the program</w:t>
      </w:r>
      <w:r w:rsidRPr="00A81E0C">
        <w:rPr>
          <w:rFonts w:ascii="Arial" w:eastAsia="Arial" w:hAnsi="Arial" w:cs="Arial"/>
          <w:highlight w:val="yellow"/>
        </w:rPr>
        <w:t>me</w:t>
      </w:r>
      <w:r w:rsidRPr="00A81E0C">
        <w:rPr>
          <w:rFonts w:ascii="Arial" w:eastAsia="Arial" w:hAnsi="Arial" w:cs="Arial"/>
        </w:rPr>
        <w:t xml:space="preserve"> (95.2%). The items covered place of origin, socioeconomic status, source of funding for studies, preferred area of speciali</w:t>
      </w:r>
      <w:r w:rsidRPr="00A81E0C">
        <w:rPr>
          <w:rFonts w:ascii="Arial" w:eastAsia="Arial" w:hAnsi="Arial" w:cs="Arial"/>
          <w:highlight w:val="yellow"/>
        </w:rPr>
        <w:t>s</w:t>
      </w:r>
      <w:r w:rsidRPr="00A81E0C">
        <w:rPr>
          <w:rFonts w:ascii="Arial" w:eastAsia="Arial" w:hAnsi="Arial" w:cs="Arial"/>
        </w:rPr>
        <w:t>ation, satisfaction with the program</w:t>
      </w:r>
      <w:r w:rsidRPr="00A81E0C">
        <w:rPr>
          <w:rFonts w:ascii="Arial" w:eastAsia="Arial" w:hAnsi="Arial" w:cs="Arial"/>
          <w:highlight w:val="yellow"/>
        </w:rPr>
        <w:t>me</w:t>
      </w:r>
      <w:r w:rsidRPr="00A81E0C">
        <w:rPr>
          <w:rFonts w:ascii="Arial" w:eastAsia="Arial" w:hAnsi="Arial" w:cs="Arial"/>
        </w:rPr>
        <w:t xml:space="preserve"> (rated on a 1–10 scale), employment expectations and perceived attainment of the graduate profile. </w:t>
      </w:r>
      <w:r w:rsidRPr="00A81E0C">
        <w:rPr>
          <w:rFonts w:ascii="Arial" w:eastAsia="Arial" w:hAnsi="Arial" w:cs="Arial"/>
          <w:highlight w:val="yellow"/>
        </w:rPr>
        <w:t>As</w:t>
      </w:r>
      <w:r w:rsidRPr="00A81E0C">
        <w:rPr>
          <w:rFonts w:ascii="Arial" w:eastAsia="Arial" w:hAnsi="Arial" w:cs="Arial"/>
        </w:rPr>
        <w:t xml:space="preserve"> coverage was nearly complete, the results describe the active student population </w:t>
      </w:r>
      <w:r w:rsidRPr="00A81E0C">
        <w:rPr>
          <w:rFonts w:ascii="Arial" w:eastAsia="Arial" w:hAnsi="Arial" w:cs="Arial"/>
          <w:highlight w:val="yellow"/>
        </w:rPr>
        <w:t>in</w:t>
      </w:r>
      <w:r w:rsidRPr="00A81E0C">
        <w:rPr>
          <w:rFonts w:ascii="Arial" w:eastAsia="Arial" w:hAnsi="Arial" w:cs="Arial"/>
        </w:rPr>
        <w:t xml:space="preserve"> censu</w:t>
      </w:r>
      <w:r w:rsidRPr="00A81E0C">
        <w:rPr>
          <w:rFonts w:ascii="Arial" w:eastAsia="Arial" w:hAnsi="Arial" w:cs="Arial"/>
          <w:highlight w:val="yellow"/>
        </w:rPr>
        <w:t>s-like term</w:t>
      </w:r>
      <w:r w:rsidRPr="00A81E0C">
        <w:rPr>
          <w:rFonts w:ascii="Arial" w:eastAsia="Arial" w:hAnsi="Arial" w:cs="Arial"/>
        </w:rPr>
        <w:t>s rather than estimat</w:t>
      </w:r>
      <w:r w:rsidRPr="00A81E0C">
        <w:rPr>
          <w:rFonts w:ascii="Arial" w:eastAsia="Arial" w:hAnsi="Arial" w:cs="Arial"/>
          <w:highlight w:val="yellow"/>
        </w:rPr>
        <w:t>ing</w:t>
      </w:r>
      <w:r w:rsidRPr="00A81E0C">
        <w:rPr>
          <w:rFonts w:ascii="Arial" w:eastAsia="Arial" w:hAnsi="Arial" w:cs="Arial"/>
        </w:rPr>
        <w:t xml:space="preserve"> it</w:t>
      </w:r>
      <w:r w:rsidRPr="00A81E0C">
        <w:rPr>
          <w:rFonts w:ascii="Arial" w:eastAsia="Arial" w:hAnsi="Arial" w:cs="Arial"/>
          <w:highlight w:val="yellow"/>
        </w:rPr>
        <w:t>s characteristics</w:t>
      </w:r>
      <w:r w:rsidRPr="00A81E0C">
        <w:rPr>
          <w:rFonts w:ascii="Arial" w:eastAsia="Arial" w:hAnsi="Arial" w:cs="Arial"/>
        </w:rPr>
        <w:t xml:space="preserve"> from a</w:t>
      </w:r>
      <w:r w:rsidRPr="00A81E0C">
        <w:rPr>
          <w:rFonts w:ascii="Arial" w:eastAsia="Arial" w:hAnsi="Arial" w:cs="Arial"/>
          <w:highlight w:val="yellow"/>
        </w:rPr>
        <w:t xml:space="preserve"> small</w:t>
      </w:r>
      <w:r w:rsidRPr="00A81E0C">
        <w:rPr>
          <w:rFonts w:ascii="Arial" w:eastAsia="Arial" w:hAnsi="Arial" w:cs="Arial"/>
        </w:rPr>
        <w:t xml:space="preserve"> sample. Participation was anonymous and voluntary.</w:t>
      </w:r>
    </w:p>
    <w:p w14:paraId="3364C4EA" w14:textId="77777777" w:rsidR="000403B8" w:rsidRPr="00A81E0C" w:rsidRDefault="00AC7B1E" w:rsidP="006B2B16">
      <w:pPr>
        <w:pStyle w:val="Body"/>
        <w:spacing w:after="160"/>
      </w:pPr>
      <w:r w:rsidRPr="00A81E0C">
        <w:rPr>
          <w:rFonts w:ascii="Arial" w:eastAsia="Arial" w:hAnsi="Arial" w:cs="Arial"/>
          <w:i/>
        </w:rPr>
        <w:t>Port and regional economic data.</w:t>
      </w:r>
      <w:r w:rsidRPr="00A81E0C">
        <w:rPr>
          <w:rFonts w:ascii="Arial" w:eastAsia="Arial" w:hAnsi="Arial" w:cs="Arial"/>
        </w:rPr>
        <w:t xml:space="preserve"> Annual container statistics were obtained from the port authority of Manzanillo (ASIPONA Manzanillo, formerly the Administración </w:t>
      </w:r>
      <w:proofErr w:type="spellStart"/>
      <w:r w:rsidRPr="00A81E0C">
        <w:rPr>
          <w:rFonts w:ascii="Arial" w:eastAsia="Arial" w:hAnsi="Arial" w:cs="Arial"/>
        </w:rPr>
        <w:t>Portuaria</w:t>
      </w:r>
      <w:proofErr w:type="spellEnd"/>
      <w:r w:rsidRPr="00A81E0C">
        <w:rPr>
          <w:rFonts w:ascii="Arial" w:eastAsia="Arial" w:hAnsi="Arial" w:cs="Arial"/>
        </w:rPr>
        <w:t xml:space="preserve"> Integral de Manzanillo) and from the statistical yearbooks of the National Port System (ASIPONA Manzanillo, 2024; </w:t>
      </w:r>
      <w:proofErr w:type="spellStart"/>
      <w:r w:rsidRPr="00A81E0C">
        <w:rPr>
          <w:rFonts w:ascii="Arial" w:eastAsia="Arial" w:hAnsi="Arial" w:cs="Arial"/>
        </w:rPr>
        <w:t>Secretaría de Marina [SEMAR], 2025</w:t>
      </w:r>
      <w:proofErr w:type="spellEnd"/>
      <w:r w:rsidRPr="00A81E0C">
        <w:rPr>
          <w:rFonts w:ascii="Arial" w:eastAsia="Arial" w:hAnsi="Arial" w:cs="Arial"/>
        </w:rPr>
        <w:t>). The Colima State Development Plan 2021–2027 (</w:t>
      </w:r>
      <w:proofErr w:type="spellStart"/>
      <w:r w:rsidRPr="00A81E0C">
        <w:rPr>
          <w:rFonts w:ascii="Arial" w:eastAsia="Arial" w:hAnsi="Arial" w:cs="Arial"/>
        </w:rPr>
        <w:t>Gobierno</w:t>
      </w:r>
      <w:proofErr w:type="spellEnd"/>
      <w:r w:rsidRPr="00A81E0C">
        <w:rPr>
          <w:rFonts w:ascii="Arial" w:eastAsia="Arial" w:hAnsi="Arial" w:cs="Arial"/>
        </w:rPr>
        <w:t xml:space="preserve"> del Estado de Colima, 2021) and the transport statistics of the federal Ministry of Infrastructure, Communications and Transport (</w:t>
      </w:r>
      <w:proofErr w:type="spellStart"/>
      <w:r w:rsidRPr="00A81E0C">
        <w:rPr>
          <w:rFonts w:ascii="Arial" w:eastAsia="Arial" w:hAnsi="Arial" w:cs="Arial"/>
        </w:rPr>
        <w:t>Secretaría</w:t>
      </w:r>
      <w:proofErr w:type="spellEnd"/>
      <w:r w:rsidRPr="00A81E0C">
        <w:rPr>
          <w:rFonts w:ascii="Arial" w:eastAsia="Arial" w:hAnsi="Arial" w:cs="Arial"/>
        </w:rPr>
        <w:t xml:space="preserve"> de </w:t>
      </w:r>
      <w:proofErr w:type="spellStart"/>
      <w:r w:rsidRPr="00A81E0C">
        <w:rPr>
          <w:rFonts w:ascii="Arial" w:eastAsia="Arial" w:hAnsi="Arial" w:cs="Arial"/>
        </w:rPr>
        <w:t>Infraestructura</w:t>
      </w:r>
      <w:proofErr w:type="spellEnd"/>
      <w:r w:rsidRPr="00A81E0C">
        <w:rPr>
          <w:rFonts w:ascii="Arial" w:eastAsia="Arial" w:hAnsi="Arial" w:cs="Arial"/>
        </w:rPr>
        <w:t xml:space="preserve">, Comunicaciones y </w:t>
      </w:r>
      <w:proofErr w:type="spellStart"/>
      <w:r w:rsidRPr="00A81E0C">
        <w:rPr>
          <w:rFonts w:ascii="Arial" w:eastAsia="Arial" w:hAnsi="Arial" w:cs="Arial"/>
        </w:rPr>
        <w:t>Transportes</w:t>
      </w:r>
      <w:proofErr w:type="spellEnd"/>
      <w:r w:rsidRPr="00A81E0C">
        <w:rPr>
          <w:rFonts w:ascii="Arial" w:eastAsia="Arial" w:hAnsi="Arial" w:cs="Arial"/>
        </w:rPr>
        <w:t xml:space="preserve"> [SICT], 2024) were also reviewed.</w:t>
      </w:r>
    </w:p>
    <w:p w14:paraId="3BE3175B" w14:textId="77777777" w:rsidR="000403B8" w:rsidRPr="00A81E0C" w:rsidRDefault="00AC7B1E" w:rsidP="006B2B16">
      <w:pPr>
        <w:pStyle w:val="Body"/>
        <w:spacing w:after="160"/>
      </w:pPr>
      <w:r w:rsidRPr="00A81E0C">
        <w:rPr>
          <w:rFonts w:ascii="Arial" w:eastAsia="Arial" w:hAnsi="Arial" w:cs="Arial"/>
          <w:i/>
        </w:rPr>
        <w:t>Literature review.</w:t>
      </w:r>
      <w:r w:rsidRPr="00A81E0C">
        <w:rPr>
          <w:rFonts w:ascii="Arial" w:eastAsia="Arial" w:hAnsi="Arial" w:cs="Arial"/>
        </w:rPr>
        <w:t xml:space="preserve"> Academic sources and reports by international organi</w:t>
      </w:r>
      <w:r w:rsidRPr="00A81E0C">
        <w:rPr>
          <w:rFonts w:ascii="Arial" w:eastAsia="Arial" w:hAnsi="Arial" w:cs="Arial"/>
          <w:highlight w:val="yellow"/>
        </w:rPr>
        <w:t>s</w:t>
      </w:r>
      <w:r w:rsidRPr="00A81E0C">
        <w:rPr>
          <w:rFonts w:ascii="Arial" w:eastAsia="Arial" w:hAnsi="Arial" w:cs="Arial"/>
        </w:rPr>
        <w:t>ations published between 2021 and 2026 were searched</w:t>
      </w:r>
      <w:r w:rsidRPr="00A81E0C">
        <w:rPr>
          <w:rFonts w:ascii="Arial" w:eastAsia="Arial" w:hAnsi="Arial" w:cs="Arial"/>
          <w:highlight w:val="yellow"/>
        </w:rPr>
        <w:t xml:space="preserve"> for</w:t>
      </w:r>
      <w:r w:rsidRPr="00A81E0C">
        <w:rPr>
          <w:rFonts w:ascii="Arial" w:eastAsia="Arial" w:hAnsi="Arial" w:cs="Arial"/>
        </w:rPr>
        <w:t xml:space="preserve"> in Scopus, Redalyc, SciELO and Google Scholar. Priority was given to </w:t>
      </w:r>
      <w:r w:rsidRPr="00A81E0C">
        <w:rPr>
          <w:rFonts w:ascii="Arial" w:eastAsia="Arial" w:hAnsi="Arial" w:cs="Arial"/>
          <w:highlight w:val="yellow"/>
        </w:rPr>
        <w:t>studies</w:t>
      </w:r>
      <w:r w:rsidRPr="00A81E0C">
        <w:rPr>
          <w:rFonts w:ascii="Arial" w:eastAsia="Arial" w:hAnsi="Arial" w:cs="Arial"/>
        </w:rPr>
        <w:t xml:space="preserve"> o</w:t>
      </w:r>
      <w:r w:rsidRPr="00A81E0C">
        <w:rPr>
          <w:rFonts w:ascii="Arial" w:eastAsia="Arial" w:hAnsi="Arial" w:cs="Arial"/>
          <w:highlight w:val="yellow"/>
        </w:rPr>
        <w:t>f</w:t>
      </w:r>
      <w:r w:rsidRPr="00A81E0C">
        <w:rPr>
          <w:rFonts w:ascii="Arial" w:eastAsia="Arial" w:hAnsi="Arial" w:cs="Arial"/>
        </w:rPr>
        <w:t xml:space="preserve"> curricular relevance in technological higher education, Logistics 4.0 competences and labo</w:t>
      </w:r>
      <w:r w:rsidRPr="00A81E0C">
        <w:rPr>
          <w:rFonts w:ascii="Arial" w:eastAsia="Arial" w:hAnsi="Arial" w:cs="Arial"/>
          <w:highlight w:val="yellow"/>
        </w:rPr>
        <w:t>u</w:t>
      </w:r>
      <w:r w:rsidRPr="00A81E0C">
        <w:rPr>
          <w:rFonts w:ascii="Arial" w:eastAsia="Arial" w:hAnsi="Arial" w:cs="Arial"/>
        </w:rPr>
        <w:t>r demand in the Latin American port-logistics sector.</w:t>
      </w:r>
    </w:p>
    <w:p w14:paraId="1203C971" w14:textId="77777777" w:rsidR="000403B8" w:rsidRPr="00A81E0C" w:rsidRDefault="00AC7B1E" w:rsidP="006B2B16">
      <w:pPr>
        <w:pStyle w:val="Body"/>
        <w:keepNext/>
        <w:spacing w:before="80" w:after="80"/>
      </w:pPr>
      <w:r w:rsidRPr="00A81E0C">
        <w:rPr>
          <w:rFonts w:ascii="Arial" w:eastAsia="Arial" w:hAnsi="Arial" w:cs="Arial"/>
          <w:b/>
          <w:sz w:val="22"/>
        </w:rPr>
        <w:t>2.3 Data Analysis</w:t>
      </w:r>
    </w:p>
    <w:p w14:paraId="36539D30" w14:textId="77777777" w:rsidR="000403B8" w:rsidRPr="00A81E0C" w:rsidRDefault="00AC7B1E" w:rsidP="006B2B16">
      <w:pPr>
        <w:pStyle w:val="Body"/>
        <w:spacing w:after="160"/>
      </w:pPr>
      <w:r w:rsidRPr="00A81E0C">
        <w:rPr>
          <w:rFonts w:ascii="Arial" w:eastAsia="Arial" w:hAnsi="Arial" w:cs="Arial"/>
        </w:rPr>
        <w:t>Academic indicators were analy</w:t>
      </w:r>
      <w:r w:rsidRPr="00A81E0C">
        <w:rPr>
          <w:rFonts w:ascii="Arial" w:eastAsia="Arial" w:hAnsi="Arial" w:cs="Arial"/>
          <w:highlight w:val="yellow"/>
        </w:rPr>
        <w:t>s</w:t>
      </w:r>
      <w:r w:rsidRPr="00A81E0C">
        <w:rPr>
          <w:rFonts w:ascii="Arial" w:eastAsia="Arial" w:hAnsi="Arial" w:cs="Arial"/>
        </w:rPr>
        <w:t xml:space="preserve">ed with descriptive statistics, namely means and trends across cohorts. No inferential tests were applied because the survey covered almost the whole population and the cohort series is short. The link between institutional capacities and regional demand was established by triangulating the four sources. Triangulation of methods, data and sources strengthened internal validity, </w:t>
      </w:r>
      <w:r w:rsidRPr="00A81E0C">
        <w:rPr>
          <w:rFonts w:ascii="Arial" w:eastAsia="Arial" w:hAnsi="Arial" w:cs="Arial"/>
          <w:highlight w:val="yellow"/>
        </w:rPr>
        <w:t>a</w:t>
      </w:r>
      <w:r w:rsidRPr="00A81E0C">
        <w:rPr>
          <w:rFonts w:ascii="Arial" w:eastAsia="Arial" w:hAnsi="Arial" w:cs="Arial"/>
        </w:rPr>
        <w:t>s finding</w:t>
      </w:r>
      <w:r w:rsidRPr="00A81E0C">
        <w:rPr>
          <w:rFonts w:ascii="Arial" w:eastAsia="Arial" w:hAnsi="Arial" w:cs="Arial"/>
          <w:highlight w:val="yellow"/>
        </w:rPr>
        <w:t>s</w:t>
      </w:r>
      <w:r w:rsidRPr="00A81E0C">
        <w:rPr>
          <w:rFonts w:ascii="Arial" w:eastAsia="Arial" w:hAnsi="Arial" w:cs="Arial"/>
        </w:rPr>
        <w:t xml:space="preserve"> could be e</w:t>
      </w:r>
      <w:r w:rsidRPr="00A81E0C">
        <w:rPr>
          <w:rFonts w:ascii="Arial" w:eastAsia="Arial" w:hAnsi="Arial" w:cs="Arial"/>
          <w:highlight w:val="yellow"/>
        </w:rPr>
        <w:t>xamin</w:t>
      </w:r>
      <w:r w:rsidRPr="00A81E0C">
        <w:rPr>
          <w:rFonts w:ascii="Arial" w:eastAsia="Arial" w:hAnsi="Arial" w:cs="Arial"/>
        </w:rPr>
        <w:t xml:space="preserve">ed from more than one </w:t>
      </w:r>
      <w:r w:rsidRPr="00A81E0C">
        <w:rPr>
          <w:rFonts w:ascii="Arial" w:eastAsia="Arial" w:hAnsi="Arial" w:cs="Arial"/>
          <w:highlight w:val="yellow"/>
        </w:rPr>
        <w:t>perspectiv</w:t>
      </w:r>
      <w:r w:rsidRPr="00A81E0C">
        <w:rPr>
          <w:rFonts w:ascii="Arial" w:eastAsia="Arial" w:hAnsi="Arial" w:cs="Arial"/>
        </w:rPr>
        <w:t xml:space="preserve">e. This matters in studies of curricular relevance, where </w:t>
      </w:r>
      <w:r w:rsidRPr="00A81E0C">
        <w:rPr>
          <w:rFonts w:ascii="Arial" w:eastAsia="Arial" w:hAnsi="Arial" w:cs="Arial"/>
          <w:highlight w:val="yellow"/>
        </w:rPr>
        <w:t>programm</w:t>
      </w:r>
      <w:r w:rsidRPr="00A81E0C">
        <w:rPr>
          <w:rFonts w:ascii="Arial" w:eastAsia="Arial" w:hAnsi="Arial" w:cs="Arial"/>
        </w:rPr>
        <w:t>e assessment m</w:t>
      </w:r>
      <w:r w:rsidRPr="00A81E0C">
        <w:rPr>
          <w:rFonts w:ascii="Arial" w:eastAsia="Arial" w:hAnsi="Arial" w:cs="Arial"/>
          <w:highlight w:val="yellow"/>
        </w:rPr>
        <w:t>u</w:t>
      </w:r>
      <w:r w:rsidRPr="00A81E0C">
        <w:rPr>
          <w:rFonts w:ascii="Arial" w:eastAsia="Arial" w:hAnsi="Arial" w:cs="Arial"/>
        </w:rPr>
        <w:t>st bring together evidence from students and faculty, institution</w:t>
      </w:r>
      <w:r w:rsidRPr="00A81E0C">
        <w:rPr>
          <w:rFonts w:ascii="Arial" w:eastAsia="Arial" w:hAnsi="Arial" w:cs="Arial"/>
          <w:highlight w:val="yellow"/>
        </w:rPr>
        <w:t>al</w:t>
      </w:r>
      <w:r w:rsidRPr="00A81E0C">
        <w:rPr>
          <w:rFonts w:ascii="Arial" w:eastAsia="Arial" w:hAnsi="Arial" w:cs="Arial"/>
        </w:rPr>
        <w:t xml:space="preserve"> capacities and the socioeconomic environment. The limitations of the study are discussed in Section 3.7.</w:t>
      </w:r>
    </w:p>
    <w:p w14:paraId="40C20990" w14:textId="77777777" w:rsidR="000403B8" w:rsidRPr="00A81E0C" w:rsidRDefault="000403B8" w:rsidP="006B2B16">
      <w:pPr>
        <w:pStyle w:val="Body"/>
        <w:spacing w:after="0"/>
      </w:pPr>
    </w:p>
    <w:p w14:paraId="6EF5ABF5" w14:textId="77777777" w:rsidR="000403B8" w:rsidRPr="00A81E0C" w:rsidRDefault="00AC7B1E" w:rsidP="006B2B16">
      <w:pPr>
        <w:pStyle w:val="AbstHead"/>
        <w:spacing w:after="120"/>
        <w:jc w:val="both"/>
      </w:pPr>
      <w:r w:rsidRPr="00A81E0C">
        <w:rPr>
          <w:rFonts w:ascii="Arial" w:eastAsia="Arial" w:hAnsi="Arial" w:cs="Arial"/>
        </w:rPr>
        <w:t>3. RESULTS AND DISCUSSION</w:t>
      </w:r>
    </w:p>
    <w:p w14:paraId="61D2BD41" w14:textId="77777777" w:rsidR="000403B8" w:rsidRPr="00A81E0C" w:rsidRDefault="00AC7B1E" w:rsidP="006B2B16">
      <w:pPr>
        <w:pStyle w:val="Body"/>
        <w:keepNext/>
        <w:spacing w:before="80" w:after="80"/>
      </w:pPr>
      <w:r w:rsidRPr="00A81E0C">
        <w:rPr>
          <w:rFonts w:ascii="Arial" w:eastAsia="Arial" w:hAnsi="Arial" w:cs="Arial"/>
          <w:b/>
          <w:sz w:val="22"/>
        </w:rPr>
        <w:t>3.1 Colima as a Strategic Logistics Node</w:t>
      </w:r>
    </w:p>
    <w:p w14:paraId="6CB34C24" w14:textId="77777777" w:rsidR="000403B8" w:rsidRPr="00A81E0C" w:rsidRDefault="00AC7B1E" w:rsidP="006B2B16">
      <w:pPr>
        <w:pStyle w:val="Body"/>
        <w:spacing w:after="160"/>
      </w:pPr>
      <w:r w:rsidRPr="00A81E0C">
        <w:rPr>
          <w:rFonts w:ascii="Arial" w:eastAsia="Arial" w:hAnsi="Arial" w:cs="Arial"/>
        </w:rPr>
        <w:t>Colima occupies a distinctive position in Mexico's logistics system. With an area of only 5,627 km², the state hosts the Port of Manzanillo, Mexico's leading container port. Official figures place its 2024 container throughput at approximately 3.92 million TEU, corresponding to 41.85% of the country's container traffic (ASIPONA Manzanillo, 2024; Gobierno del Estado de Colima, 2025). Table 1 summarises the evolution of port traffic from 2020 to 2024.</w:t>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p>
    <w:p w14:paraId="357CDFA3" w14:textId="77777777" w:rsidR="000403B8" w:rsidRPr="00A81E0C" w:rsidRDefault="00AC7B1E" w:rsidP="006B2B16">
      <w:pPr>
        <w:pStyle w:val="Body"/>
        <w:keepNext/>
        <w:spacing w:before="120" w:after="80"/>
      </w:pPr>
      <w:r w:rsidRPr="00A81E0C">
        <w:rPr>
          <w:rFonts w:ascii="Arial" w:eastAsia="Arial" w:hAnsi="Arial" w:cs="Arial"/>
          <w:b/>
        </w:rPr>
        <w:lastRenderedPageBreak/>
        <w:t>Table 1. Container traffic at the Port of Manzanillo, 2020–2024</w:t>
      </w:r>
    </w:p>
    <w:tbl>
      <w:tblPr>
        <w:tblW w:w="8208" w:type="dxa"/>
        <w:jc w:val="center"/>
        <w:tblBorders>
          <w:top w:val="single" w:sz="8" w:space="0" w:color="000000"/>
          <w:left w:val="nil"/>
          <w:bottom w:val="single" w:sz="8" w:space="0" w:color="000000"/>
          <w:right w:val="nil"/>
          <w:insideH w:val="nil"/>
          <w:insideV w:val="nil"/>
        </w:tblBorders>
        <w:tblLayout w:type="fixed"/>
        <w:tblCellMar>
          <w:top w:w="30" w:type="dxa"/>
          <w:left w:w="80" w:type="dxa"/>
          <w:bottom w:w="30" w:type="dxa"/>
          <w:right w:w="80" w:type="dxa"/>
        </w:tblCellMar>
        <w:tblLook w:val="04A0" w:firstRow="1" w:lastRow="0" w:firstColumn="1" w:lastColumn="0" w:noHBand="0" w:noVBand="1"/>
      </w:tblPr>
      <w:tblGrid>
        <w:gridCol w:w="1100"/>
        <w:gridCol w:w="1700"/>
        <w:gridCol w:w="1500"/>
      </w:tblGrid>
      <w:tr w:rsidR="000403B8" w:rsidRPr="00A81E0C" w14:paraId="31E228BD" w14:textId="77777777">
        <w:trPr>
          <w:cantSplit/>
          <w:tblHeader/>
          <w:jc w:val="center"/>
        </w:trPr>
        <w:tc>
          <w:tcPr>
            <w:tcW w:w="1100" w:type="dxa"/>
            <w:tcBorders>
              <w:bottom w:val="single" w:sz="6" w:space="0" w:color="000000"/>
            </w:tcBorders>
          </w:tcPr>
          <w:p w14:paraId="129C530C" w14:textId="77777777" w:rsidR="000403B8" w:rsidRPr="00A81E0C" w:rsidRDefault="00AC7B1E" w:rsidP="006B2B16">
            <w:pPr>
              <w:jc w:val="both"/>
            </w:pPr>
            <w:r w:rsidRPr="00A81E0C">
              <w:rPr>
                <w:rFonts w:ascii="Arial" w:eastAsia="Arial" w:hAnsi="Arial" w:cs="Arial"/>
                <w:b/>
                <w:sz w:val="18"/>
              </w:rPr>
              <w:t>Year</w:t>
            </w:r>
          </w:p>
        </w:tc>
        <w:tc>
          <w:tcPr>
            <w:tcW w:w="1700" w:type="dxa"/>
            <w:tcBorders>
              <w:bottom w:val="single" w:sz="6" w:space="0" w:color="000000"/>
            </w:tcBorders>
          </w:tcPr>
          <w:p w14:paraId="122ABD3E" w14:textId="77777777" w:rsidR="000403B8" w:rsidRPr="00A81E0C" w:rsidRDefault="00AC7B1E" w:rsidP="006B2B16">
            <w:pPr>
              <w:jc w:val="both"/>
            </w:pPr>
            <w:r w:rsidRPr="00A81E0C">
              <w:rPr>
                <w:rFonts w:ascii="Arial" w:eastAsia="Arial" w:hAnsi="Arial" w:cs="Arial"/>
                <w:b/>
                <w:sz w:val="18"/>
              </w:rPr>
              <w:t>TEU handled</w:t>
            </w:r>
          </w:p>
        </w:tc>
        <w:tc>
          <w:tcPr>
            <w:tcW w:w="1500" w:type="dxa"/>
            <w:tcBorders>
              <w:bottom w:val="single" w:sz="6" w:space="0" w:color="000000"/>
            </w:tcBorders>
          </w:tcPr>
          <w:p w14:paraId="0A653636" w14:textId="77777777" w:rsidR="000403B8" w:rsidRPr="00A81E0C" w:rsidRDefault="00AC7B1E" w:rsidP="006B2B16">
            <w:pPr>
              <w:jc w:val="both"/>
            </w:pPr>
            <w:r w:rsidRPr="00A81E0C">
              <w:rPr>
                <w:rFonts w:ascii="Arial" w:eastAsia="Arial" w:hAnsi="Arial" w:cs="Arial"/>
                <w:b/>
                <w:sz w:val="18"/>
              </w:rPr>
              <w:t>Annual change (%)</w:t>
            </w:r>
          </w:p>
        </w:tc>
      </w:tr>
      <w:tr w:rsidR="000403B8" w:rsidRPr="00A81E0C" w14:paraId="1E87CF73" w14:textId="77777777">
        <w:trPr>
          <w:cantSplit/>
          <w:jc w:val="center"/>
        </w:trPr>
        <w:tc>
          <w:tcPr>
            <w:tcW w:w="1100" w:type="dxa"/>
          </w:tcPr>
          <w:p w14:paraId="4C41B626" w14:textId="77777777" w:rsidR="000403B8" w:rsidRPr="00A81E0C" w:rsidRDefault="00AC7B1E" w:rsidP="006B2B16">
            <w:pPr>
              <w:jc w:val="both"/>
            </w:pPr>
            <w:r w:rsidRPr="00A81E0C">
              <w:rPr>
                <w:rFonts w:ascii="Arial" w:eastAsia="Arial" w:hAnsi="Arial" w:cs="Arial"/>
                <w:sz w:val="18"/>
              </w:rPr>
              <w:t>2020</w:t>
            </w:r>
          </w:p>
        </w:tc>
        <w:tc>
          <w:tcPr>
            <w:tcW w:w="1700" w:type="dxa"/>
          </w:tcPr>
          <w:p w14:paraId="0FF5A154" w14:textId="77777777" w:rsidR="000403B8" w:rsidRPr="00A81E0C" w:rsidRDefault="00AC7B1E" w:rsidP="006B2B16">
            <w:pPr>
              <w:jc w:val="both"/>
            </w:pPr>
            <w:r w:rsidRPr="00A81E0C">
              <w:rPr>
                <w:rFonts w:ascii="Arial" w:eastAsia="Arial" w:hAnsi="Arial" w:cs="Arial"/>
                <w:sz w:val="18"/>
              </w:rPr>
              <w:t>2,909,632</w:t>
            </w:r>
          </w:p>
        </w:tc>
        <w:tc>
          <w:tcPr>
            <w:tcW w:w="1500" w:type="dxa"/>
          </w:tcPr>
          <w:p w14:paraId="3688A690" w14:textId="77777777" w:rsidR="000403B8" w:rsidRPr="00A81E0C" w:rsidRDefault="00AC7B1E" w:rsidP="006B2B16">
            <w:pPr>
              <w:jc w:val="both"/>
            </w:pPr>
            <w:r w:rsidRPr="00A81E0C">
              <w:rPr>
                <w:rFonts w:ascii="Arial" w:eastAsia="Arial" w:hAnsi="Arial" w:cs="Arial"/>
                <w:sz w:val="18"/>
              </w:rPr>
              <w:t>−5.2</w:t>
            </w:r>
          </w:p>
        </w:tc>
      </w:tr>
      <w:tr w:rsidR="000403B8" w:rsidRPr="00A81E0C" w14:paraId="4621E6D5" w14:textId="77777777">
        <w:trPr>
          <w:cantSplit/>
          <w:jc w:val="center"/>
        </w:trPr>
        <w:tc>
          <w:tcPr>
            <w:tcW w:w="1100" w:type="dxa"/>
          </w:tcPr>
          <w:p w14:paraId="5B2E2C24" w14:textId="77777777" w:rsidR="000403B8" w:rsidRPr="00A81E0C" w:rsidRDefault="00AC7B1E" w:rsidP="006B2B16">
            <w:pPr>
              <w:jc w:val="both"/>
            </w:pPr>
            <w:r w:rsidRPr="00A81E0C">
              <w:rPr>
                <w:rFonts w:ascii="Arial" w:eastAsia="Arial" w:hAnsi="Arial" w:cs="Arial"/>
                <w:sz w:val="18"/>
              </w:rPr>
              <w:t>2021</w:t>
            </w:r>
          </w:p>
        </w:tc>
        <w:tc>
          <w:tcPr>
            <w:tcW w:w="1700" w:type="dxa"/>
          </w:tcPr>
          <w:p w14:paraId="15605838" w14:textId="77777777" w:rsidR="000403B8" w:rsidRPr="00A81E0C" w:rsidRDefault="00AC7B1E" w:rsidP="006B2B16">
            <w:pPr>
              <w:jc w:val="both"/>
            </w:pPr>
            <w:r w:rsidRPr="00A81E0C">
              <w:rPr>
                <w:rFonts w:ascii="Arial" w:eastAsia="Arial" w:hAnsi="Arial" w:cs="Arial"/>
                <w:sz w:val="18"/>
              </w:rPr>
              <w:t>3,371,438</w:t>
            </w:r>
          </w:p>
        </w:tc>
        <w:tc>
          <w:tcPr>
            <w:tcW w:w="1500" w:type="dxa"/>
          </w:tcPr>
          <w:p w14:paraId="23C309A3" w14:textId="77777777" w:rsidR="000403B8" w:rsidRPr="00A81E0C" w:rsidRDefault="00AC7B1E" w:rsidP="006B2B16">
            <w:pPr>
              <w:jc w:val="both"/>
            </w:pPr>
            <w:r w:rsidRPr="00A81E0C">
              <w:rPr>
                <w:rFonts w:ascii="Arial" w:eastAsia="Arial" w:hAnsi="Arial" w:cs="Arial"/>
                <w:sz w:val="18"/>
              </w:rPr>
              <w:t>+15.9</w:t>
            </w:r>
          </w:p>
        </w:tc>
      </w:tr>
      <w:tr w:rsidR="000403B8" w:rsidRPr="00A81E0C" w14:paraId="50FD77A0" w14:textId="77777777">
        <w:trPr>
          <w:cantSplit/>
          <w:jc w:val="center"/>
        </w:trPr>
        <w:tc>
          <w:tcPr>
            <w:tcW w:w="1100" w:type="dxa"/>
          </w:tcPr>
          <w:p w14:paraId="1DA144FC" w14:textId="77777777" w:rsidR="000403B8" w:rsidRPr="00A81E0C" w:rsidRDefault="00AC7B1E" w:rsidP="006B2B16">
            <w:pPr>
              <w:jc w:val="both"/>
            </w:pPr>
            <w:r w:rsidRPr="00A81E0C">
              <w:rPr>
                <w:rFonts w:ascii="Arial" w:eastAsia="Arial" w:hAnsi="Arial" w:cs="Arial"/>
                <w:sz w:val="18"/>
              </w:rPr>
              <w:t>2022</w:t>
            </w:r>
          </w:p>
        </w:tc>
        <w:tc>
          <w:tcPr>
            <w:tcW w:w="1700" w:type="dxa"/>
          </w:tcPr>
          <w:p w14:paraId="4EE03596" w14:textId="77777777" w:rsidR="000403B8" w:rsidRPr="00A81E0C" w:rsidRDefault="00AC7B1E" w:rsidP="006B2B16">
            <w:pPr>
              <w:jc w:val="both"/>
            </w:pPr>
            <w:r w:rsidRPr="00A81E0C">
              <w:rPr>
                <w:rFonts w:ascii="Arial" w:eastAsia="Arial" w:hAnsi="Arial" w:cs="Arial"/>
                <w:sz w:val="18"/>
              </w:rPr>
              <w:t>3,473,852</w:t>
            </w:r>
          </w:p>
        </w:tc>
        <w:tc>
          <w:tcPr>
            <w:tcW w:w="1500" w:type="dxa"/>
          </w:tcPr>
          <w:p w14:paraId="37DC152B" w14:textId="77777777" w:rsidR="000403B8" w:rsidRPr="00A81E0C" w:rsidRDefault="00AC7B1E" w:rsidP="006B2B16">
            <w:pPr>
              <w:jc w:val="both"/>
            </w:pPr>
            <w:r w:rsidRPr="00A81E0C">
              <w:rPr>
                <w:rFonts w:ascii="Arial" w:eastAsia="Arial" w:hAnsi="Arial" w:cs="Arial"/>
                <w:sz w:val="18"/>
              </w:rPr>
              <w:t>+3.0</w:t>
            </w:r>
          </w:p>
        </w:tc>
      </w:tr>
      <w:tr w:rsidR="000403B8" w:rsidRPr="00A81E0C" w14:paraId="5A8A120E" w14:textId="77777777">
        <w:trPr>
          <w:cantSplit/>
          <w:jc w:val="center"/>
        </w:trPr>
        <w:tc>
          <w:tcPr>
            <w:tcW w:w="1100" w:type="dxa"/>
          </w:tcPr>
          <w:p w14:paraId="26E30B5F" w14:textId="77777777" w:rsidR="000403B8" w:rsidRPr="00A81E0C" w:rsidRDefault="00AC7B1E" w:rsidP="006B2B16">
            <w:pPr>
              <w:jc w:val="both"/>
            </w:pPr>
            <w:r w:rsidRPr="00A81E0C">
              <w:rPr>
                <w:rFonts w:ascii="Arial" w:eastAsia="Arial" w:hAnsi="Arial" w:cs="Arial"/>
                <w:sz w:val="18"/>
              </w:rPr>
              <w:t>2023</w:t>
            </w:r>
          </w:p>
        </w:tc>
        <w:tc>
          <w:tcPr>
            <w:tcW w:w="1700" w:type="dxa"/>
          </w:tcPr>
          <w:p w14:paraId="6F37F19B" w14:textId="77777777" w:rsidR="000403B8" w:rsidRPr="00A81E0C" w:rsidRDefault="00AC7B1E" w:rsidP="006B2B16">
            <w:pPr>
              <w:jc w:val="both"/>
            </w:pPr>
            <w:r w:rsidRPr="00A81E0C">
              <w:rPr>
                <w:rFonts w:ascii="Arial" w:eastAsia="Arial" w:hAnsi="Arial" w:cs="Arial"/>
                <w:sz w:val="18"/>
              </w:rPr>
              <w:t>3,699,254</w:t>
            </w:r>
          </w:p>
        </w:tc>
        <w:tc>
          <w:tcPr>
            <w:tcW w:w="1500" w:type="dxa"/>
          </w:tcPr>
          <w:p w14:paraId="479374C4" w14:textId="77777777" w:rsidR="000403B8" w:rsidRPr="00A81E0C" w:rsidRDefault="00AC7B1E" w:rsidP="006B2B16">
            <w:pPr>
              <w:jc w:val="both"/>
            </w:pPr>
            <w:r w:rsidRPr="00A81E0C">
              <w:rPr>
                <w:rFonts w:ascii="Arial" w:eastAsia="Arial" w:hAnsi="Arial" w:cs="Arial"/>
                <w:sz w:val="18"/>
              </w:rPr>
              <w:t>+6.5</w:t>
            </w:r>
          </w:p>
        </w:tc>
      </w:tr>
      <w:tr w:rsidR="000403B8" w:rsidRPr="00A81E0C" w14:paraId="17076BEF" w14:textId="77777777">
        <w:trPr>
          <w:cantSplit/>
          <w:jc w:val="center"/>
        </w:trPr>
        <w:tc>
          <w:tcPr>
            <w:tcW w:w="1100" w:type="dxa"/>
          </w:tcPr>
          <w:p w14:paraId="7DE3773A" w14:textId="77777777" w:rsidR="000403B8" w:rsidRPr="00A81E0C" w:rsidRDefault="00AC7B1E" w:rsidP="006B2B16">
            <w:pPr>
              <w:jc w:val="both"/>
            </w:pPr>
            <w:r w:rsidRPr="00A81E0C">
              <w:rPr>
                <w:rFonts w:ascii="Arial" w:eastAsia="Arial" w:hAnsi="Arial" w:cs="Arial"/>
                <w:sz w:val="18"/>
              </w:rPr>
              <w:t>2024</w:t>
            </w:r>
          </w:p>
        </w:tc>
        <w:tc>
          <w:tcPr>
            <w:tcW w:w="1700" w:type="dxa"/>
          </w:tcPr>
          <w:p w14:paraId="1A61EB9A" w14:textId="77777777" w:rsidR="000403B8" w:rsidRPr="00A81E0C" w:rsidRDefault="00AC7B1E" w:rsidP="006B2B16">
            <w:pPr>
              <w:jc w:val="both"/>
            </w:pPr>
            <w:r w:rsidRPr="00A81E0C">
              <w:rPr>
                <w:rFonts w:ascii="Arial" w:eastAsia="Arial" w:hAnsi="Arial" w:cs="Arial"/>
                <w:sz w:val="18"/>
              </w:rPr>
              <w:t>3,924,501</w:t>
            </w:r>
          </w:p>
        </w:tc>
        <w:tc>
          <w:tcPr>
            <w:tcW w:w="1500" w:type="dxa"/>
          </w:tcPr>
          <w:p w14:paraId="1DECC490" w14:textId="77777777" w:rsidR="000403B8" w:rsidRPr="00A81E0C" w:rsidRDefault="00AC7B1E" w:rsidP="006B2B16">
            <w:pPr>
              <w:jc w:val="both"/>
            </w:pPr>
            <w:r w:rsidRPr="00A81E0C">
              <w:rPr>
                <w:rFonts w:ascii="Arial" w:eastAsia="Arial" w:hAnsi="Arial" w:cs="Arial"/>
                <w:sz w:val="18"/>
              </w:rPr>
              <w:t>+6.1</w:t>
            </w:r>
          </w:p>
        </w:tc>
      </w:tr>
    </w:tbl>
    <w:p w14:paraId="12C46E64" w14:textId="77777777" w:rsidR="000403B8" w:rsidRPr="00A81E0C" w:rsidRDefault="00AC7B1E" w:rsidP="006B2B16">
      <w:pPr>
        <w:pStyle w:val="Body"/>
        <w:spacing w:before="40" w:after="0"/>
      </w:pPr>
      <w:r w:rsidRPr="00A81E0C">
        <w:rPr>
          <w:rFonts w:ascii="Arial" w:eastAsia="Arial" w:hAnsi="Arial" w:cs="Arial"/>
          <w:sz w:val="17"/>
        </w:rPr>
        <w:t>TEU = twenty-foot equivalent unit.</w:t>
      </w:r>
    </w:p>
    <w:p w14:paraId="14CBBF82" w14:textId="77777777" w:rsidR="000403B8" w:rsidRPr="00A81E0C" w:rsidRDefault="00AC7B1E" w:rsidP="006B2B16">
      <w:pPr>
        <w:pStyle w:val="Body"/>
        <w:spacing w:after="160"/>
      </w:pPr>
      <w:r w:rsidRPr="00A81E0C">
        <w:rPr>
          <w:rFonts w:ascii="Arial" w:eastAsia="Arial" w:hAnsi="Arial" w:cs="Arial"/>
          <w:sz w:val="17"/>
        </w:rPr>
        <w:t>Source: prepared by the authors using historical data from ASIPONA Manzanillo (2024) and 2024 year-end figures reported by Gobierno del Estado de Colima (2025). Annual changes were calculated from the displayed TEU values.</w:t>
      </w:r>
    </w:p>
    <w:p w14:paraId="677E9526" w14:textId="77777777" w:rsidR="000403B8" w:rsidRPr="00A81E0C" w:rsidRDefault="00AC7B1E" w:rsidP="006B2B16">
      <w:pPr>
        <w:pStyle w:val="Body"/>
        <w:spacing w:after="160"/>
      </w:pPr>
      <w:r w:rsidRPr="00A81E0C">
        <w:rPr>
          <w:rFonts w:ascii="Arial" w:eastAsia="Arial" w:hAnsi="Arial" w:cs="Arial"/>
        </w:rPr>
        <w:t>Traffic fell during 2020 and increased in each subsequent year through 2024, as shown in Table 1. Manzanillo is among the leading container ports on the Latin American Pacific coast (Barleta et al., 2025). The port's position is tied to Mexico's trade with Asia. The country's deficit with China, Japan and the Republic of Korea grew from USD 17 billion in 2001 to USD 148 billion in 2023 (Salazar Aguilar &amp; González García, 2025), and Manzanillo is a principal Pacific gateway for that trade. Port activity also supports a substantial labour market: ASIPONA Manzanillo (2025) reported an industry estimate of more than 35,000 direct and indirect jobs connected with port operations. This scale of activity provides a relevant context for evaluating logistics-oriented higher education, although it does not itself measure demand for graduates of the specialisation.</w:t>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p>
    <w:p w14:paraId="7E2CB21C" w14:textId="77777777" w:rsidR="000403B8" w:rsidRPr="00A81E0C" w:rsidRDefault="00AC7B1E" w:rsidP="006B2B16">
      <w:pPr>
        <w:pStyle w:val="Body"/>
        <w:spacing w:after="160"/>
      </w:pPr>
      <w:r w:rsidRPr="00A81E0C">
        <w:rPr>
          <w:rFonts w:ascii="Arial" w:eastAsia="Arial" w:hAnsi="Arial" w:cs="Arial"/>
        </w:rPr>
        <w:t xml:space="preserve">Public policy </w:t>
      </w:r>
      <w:r w:rsidRPr="00A81E0C">
        <w:rPr>
          <w:rFonts w:ascii="Arial" w:eastAsia="Arial" w:hAnsi="Arial" w:cs="Arial"/>
          <w:highlight w:val="yellow"/>
        </w:rPr>
        <w:t>is c</w:t>
      </w:r>
      <w:r w:rsidRPr="00A81E0C">
        <w:rPr>
          <w:rFonts w:ascii="Arial" w:eastAsia="Arial" w:hAnsi="Arial" w:cs="Arial"/>
        </w:rPr>
        <w:t>o</w:t>
      </w:r>
      <w:r w:rsidRPr="00A81E0C">
        <w:rPr>
          <w:rFonts w:ascii="Arial" w:eastAsia="Arial" w:hAnsi="Arial" w:cs="Arial"/>
          <w:highlight w:val="yellow"/>
        </w:rPr>
        <w:t>ns</w:t>
      </w:r>
      <w:r w:rsidRPr="00A81E0C">
        <w:rPr>
          <w:rFonts w:ascii="Arial" w:eastAsia="Arial" w:hAnsi="Arial" w:cs="Arial"/>
        </w:rPr>
        <w:t>i</w:t>
      </w:r>
      <w:r w:rsidRPr="00A81E0C">
        <w:rPr>
          <w:rFonts w:ascii="Arial" w:eastAsia="Arial" w:hAnsi="Arial" w:cs="Arial"/>
          <w:highlight w:val="yellow"/>
        </w:rPr>
        <w:t>ste</w:t>
      </w:r>
      <w:r w:rsidRPr="00A81E0C">
        <w:rPr>
          <w:rFonts w:ascii="Arial" w:eastAsia="Arial" w:hAnsi="Arial" w:cs="Arial"/>
        </w:rPr>
        <w:t>nt</w:t>
      </w:r>
      <w:r w:rsidRPr="00A81E0C">
        <w:rPr>
          <w:rFonts w:ascii="Arial" w:eastAsia="Arial" w:hAnsi="Arial" w:cs="Arial"/>
          <w:highlight w:val="yellow"/>
        </w:rPr>
        <w:t xml:space="preserve"> with</w:t>
      </w:r>
      <w:r w:rsidRPr="00A81E0C">
        <w:rPr>
          <w:rFonts w:ascii="Arial" w:eastAsia="Arial" w:hAnsi="Arial" w:cs="Arial"/>
        </w:rPr>
        <w:t xml:space="preserve"> th</w:t>
      </w:r>
      <w:r w:rsidRPr="00A81E0C">
        <w:rPr>
          <w:rFonts w:ascii="Arial" w:eastAsia="Arial" w:hAnsi="Arial" w:cs="Arial"/>
          <w:highlight w:val="yellow"/>
        </w:rPr>
        <w:t>is ass</w:t>
      </w:r>
      <w:r w:rsidRPr="00A81E0C">
        <w:rPr>
          <w:rFonts w:ascii="Arial" w:eastAsia="Arial" w:hAnsi="Arial" w:cs="Arial"/>
        </w:rPr>
        <w:t>es</w:t>
      </w:r>
      <w:r w:rsidRPr="00A81E0C">
        <w:rPr>
          <w:rFonts w:ascii="Arial" w:eastAsia="Arial" w:hAnsi="Arial" w:cs="Arial"/>
          <w:highlight w:val="yellow"/>
        </w:rPr>
        <w:t>s</w:t>
      </w:r>
      <w:r w:rsidRPr="00A81E0C">
        <w:rPr>
          <w:rFonts w:ascii="Arial" w:eastAsia="Arial" w:hAnsi="Arial" w:cs="Arial"/>
        </w:rPr>
        <w:t>me</w:t>
      </w:r>
      <w:r w:rsidRPr="00A81E0C">
        <w:rPr>
          <w:rFonts w:ascii="Arial" w:eastAsia="Arial" w:hAnsi="Arial" w:cs="Arial"/>
          <w:highlight w:val="yellow"/>
        </w:rPr>
        <w:t>nt</w:t>
      </w:r>
      <w:r w:rsidRPr="00A81E0C">
        <w:rPr>
          <w:rFonts w:ascii="Arial" w:eastAsia="Arial" w:hAnsi="Arial" w:cs="Arial"/>
        </w:rPr>
        <w:t>. The Colima State Development Plan 2021–2027 names logistics and foreign trade as pillars of economic growth and gives priority to training speciali</w:t>
      </w:r>
      <w:r w:rsidRPr="00A81E0C">
        <w:rPr>
          <w:rFonts w:ascii="Arial" w:eastAsia="Arial" w:hAnsi="Arial" w:cs="Arial"/>
          <w:highlight w:val="yellow"/>
        </w:rPr>
        <w:t>s</w:t>
      </w:r>
      <w:r w:rsidRPr="00A81E0C">
        <w:rPr>
          <w:rFonts w:ascii="Arial" w:eastAsia="Arial" w:hAnsi="Arial" w:cs="Arial"/>
        </w:rPr>
        <w:t>ed human capital in cooperation with the state's HEIs (Gobierno del Estado de Colima, 2021). The speciali</w:t>
      </w:r>
      <w:r w:rsidRPr="00A81E0C">
        <w:rPr>
          <w:rFonts w:ascii="Arial" w:eastAsia="Arial" w:hAnsi="Arial" w:cs="Arial"/>
          <w:highlight w:val="yellow"/>
        </w:rPr>
        <w:t>s</w:t>
      </w:r>
      <w:r w:rsidRPr="00A81E0C">
        <w:rPr>
          <w:rFonts w:ascii="Arial" w:eastAsia="Arial" w:hAnsi="Arial" w:cs="Arial"/>
        </w:rPr>
        <w:t>ation therefore serves an explicit objective of state policy.</w:t>
      </w:r>
    </w:p>
    <w:p w14:paraId="13B9DE2D" w14:textId="77777777" w:rsidR="000403B8" w:rsidRPr="00A81E0C" w:rsidRDefault="00AC7B1E" w:rsidP="006B2B16">
      <w:pPr>
        <w:pStyle w:val="Body"/>
        <w:spacing w:after="160"/>
      </w:pPr>
      <w:r w:rsidRPr="00A81E0C">
        <w:rPr>
          <w:rFonts w:ascii="Arial" w:eastAsia="Arial" w:hAnsi="Arial" w:cs="Arial"/>
        </w:rPr>
        <w:t>The relevant labour market extends beyond Colima. Manzanillo's connections with the Guadalajara Metropolitan Area and with the Port of Lázaro Cárdenas form part of a Pacific logistics corridor with international reach. Federal transport statistics describe this wider network (SICT, 2024), which may broaden graduates' employment opportunities beyond the state's borders.</w:t>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p>
    <w:p w14:paraId="5C8D1D84" w14:textId="77777777" w:rsidR="000403B8" w:rsidRPr="00A81E0C" w:rsidRDefault="00AC7B1E" w:rsidP="006B2B16">
      <w:pPr>
        <w:pStyle w:val="Body"/>
        <w:keepNext/>
        <w:spacing w:before="80" w:after="80"/>
      </w:pPr>
      <w:r w:rsidRPr="00A81E0C">
        <w:rPr>
          <w:rFonts w:ascii="Arial" w:eastAsia="Arial" w:hAnsi="Arial" w:cs="Arial"/>
          <w:b/>
          <w:sz w:val="22"/>
        </w:rPr>
        <w:t>3.2 Academic Indicators across Four Cohorts</w:t>
      </w:r>
    </w:p>
    <w:p w14:paraId="2CB2417F" w14:textId="77777777" w:rsidR="000403B8" w:rsidRPr="00A81E0C" w:rsidRDefault="00AC7B1E" w:rsidP="006B2B16">
      <w:pPr>
        <w:pStyle w:val="Body"/>
        <w:spacing w:after="160"/>
      </w:pPr>
      <w:r w:rsidRPr="00A81E0C">
        <w:rPr>
          <w:rFonts w:ascii="Arial" w:eastAsia="Arial" w:hAnsi="Arial" w:cs="Arial"/>
        </w:rPr>
        <w:t>The Industrial Engineering programme at ITC-TecNM has 460 active students, plus 42 on temporary leave, for a total of 502 registered students. The programme has 46 students per full-time professor and 27 per faculty member when part-time and contract staff are included. These ratios form part of the institution's teaching-capacity assessment; the national accreditation framework also considers the adequacy of academic staff and supporting resources (Consejo de Acreditación de la Enseñanza de la Ingeniería [CACEI], 2025). Table 2 presents the main academic indicators for the four most recent cohorts with consolidated data.</w:t>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p>
    <w:p w14:paraId="4D87783B" w14:textId="77777777" w:rsidR="000403B8" w:rsidRPr="00A81E0C" w:rsidRDefault="00AC7B1E" w:rsidP="006B2B16">
      <w:pPr>
        <w:pStyle w:val="Body"/>
        <w:keepNext/>
        <w:spacing w:before="120" w:after="80"/>
      </w:pPr>
      <w:r w:rsidRPr="00A81E0C">
        <w:rPr>
          <w:rFonts w:ascii="Arial" w:eastAsia="Arial" w:hAnsi="Arial" w:cs="Arial"/>
          <w:b/>
        </w:rPr>
        <w:t>Table 2. Academic indicators of the Industrial Engineering program at ITC-</w:t>
      </w:r>
      <w:proofErr w:type="spellStart"/>
      <w:r w:rsidRPr="00A81E0C">
        <w:rPr>
          <w:rFonts w:ascii="Arial" w:eastAsia="Arial" w:hAnsi="Arial" w:cs="Arial"/>
          <w:b/>
        </w:rPr>
        <w:t>TecNM</w:t>
      </w:r>
      <w:proofErr w:type="spellEnd"/>
      <w:r w:rsidRPr="00A81E0C">
        <w:rPr>
          <w:rFonts w:ascii="Arial" w:eastAsia="Arial" w:hAnsi="Arial" w:cs="Arial"/>
          <w:b/>
        </w:rPr>
        <w:t xml:space="preserve"> by cohort</w:t>
      </w:r>
    </w:p>
    <w:tbl>
      <w:tblPr>
        <w:tblW w:w="8208" w:type="dxa"/>
        <w:jc w:val="center"/>
        <w:tblBorders>
          <w:top w:val="single" w:sz="8" w:space="0" w:color="000000"/>
          <w:left w:val="nil"/>
          <w:bottom w:val="single" w:sz="8" w:space="0" w:color="000000"/>
          <w:right w:val="nil"/>
          <w:insideH w:val="nil"/>
          <w:insideV w:val="nil"/>
        </w:tblBorders>
        <w:tblLayout w:type="fixed"/>
        <w:tblCellMar>
          <w:top w:w="30" w:type="dxa"/>
          <w:left w:w="80" w:type="dxa"/>
          <w:bottom w:w="30" w:type="dxa"/>
          <w:right w:w="80" w:type="dxa"/>
        </w:tblCellMar>
        <w:tblLook w:val="04A0" w:firstRow="1" w:lastRow="0" w:firstColumn="1" w:lastColumn="0" w:noHBand="0" w:noVBand="1"/>
      </w:tblPr>
      <w:tblGrid>
        <w:gridCol w:w="1450"/>
        <w:gridCol w:w="1250"/>
        <w:gridCol w:w="1350"/>
        <w:gridCol w:w="1250"/>
        <w:gridCol w:w="1500"/>
        <w:gridCol w:w="1408"/>
      </w:tblGrid>
      <w:tr w:rsidR="000403B8" w:rsidRPr="00A81E0C" w14:paraId="18005CBA" w14:textId="77777777">
        <w:trPr>
          <w:cantSplit/>
          <w:tblHeader/>
          <w:jc w:val="center"/>
        </w:trPr>
        <w:tc>
          <w:tcPr>
            <w:tcW w:w="1450" w:type="dxa"/>
            <w:tcBorders>
              <w:bottom w:val="single" w:sz="6" w:space="0" w:color="000000"/>
            </w:tcBorders>
          </w:tcPr>
          <w:p w14:paraId="611C5A21" w14:textId="77777777" w:rsidR="000403B8" w:rsidRPr="00A81E0C" w:rsidRDefault="00AC7B1E" w:rsidP="006B2B16">
            <w:pPr>
              <w:jc w:val="both"/>
            </w:pPr>
            <w:r w:rsidRPr="00A81E0C">
              <w:rPr>
                <w:rFonts w:ascii="Arial" w:eastAsia="Arial" w:hAnsi="Arial" w:cs="Arial"/>
                <w:b/>
                <w:sz w:val="18"/>
              </w:rPr>
              <w:t>Cohort</w:t>
            </w:r>
          </w:p>
        </w:tc>
        <w:tc>
          <w:tcPr>
            <w:tcW w:w="1250" w:type="dxa"/>
            <w:tcBorders>
              <w:bottom w:val="single" w:sz="6" w:space="0" w:color="000000"/>
            </w:tcBorders>
          </w:tcPr>
          <w:p w14:paraId="17BA9702" w14:textId="77777777" w:rsidR="000403B8" w:rsidRPr="00A81E0C" w:rsidRDefault="00AC7B1E" w:rsidP="006B2B16">
            <w:pPr>
              <w:jc w:val="both"/>
            </w:pPr>
            <w:r w:rsidRPr="00A81E0C">
              <w:rPr>
                <w:rFonts w:ascii="Arial" w:eastAsia="Arial" w:hAnsi="Arial" w:cs="Arial"/>
                <w:b/>
                <w:sz w:val="18"/>
              </w:rPr>
              <w:t>Entrants (n)</w:t>
            </w:r>
          </w:p>
        </w:tc>
        <w:tc>
          <w:tcPr>
            <w:tcW w:w="1350" w:type="dxa"/>
            <w:tcBorders>
              <w:bottom w:val="single" w:sz="6" w:space="0" w:color="000000"/>
            </w:tcBorders>
          </w:tcPr>
          <w:p w14:paraId="6C3FD43B" w14:textId="77777777" w:rsidR="000403B8" w:rsidRPr="00A81E0C" w:rsidRDefault="00AC7B1E" w:rsidP="006B2B16">
            <w:pPr>
              <w:jc w:val="both"/>
            </w:pPr>
            <w:r w:rsidRPr="00A81E0C">
              <w:rPr>
                <w:rFonts w:ascii="Arial" w:eastAsia="Arial" w:hAnsi="Arial" w:cs="Arial"/>
                <w:b/>
                <w:sz w:val="18"/>
              </w:rPr>
              <w:t>Course failure (%)</w:t>
            </w:r>
          </w:p>
        </w:tc>
        <w:tc>
          <w:tcPr>
            <w:tcW w:w="1250" w:type="dxa"/>
            <w:tcBorders>
              <w:bottom w:val="single" w:sz="6" w:space="0" w:color="000000"/>
            </w:tcBorders>
          </w:tcPr>
          <w:p w14:paraId="67BDD796" w14:textId="77777777" w:rsidR="000403B8" w:rsidRPr="00A81E0C" w:rsidRDefault="00AC7B1E" w:rsidP="006B2B16">
            <w:pPr>
              <w:jc w:val="both"/>
            </w:pPr>
            <w:r w:rsidRPr="00A81E0C">
              <w:rPr>
                <w:rFonts w:ascii="Arial" w:eastAsia="Arial" w:hAnsi="Arial" w:cs="Arial"/>
                <w:b/>
                <w:sz w:val="18"/>
              </w:rPr>
              <w:t>Dropout (%)</w:t>
            </w:r>
          </w:p>
        </w:tc>
        <w:tc>
          <w:tcPr>
            <w:tcW w:w="1500" w:type="dxa"/>
            <w:tcBorders>
              <w:bottom w:val="single" w:sz="6" w:space="0" w:color="000000"/>
            </w:tcBorders>
          </w:tcPr>
          <w:p w14:paraId="790494F1" w14:textId="77777777" w:rsidR="000403B8" w:rsidRPr="00A81E0C" w:rsidRDefault="00AC7B1E" w:rsidP="006B2B16">
            <w:pPr>
              <w:jc w:val="both"/>
            </w:pPr>
            <w:r w:rsidRPr="00A81E0C">
              <w:rPr>
                <w:rFonts w:ascii="Arial" w:eastAsia="Arial" w:hAnsi="Arial" w:cs="Arial"/>
                <w:b/>
                <w:sz w:val="18"/>
              </w:rPr>
              <w:t xml:space="preserve">Terminal </w:t>
            </w:r>
            <w:proofErr w:type="spellStart"/>
            <w:r w:rsidRPr="00A81E0C">
              <w:rPr>
                <w:rFonts w:ascii="Arial" w:eastAsia="Arial" w:hAnsi="Arial" w:cs="Arial"/>
                <w:b/>
                <w:sz w:val="18"/>
              </w:rPr>
              <w:t>efficiency</w:t>
            </w:r>
            <w:r w:rsidRPr="00A81E0C">
              <w:rPr>
                <w:rFonts w:ascii="Arial" w:eastAsia="Arial" w:hAnsi="Arial" w:cs="Arial"/>
                <w:b/>
                <w:sz w:val="18"/>
                <w:vertAlign w:val="superscript"/>
              </w:rPr>
              <w:t>a</w:t>
            </w:r>
            <w:proofErr w:type="spellEnd"/>
            <w:r w:rsidRPr="00A81E0C">
              <w:rPr>
                <w:rFonts w:ascii="Arial" w:eastAsia="Arial" w:hAnsi="Arial" w:cs="Arial"/>
                <w:b/>
                <w:sz w:val="18"/>
              </w:rPr>
              <w:t xml:space="preserve"> (%)</w:t>
            </w:r>
          </w:p>
        </w:tc>
        <w:tc>
          <w:tcPr>
            <w:tcW w:w="1408" w:type="dxa"/>
            <w:tcBorders>
              <w:bottom w:val="single" w:sz="6" w:space="0" w:color="000000"/>
            </w:tcBorders>
          </w:tcPr>
          <w:p w14:paraId="3FD2E0A1" w14:textId="77777777" w:rsidR="000403B8" w:rsidRPr="00A81E0C" w:rsidRDefault="00AC7B1E" w:rsidP="006B2B16">
            <w:pPr>
              <w:jc w:val="both"/>
            </w:pPr>
            <w:proofErr w:type="spellStart"/>
            <w:r w:rsidRPr="00A81E0C">
              <w:rPr>
                <w:rFonts w:ascii="Arial" w:eastAsia="Arial" w:hAnsi="Arial" w:cs="Arial"/>
                <w:b/>
                <w:sz w:val="18"/>
              </w:rPr>
              <w:t>Graduation</w:t>
            </w:r>
            <w:r w:rsidRPr="00A81E0C">
              <w:rPr>
                <w:rFonts w:ascii="Arial" w:eastAsia="Arial" w:hAnsi="Arial" w:cs="Arial"/>
                <w:b/>
                <w:sz w:val="18"/>
                <w:vertAlign w:val="superscript"/>
              </w:rPr>
              <w:t>b</w:t>
            </w:r>
            <w:proofErr w:type="spellEnd"/>
            <w:r w:rsidRPr="00A81E0C">
              <w:rPr>
                <w:rFonts w:ascii="Arial" w:eastAsia="Arial" w:hAnsi="Arial" w:cs="Arial"/>
                <w:b/>
                <w:sz w:val="18"/>
              </w:rPr>
              <w:t xml:space="preserve"> (%)</w:t>
            </w:r>
          </w:p>
        </w:tc>
      </w:tr>
      <w:tr w:rsidR="000403B8" w:rsidRPr="00A81E0C" w14:paraId="6DCD1FD5" w14:textId="77777777">
        <w:trPr>
          <w:cantSplit/>
          <w:jc w:val="center"/>
        </w:trPr>
        <w:tc>
          <w:tcPr>
            <w:tcW w:w="1450" w:type="dxa"/>
          </w:tcPr>
          <w:p w14:paraId="60F2160C" w14:textId="77777777" w:rsidR="000403B8" w:rsidRPr="00A81E0C" w:rsidRDefault="00AC7B1E" w:rsidP="006B2B16">
            <w:pPr>
              <w:jc w:val="both"/>
            </w:pPr>
            <w:r w:rsidRPr="00A81E0C">
              <w:rPr>
                <w:rFonts w:ascii="Arial" w:eastAsia="Arial" w:hAnsi="Arial" w:cs="Arial"/>
                <w:sz w:val="18"/>
              </w:rPr>
              <w:t>2017–2023</w:t>
            </w:r>
          </w:p>
        </w:tc>
        <w:tc>
          <w:tcPr>
            <w:tcW w:w="1250" w:type="dxa"/>
          </w:tcPr>
          <w:p w14:paraId="4244B954" w14:textId="77777777" w:rsidR="000403B8" w:rsidRPr="00A81E0C" w:rsidRDefault="00AC7B1E" w:rsidP="006B2B16">
            <w:pPr>
              <w:jc w:val="both"/>
            </w:pPr>
            <w:r w:rsidRPr="00A81E0C">
              <w:rPr>
                <w:rFonts w:ascii="Arial" w:eastAsia="Arial" w:hAnsi="Arial" w:cs="Arial"/>
                <w:sz w:val="18"/>
              </w:rPr>
              <w:t>98</w:t>
            </w:r>
          </w:p>
        </w:tc>
        <w:tc>
          <w:tcPr>
            <w:tcW w:w="1350" w:type="dxa"/>
          </w:tcPr>
          <w:p w14:paraId="6186A5BA" w14:textId="77777777" w:rsidR="000403B8" w:rsidRPr="00A81E0C" w:rsidRDefault="00AC7B1E" w:rsidP="006B2B16">
            <w:pPr>
              <w:jc w:val="both"/>
            </w:pPr>
            <w:r w:rsidRPr="00A81E0C">
              <w:rPr>
                <w:rFonts w:ascii="Arial" w:eastAsia="Arial" w:hAnsi="Arial" w:cs="Arial"/>
                <w:sz w:val="18"/>
              </w:rPr>
              <w:t>14.2</w:t>
            </w:r>
          </w:p>
        </w:tc>
        <w:tc>
          <w:tcPr>
            <w:tcW w:w="1250" w:type="dxa"/>
          </w:tcPr>
          <w:p w14:paraId="0590C516" w14:textId="77777777" w:rsidR="000403B8" w:rsidRPr="00A81E0C" w:rsidRDefault="00AC7B1E" w:rsidP="006B2B16">
            <w:pPr>
              <w:jc w:val="both"/>
            </w:pPr>
            <w:r w:rsidRPr="00A81E0C">
              <w:rPr>
                <w:rFonts w:ascii="Arial" w:eastAsia="Arial" w:hAnsi="Arial" w:cs="Arial"/>
                <w:sz w:val="18"/>
              </w:rPr>
              <w:t>18.5</w:t>
            </w:r>
          </w:p>
        </w:tc>
        <w:tc>
          <w:tcPr>
            <w:tcW w:w="1500" w:type="dxa"/>
          </w:tcPr>
          <w:p w14:paraId="1DE5A1C7" w14:textId="77777777" w:rsidR="000403B8" w:rsidRPr="00A81E0C" w:rsidRDefault="00AC7B1E" w:rsidP="006B2B16">
            <w:pPr>
              <w:jc w:val="both"/>
            </w:pPr>
            <w:r w:rsidRPr="00A81E0C">
              <w:rPr>
                <w:rFonts w:ascii="Arial" w:eastAsia="Arial" w:hAnsi="Arial" w:cs="Arial"/>
                <w:sz w:val="18"/>
              </w:rPr>
              <w:t>58.0</w:t>
            </w:r>
          </w:p>
        </w:tc>
        <w:tc>
          <w:tcPr>
            <w:tcW w:w="1408" w:type="dxa"/>
          </w:tcPr>
          <w:p w14:paraId="0D7C1F65" w14:textId="77777777" w:rsidR="000403B8" w:rsidRPr="00A81E0C" w:rsidRDefault="00AC7B1E" w:rsidP="006B2B16">
            <w:pPr>
              <w:jc w:val="both"/>
            </w:pPr>
            <w:r w:rsidRPr="00A81E0C">
              <w:rPr>
                <w:rFonts w:ascii="Arial" w:eastAsia="Arial" w:hAnsi="Arial" w:cs="Arial"/>
                <w:sz w:val="18"/>
              </w:rPr>
              <w:t>52.0</w:t>
            </w:r>
          </w:p>
        </w:tc>
      </w:tr>
      <w:tr w:rsidR="000403B8" w:rsidRPr="00A81E0C" w14:paraId="09CE0B92" w14:textId="77777777">
        <w:trPr>
          <w:cantSplit/>
          <w:jc w:val="center"/>
        </w:trPr>
        <w:tc>
          <w:tcPr>
            <w:tcW w:w="1450" w:type="dxa"/>
          </w:tcPr>
          <w:p w14:paraId="714B2CC8" w14:textId="77777777" w:rsidR="000403B8" w:rsidRPr="00A81E0C" w:rsidRDefault="00AC7B1E" w:rsidP="006B2B16">
            <w:pPr>
              <w:jc w:val="both"/>
            </w:pPr>
            <w:r w:rsidRPr="00A81E0C">
              <w:rPr>
                <w:rFonts w:ascii="Arial" w:eastAsia="Arial" w:hAnsi="Arial" w:cs="Arial"/>
                <w:sz w:val="18"/>
              </w:rPr>
              <w:t>2018–2024</w:t>
            </w:r>
          </w:p>
        </w:tc>
        <w:tc>
          <w:tcPr>
            <w:tcW w:w="1250" w:type="dxa"/>
          </w:tcPr>
          <w:p w14:paraId="6C01DEFA" w14:textId="77777777" w:rsidR="000403B8" w:rsidRPr="00A81E0C" w:rsidRDefault="00AC7B1E" w:rsidP="006B2B16">
            <w:pPr>
              <w:jc w:val="both"/>
            </w:pPr>
            <w:r w:rsidRPr="00A81E0C">
              <w:rPr>
                <w:rFonts w:ascii="Arial" w:eastAsia="Arial" w:hAnsi="Arial" w:cs="Arial"/>
                <w:sz w:val="18"/>
              </w:rPr>
              <w:t>104</w:t>
            </w:r>
          </w:p>
        </w:tc>
        <w:tc>
          <w:tcPr>
            <w:tcW w:w="1350" w:type="dxa"/>
          </w:tcPr>
          <w:p w14:paraId="1ED4136F" w14:textId="77777777" w:rsidR="000403B8" w:rsidRPr="00A81E0C" w:rsidRDefault="00AC7B1E" w:rsidP="006B2B16">
            <w:pPr>
              <w:jc w:val="both"/>
            </w:pPr>
            <w:r w:rsidRPr="00A81E0C">
              <w:rPr>
                <w:rFonts w:ascii="Arial" w:eastAsia="Arial" w:hAnsi="Arial" w:cs="Arial"/>
                <w:sz w:val="18"/>
              </w:rPr>
              <w:t>13.8</w:t>
            </w:r>
          </w:p>
        </w:tc>
        <w:tc>
          <w:tcPr>
            <w:tcW w:w="1250" w:type="dxa"/>
          </w:tcPr>
          <w:p w14:paraId="48FA517B" w14:textId="77777777" w:rsidR="000403B8" w:rsidRPr="00A81E0C" w:rsidRDefault="00AC7B1E" w:rsidP="006B2B16">
            <w:pPr>
              <w:jc w:val="both"/>
            </w:pPr>
            <w:r w:rsidRPr="00A81E0C">
              <w:rPr>
                <w:rFonts w:ascii="Arial" w:eastAsia="Arial" w:hAnsi="Arial" w:cs="Arial"/>
                <w:sz w:val="18"/>
              </w:rPr>
              <w:t>16.1</w:t>
            </w:r>
          </w:p>
        </w:tc>
        <w:tc>
          <w:tcPr>
            <w:tcW w:w="1500" w:type="dxa"/>
          </w:tcPr>
          <w:p w14:paraId="4614B273" w14:textId="77777777" w:rsidR="000403B8" w:rsidRPr="00A81E0C" w:rsidRDefault="00AC7B1E" w:rsidP="006B2B16">
            <w:pPr>
              <w:jc w:val="both"/>
            </w:pPr>
            <w:r w:rsidRPr="00A81E0C">
              <w:rPr>
                <w:rFonts w:ascii="Arial" w:eastAsia="Arial" w:hAnsi="Arial" w:cs="Arial"/>
                <w:sz w:val="18"/>
              </w:rPr>
              <w:t>59.0</w:t>
            </w:r>
          </w:p>
        </w:tc>
        <w:tc>
          <w:tcPr>
            <w:tcW w:w="1408" w:type="dxa"/>
          </w:tcPr>
          <w:p w14:paraId="230ECCA8" w14:textId="77777777" w:rsidR="000403B8" w:rsidRPr="00A81E0C" w:rsidRDefault="00AC7B1E" w:rsidP="006B2B16">
            <w:pPr>
              <w:jc w:val="both"/>
            </w:pPr>
            <w:r w:rsidRPr="00A81E0C">
              <w:rPr>
                <w:rFonts w:ascii="Arial" w:eastAsia="Arial" w:hAnsi="Arial" w:cs="Arial"/>
                <w:sz w:val="18"/>
              </w:rPr>
              <w:t>56.0</w:t>
            </w:r>
          </w:p>
        </w:tc>
      </w:tr>
      <w:tr w:rsidR="000403B8" w:rsidRPr="00A81E0C" w14:paraId="3B10C79D" w14:textId="77777777">
        <w:trPr>
          <w:cantSplit/>
          <w:jc w:val="center"/>
        </w:trPr>
        <w:tc>
          <w:tcPr>
            <w:tcW w:w="1450" w:type="dxa"/>
          </w:tcPr>
          <w:p w14:paraId="409E9EE7" w14:textId="77777777" w:rsidR="000403B8" w:rsidRPr="00A81E0C" w:rsidRDefault="00AC7B1E" w:rsidP="006B2B16">
            <w:pPr>
              <w:jc w:val="both"/>
            </w:pPr>
            <w:r w:rsidRPr="00A81E0C">
              <w:rPr>
                <w:rFonts w:ascii="Arial" w:eastAsia="Arial" w:hAnsi="Arial" w:cs="Arial"/>
                <w:sz w:val="18"/>
              </w:rPr>
              <w:t>2019–2025</w:t>
            </w:r>
          </w:p>
        </w:tc>
        <w:tc>
          <w:tcPr>
            <w:tcW w:w="1250" w:type="dxa"/>
          </w:tcPr>
          <w:p w14:paraId="2042ECF8" w14:textId="77777777" w:rsidR="000403B8" w:rsidRPr="00A81E0C" w:rsidRDefault="00AC7B1E" w:rsidP="006B2B16">
            <w:pPr>
              <w:jc w:val="both"/>
            </w:pPr>
            <w:r w:rsidRPr="00A81E0C">
              <w:rPr>
                <w:rFonts w:ascii="Arial" w:eastAsia="Arial" w:hAnsi="Arial" w:cs="Arial"/>
                <w:sz w:val="18"/>
              </w:rPr>
              <w:t>110</w:t>
            </w:r>
          </w:p>
        </w:tc>
        <w:tc>
          <w:tcPr>
            <w:tcW w:w="1350" w:type="dxa"/>
          </w:tcPr>
          <w:p w14:paraId="4289B2E5" w14:textId="77777777" w:rsidR="000403B8" w:rsidRPr="00A81E0C" w:rsidRDefault="00AC7B1E" w:rsidP="006B2B16">
            <w:pPr>
              <w:jc w:val="both"/>
            </w:pPr>
            <w:r w:rsidRPr="00A81E0C">
              <w:rPr>
                <w:rFonts w:ascii="Arial" w:eastAsia="Arial" w:hAnsi="Arial" w:cs="Arial"/>
                <w:sz w:val="18"/>
              </w:rPr>
              <w:t>13.5</w:t>
            </w:r>
          </w:p>
        </w:tc>
        <w:tc>
          <w:tcPr>
            <w:tcW w:w="1250" w:type="dxa"/>
          </w:tcPr>
          <w:p w14:paraId="37A0DC00" w14:textId="77777777" w:rsidR="000403B8" w:rsidRPr="00A81E0C" w:rsidRDefault="00AC7B1E" w:rsidP="006B2B16">
            <w:pPr>
              <w:jc w:val="both"/>
            </w:pPr>
            <w:r w:rsidRPr="00A81E0C">
              <w:rPr>
                <w:rFonts w:ascii="Arial" w:eastAsia="Arial" w:hAnsi="Arial" w:cs="Arial"/>
                <w:sz w:val="18"/>
              </w:rPr>
              <w:t>14.3</w:t>
            </w:r>
          </w:p>
        </w:tc>
        <w:tc>
          <w:tcPr>
            <w:tcW w:w="1500" w:type="dxa"/>
          </w:tcPr>
          <w:p w14:paraId="3124B98D" w14:textId="77777777" w:rsidR="000403B8" w:rsidRPr="00A81E0C" w:rsidRDefault="00AC7B1E" w:rsidP="006B2B16">
            <w:pPr>
              <w:jc w:val="both"/>
            </w:pPr>
            <w:r w:rsidRPr="00A81E0C">
              <w:rPr>
                <w:rFonts w:ascii="Arial" w:eastAsia="Arial" w:hAnsi="Arial" w:cs="Arial"/>
                <w:sz w:val="18"/>
              </w:rPr>
              <w:t>60.0</w:t>
            </w:r>
          </w:p>
        </w:tc>
        <w:tc>
          <w:tcPr>
            <w:tcW w:w="1408" w:type="dxa"/>
          </w:tcPr>
          <w:p w14:paraId="68EF2FFC" w14:textId="77777777" w:rsidR="000403B8" w:rsidRPr="00A81E0C" w:rsidRDefault="00AC7B1E" w:rsidP="006B2B16">
            <w:pPr>
              <w:jc w:val="both"/>
            </w:pPr>
            <w:r w:rsidRPr="00A81E0C">
              <w:rPr>
                <w:rFonts w:ascii="Arial" w:eastAsia="Arial" w:hAnsi="Arial" w:cs="Arial"/>
                <w:sz w:val="18"/>
              </w:rPr>
              <w:t>61.0</w:t>
            </w:r>
          </w:p>
        </w:tc>
      </w:tr>
      <w:tr w:rsidR="000403B8" w:rsidRPr="00A81E0C" w14:paraId="4A3898C3" w14:textId="77777777">
        <w:trPr>
          <w:cantSplit/>
          <w:jc w:val="center"/>
        </w:trPr>
        <w:tc>
          <w:tcPr>
            <w:tcW w:w="1450" w:type="dxa"/>
          </w:tcPr>
          <w:p w14:paraId="0DC6AF8D" w14:textId="77777777" w:rsidR="000403B8" w:rsidRPr="00A81E0C" w:rsidRDefault="00AC7B1E" w:rsidP="006B2B16">
            <w:pPr>
              <w:jc w:val="both"/>
            </w:pPr>
            <w:r w:rsidRPr="00A81E0C">
              <w:rPr>
                <w:rFonts w:ascii="Arial" w:eastAsia="Arial" w:hAnsi="Arial" w:cs="Arial"/>
                <w:sz w:val="18"/>
              </w:rPr>
              <w:t>2020–2026</w:t>
            </w:r>
            <w:r w:rsidRPr="00A81E0C">
              <w:rPr>
                <w:rFonts w:ascii="Arial" w:eastAsia="Arial" w:hAnsi="Arial" w:cs="Arial"/>
                <w:sz w:val="18"/>
                <w:vertAlign w:val="superscript"/>
              </w:rPr>
              <w:t>c</w:t>
            </w:r>
          </w:p>
        </w:tc>
        <w:tc>
          <w:tcPr>
            <w:tcW w:w="1250" w:type="dxa"/>
          </w:tcPr>
          <w:p w14:paraId="1A495BB6" w14:textId="77777777" w:rsidR="000403B8" w:rsidRPr="00A81E0C" w:rsidRDefault="00AC7B1E" w:rsidP="006B2B16">
            <w:pPr>
              <w:jc w:val="both"/>
            </w:pPr>
            <w:r w:rsidRPr="00A81E0C">
              <w:rPr>
                <w:rFonts w:ascii="Arial" w:eastAsia="Arial" w:hAnsi="Arial" w:cs="Arial"/>
                <w:sz w:val="18"/>
              </w:rPr>
              <w:t>118</w:t>
            </w:r>
          </w:p>
        </w:tc>
        <w:tc>
          <w:tcPr>
            <w:tcW w:w="1350" w:type="dxa"/>
          </w:tcPr>
          <w:p w14:paraId="0B502465" w14:textId="77777777" w:rsidR="000403B8" w:rsidRPr="00A81E0C" w:rsidRDefault="00AC7B1E" w:rsidP="006B2B16">
            <w:pPr>
              <w:jc w:val="both"/>
            </w:pPr>
            <w:r w:rsidRPr="00A81E0C">
              <w:rPr>
                <w:rFonts w:ascii="Arial" w:eastAsia="Arial" w:hAnsi="Arial" w:cs="Arial"/>
                <w:sz w:val="18"/>
              </w:rPr>
              <w:t>13.1</w:t>
            </w:r>
          </w:p>
        </w:tc>
        <w:tc>
          <w:tcPr>
            <w:tcW w:w="1250" w:type="dxa"/>
          </w:tcPr>
          <w:p w14:paraId="1C90F0EA" w14:textId="77777777" w:rsidR="000403B8" w:rsidRPr="00A81E0C" w:rsidRDefault="00AC7B1E" w:rsidP="006B2B16">
            <w:pPr>
              <w:jc w:val="both"/>
            </w:pPr>
            <w:r w:rsidRPr="00A81E0C">
              <w:rPr>
                <w:rFonts w:ascii="Arial" w:eastAsia="Arial" w:hAnsi="Arial" w:cs="Arial"/>
                <w:sz w:val="18"/>
              </w:rPr>
              <w:t>12.0</w:t>
            </w:r>
          </w:p>
        </w:tc>
        <w:tc>
          <w:tcPr>
            <w:tcW w:w="1500" w:type="dxa"/>
          </w:tcPr>
          <w:p w14:paraId="7F76F9A6" w14:textId="77777777" w:rsidR="000403B8" w:rsidRPr="00A81E0C" w:rsidRDefault="00AC7B1E" w:rsidP="006B2B16">
            <w:pPr>
              <w:jc w:val="both"/>
            </w:pPr>
            <w:r w:rsidRPr="00A81E0C">
              <w:rPr>
                <w:rFonts w:ascii="Arial" w:eastAsia="Arial" w:hAnsi="Arial" w:cs="Arial"/>
                <w:sz w:val="18"/>
              </w:rPr>
              <w:t>57.0</w:t>
            </w:r>
            <w:r w:rsidRPr="00A81E0C">
              <w:rPr>
                <w:rFonts w:ascii="Arial" w:eastAsia="Arial" w:hAnsi="Arial" w:cs="Arial"/>
                <w:sz w:val="18"/>
                <w:vertAlign w:val="superscript"/>
              </w:rPr>
              <w:t>d</w:t>
            </w:r>
          </w:p>
        </w:tc>
        <w:tc>
          <w:tcPr>
            <w:tcW w:w="1408" w:type="dxa"/>
          </w:tcPr>
          <w:p w14:paraId="125461CC" w14:textId="77777777" w:rsidR="000403B8" w:rsidRPr="00A81E0C" w:rsidRDefault="00AC7B1E" w:rsidP="006B2B16">
            <w:pPr>
              <w:jc w:val="both"/>
            </w:pPr>
            <w:r w:rsidRPr="00A81E0C">
              <w:rPr>
                <w:rFonts w:ascii="Arial" w:eastAsia="Arial" w:hAnsi="Arial" w:cs="Arial"/>
                <w:sz w:val="18"/>
              </w:rPr>
              <w:t>62.0</w:t>
            </w:r>
          </w:p>
        </w:tc>
      </w:tr>
      <w:tr w:rsidR="000403B8" w:rsidRPr="00A81E0C" w14:paraId="029FF652" w14:textId="77777777">
        <w:trPr>
          <w:cantSplit/>
          <w:jc w:val="center"/>
        </w:trPr>
        <w:tc>
          <w:tcPr>
            <w:tcW w:w="1450" w:type="dxa"/>
            <w:tcBorders>
              <w:top w:val="single" w:sz="6" w:space="0" w:color="000000"/>
            </w:tcBorders>
          </w:tcPr>
          <w:p w14:paraId="78495FE1" w14:textId="77777777" w:rsidR="000403B8" w:rsidRPr="00A81E0C" w:rsidRDefault="00AC7B1E" w:rsidP="006B2B16">
            <w:pPr>
              <w:jc w:val="both"/>
            </w:pPr>
            <w:r w:rsidRPr="00A81E0C">
              <w:rPr>
                <w:rFonts w:ascii="Arial" w:eastAsia="Arial" w:hAnsi="Arial" w:cs="Arial"/>
                <w:b/>
                <w:sz w:val="18"/>
              </w:rPr>
              <w:lastRenderedPageBreak/>
              <w:t>Mean</w:t>
            </w:r>
          </w:p>
        </w:tc>
        <w:tc>
          <w:tcPr>
            <w:tcW w:w="1250" w:type="dxa"/>
            <w:tcBorders>
              <w:top w:val="single" w:sz="6" w:space="0" w:color="000000"/>
            </w:tcBorders>
          </w:tcPr>
          <w:p w14:paraId="31F04249" w14:textId="77777777" w:rsidR="000403B8" w:rsidRPr="00A81E0C" w:rsidRDefault="00AC7B1E" w:rsidP="006B2B16">
            <w:pPr>
              <w:jc w:val="both"/>
            </w:pPr>
            <w:r w:rsidRPr="00A81E0C">
              <w:rPr>
                <w:rFonts w:ascii="Arial" w:eastAsia="Arial" w:hAnsi="Arial" w:cs="Arial"/>
                <w:b/>
                <w:sz w:val="18"/>
              </w:rPr>
              <w:t>107.5</w:t>
            </w:r>
          </w:p>
        </w:tc>
        <w:tc>
          <w:tcPr>
            <w:tcW w:w="1350" w:type="dxa"/>
            <w:tcBorders>
              <w:top w:val="single" w:sz="6" w:space="0" w:color="000000"/>
            </w:tcBorders>
          </w:tcPr>
          <w:p w14:paraId="692BB49F" w14:textId="77777777" w:rsidR="000403B8" w:rsidRPr="00A81E0C" w:rsidRDefault="00AC7B1E" w:rsidP="006B2B16">
            <w:pPr>
              <w:jc w:val="both"/>
            </w:pPr>
            <w:r w:rsidRPr="00A81E0C">
              <w:rPr>
                <w:rFonts w:ascii="Arial" w:eastAsia="Arial" w:hAnsi="Arial" w:cs="Arial"/>
                <w:b/>
                <w:sz w:val="18"/>
              </w:rPr>
              <w:t>13.7</w:t>
            </w:r>
          </w:p>
        </w:tc>
        <w:tc>
          <w:tcPr>
            <w:tcW w:w="1250" w:type="dxa"/>
            <w:tcBorders>
              <w:top w:val="single" w:sz="6" w:space="0" w:color="000000"/>
            </w:tcBorders>
          </w:tcPr>
          <w:p w14:paraId="4CBD2A40" w14:textId="77777777" w:rsidR="000403B8" w:rsidRPr="00A81E0C" w:rsidRDefault="00AC7B1E" w:rsidP="006B2B16">
            <w:pPr>
              <w:jc w:val="both"/>
            </w:pPr>
            <w:r w:rsidRPr="00A81E0C">
              <w:rPr>
                <w:rFonts w:ascii="Arial" w:eastAsia="Arial" w:hAnsi="Arial" w:cs="Arial"/>
                <w:b/>
                <w:sz w:val="18"/>
              </w:rPr>
              <w:t>15.2</w:t>
            </w:r>
          </w:p>
        </w:tc>
        <w:tc>
          <w:tcPr>
            <w:tcW w:w="1500" w:type="dxa"/>
            <w:tcBorders>
              <w:top w:val="single" w:sz="6" w:space="0" w:color="000000"/>
            </w:tcBorders>
          </w:tcPr>
          <w:p w14:paraId="100AC812" w14:textId="77777777" w:rsidR="000403B8" w:rsidRPr="00A81E0C" w:rsidRDefault="00AC7B1E" w:rsidP="006B2B16">
            <w:pPr>
              <w:jc w:val="both"/>
            </w:pPr>
            <w:r w:rsidRPr="00A81E0C">
              <w:rPr>
                <w:rFonts w:ascii="Arial" w:eastAsia="Arial" w:hAnsi="Arial" w:cs="Arial"/>
                <w:b/>
                <w:sz w:val="18"/>
              </w:rPr>
              <w:t>58.5</w:t>
            </w:r>
          </w:p>
        </w:tc>
        <w:tc>
          <w:tcPr>
            <w:tcW w:w="1408" w:type="dxa"/>
            <w:tcBorders>
              <w:top w:val="single" w:sz="6" w:space="0" w:color="000000"/>
            </w:tcBorders>
          </w:tcPr>
          <w:p w14:paraId="08AA26D2" w14:textId="77777777" w:rsidR="000403B8" w:rsidRPr="00A81E0C" w:rsidRDefault="00AC7B1E" w:rsidP="006B2B16">
            <w:pPr>
              <w:jc w:val="both"/>
            </w:pPr>
            <w:r w:rsidRPr="00A81E0C">
              <w:rPr>
                <w:rFonts w:ascii="Arial" w:eastAsia="Arial" w:hAnsi="Arial" w:cs="Arial"/>
                <w:b/>
                <w:sz w:val="18"/>
              </w:rPr>
              <w:t>57.8</w:t>
            </w:r>
          </w:p>
        </w:tc>
      </w:tr>
    </w:tbl>
    <w:p w14:paraId="4DB96BD3" w14:textId="77777777" w:rsidR="000403B8" w:rsidRPr="00A81E0C" w:rsidRDefault="00AC7B1E" w:rsidP="006B2B16">
      <w:pPr>
        <w:pStyle w:val="Body"/>
        <w:spacing w:before="40" w:after="0"/>
      </w:pPr>
      <w:proofErr w:type="spellStart"/>
      <w:r w:rsidRPr="00A81E0C">
        <w:rPr>
          <w:rFonts w:ascii="Arial" w:eastAsia="Arial" w:hAnsi="Arial" w:cs="Arial"/>
          <w:sz w:val="17"/>
          <w:vertAlign w:val="superscript"/>
        </w:rPr>
        <w:t>a</w:t>
      </w:r>
      <w:r w:rsidRPr="00A81E0C">
        <w:rPr>
          <w:rFonts w:ascii="Arial" w:eastAsia="Arial" w:hAnsi="Arial" w:cs="Arial"/>
          <w:sz w:val="17"/>
        </w:rPr>
        <w:t>Percentage</w:t>
      </w:r>
      <w:proofErr w:type="spellEnd"/>
      <w:r w:rsidRPr="00A81E0C">
        <w:rPr>
          <w:rFonts w:ascii="Arial" w:eastAsia="Arial" w:hAnsi="Arial" w:cs="Arial"/>
          <w:sz w:val="17"/>
        </w:rPr>
        <w:t xml:space="preserve"> of the entering cohort that completed all program credits.</w:t>
      </w:r>
    </w:p>
    <w:p w14:paraId="5D6A54CB" w14:textId="77777777" w:rsidR="000403B8" w:rsidRPr="00A81E0C" w:rsidRDefault="00AC7B1E" w:rsidP="006B2B16">
      <w:pPr>
        <w:pStyle w:val="Body"/>
        <w:spacing w:after="0"/>
      </w:pPr>
      <w:proofErr w:type="spellStart"/>
      <w:r w:rsidRPr="00A81E0C">
        <w:rPr>
          <w:rFonts w:ascii="Arial" w:eastAsia="Arial" w:hAnsi="Arial" w:cs="Arial"/>
          <w:sz w:val="17"/>
          <w:vertAlign w:val="superscript"/>
        </w:rPr>
        <w:t>b</w:t>
      </w:r>
      <w:r w:rsidRPr="00A81E0C">
        <w:rPr>
          <w:rFonts w:ascii="Arial" w:eastAsia="Arial" w:hAnsi="Arial" w:cs="Arial"/>
          <w:sz w:val="17"/>
        </w:rPr>
        <w:t>Percentage</w:t>
      </w:r>
      <w:proofErr w:type="spellEnd"/>
      <w:r w:rsidRPr="00A81E0C">
        <w:rPr>
          <w:rFonts w:ascii="Arial" w:eastAsia="Arial" w:hAnsi="Arial" w:cs="Arial"/>
          <w:sz w:val="17"/>
        </w:rPr>
        <w:t xml:space="preserve"> of the entering cohort that obtained the professional degree.</w:t>
      </w:r>
    </w:p>
    <w:p w14:paraId="5343EA1A" w14:textId="77777777" w:rsidR="000403B8" w:rsidRPr="00A81E0C" w:rsidRDefault="00AC7B1E" w:rsidP="006B2B16">
      <w:pPr>
        <w:pStyle w:val="Body"/>
        <w:spacing w:after="0"/>
      </w:pPr>
      <w:proofErr w:type="spellStart"/>
      <w:r w:rsidRPr="00A81E0C">
        <w:rPr>
          <w:rFonts w:ascii="Arial" w:eastAsia="Arial" w:hAnsi="Arial" w:cs="Arial"/>
          <w:sz w:val="17"/>
          <w:vertAlign w:val="superscript"/>
        </w:rPr>
        <w:t>c</w:t>
      </w:r>
      <w:r w:rsidRPr="00A81E0C">
        <w:rPr>
          <w:rFonts w:ascii="Arial" w:eastAsia="Arial" w:hAnsi="Arial" w:cs="Arial"/>
          <w:sz w:val="17"/>
        </w:rPr>
        <w:t>Cohort</w:t>
      </w:r>
      <w:proofErr w:type="spellEnd"/>
      <w:r w:rsidRPr="00A81E0C">
        <w:rPr>
          <w:rFonts w:ascii="Arial" w:eastAsia="Arial" w:hAnsi="Arial" w:cs="Arial"/>
          <w:sz w:val="17"/>
        </w:rPr>
        <w:t xml:space="preserve"> still in progress at the time of data collection; values are preliminary.</w:t>
      </w:r>
    </w:p>
    <w:p w14:paraId="6F78D909" w14:textId="77777777" w:rsidR="000403B8" w:rsidRPr="00A81E0C" w:rsidRDefault="00AC7B1E" w:rsidP="006B2B16">
      <w:pPr>
        <w:pStyle w:val="Body"/>
        <w:spacing w:after="0"/>
      </w:pPr>
      <w:proofErr w:type="spellStart"/>
      <w:r w:rsidRPr="00A81E0C">
        <w:rPr>
          <w:rFonts w:ascii="Arial" w:eastAsia="Arial" w:hAnsi="Arial" w:cs="Arial"/>
          <w:sz w:val="17"/>
          <w:vertAlign w:val="superscript"/>
        </w:rPr>
        <w:t>d</w:t>
      </w:r>
      <w:r w:rsidRPr="00A81E0C">
        <w:rPr>
          <w:rFonts w:ascii="Arial" w:eastAsia="Arial" w:hAnsi="Arial" w:cs="Arial"/>
          <w:sz w:val="17"/>
        </w:rPr>
        <w:t>Provisional</w:t>
      </w:r>
      <w:proofErr w:type="spellEnd"/>
      <w:r w:rsidRPr="00A81E0C">
        <w:rPr>
          <w:rFonts w:ascii="Arial" w:eastAsia="Arial" w:hAnsi="Arial" w:cs="Arial"/>
          <w:sz w:val="17"/>
        </w:rPr>
        <w:t xml:space="preserve"> estimate.</w:t>
      </w:r>
    </w:p>
    <w:p w14:paraId="0A2B1633" w14:textId="77777777" w:rsidR="000403B8" w:rsidRPr="00A81E0C" w:rsidRDefault="00AC7B1E" w:rsidP="006B2B16">
      <w:pPr>
        <w:pStyle w:val="Body"/>
        <w:spacing w:after="160"/>
      </w:pPr>
      <w:r w:rsidRPr="00A81E0C">
        <w:rPr>
          <w:rFonts w:ascii="Arial" w:eastAsia="Arial" w:hAnsi="Arial" w:cs="Arial"/>
          <w:sz w:val="17"/>
        </w:rPr>
        <w:t>Source: prepared by the authors from institutional databases of the Department of School Services, academic monitoring reports and official statistics on terminal efficiency, dropout and graduation of the Industrial Engineering program, ITC-</w:t>
      </w:r>
      <w:proofErr w:type="spellStart"/>
      <w:r w:rsidRPr="00A81E0C">
        <w:rPr>
          <w:rFonts w:ascii="Arial" w:eastAsia="Arial" w:hAnsi="Arial" w:cs="Arial"/>
          <w:sz w:val="17"/>
        </w:rPr>
        <w:t>TecNM</w:t>
      </w:r>
      <w:proofErr w:type="spellEnd"/>
      <w:r w:rsidRPr="00A81E0C">
        <w:rPr>
          <w:rFonts w:ascii="Arial" w:eastAsia="Arial" w:hAnsi="Arial" w:cs="Arial"/>
          <w:sz w:val="17"/>
        </w:rPr>
        <w:t xml:space="preserve"> (2017–2026).</w:t>
      </w:r>
    </w:p>
    <w:p w14:paraId="31FF539B" w14:textId="77777777" w:rsidR="000403B8" w:rsidRPr="00A81E0C" w:rsidRDefault="00AC7B1E" w:rsidP="006B2B16">
      <w:pPr>
        <w:pStyle w:val="Body"/>
        <w:spacing w:after="160"/>
      </w:pPr>
      <w:r w:rsidRPr="00A81E0C">
        <w:rPr>
          <w:rFonts w:ascii="Arial" w:eastAsia="Arial" w:hAnsi="Arial" w:cs="Arial"/>
        </w:rPr>
        <w:t>The mean course failure rate across the four cohorts was 13.7%. Dropout fell from 18.5% in the 2017–2023 cohort to 12.0% in the 2020–2026 cohort; the institution attributes this decline to tutoring and academic advising programmes introduced during that period. The graduation rate rose from 52% to 62%. Much of this increase is linked to the integral graduation option based on the professional residency project, which 95.4% of graduates choose. Terminal efficiency is an exception. It has remained between 57% and 60%, and the provisional value for the latest cohort suggests that timely completion remains a weak point of the programme.</w:t>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p>
    <w:p w14:paraId="2B373A2D" w14:textId="77777777" w:rsidR="000403B8" w:rsidRPr="00A81E0C" w:rsidRDefault="00AC7B1E" w:rsidP="006B2B16">
      <w:pPr>
        <w:pStyle w:val="Body"/>
        <w:keepNext/>
        <w:spacing w:before="80" w:after="80"/>
      </w:pPr>
      <w:r w:rsidRPr="00A81E0C">
        <w:rPr>
          <w:rFonts w:ascii="Arial" w:eastAsia="Arial" w:hAnsi="Arial" w:cs="Arial"/>
          <w:b/>
          <w:sz w:val="22"/>
        </w:rPr>
        <w:t>3.3 Student Demand for the Speciali</w:t>
      </w:r>
      <w:r w:rsidRPr="00A81E0C">
        <w:rPr>
          <w:rFonts w:ascii="Arial" w:eastAsia="Arial" w:hAnsi="Arial" w:cs="Arial"/>
          <w:b/>
          <w:sz w:val="22"/>
          <w:highlight w:val="yellow"/>
        </w:rPr>
        <w:t>s</w:t>
      </w:r>
      <w:r w:rsidRPr="00A81E0C">
        <w:rPr>
          <w:rFonts w:ascii="Arial" w:eastAsia="Arial" w:hAnsi="Arial" w:cs="Arial"/>
          <w:b/>
          <w:sz w:val="22"/>
        </w:rPr>
        <w:t>ation</w:t>
      </w:r>
    </w:p>
    <w:p w14:paraId="00BF9429" w14:textId="77777777" w:rsidR="000403B8" w:rsidRPr="00A81E0C" w:rsidRDefault="00AC7B1E" w:rsidP="006B2B16">
      <w:pPr>
        <w:pStyle w:val="Body"/>
        <w:spacing w:after="160"/>
      </w:pPr>
      <w:r w:rsidRPr="00A81E0C">
        <w:rPr>
          <w:rFonts w:ascii="Arial" w:eastAsia="Arial" w:hAnsi="Arial" w:cs="Arial"/>
        </w:rPr>
        <w:t>The survey (n = 438; coverage 95.2%) provides direct evidence of student demand for a logistics speciali</w:t>
      </w:r>
      <w:r w:rsidRPr="00A81E0C">
        <w:rPr>
          <w:rFonts w:ascii="Arial" w:eastAsia="Arial" w:hAnsi="Arial" w:cs="Arial"/>
          <w:highlight w:val="yellow"/>
        </w:rPr>
        <w:t>s</w:t>
      </w:r>
      <w:r w:rsidRPr="00A81E0C">
        <w:rPr>
          <w:rFonts w:ascii="Arial" w:eastAsia="Arial" w:hAnsi="Arial" w:cs="Arial"/>
        </w:rPr>
        <w:t>ation. Its main results are summari</w:t>
      </w:r>
      <w:r w:rsidRPr="00A81E0C">
        <w:rPr>
          <w:rFonts w:ascii="Arial" w:eastAsia="Arial" w:hAnsi="Arial" w:cs="Arial"/>
          <w:highlight w:val="yellow"/>
        </w:rPr>
        <w:t>s</w:t>
      </w:r>
      <w:r w:rsidRPr="00A81E0C">
        <w:rPr>
          <w:rFonts w:ascii="Arial" w:eastAsia="Arial" w:hAnsi="Arial" w:cs="Arial"/>
        </w:rPr>
        <w:t>ed in Table 3.</w:t>
      </w:r>
    </w:p>
    <w:p w14:paraId="50A3AB21" w14:textId="77777777" w:rsidR="000403B8" w:rsidRPr="00A81E0C" w:rsidRDefault="00AC7B1E" w:rsidP="006B2B16">
      <w:pPr>
        <w:pStyle w:val="Body"/>
        <w:keepNext/>
        <w:spacing w:before="120" w:after="80"/>
      </w:pPr>
      <w:r w:rsidRPr="00A81E0C">
        <w:rPr>
          <w:rFonts w:ascii="Arial" w:eastAsia="Arial" w:hAnsi="Arial" w:cs="Arial"/>
          <w:b/>
        </w:rPr>
        <w:t>Table 3. Main results of the student survey, Industrial Engineering program, ITC-</w:t>
      </w:r>
      <w:proofErr w:type="spellStart"/>
      <w:r w:rsidRPr="00A81E0C">
        <w:rPr>
          <w:rFonts w:ascii="Arial" w:eastAsia="Arial" w:hAnsi="Arial" w:cs="Arial"/>
          <w:b/>
        </w:rPr>
        <w:t>TecNM</w:t>
      </w:r>
      <w:proofErr w:type="spellEnd"/>
      <w:r w:rsidRPr="00A81E0C">
        <w:rPr>
          <w:rFonts w:ascii="Arial" w:eastAsia="Arial" w:hAnsi="Arial" w:cs="Arial"/>
          <w:b/>
        </w:rPr>
        <w:t>, March 2026</w:t>
      </w:r>
    </w:p>
    <w:tbl>
      <w:tblPr>
        <w:tblW w:w="8208" w:type="dxa"/>
        <w:jc w:val="center"/>
        <w:tblBorders>
          <w:top w:val="single" w:sz="8" w:space="0" w:color="000000"/>
          <w:left w:val="nil"/>
          <w:bottom w:val="single" w:sz="8" w:space="0" w:color="000000"/>
          <w:right w:val="nil"/>
          <w:insideH w:val="nil"/>
          <w:insideV w:val="nil"/>
        </w:tblBorders>
        <w:tblLayout w:type="fixed"/>
        <w:tblCellMar>
          <w:top w:w="30" w:type="dxa"/>
          <w:left w:w="80" w:type="dxa"/>
          <w:bottom w:w="30" w:type="dxa"/>
          <w:right w:w="80" w:type="dxa"/>
        </w:tblCellMar>
        <w:tblLook w:val="04A0" w:firstRow="1" w:lastRow="0" w:firstColumn="1" w:lastColumn="0" w:noHBand="0" w:noVBand="1"/>
      </w:tblPr>
      <w:tblGrid>
        <w:gridCol w:w="2900"/>
        <w:gridCol w:w="1450"/>
        <w:gridCol w:w="900"/>
        <w:gridCol w:w="2958"/>
      </w:tblGrid>
      <w:tr w:rsidR="000403B8" w:rsidRPr="00A81E0C" w14:paraId="4288E88C" w14:textId="77777777">
        <w:trPr>
          <w:cantSplit/>
          <w:tblHeader/>
          <w:jc w:val="center"/>
        </w:trPr>
        <w:tc>
          <w:tcPr>
            <w:tcW w:w="2900" w:type="dxa"/>
            <w:tcBorders>
              <w:bottom w:val="single" w:sz="6" w:space="0" w:color="000000"/>
            </w:tcBorders>
          </w:tcPr>
          <w:p w14:paraId="31E900B5" w14:textId="77777777" w:rsidR="000403B8" w:rsidRPr="00A81E0C" w:rsidRDefault="00AC7B1E" w:rsidP="006B2B16">
            <w:pPr>
              <w:jc w:val="both"/>
            </w:pPr>
            <w:r w:rsidRPr="00A81E0C">
              <w:rPr>
                <w:rFonts w:ascii="Arial" w:eastAsia="Arial" w:hAnsi="Arial" w:cs="Arial"/>
                <w:b/>
                <w:sz w:val="18"/>
              </w:rPr>
              <w:t>Dimension / indicator</w:t>
            </w:r>
          </w:p>
        </w:tc>
        <w:tc>
          <w:tcPr>
            <w:tcW w:w="1450" w:type="dxa"/>
            <w:tcBorders>
              <w:bottom w:val="single" w:sz="6" w:space="0" w:color="000000"/>
            </w:tcBorders>
          </w:tcPr>
          <w:p w14:paraId="52CCFE63" w14:textId="77777777" w:rsidR="000403B8" w:rsidRPr="00A81E0C" w:rsidRDefault="00AC7B1E" w:rsidP="006B2B16">
            <w:pPr>
              <w:jc w:val="both"/>
            </w:pPr>
            <w:r w:rsidRPr="00A81E0C">
              <w:rPr>
                <w:rFonts w:ascii="Arial" w:eastAsia="Arial" w:hAnsi="Arial" w:cs="Arial"/>
                <w:b/>
                <w:sz w:val="18"/>
              </w:rPr>
              <w:t>Result</w:t>
            </w:r>
          </w:p>
        </w:tc>
        <w:tc>
          <w:tcPr>
            <w:tcW w:w="900" w:type="dxa"/>
            <w:tcBorders>
              <w:bottom w:val="single" w:sz="6" w:space="0" w:color="000000"/>
            </w:tcBorders>
          </w:tcPr>
          <w:p w14:paraId="1D48059E" w14:textId="77777777" w:rsidR="000403B8" w:rsidRPr="00A81E0C" w:rsidRDefault="00AC7B1E" w:rsidP="006B2B16">
            <w:pPr>
              <w:jc w:val="both"/>
            </w:pPr>
            <w:r w:rsidRPr="00A81E0C">
              <w:rPr>
                <w:rFonts w:ascii="Arial" w:eastAsia="Arial" w:hAnsi="Arial" w:cs="Arial"/>
                <w:b/>
                <w:sz w:val="18"/>
              </w:rPr>
              <w:t>Valid n</w:t>
            </w:r>
          </w:p>
        </w:tc>
        <w:tc>
          <w:tcPr>
            <w:tcW w:w="2958" w:type="dxa"/>
            <w:tcBorders>
              <w:bottom w:val="single" w:sz="6" w:space="0" w:color="000000"/>
            </w:tcBorders>
          </w:tcPr>
          <w:p w14:paraId="6F0C3638" w14:textId="77777777" w:rsidR="000403B8" w:rsidRPr="00A81E0C" w:rsidRDefault="00AC7B1E" w:rsidP="006B2B16">
            <w:pPr>
              <w:jc w:val="both"/>
            </w:pPr>
            <w:r w:rsidRPr="00A81E0C">
              <w:rPr>
                <w:rFonts w:ascii="Arial" w:eastAsia="Arial" w:hAnsi="Arial" w:cs="Arial"/>
                <w:b/>
                <w:sz w:val="18"/>
              </w:rPr>
              <w:t>Notes</w:t>
            </w:r>
          </w:p>
        </w:tc>
      </w:tr>
      <w:tr w:rsidR="000403B8" w:rsidRPr="00A81E0C" w14:paraId="389D7014" w14:textId="77777777">
        <w:trPr>
          <w:cantSplit/>
          <w:jc w:val="center"/>
        </w:trPr>
        <w:tc>
          <w:tcPr>
            <w:tcW w:w="2900" w:type="dxa"/>
          </w:tcPr>
          <w:p w14:paraId="194E1369" w14:textId="77777777" w:rsidR="000403B8" w:rsidRPr="00A81E0C" w:rsidRDefault="00AC7B1E" w:rsidP="006B2B16">
            <w:pPr>
              <w:jc w:val="both"/>
            </w:pPr>
            <w:r w:rsidRPr="00A81E0C">
              <w:rPr>
                <w:rFonts w:ascii="Arial" w:eastAsia="Arial" w:hAnsi="Arial" w:cs="Arial"/>
                <w:sz w:val="18"/>
              </w:rPr>
              <w:t>Survey coverage</w:t>
            </w:r>
          </w:p>
        </w:tc>
        <w:tc>
          <w:tcPr>
            <w:tcW w:w="1450" w:type="dxa"/>
          </w:tcPr>
          <w:p w14:paraId="634B60BC" w14:textId="77777777" w:rsidR="000403B8" w:rsidRPr="00A81E0C" w:rsidRDefault="00AC7B1E" w:rsidP="006B2B16">
            <w:pPr>
              <w:jc w:val="both"/>
            </w:pPr>
            <w:r w:rsidRPr="00A81E0C">
              <w:rPr>
                <w:rFonts w:ascii="Arial" w:eastAsia="Arial" w:hAnsi="Arial" w:cs="Arial"/>
                <w:sz w:val="18"/>
              </w:rPr>
              <w:t>95.2% (438/460)</w:t>
            </w:r>
          </w:p>
        </w:tc>
        <w:tc>
          <w:tcPr>
            <w:tcW w:w="900" w:type="dxa"/>
          </w:tcPr>
          <w:p w14:paraId="5DCAF1F9" w14:textId="77777777" w:rsidR="000403B8" w:rsidRPr="00A81E0C" w:rsidRDefault="00AC7B1E" w:rsidP="006B2B16">
            <w:pPr>
              <w:jc w:val="both"/>
            </w:pPr>
            <w:r w:rsidRPr="00A81E0C">
              <w:rPr>
                <w:rFonts w:ascii="Arial" w:eastAsia="Arial" w:hAnsi="Arial" w:cs="Arial"/>
                <w:sz w:val="18"/>
              </w:rPr>
              <w:t>438</w:t>
            </w:r>
          </w:p>
        </w:tc>
        <w:tc>
          <w:tcPr>
            <w:tcW w:w="2958" w:type="dxa"/>
          </w:tcPr>
          <w:p w14:paraId="4DB1C9F4" w14:textId="77777777" w:rsidR="000403B8" w:rsidRPr="00A81E0C" w:rsidRDefault="00AC7B1E" w:rsidP="006B2B16">
            <w:pPr>
              <w:jc w:val="both"/>
            </w:pPr>
            <w:r w:rsidRPr="00A81E0C">
              <w:rPr>
                <w:rFonts w:ascii="Arial" w:eastAsia="Arial" w:hAnsi="Arial" w:cs="Arial"/>
                <w:sz w:val="18"/>
              </w:rPr>
              <w:t>Administered in March 2026</w:t>
            </w:r>
          </w:p>
        </w:tc>
      </w:tr>
      <w:tr w:rsidR="000403B8" w:rsidRPr="00A81E0C" w14:paraId="28C69521" w14:textId="77777777">
        <w:trPr>
          <w:cantSplit/>
          <w:jc w:val="center"/>
        </w:trPr>
        <w:tc>
          <w:tcPr>
            <w:tcW w:w="2900" w:type="dxa"/>
          </w:tcPr>
          <w:p w14:paraId="0AE19253" w14:textId="77777777" w:rsidR="000403B8" w:rsidRPr="00A81E0C" w:rsidRDefault="00AC7B1E" w:rsidP="006B2B16">
            <w:pPr>
              <w:jc w:val="both"/>
            </w:pPr>
            <w:r w:rsidRPr="00A81E0C">
              <w:rPr>
                <w:rFonts w:ascii="Arial" w:eastAsia="Arial" w:hAnsi="Arial" w:cs="Arial"/>
                <w:sz w:val="18"/>
              </w:rPr>
              <w:t>First-choice area of specialization: logistics</w:t>
            </w:r>
          </w:p>
        </w:tc>
        <w:tc>
          <w:tcPr>
            <w:tcW w:w="1450" w:type="dxa"/>
          </w:tcPr>
          <w:p w14:paraId="0AB73294" w14:textId="77777777" w:rsidR="000403B8" w:rsidRPr="00A81E0C" w:rsidRDefault="00AC7B1E" w:rsidP="006B2B16">
            <w:pPr>
              <w:jc w:val="both"/>
            </w:pPr>
            <w:r w:rsidRPr="00A81E0C">
              <w:rPr>
                <w:rFonts w:ascii="Arial" w:eastAsia="Arial" w:hAnsi="Arial" w:cs="Arial"/>
                <w:sz w:val="18"/>
              </w:rPr>
              <w:t>27.4%</w:t>
            </w:r>
          </w:p>
        </w:tc>
        <w:tc>
          <w:tcPr>
            <w:tcW w:w="900" w:type="dxa"/>
          </w:tcPr>
          <w:p w14:paraId="311C02A0" w14:textId="77777777" w:rsidR="000403B8" w:rsidRPr="00A81E0C" w:rsidRDefault="00AC7B1E" w:rsidP="006B2B16">
            <w:pPr>
              <w:jc w:val="both"/>
            </w:pPr>
            <w:r w:rsidRPr="00A81E0C">
              <w:rPr>
                <w:rFonts w:ascii="Arial" w:eastAsia="Arial" w:hAnsi="Arial" w:cs="Arial"/>
                <w:sz w:val="18"/>
              </w:rPr>
              <w:t>438</w:t>
            </w:r>
          </w:p>
        </w:tc>
        <w:tc>
          <w:tcPr>
            <w:tcW w:w="2958" w:type="dxa"/>
          </w:tcPr>
          <w:p w14:paraId="1A9D8A12" w14:textId="77777777" w:rsidR="000403B8" w:rsidRPr="00A81E0C" w:rsidRDefault="00AC7B1E" w:rsidP="006B2B16">
            <w:pPr>
              <w:jc w:val="both"/>
            </w:pPr>
            <w:r w:rsidRPr="00A81E0C">
              <w:rPr>
                <w:rFonts w:ascii="Arial" w:eastAsia="Arial" w:hAnsi="Arial" w:cs="Arial"/>
                <w:sz w:val="18"/>
              </w:rPr>
              <w:t>Second: quality, 24.7%; third: manufacturing, 21.3%</w:t>
            </w:r>
          </w:p>
        </w:tc>
      </w:tr>
      <w:tr w:rsidR="000403B8" w:rsidRPr="00A81E0C" w14:paraId="5DAA8D55" w14:textId="77777777">
        <w:trPr>
          <w:cantSplit/>
          <w:jc w:val="center"/>
        </w:trPr>
        <w:tc>
          <w:tcPr>
            <w:tcW w:w="2900" w:type="dxa"/>
          </w:tcPr>
          <w:p w14:paraId="6553DC7E" w14:textId="77777777" w:rsidR="000403B8" w:rsidRPr="00A81E0C" w:rsidRDefault="00AC7B1E" w:rsidP="006B2B16">
            <w:pPr>
              <w:jc w:val="both"/>
            </w:pPr>
            <w:r w:rsidRPr="00A81E0C">
              <w:rPr>
                <w:rFonts w:ascii="Arial" w:eastAsia="Arial" w:hAnsi="Arial" w:cs="Arial"/>
                <w:sz w:val="18"/>
              </w:rPr>
              <w:t>Satisfaction with the program ≥ 8/10</w:t>
            </w:r>
          </w:p>
        </w:tc>
        <w:tc>
          <w:tcPr>
            <w:tcW w:w="1450" w:type="dxa"/>
          </w:tcPr>
          <w:p w14:paraId="5D3EAEE1" w14:textId="77777777" w:rsidR="000403B8" w:rsidRPr="00A81E0C" w:rsidRDefault="00AC7B1E" w:rsidP="006B2B16">
            <w:pPr>
              <w:jc w:val="both"/>
            </w:pPr>
            <w:r w:rsidRPr="00A81E0C">
              <w:rPr>
                <w:rFonts w:ascii="Arial" w:eastAsia="Arial" w:hAnsi="Arial" w:cs="Arial"/>
                <w:sz w:val="18"/>
              </w:rPr>
              <w:t>70.3%</w:t>
            </w:r>
          </w:p>
        </w:tc>
        <w:tc>
          <w:tcPr>
            <w:tcW w:w="900" w:type="dxa"/>
          </w:tcPr>
          <w:p w14:paraId="48C7D72A" w14:textId="77777777" w:rsidR="000403B8" w:rsidRPr="00A81E0C" w:rsidRDefault="00AC7B1E" w:rsidP="006B2B16">
            <w:pPr>
              <w:jc w:val="both"/>
            </w:pPr>
            <w:r w:rsidRPr="00A81E0C">
              <w:rPr>
                <w:rFonts w:ascii="Arial" w:eastAsia="Arial" w:hAnsi="Arial" w:cs="Arial"/>
                <w:sz w:val="18"/>
              </w:rPr>
              <w:t>438</w:t>
            </w:r>
          </w:p>
        </w:tc>
        <w:tc>
          <w:tcPr>
            <w:tcW w:w="2958" w:type="dxa"/>
          </w:tcPr>
          <w:p w14:paraId="35962F8A" w14:textId="77777777" w:rsidR="000403B8" w:rsidRPr="00A81E0C" w:rsidRDefault="00AC7B1E" w:rsidP="006B2B16">
            <w:pPr>
              <w:jc w:val="both"/>
            </w:pPr>
            <w:r w:rsidRPr="00A81E0C">
              <w:rPr>
                <w:rFonts w:ascii="Arial" w:eastAsia="Arial" w:hAnsi="Arial" w:cs="Arial"/>
                <w:sz w:val="18"/>
              </w:rPr>
              <w:t>Rating scale from 1 to 10</w:t>
            </w:r>
          </w:p>
        </w:tc>
      </w:tr>
      <w:tr w:rsidR="000403B8" w:rsidRPr="00A81E0C" w14:paraId="61F00250" w14:textId="77777777">
        <w:trPr>
          <w:cantSplit/>
          <w:jc w:val="center"/>
        </w:trPr>
        <w:tc>
          <w:tcPr>
            <w:tcW w:w="2900" w:type="dxa"/>
          </w:tcPr>
          <w:p w14:paraId="72FCEBAA" w14:textId="77777777" w:rsidR="000403B8" w:rsidRPr="00A81E0C" w:rsidRDefault="00AC7B1E" w:rsidP="006B2B16">
            <w:pPr>
              <w:jc w:val="both"/>
            </w:pPr>
            <w:r w:rsidRPr="00A81E0C">
              <w:rPr>
                <w:rFonts w:ascii="Arial" w:eastAsia="Arial" w:hAnsi="Arial" w:cs="Arial"/>
                <w:sz w:val="18"/>
              </w:rPr>
              <w:t>High employment expectations</w:t>
            </w:r>
          </w:p>
        </w:tc>
        <w:tc>
          <w:tcPr>
            <w:tcW w:w="1450" w:type="dxa"/>
          </w:tcPr>
          <w:p w14:paraId="6BE9C746" w14:textId="77777777" w:rsidR="000403B8" w:rsidRPr="00A81E0C" w:rsidRDefault="00AC7B1E" w:rsidP="006B2B16">
            <w:pPr>
              <w:jc w:val="both"/>
            </w:pPr>
            <w:r w:rsidRPr="00A81E0C">
              <w:rPr>
                <w:rFonts w:ascii="Arial" w:eastAsia="Arial" w:hAnsi="Arial" w:cs="Arial"/>
                <w:sz w:val="18"/>
              </w:rPr>
              <w:t>78.1%</w:t>
            </w:r>
          </w:p>
        </w:tc>
        <w:tc>
          <w:tcPr>
            <w:tcW w:w="900" w:type="dxa"/>
          </w:tcPr>
          <w:p w14:paraId="028EC5A4" w14:textId="77777777" w:rsidR="000403B8" w:rsidRPr="00A81E0C" w:rsidRDefault="00AC7B1E" w:rsidP="006B2B16">
            <w:pPr>
              <w:jc w:val="both"/>
            </w:pPr>
            <w:r w:rsidRPr="00A81E0C">
              <w:rPr>
                <w:rFonts w:ascii="Arial" w:eastAsia="Arial" w:hAnsi="Arial" w:cs="Arial"/>
                <w:sz w:val="18"/>
              </w:rPr>
              <w:t>438</w:t>
            </w:r>
          </w:p>
        </w:tc>
        <w:tc>
          <w:tcPr>
            <w:tcW w:w="2958" w:type="dxa"/>
          </w:tcPr>
          <w:p w14:paraId="3A40C5C6" w14:textId="77777777" w:rsidR="000403B8" w:rsidRPr="00A81E0C" w:rsidRDefault="00AC7B1E" w:rsidP="006B2B16">
            <w:pPr>
              <w:jc w:val="both"/>
            </w:pPr>
            <w:r w:rsidRPr="00A81E0C">
              <w:rPr>
                <w:rFonts w:ascii="Arial" w:eastAsia="Arial" w:hAnsi="Arial" w:cs="Arial"/>
                <w:sz w:val="18"/>
              </w:rPr>
              <w:t>“Very high” plus “high”</w:t>
            </w:r>
          </w:p>
        </w:tc>
      </w:tr>
      <w:tr w:rsidR="000403B8" w:rsidRPr="00A81E0C" w14:paraId="1614A236" w14:textId="77777777">
        <w:trPr>
          <w:cantSplit/>
          <w:jc w:val="center"/>
        </w:trPr>
        <w:tc>
          <w:tcPr>
            <w:tcW w:w="2900" w:type="dxa"/>
          </w:tcPr>
          <w:p w14:paraId="4F95AF8C" w14:textId="77777777" w:rsidR="000403B8" w:rsidRPr="00A81E0C" w:rsidRDefault="00AC7B1E" w:rsidP="006B2B16">
            <w:pPr>
              <w:jc w:val="both"/>
            </w:pPr>
            <w:r w:rsidRPr="00A81E0C">
              <w:rPr>
                <w:rFonts w:ascii="Arial" w:eastAsia="Arial" w:hAnsi="Arial" w:cs="Arial"/>
                <w:sz w:val="18"/>
              </w:rPr>
              <w:t>Main source of funding: family</w:t>
            </w:r>
          </w:p>
        </w:tc>
        <w:tc>
          <w:tcPr>
            <w:tcW w:w="1450" w:type="dxa"/>
          </w:tcPr>
          <w:p w14:paraId="3C7C6AB2" w14:textId="77777777" w:rsidR="000403B8" w:rsidRPr="00A81E0C" w:rsidRDefault="00AC7B1E" w:rsidP="006B2B16">
            <w:pPr>
              <w:jc w:val="both"/>
            </w:pPr>
            <w:r w:rsidRPr="00A81E0C">
              <w:rPr>
                <w:rFonts w:ascii="Arial" w:eastAsia="Arial" w:hAnsi="Arial" w:cs="Arial"/>
                <w:sz w:val="18"/>
              </w:rPr>
              <w:t>56.0%</w:t>
            </w:r>
          </w:p>
        </w:tc>
        <w:tc>
          <w:tcPr>
            <w:tcW w:w="900" w:type="dxa"/>
          </w:tcPr>
          <w:p w14:paraId="0C160A88" w14:textId="77777777" w:rsidR="000403B8" w:rsidRPr="00A81E0C" w:rsidRDefault="00AC7B1E" w:rsidP="006B2B16">
            <w:pPr>
              <w:jc w:val="both"/>
            </w:pPr>
            <w:r w:rsidRPr="00A81E0C">
              <w:rPr>
                <w:rFonts w:ascii="Arial" w:eastAsia="Arial" w:hAnsi="Arial" w:cs="Arial"/>
                <w:sz w:val="18"/>
              </w:rPr>
              <w:t>438</w:t>
            </w:r>
          </w:p>
        </w:tc>
        <w:tc>
          <w:tcPr>
            <w:tcW w:w="2958" w:type="dxa"/>
          </w:tcPr>
          <w:p w14:paraId="449EAB0B" w14:textId="77777777" w:rsidR="000403B8" w:rsidRPr="00A81E0C" w:rsidRDefault="00AC7B1E" w:rsidP="006B2B16">
            <w:pPr>
              <w:jc w:val="both"/>
            </w:pPr>
            <w:r w:rsidRPr="00A81E0C">
              <w:rPr>
                <w:rFonts w:ascii="Arial" w:eastAsia="Arial" w:hAnsi="Arial" w:cs="Arial"/>
                <w:sz w:val="18"/>
              </w:rPr>
              <w:t>Own employment, 29%; scholarships, 15%</w:t>
            </w:r>
          </w:p>
        </w:tc>
      </w:tr>
      <w:tr w:rsidR="000403B8" w:rsidRPr="00A81E0C" w14:paraId="7888CBC7" w14:textId="77777777">
        <w:trPr>
          <w:cantSplit/>
          <w:jc w:val="center"/>
        </w:trPr>
        <w:tc>
          <w:tcPr>
            <w:tcW w:w="2900" w:type="dxa"/>
          </w:tcPr>
          <w:p w14:paraId="309FA398" w14:textId="77777777" w:rsidR="000403B8" w:rsidRPr="00A81E0C" w:rsidRDefault="00AC7B1E" w:rsidP="006B2B16">
            <w:pPr>
              <w:jc w:val="both"/>
            </w:pPr>
            <w:r w:rsidRPr="00A81E0C">
              <w:rPr>
                <w:rFonts w:ascii="Arial" w:eastAsia="Arial" w:hAnsi="Arial" w:cs="Arial"/>
                <w:sz w:val="18"/>
              </w:rPr>
              <w:t>Positive perception of graduate profile attainment</w:t>
            </w:r>
          </w:p>
        </w:tc>
        <w:tc>
          <w:tcPr>
            <w:tcW w:w="1450" w:type="dxa"/>
          </w:tcPr>
          <w:p w14:paraId="7753DDF9" w14:textId="77777777" w:rsidR="000403B8" w:rsidRPr="00A81E0C" w:rsidRDefault="00AC7B1E" w:rsidP="006B2B16">
            <w:pPr>
              <w:jc w:val="both"/>
            </w:pPr>
            <w:r w:rsidRPr="00A81E0C">
              <w:rPr>
                <w:rFonts w:ascii="Arial" w:eastAsia="Arial" w:hAnsi="Arial" w:cs="Arial"/>
                <w:sz w:val="18"/>
              </w:rPr>
              <w:t>84.0%</w:t>
            </w:r>
          </w:p>
        </w:tc>
        <w:tc>
          <w:tcPr>
            <w:tcW w:w="900" w:type="dxa"/>
          </w:tcPr>
          <w:p w14:paraId="67779EE7" w14:textId="77777777" w:rsidR="000403B8" w:rsidRPr="00A81E0C" w:rsidRDefault="00AC7B1E" w:rsidP="006B2B16">
            <w:pPr>
              <w:jc w:val="both"/>
            </w:pPr>
            <w:r w:rsidRPr="00A81E0C">
              <w:rPr>
                <w:rFonts w:ascii="Arial" w:eastAsia="Arial" w:hAnsi="Arial" w:cs="Arial"/>
                <w:sz w:val="18"/>
              </w:rPr>
              <w:t>438</w:t>
            </w:r>
          </w:p>
        </w:tc>
        <w:tc>
          <w:tcPr>
            <w:tcW w:w="2958" w:type="dxa"/>
          </w:tcPr>
          <w:p w14:paraId="7317F116" w14:textId="77777777" w:rsidR="000403B8" w:rsidRPr="00A81E0C" w:rsidRDefault="00AC7B1E" w:rsidP="006B2B16">
            <w:pPr>
              <w:jc w:val="both"/>
            </w:pPr>
            <w:r w:rsidRPr="00A81E0C">
              <w:rPr>
                <w:rFonts w:ascii="Arial" w:eastAsia="Arial" w:hAnsi="Arial" w:cs="Arial"/>
                <w:sz w:val="18"/>
              </w:rPr>
              <w:t>“Don't know”, 12%; “no”, 4%</w:t>
            </w:r>
          </w:p>
        </w:tc>
      </w:tr>
    </w:tbl>
    <w:p w14:paraId="32FE9BFD" w14:textId="77777777" w:rsidR="000403B8" w:rsidRPr="00A81E0C" w:rsidRDefault="00AC7B1E" w:rsidP="006B2B16">
      <w:pPr>
        <w:pStyle w:val="Body"/>
        <w:spacing w:before="40" w:after="0"/>
      </w:pPr>
      <w:r w:rsidRPr="00A81E0C">
        <w:rPr>
          <w:rFonts w:ascii="Arial" w:eastAsia="Arial" w:hAnsi="Arial" w:cs="Arial"/>
          <w:sz w:val="17"/>
        </w:rPr>
        <w:t>Percentages were calculated on valid responses (n = 438) from active students enrolled in the January–June 2026 term.</w:t>
      </w:r>
    </w:p>
    <w:p w14:paraId="6CB2F4C7" w14:textId="77777777" w:rsidR="000403B8" w:rsidRPr="00A81E0C" w:rsidRDefault="00AC7B1E" w:rsidP="006B2B16">
      <w:pPr>
        <w:pStyle w:val="Body"/>
        <w:spacing w:after="160"/>
      </w:pPr>
      <w:r w:rsidRPr="00A81E0C">
        <w:rPr>
          <w:rFonts w:ascii="Arial" w:eastAsia="Arial" w:hAnsi="Arial" w:cs="Arial"/>
          <w:sz w:val="17"/>
        </w:rPr>
        <w:t>Source: student survey administered by the Academy of Industrial Engineering, ITC-</w:t>
      </w:r>
      <w:proofErr w:type="spellStart"/>
      <w:r w:rsidRPr="00A81E0C">
        <w:rPr>
          <w:rFonts w:ascii="Arial" w:eastAsia="Arial" w:hAnsi="Arial" w:cs="Arial"/>
          <w:sz w:val="17"/>
        </w:rPr>
        <w:t>TecNM</w:t>
      </w:r>
      <w:proofErr w:type="spellEnd"/>
      <w:r w:rsidRPr="00A81E0C">
        <w:rPr>
          <w:rFonts w:ascii="Arial" w:eastAsia="Arial" w:hAnsi="Arial" w:cs="Arial"/>
          <w:sz w:val="17"/>
        </w:rPr>
        <w:t>, March 2026.</w:t>
      </w:r>
    </w:p>
    <w:p w14:paraId="28655527" w14:textId="77777777" w:rsidR="000403B8" w:rsidRPr="00A81E0C" w:rsidRDefault="00AC7B1E" w:rsidP="006B2B16">
      <w:pPr>
        <w:pStyle w:val="Body"/>
        <w:spacing w:after="160"/>
      </w:pPr>
      <w:r w:rsidRPr="00A81E0C">
        <w:rPr>
          <w:rFonts w:ascii="Arial" w:eastAsia="Arial" w:hAnsi="Arial" w:cs="Arial"/>
        </w:rPr>
        <w:t>Logistics was the first-choice area of speciali</w:t>
      </w:r>
      <w:r w:rsidRPr="00A81E0C">
        <w:rPr>
          <w:rFonts w:ascii="Arial" w:eastAsia="Arial" w:hAnsi="Arial" w:cs="Arial"/>
          <w:highlight w:val="yellow"/>
        </w:rPr>
        <w:t>s</w:t>
      </w:r>
      <w:r w:rsidRPr="00A81E0C">
        <w:rPr>
          <w:rFonts w:ascii="Arial" w:eastAsia="Arial" w:hAnsi="Arial" w:cs="Arial"/>
        </w:rPr>
        <w:t xml:space="preserve">ation for 27.4% of students, ahead of quality (24.7%) and manufacturing (21.3%). When the </w:t>
      </w:r>
      <w:r w:rsidRPr="00A81E0C">
        <w:rPr>
          <w:rFonts w:ascii="Arial" w:eastAsia="Arial" w:hAnsi="Arial" w:cs="Arial"/>
          <w:highlight w:val="yellow"/>
        </w:rPr>
        <w:t>rel</w:t>
      </w:r>
      <w:r w:rsidRPr="00A81E0C">
        <w:rPr>
          <w:rFonts w:ascii="Arial" w:eastAsia="Arial" w:hAnsi="Arial" w:cs="Arial"/>
        </w:rPr>
        <w:t>a</w:t>
      </w:r>
      <w:r w:rsidRPr="00A81E0C">
        <w:rPr>
          <w:rFonts w:ascii="Arial" w:eastAsia="Arial" w:hAnsi="Arial" w:cs="Arial"/>
          <w:highlight w:val="yellow"/>
        </w:rPr>
        <w:t>te</w:t>
      </w:r>
      <w:r w:rsidRPr="00A81E0C">
        <w:rPr>
          <w:rFonts w:ascii="Arial" w:eastAsia="Arial" w:hAnsi="Arial" w:cs="Arial"/>
        </w:rPr>
        <w:t xml:space="preserve">d options of supply chain management and operations are </w:t>
      </w:r>
      <w:r w:rsidRPr="00A81E0C">
        <w:rPr>
          <w:rFonts w:ascii="Arial" w:eastAsia="Arial" w:hAnsi="Arial" w:cs="Arial"/>
          <w:highlight w:val="yellow"/>
        </w:rPr>
        <w:t>inclu</w:t>
      </w:r>
      <w:r w:rsidRPr="00A81E0C">
        <w:rPr>
          <w:rFonts w:ascii="Arial" w:eastAsia="Arial" w:hAnsi="Arial" w:cs="Arial"/>
        </w:rPr>
        <w:t>ded, a</w:t>
      </w:r>
      <w:r w:rsidRPr="00A81E0C">
        <w:rPr>
          <w:rFonts w:ascii="Arial" w:eastAsia="Arial" w:hAnsi="Arial" w:cs="Arial"/>
          <w:highlight w:val="yellow"/>
        </w:rPr>
        <w:t>ppr</w:t>
      </w:r>
      <w:r w:rsidRPr="00A81E0C">
        <w:rPr>
          <w:rFonts w:ascii="Arial" w:eastAsia="Arial" w:hAnsi="Arial" w:cs="Arial"/>
        </w:rPr>
        <w:t>o</w:t>
      </w:r>
      <w:r w:rsidRPr="00A81E0C">
        <w:rPr>
          <w:rFonts w:ascii="Arial" w:eastAsia="Arial" w:hAnsi="Arial" w:cs="Arial"/>
          <w:highlight w:val="yellow"/>
        </w:rPr>
        <w:t>xima</w:t>
      </w:r>
      <w:r w:rsidRPr="00A81E0C">
        <w:rPr>
          <w:rFonts w:ascii="Arial" w:eastAsia="Arial" w:hAnsi="Arial" w:cs="Arial"/>
        </w:rPr>
        <w:t>t</w:t>
      </w:r>
      <w:r w:rsidRPr="00A81E0C">
        <w:rPr>
          <w:rFonts w:ascii="Arial" w:eastAsia="Arial" w:hAnsi="Arial" w:cs="Arial"/>
          <w:highlight w:val="yellow"/>
        </w:rPr>
        <w:t>ely</w:t>
      </w:r>
      <w:r w:rsidRPr="00A81E0C">
        <w:rPr>
          <w:rFonts w:ascii="Arial" w:eastAsia="Arial" w:hAnsi="Arial" w:cs="Arial"/>
        </w:rPr>
        <w:t xml:space="preserve"> 35% of preferences </w:t>
      </w:r>
      <w:r w:rsidRPr="00A81E0C">
        <w:rPr>
          <w:rFonts w:ascii="Arial" w:eastAsia="Arial" w:hAnsi="Arial" w:cs="Arial"/>
          <w:highlight w:val="yellow"/>
        </w:rPr>
        <w:t>ar</w:t>
      </w:r>
      <w:r w:rsidRPr="00A81E0C">
        <w:rPr>
          <w:rFonts w:ascii="Arial" w:eastAsia="Arial" w:hAnsi="Arial" w:cs="Arial"/>
        </w:rPr>
        <w:t>e</w:t>
      </w:r>
      <w:r w:rsidRPr="00A81E0C">
        <w:rPr>
          <w:rFonts w:ascii="Arial" w:eastAsia="Arial" w:hAnsi="Arial" w:cs="Arial"/>
          <w:highlight w:val="yellow"/>
        </w:rPr>
        <w:t xml:space="preserve"> orie</w:t>
      </w:r>
      <w:r w:rsidRPr="00A81E0C">
        <w:rPr>
          <w:rFonts w:ascii="Arial" w:eastAsia="Arial" w:hAnsi="Arial" w:cs="Arial"/>
        </w:rPr>
        <w:t>n</w:t>
      </w:r>
      <w:r w:rsidRPr="00A81E0C">
        <w:rPr>
          <w:rFonts w:ascii="Arial" w:eastAsia="Arial" w:hAnsi="Arial" w:cs="Arial"/>
          <w:highlight w:val="yellow"/>
        </w:rPr>
        <w:t>ted</w:t>
      </w:r>
      <w:r w:rsidRPr="00A81E0C">
        <w:rPr>
          <w:rFonts w:ascii="Arial" w:eastAsia="Arial" w:hAnsi="Arial" w:cs="Arial"/>
        </w:rPr>
        <w:t xml:space="preserve"> toward</w:t>
      </w:r>
      <w:r w:rsidRPr="00A81E0C">
        <w:rPr>
          <w:rFonts w:ascii="Arial" w:eastAsia="Arial" w:hAnsi="Arial" w:cs="Arial"/>
          <w:highlight w:val="yellow"/>
        </w:rPr>
        <w:t>s</w:t>
      </w:r>
      <w:r w:rsidRPr="00A81E0C">
        <w:rPr>
          <w:rFonts w:ascii="Arial" w:eastAsia="Arial" w:hAnsi="Arial" w:cs="Arial"/>
        </w:rPr>
        <w:t xml:space="preserve"> logistics. Interest in the field is thus present within the program</w:t>
      </w:r>
      <w:r w:rsidRPr="00A81E0C">
        <w:rPr>
          <w:rFonts w:ascii="Arial" w:eastAsia="Arial" w:hAnsi="Arial" w:cs="Arial"/>
          <w:highlight w:val="yellow"/>
        </w:rPr>
        <w:t>me</w:t>
      </w:r>
      <w:r w:rsidRPr="00A81E0C">
        <w:rPr>
          <w:rFonts w:ascii="Arial" w:eastAsia="Arial" w:hAnsi="Arial" w:cs="Arial"/>
        </w:rPr>
        <w:t xml:space="preserve"> itself and does not rest only on external demand. </w:t>
      </w:r>
      <w:r w:rsidRPr="00A81E0C">
        <w:rPr>
          <w:rFonts w:ascii="Arial" w:eastAsia="Arial" w:hAnsi="Arial" w:cs="Arial"/>
          <w:highlight w:val="yellow"/>
        </w:rPr>
        <w:t>High e</w:t>
      </w:r>
      <w:r w:rsidRPr="00A81E0C">
        <w:rPr>
          <w:rFonts w:ascii="Arial" w:eastAsia="Arial" w:hAnsi="Arial" w:cs="Arial"/>
        </w:rPr>
        <w:t xml:space="preserve">mployment expectations were </w:t>
      </w:r>
      <w:r w:rsidRPr="00A81E0C">
        <w:rPr>
          <w:rFonts w:ascii="Arial" w:eastAsia="Arial" w:hAnsi="Arial" w:cs="Arial"/>
          <w:highlight w:val="yellow"/>
        </w:rPr>
        <w:t>reported</w:t>
      </w:r>
      <w:r w:rsidRPr="00A81E0C">
        <w:rPr>
          <w:rFonts w:ascii="Arial" w:eastAsia="Arial" w:hAnsi="Arial" w:cs="Arial"/>
        </w:rPr>
        <w:t xml:space="preserve"> (78.1%), and most students considered that the program</w:t>
      </w:r>
      <w:r w:rsidRPr="00A81E0C">
        <w:rPr>
          <w:rFonts w:ascii="Arial" w:eastAsia="Arial" w:hAnsi="Arial" w:cs="Arial"/>
          <w:highlight w:val="yellow"/>
        </w:rPr>
        <w:t>me</w:t>
      </w:r>
      <w:r w:rsidRPr="00A81E0C">
        <w:rPr>
          <w:rFonts w:ascii="Arial" w:eastAsia="Arial" w:hAnsi="Arial" w:cs="Arial"/>
        </w:rPr>
        <w:t xml:space="preserve"> </w:t>
      </w:r>
      <w:r w:rsidRPr="00A81E0C">
        <w:rPr>
          <w:rFonts w:ascii="Arial" w:eastAsia="Arial" w:hAnsi="Arial" w:cs="Arial"/>
          <w:highlight w:val="yellow"/>
        </w:rPr>
        <w:t>m</w:t>
      </w:r>
      <w:r w:rsidRPr="00A81E0C">
        <w:rPr>
          <w:rFonts w:ascii="Arial" w:eastAsia="Arial" w:hAnsi="Arial" w:cs="Arial"/>
        </w:rPr>
        <w:t>ee</w:t>
      </w:r>
      <w:r w:rsidRPr="00A81E0C">
        <w:rPr>
          <w:rFonts w:ascii="Arial" w:eastAsia="Arial" w:hAnsi="Arial" w:cs="Arial"/>
          <w:highlight w:val="yellow"/>
        </w:rPr>
        <w:t>t</w:t>
      </w:r>
      <w:r w:rsidRPr="00A81E0C">
        <w:rPr>
          <w:rFonts w:ascii="Arial" w:eastAsia="Arial" w:hAnsi="Arial" w:cs="Arial"/>
        </w:rPr>
        <w:t>s its graduate profile (84.0%). Satisfaction was more modest: 70.3% rated the program</w:t>
      </w:r>
      <w:r w:rsidRPr="00A81E0C">
        <w:rPr>
          <w:rFonts w:ascii="Arial" w:eastAsia="Arial" w:hAnsi="Arial" w:cs="Arial"/>
          <w:highlight w:val="yellow"/>
        </w:rPr>
        <w:t>me</w:t>
      </w:r>
      <w:r w:rsidRPr="00A81E0C">
        <w:rPr>
          <w:rFonts w:ascii="Arial" w:eastAsia="Arial" w:hAnsi="Arial" w:cs="Arial"/>
        </w:rPr>
        <w:t xml:space="preserve"> 8 or above, which means that roughly three students in ten gave it a lower score. The funding data also deserve attention. Families are the main source of support for 56% of students, while 29% rely on their own employment, a circumstance that </w:t>
      </w:r>
      <w:r w:rsidRPr="00A81E0C">
        <w:rPr>
          <w:rFonts w:ascii="Arial" w:eastAsia="Arial" w:hAnsi="Arial" w:cs="Arial"/>
          <w:highlight w:val="yellow"/>
        </w:rPr>
        <w:t>timet</w:t>
      </w:r>
      <w:r w:rsidRPr="00A81E0C">
        <w:rPr>
          <w:rFonts w:ascii="Arial" w:eastAsia="Arial" w:hAnsi="Arial" w:cs="Arial"/>
        </w:rPr>
        <w:t>a</w:t>
      </w:r>
      <w:r w:rsidRPr="00A81E0C">
        <w:rPr>
          <w:rFonts w:ascii="Arial" w:eastAsia="Arial" w:hAnsi="Arial" w:cs="Arial"/>
          <w:highlight w:val="yellow"/>
        </w:rPr>
        <w:t>b</w:t>
      </w:r>
      <w:r w:rsidRPr="00A81E0C">
        <w:rPr>
          <w:rFonts w:ascii="Arial" w:eastAsia="Arial" w:hAnsi="Arial" w:cs="Arial"/>
        </w:rPr>
        <w:t>ling for the speciali</w:t>
      </w:r>
      <w:r w:rsidRPr="00A81E0C">
        <w:rPr>
          <w:rFonts w:ascii="Arial" w:eastAsia="Arial" w:hAnsi="Arial" w:cs="Arial"/>
          <w:highlight w:val="yellow"/>
        </w:rPr>
        <w:t>s</w:t>
      </w:r>
      <w:r w:rsidRPr="00A81E0C">
        <w:rPr>
          <w:rFonts w:ascii="Arial" w:eastAsia="Arial" w:hAnsi="Arial" w:cs="Arial"/>
        </w:rPr>
        <w:t>ation should take into account.</w:t>
      </w:r>
    </w:p>
    <w:p w14:paraId="52809182" w14:textId="77777777" w:rsidR="000403B8" w:rsidRPr="00A81E0C" w:rsidRDefault="00AC7B1E" w:rsidP="006B2B16">
      <w:pPr>
        <w:pStyle w:val="Body"/>
        <w:keepNext/>
        <w:spacing w:before="80" w:after="80"/>
      </w:pPr>
      <w:r w:rsidRPr="00A81E0C">
        <w:rPr>
          <w:rFonts w:ascii="Arial" w:eastAsia="Arial" w:hAnsi="Arial" w:cs="Arial"/>
          <w:b/>
          <w:sz w:val="22"/>
        </w:rPr>
        <w:lastRenderedPageBreak/>
        <w:t>3.4 Faculty, Curriculum and Infrastructure</w:t>
      </w:r>
    </w:p>
    <w:p w14:paraId="295B07FD" w14:textId="77777777" w:rsidR="000403B8" w:rsidRPr="00A81E0C" w:rsidRDefault="00AC7B1E" w:rsidP="006B2B16">
      <w:pPr>
        <w:pStyle w:val="Body"/>
        <w:spacing w:after="160"/>
      </w:pPr>
      <w:r w:rsidRPr="00A81E0C">
        <w:rPr>
          <w:rFonts w:ascii="Arial" w:eastAsia="Arial" w:hAnsi="Arial" w:cs="Arial"/>
        </w:rPr>
        <w:t>The core faculty consists of 17 professors, all of whom hold a first degree in engineering. Three have a doctorate, one of whom has Candidate status in the National System of Researchers (SNII), and the remaining 14 hold a master's degree. Five professors have the Desirable Profile recognition granted by PRODEP. Fifteen of the 17 (88.2%) worked in industry before joining the institution, which they did at a mean age of 31 years. Their experience provides opportunities to connect classroom activities with professional practice through competency-based instruction and Education 4.0 approaches (González-Pérez &amp; Ramírez-Montoya, 2022; Tobón et al., 2010).</w:t>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p>
    <w:p w14:paraId="244E2DA2" w14:textId="77777777" w:rsidR="000403B8" w:rsidRPr="00A81E0C" w:rsidRDefault="00AC7B1E" w:rsidP="006B2B16">
      <w:pPr>
        <w:pStyle w:val="Body"/>
        <w:spacing w:after="160"/>
      </w:pPr>
      <w:r w:rsidRPr="00A81E0C">
        <w:rPr>
          <w:rFonts w:ascii="Arial" w:eastAsia="Arial" w:hAnsi="Arial" w:cs="Arial"/>
        </w:rPr>
        <w:t xml:space="preserve">Fig. 1 shows </w:t>
      </w:r>
      <w:r w:rsidRPr="00A81E0C">
        <w:rPr>
          <w:rFonts w:ascii="Arial" w:eastAsia="Arial" w:hAnsi="Arial" w:cs="Arial"/>
          <w:highlight w:val="yellow"/>
        </w:rPr>
        <w:t>t</w:t>
      </w:r>
      <w:r w:rsidRPr="00A81E0C">
        <w:rPr>
          <w:rFonts w:ascii="Arial" w:eastAsia="Arial" w:hAnsi="Arial" w:cs="Arial"/>
        </w:rPr>
        <w:t>he</w:t>
      </w:r>
      <w:r w:rsidRPr="00A81E0C">
        <w:rPr>
          <w:rFonts w:ascii="Arial" w:eastAsia="Arial" w:hAnsi="Arial" w:cs="Arial"/>
          <w:highlight w:val="yellow"/>
        </w:rPr>
        <w:t xml:space="preserve"> position of</w:t>
      </w:r>
      <w:r w:rsidRPr="00A81E0C">
        <w:rPr>
          <w:rFonts w:ascii="Arial" w:eastAsia="Arial" w:hAnsi="Arial" w:cs="Arial"/>
        </w:rPr>
        <w:t xml:space="preserve"> the speciali</w:t>
      </w:r>
      <w:r w:rsidRPr="00A81E0C">
        <w:rPr>
          <w:rFonts w:ascii="Arial" w:eastAsia="Arial" w:hAnsi="Arial" w:cs="Arial"/>
          <w:highlight w:val="yellow"/>
        </w:rPr>
        <w:t>s</w:t>
      </w:r>
      <w:r w:rsidRPr="00A81E0C">
        <w:rPr>
          <w:rFonts w:ascii="Arial" w:eastAsia="Arial" w:hAnsi="Arial" w:cs="Arial"/>
        </w:rPr>
        <w:t xml:space="preserve">ation </w:t>
      </w:r>
      <w:r w:rsidRPr="00A81E0C">
        <w:rPr>
          <w:rFonts w:ascii="Arial" w:eastAsia="Arial" w:hAnsi="Arial" w:cs="Arial"/>
          <w:highlight w:val="yellow"/>
        </w:rPr>
        <w:t>w</w:t>
      </w:r>
      <w:r w:rsidRPr="00A81E0C">
        <w:rPr>
          <w:rFonts w:ascii="Arial" w:eastAsia="Arial" w:hAnsi="Arial" w:cs="Arial"/>
        </w:rPr>
        <w:t>it</w:t>
      </w:r>
      <w:r w:rsidRPr="00A81E0C">
        <w:rPr>
          <w:rFonts w:ascii="Arial" w:eastAsia="Arial" w:hAnsi="Arial" w:cs="Arial"/>
          <w:highlight w:val="yellow"/>
        </w:rPr>
        <w:t>h</w:t>
      </w:r>
      <w:r w:rsidRPr="00A81E0C">
        <w:rPr>
          <w:rFonts w:ascii="Arial" w:eastAsia="Arial" w:hAnsi="Arial" w:cs="Arial"/>
        </w:rPr>
        <w:t>in the curriculum. Six Sigma is taught in the seventh semester, and the other five courses in the eighth, immediately before the professional residency. The speciali</w:t>
      </w:r>
      <w:r w:rsidRPr="00A81E0C">
        <w:rPr>
          <w:rFonts w:ascii="Arial" w:eastAsia="Arial" w:hAnsi="Arial" w:cs="Arial"/>
          <w:highlight w:val="yellow"/>
        </w:rPr>
        <w:t>s</w:t>
      </w:r>
      <w:r w:rsidRPr="00A81E0C">
        <w:rPr>
          <w:rFonts w:ascii="Arial" w:eastAsia="Arial" w:hAnsi="Arial" w:cs="Arial"/>
        </w:rPr>
        <w:t xml:space="preserve">ation thus </w:t>
      </w:r>
      <w:r w:rsidRPr="00A81E0C">
        <w:rPr>
          <w:rFonts w:ascii="Arial" w:eastAsia="Arial" w:hAnsi="Arial" w:cs="Arial"/>
          <w:highlight w:val="yellow"/>
        </w:rPr>
        <w:t>se</w:t>
      </w:r>
      <w:r w:rsidRPr="00A81E0C">
        <w:rPr>
          <w:rFonts w:ascii="Arial" w:eastAsia="Arial" w:hAnsi="Arial" w:cs="Arial"/>
        </w:rPr>
        <w:t>r</w:t>
      </w:r>
      <w:r w:rsidRPr="00A81E0C">
        <w:rPr>
          <w:rFonts w:ascii="Arial" w:eastAsia="Arial" w:hAnsi="Arial" w:cs="Arial"/>
          <w:highlight w:val="yellow"/>
        </w:rPr>
        <w:t>ve</w:t>
      </w:r>
      <w:r w:rsidRPr="00A81E0C">
        <w:rPr>
          <w:rFonts w:ascii="Arial" w:eastAsia="Arial" w:hAnsi="Arial" w:cs="Arial"/>
        </w:rPr>
        <w:t>s as a bridge between the core courses in operations and supply chains and the residency period in industry.</w:t>
      </w:r>
    </w:p>
    <w:p w14:paraId="66396695" w14:textId="77777777" w:rsidR="000403B8" w:rsidRPr="00A81E0C" w:rsidRDefault="00AC7B1E" w:rsidP="006B2B16">
      <w:pPr>
        <w:pStyle w:val="Body"/>
        <w:keepNext/>
        <w:spacing w:before="120" w:after="40"/>
      </w:pPr>
      <w:r w:rsidRPr="00A81E0C">
        <w:rPr>
          <w:noProof/>
        </w:rPr>
        <w:drawing>
          <wp:inline distT="0" distB="0" distL="0" distR="0" wp14:anchorId="5CE23DB1" wp14:editId="760FBC4C">
            <wp:extent cx="5451894" cy="43041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en.png"/>
                    <pic:cNvPicPr/>
                  </pic:nvPicPr>
                  <pic:blipFill>
                    <a:blip r:embed="rId14"/>
                    <a:stretch>
                      <a:fillRect/>
                    </a:stretch>
                  </pic:blipFill>
                  <pic:spPr>
                    <a:xfrm>
                      <a:off x="0" y="0"/>
                      <a:ext cx="5452988" cy="4304991"/>
                    </a:xfrm>
                    <a:prstGeom prst="rect">
                      <a:avLst/>
                    </a:prstGeom>
                  </pic:spPr>
                </pic:pic>
              </a:graphicData>
            </a:graphic>
          </wp:inline>
        </w:drawing>
      </w:r>
    </w:p>
    <w:p w14:paraId="43214DF3" w14:textId="77777777" w:rsidR="000403B8" w:rsidRPr="00A81E0C" w:rsidRDefault="00AC7B1E" w:rsidP="006B2B16">
      <w:pPr>
        <w:pStyle w:val="Body"/>
        <w:keepNext/>
        <w:spacing w:before="40" w:after="40"/>
      </w:pPr>
      <w:r w:rsidRPr="00A81E0C">
        <w:rPr>
          <w:rFonts w:ascii="Arial" w:eastAsia="Arial" w:hAnsi="Arial" w:cs="Arial"/>
          <w:b/>
        </w:rPr>
        <w:t>Fig. 1. Curriculum map of the Industrial Engineering program at ITC-</w:t>
      </w:r>
      <w:proofErr w:type="spellStart"/>
      <w:r w:rsidRPr="00A81E0C">
        <w:rPr>
          <w:rFonts w:ascii="Arial" w:eastAsia="Arial" w:hAnsi="Arial" w:cs="Arial"/>
          <w:b/>
        </w:rPr>
        <w:t>TecNM</w:t>
      </w:r>
      <w:proofErr w:type="spellEnd"/>
      <w:r w:rsidRPr="00A81E0C">
        <w:rPr>
          <w:rFonts w:ascii="Arial" w:eastAsia="Arial" w:hAnsi="Arial" w:cs="Arial"/>
          <w:b/>
        </w:rPr>
        <w:t>, showing the six courses of the Specialization in Intelligent Logistics Systems (shaded) in semesters 7 and 8</w:t>
      </w:r>
    </w:p>
    <w:p w14:paraId="6FB84BBA" w14:textId="77777777" w:rsidR="000403B8" w:rsidRPr="00A81E0C" w:rsidRDefault="00AC7B1E" w:rsidP="006B2B16">
      <w:pPr>
        <w:pStyle w:val="Body"/>
        <w:spacing w:after="200"/>
      </w:pPr>
      <w:r w:rsidRPr="00A81E0C">
        <w:rPr>
          <w:rFonts w:ascii="Arial" w:eastAsia="Arial" w:hAnsi="Arial" w:cs="Arial"/>
          <w:i/>
          <w:sz w:val="17"/>
        </w:rPr>
        <w:t>Each box shows the course name and code; the three cells at its base give weekly theory hours, weekly practice hours and SATCA credits. Source: prepared by the authors from the curriculum of the Industrial Engineering program, ITC-</w:t>
      </w:r>
      <w:proofErr w:type="spellStart"/>
      <w:r w:rsidRPr="00A81E0C">
        <w:rPr>
          <w:rFonts w:ascii="Arial" w:eastAsia="Arial" w:hAnsi="Arial" w:cs="Arial"/>
          <w:i/>
          <w:sz w:val="17"/>
        </w:rPr>
        <w:t>TecNM</w:t>
      </w:r>
      <w:proofErr w:type="spellEnd"/>
      <w:r w:rsidRPr="00A81E0C">
        <w:rPr>
          <w:rFonts w:ascii="Arial" w:eastAsia="Arial" w:hAnsi="Arial" w:cs="Arial"/>
          <w:i/>
          <w:sz w:val="17"/>
        </w:rPr>
        <w:t>.</w:t>
      </w:r>
    </w:p>
    <w:p w14:paraId="0C3E005B" w14:textId="77777777" w:rsidR="000403B8" w:rsidRPr="00A81E0C" w:rsidRDefault="00AC7B1E" w:rsidP="006B2B16">
      <w:pPr>
        <w:pStyle w:val="Body"/>
        <w:spacing w:after="160"/>
      </w:pPr>
      <w:r w:rsidRPr="00A81E0C">
        <w:rPr>
          <w:rFonts w:ascii="Arial" w:eastAsia="Arial" w:hAnsi="Arial" w:cs="Arial"/>
        </w:rPr>
        <w:lastRenderedPageBreak/>
        <w:t>Table 4 lists the six courses and their weekly workload</w:t>
      </w:r>
      <w:r w:rsidRPr="00A81E0C">
        <w:rPr>
          <w:rFonts w:ascii="Arial" w:eastAsia="Arial" w:hAnsi="Arial" w:cs="Arial"/>
          <w:highlight w:val="yellow"/>
        </w:rPr>
        <w:t>s</w:t>
      </w:r>
      <w:r w:rsidRPr="00A81E0C">
        <w:rPr>
          <w:rFonts w:ascii="Arial" w:eastAsia="Arial" w:hAnsi="Arial" w:cs="Arial"/>
        </w:rPr>
        <w:t>; together</w:t>
      </w:r>
      <w:r w:rsidRPr="00A81E0C">
        <w:rPr>
          <w:rFonts w:ascii="Arial" w:eastAsia="Arial" w:hAnsi="Arial" w:cs="Arial"/>
          <w:highlight w:val="yellow"/>
        </w:rPr>
        <w:t>,</w:t>
      </w:r>
      <w:r w:rsidRPr="00A81E0C">
        <w:rPr>
          <w:rFonts w:ascii="Arial" w:eastAsia="Arial" w:hAnsi="Arial" w:cs="Arial"/>
        </w:rPr>
        <w:t xml:space="preserve"> they carry 31 credits under the SATCA system. The program</w:t>
      </w:r>
      <w:r w:rsidRPr="00A81E0C">
        <w:rPr>
          <w:rFonts w:ascii="Arial" w:eastAsia="Arial" w:hAnsi="Arial" w:cs="Arial"/>
          <w:highlight w:val="yellow"/>
        </w:rPr>
        <w:t>me</w:t>
      </w:r>
      <w:r w:rsidRPr="00A81E0C">
        <w:rPr>
          <w:rFonts w:ascii="Arial" w:eastAsia="Arial" w:hAnsi="Arial" w:cs="Arial"/>
        </w:rPr>
        <w:t xml:space="preserve"> has faculty members with direct professional experience in each of these areas and with training in the relevant digital tools.</w:t>
      </w:r>
    </w:p>
    <w:p w14:paraId="41A0582F" w14:textId="77777777" w:rsidR="000403B8" w:rsidRPr="00A81E0C" w:rsidRDefault="00AC7B1E" w:rsidP="006B2B16">
      <w:pPr>
        <w:pStyle w:val="Body"/>
        <w:keepNext/>
        <w:spacing w:before="120" w:after="80"/>
      </w:pPr>
      <w:r w:rsidRPr="00A81E0C">
        <w:rPr>
          <w:rFonts w:ascii="Arial" w:eastAsia="Arial" w:hAnsi="Arial" w:cs="Arial"/>
          <w:b/>
        </w:rPr>
        <w:t>Table 4. Core courses of the Specialization in Intelligent Logistics Systems (INDE-SLI-2026-02)</w:t>
      </w:r>
    </w:p>
    <w:tbl>
      <w:tblPr>
        <w:tblW w:w="8208" w:type="dxa"/>
        <w:jc w:val="center"/>
        <w:tblBorders>
          <w:top w:val="single" w:sz="8" w:space="0" w:color="000000"/>
          <w:left w:val="nil"/>
          <w:bottom w:val="single" w:sz="8" w:space="0" w:color="000000"/>
          <w:right w:val="nil"/>
          <w:insideH w:val="nil"/>
          <w:insideV w:val="nil"/>
        </w:tblBorders>
        <w:tblLayout w:type="fixed"/>
        <w:tblCellMar>
          <w:top w:w="30" w:type="dxa"/>
          <w:left w:w="80" w:type="dxa"/>
          <w:bottom w:w="30" w:type="dxa"/>
          <w:right w:w="80" w:type="dxa"/>
        </w:tblCellMar>
        <w:tblLook w:val="04A0" w:firstRow="1" w:lastRow="0" w:firstColumn="1" w:lastColumn="0" w:noHBand="0" w:noVBand="1"/>
      </w:tblPr>
      <w:tblGrid>
        <w:gridCol w:w="1300"/>
        <w:gridCol w:w="4308"/>
        <w:gridCol w:w="700"/>
        <w:gridCol w:w="700"/>
        <w:gridCol w:w="1200"/>
      </w:tblGrid>
      <w:tr w:rsidR="000403B8" w:rsidRPr="00A81E0C" w14:paraId="6C4D22CD" w14:textId="77777777">
        <w:trPr>
          <w:cantSplit/>
          <w:tblHeader/>
          <w:jc w:val="center"/>
        </w:trPr>
        <w:tc>
          <w:tcPr>
            <w:tcW w:w="1300" w:type="dxa"/>
            <w:tcBorders>
              <w:bottom w:val="single" w:sz="6" w:space="0" w:color="000000"/>
            </w:tcBorders>
          </w:tcPr>
          <w:p w14:paraId="3F63D499" w14:textId="77777777" w:rsidR="000403B8" w:rsidRPr="00A81E0C" w:rsidRDefault="00AC7B1E" w:rsidP="006B2B16">
            <w:pPr>
              <w:jc w:val="both"/>
            </w:pPr>
            <w:r w:rsidRPr="00A81E0C">
              <w:rPr>
                <w:rFonts w:ascii="Arial" w:eastAsia="Arial" w:hAnsi="Arial" w:cs="Arial"/>
                <w:b/>
                <w:sz w:val="18"/>
              </w:rPr>
              <w:t>Code</w:t>
            </w:r>
          </w:p>
        </w:tc>
        <w:tc>
          <w:tcPr>
            <w:tcW w:w="4308" w:type="dxa"/>
            <w:tcBorders>
              <w:bottom w:val="single" w:sz="6" w:space="0" w:color="000000"/>
            </w:tcBorders>
          </w:tcPr>
          <w:p w14:paraId="73DFBD08" w14:textId="77777777" w:rsidR="000403B8" w:rsidRPr="00A81E0C" w:rsidRDefault="00AC7B1E" w:rsidP="006B2B16">
            <w:pPr>
              <w:jc w:val="both"/>
            </w:pPr>
            <w:r w:rsidRPr="00A81E0C">
              <w:rPr>
                <w:rFonts w:ascii="Arial" w:eastAsia="Arial" w:hAnsi="Arial" w:cs="Arial"/>
                <w:b/>
                <w:sz w:val="18"/>
              </w:rPr>
              <w:t>Course</w:t>
            </w:r>
          </w:p>
        </w:tc>
        <w:tc>
          <w:tcPr>
            <w:tcW w:w="700" w:type="dxa"/>
            <w:tcBorders>
              <w:bottom w:val="single" w:sz="6" w:space="0" w:color="000000"/>
            </w:tcBorders>
          </w:tcPr>
          <w:p w14:paraId="6963D8BC" w14:textId="77777777" w:rsidR="000403B8" w:rsidRPr="00A81E0C" w:rsidRDefault="00AC7B1E" w:rsidP="006B2B16">
            <w:pPr>
              <w:jc w:val="both"/>
            </w:pPr>
            <w:r w:rsidRPr="00A81E0C">
              <w:rPr>
                <w:rFonts w:ascii="Arial" w:eastAsia="Arial" w:hAnsi="Arial" w:cs="Arial"/>
                <w:b/>
                <w:sz w:val="18"/>
              </w:rPr>
              <w:t>T</w:t>
            </w:r>
            <w:r w:rsidRPr="00A81E0C">
              <w:rPr>
                <w:rFonts w:ascii="Arial" w:eastAsia="Arial" w:hAnsi="Arial" w:cs="Arial"/>
                <w:b/>
                <w:sz w:val="18"/>
                <w:vertAlign w:val="superscript"/>
              </w:rPr>
              <w:t>a</w:t>
            </w:r>
          </w:p>
        </w:tc>
        <w:tc>
          <w:tcPr>
            <w:tcW w:w="700" w:type="dxa"/>
            <w:tcBorders>
              <w:bottom w:val="single" w:sz="6" w:space="0" w:color="000000"/>
            </w:tcBorders>
          </w:tcPr>
          <w:p w14:paraId="367E95D0" w14:textId="77777777" w:rsidR="000403B8" w:rsidRPr="00A81E0C" w:rsidRDefault="00AC7B1E" w:rsidP="006B2B16">
            <w:pPr>
              <w:jc w:val="both"/>
            </w:pPr>
            <w:r w:rsidRPr="00A81E0C">
              <w:rPr>
                <w:rFonts w:ascii="Arial" w:eastAsia="Arial" w:hAnsi="Arial" w:cs="Arial"/>
                <w:b/>
                <w:sz w:val="18"/>
              </w:rPr>
              <w:t>P</w:t>
            </w:r>
            <w:r w:rsidRPr="00A81E0C">
              <w:rPr>
                <w:rFonts w:ascii="Arial" w:eastAsia="Arial" w:hAnsi="Arial" w:cs="Arial"/>
                <w:b/>
                <w:sz w:val="18"/>
                <w:vertAlign w:val="superscript"/>
              </w:rPr>
              <w:t>b</w:t>
            </w:r>
          </w:p>
        </w:tc>
        <w:tc>
          <w:tcPr>
            <w:tcW w:w="1200" w:type="dxa"/>
            <w:tcBorders>
              <w:bottom w:val="single" w:sz="6" w:space="0" w:color="000000"/>
            </w:tcBorders>
          </w:tcPr>
          <w:p w14:paraId="31462D85" w14:textId="77777777" w:rsidR="000403B8" w:rsidRPr="00A81E0C" w:rsidRDefault="00AC7B1E" w:rsidP="006B2B16">
            <w:pPr>
              <w:jc w:val="both"/>
            </w:pPr>
            <w:r w:rsidRPr="00A81E0C">
              <w:rPr>
                <w:rFonts w:ascii="Arial" w:eastAsia="Arial" w:hAnsi="Arial" w:cs="Arial"/>
                <w:b/>
                <w:sz w:val="18"/>
              </w:rPr>
              <w:t>SATCA credits</w:t>
            </w:r>
          </w:p>
        </w:tc>
      </w:tr>
      <w:tr w:rsidR="000403B8" w:rsidRPr="00A81E0C" w14:paraId="17DC488D" w14:textId="77777777">
        <w:trPr>
          <w:cantSplit/>
          <w:jc w:val="center"/>
        </w:trPr>
        <w:tc>
          <w:tcPr>
            <w:tcW w:w="1300" w:type="dxa"/>
          </w:tcPr>
          <w:p w14:paraId="663D0A5B" w14:textId="77777777" w:rsidR="000403B8" w:rsidRPr="00A81E0C" w:rsidRDefault="00AC7B1E" w:rsidP="006B2B16">
            <w:pPr>
              <w:jc w:val="both"/>
            </w:pPr>
            <w:r w:rsidRPr="00A81E0C">
              <w:rPr>
                <w:rFonts w:ascii="Arial" w:eastAsia="Arial" w:hAnsi="Arial" w:cs="Arial"/>
                <w:sz w:val="18"/>
              </w:rPr>
              <w:t>SLF-2601</w:t>
            </w:r>
          </w:p>
        </w:tc>
        <w:tc>
          <w:tcPr>
            <w:tcW w:w="4308" w:type="dxa"/>
          </w:tcPr>
          <w:p w14:paraId="4EC336E0" w14:textId="77777777" w:rsidR="000403B8" w:rsidRPr="00A81E0C" w:rsidRDefault="00AC7B1E" w:rsidP="006B2B16">
            <w:pPr>
              <w:jc w:val="both"/>
            </w:pPr>
            <w:r w:rsidRPr="00A81E0C">
              <w:rPr>
                <w:rFonts w:ascii="Arial" w:eastAsia="Arial" w:hAnsi="Arial" w:cs="Arial"/>
                <w:sz w:val="18"/>
              </w:rPr>
              <w:t>Intelligent Logistics Systems</w:t>
            </w:r>
          </w:p>
        </w:tc>
        <w:tc>
          <w:tcPr>
            <w:tcW w:w="700" w:type="dxa"/>
          </w:tcPr>
          <w:p w14:paraId="321D05D8" w14:textId="77777777" w:rsidR="000403B8" w:rsidRPr="00A81E0C" w:rsidRDefault="00AC7B1E" w:rsidP="006B2B16">
            <w:pPr>
              <w:jc w:val="both"/>
            </w:pPr>
            <w:r w:rsidRPr="00A81E0C">
              <w:rPr>
                <w:rFonts w:ascii="Arial" w:eastAsia="Arial" w:hAnsi="Arial" w:cs="Arial"/>
                <w:sz w:val="18"/>
              </w:rPr>
              <w:t>3</w:t>
            </w:r>
          </w:p>
        </w:tc>
        <w:tc>
          <w:tcPr>
            <w:tcW w:w="700" w:type="dxa"/>
          </w:tcPr>
          <w:p w14:paraId="1E75FA79" w14:textId="77777777" w:rsidR="000403B8" w:rsidRPr="00A81E0C" w:rsidRDefault="00AC7B1E" w:rsidP="006B2B16">
            <w:pPr>
              <w:jc w:val="both"/>
            </w:pPr>
            <w:r w:rsidRPr="00A81E0C">
              <w:rPr>
                <w:rFonts w:ascii="Arial" w:eastAsia="Arial" w:hAnsi="Arial" w:cs="Arial"/>
                <w:sz w:val="18"/>
              </w:rPr>
              <w:t>2</w:t>
            </w:r>
          </w:p>
        </w:tc>
        <w:tc>
          <w:tcPr>
            <w:tcW w:w="1200" w:type="dxa"/>
          </w:tcPr>
          <w:p w14:paraId="2F16C6FB" w14:textId="77777777" w:rsidR="000403B8" w:rsidRPr="00A81E0C" w:rsidRDefault="00AC7B1E" w:rsidP="006B2B16">
            <w:pPr>
              <w:jc w:val="both"/>
            </w:pPr>
            <w:r w:rsidRPr="00A81E0C">
              <w:rPr>
                <w:rFonts w:ascii="Arial" w:eastAsia="Arial" w:hAnsi="Arial" w:cs="Arial"/>
                <w:sz w:val="18"/>
              </w:rPr>
              <w:t>5</w:t>
            </w:r>
          </w:p>
        </w:tc>
      </w:tr>
      <w:tr w:rsidR="000403B8" w:rsidRPr="00A81E0C" w14:paraId="270ADB58" w14:textId="77777777">
        <w:trPr>
          <w:cantSplit/>
          <w:jc w:val="center"/>
        </w:trPr>
        <w:tc>
          <w:tcPr>
            <w:tcW w:w="1300" w:type="dxa"/>
          </w:tcPr>
          <w:p w14:paraId="78D819FE" w14:textId="77777777" w:rsidR="000403B8" w:rsidRPr="00A81E0C" w:rsidRDefault="00AC7B1E" w:rsidP="006B2B16">
            <w:pPr>
              <w:jc w:val="both"/>
            </w:pPr>
            <w:r w:rsidRPr="00A81E0C">
              <w:rPr>
                <w:rFonts w:ascii="Arial" w:eastAsia="Arial" w:hAnsi="Arial" w:cs="Arial"/>
                <w:sz w:val="18"/>
              </w:rPr>
              <w:t>SLF-2602</w:t>
            </w:r>
          </w:p>
        </w:tc>
        <w:tc>
          <w:tcPr>
            <w:tcW w:w="4308" w:type="dxa"/>
          </w:tcPr>
          <w:p w14:paraId="156A1E23" w14:textId="77777777" w:rsidR="000403B8" w:rsidRPr="00A81E0C" w:rsidRDefault="00AC7B1E" w:rsidP="006B2B16">
            <w:pPr>
              <w:jc w:val="both"/>
            </w:pPr>
            <w:r w:rsidRPr="00A81E0C">
              <w:rPr>
                <w:rFonts w:ascii="Arial" w:eastAsia="Arial" w:hAnsi="Arial" w:cs="Arial"/>
                <w:sz w:val="18"/>
              </w:rPr>
              <w:t>Sustainable and Intelligent Engineering</w:t>
            </w:r>
          </w:p>
        </w:tc>
        <w:tc>
          <w:tcPr>
            <w:tcW w:w="700" w:type="dxa"/>
          </w:tcPr>
          <w:p w14:paraId="2312D7BE" w14:textId="77777777" w:rsidR="000403B8" w:rsidRPr="00A81E0C" w:rsidRDefault="00AC7B1E" w:rsidP="006B2B16">
            <w:pPr>
              <w:jc w:val="both"/>
            </w:pPr>
            <w:r w:rsidRPr="00A81E0C">
              <w:rPr>
                <w:rFonts w:ascii="Arial" w:eastAsia="Arial" w:hAnsi="Arial" w:cs="Arial"/>
                <w:sz w:val="18"/>
              </w:rPr>
              <w:t>3</w:t>
            </w:r>
          </w:p>
        </w:tc>
        <w:tc>
          <w:tcPr>
            <w:tcW w:w="700" w:type="dxa"/>
          </w:tcPr>
          <w:p w14:paraId="24EB6240" w14:textId="77777777" w:rsidR="000403B8" w:rsidRPr="00A81E0C" w:rsidRDefault="00AC7B1E" w:rsidP="006B2B16">
            <w:pPr>
              <w:jc w:val="both"/>
            </w:pPr>
            <w:r w:rsidRPr="00A81E0C">
              <w:rPr>
                <w:rFonts w:ascii="Arial" w:eastAsia="Arial" w:hAnsi="Arial" w:cs="Arial"/>
                <w:sz w:val="18"/>
              </w:rPr>
              <w:t>2</w:t>
            </w:r>
          </w:p>
        </w:tc>
        <w:tc>
          <w:tcPr>
            <w:tcW w:w="1200" w:type="dxa"/>
          </w:tcPr>
          <w:p w14:paraId="7524FD00" w14:textId="77777777" w:rsidR="000403B8" w:rsidRPr="00A81E0C" w:rsidRDefault="00AC7B1E" w:rsidP="006B2B16">
            <w:pPr>
              <w:jc w:val="both"/>
            </w:pPr>
            <w:r w:rsidRPr="00A81E0C">
              <w:rPr>
                <w:rFonts w:ascii="Arial" w:eastAsia="Arial" w:hAnsi="Arial" w:cs="Arial"/>
                <w:sz w:val="18"/>
              </w:rPr>
              <w:t>5</w:t>
            </w:r>
          </w:p>
        </w:tc>
      </w:tr>
      <w:tr w:rsidR="000403B8" w:rsidRPr="00A81E0C" w14:paraId="102FB791" w14:textId="77777777">
        <w:trPr>
          <w:cantSplit/>
          <w:jc w:val="center"/>
        </w:trPr>
        <w:tc>
          <w:tcPr>
            <w:tcW w:w="1300" w:type="dxa"/>
          </w:tcPr>
          <w:p w14:paraId="668D79A3" w14:textId="77777777" w:rsidR="000403B8" w:rsidRPr="00A81E0C" w:rsidRDefault="00AC7B1E" w:rsidP="006B2B16">
            <w:pPr>
              <w:jc w:val="both"/>
            </w:pPr>
            <w:r w:rsidRPr="00A81E0C">
              <w:rPr>
                <w:rFonts w:ascii="Arial" w:eastAsia="Arial" w:hAnsi="Arial" w:cs="Arial"/>
                <w:sz w:val="18"/>
              </w:rPr>
              <w:t>SLD-2603</w:t>
            </w:r>
          </w:p>
        </w:tc>
        <w:tc>
          <w:tcPr>
            <w:tcW w:w="4308" w:type="dxa"/>
          </w:tcPr>
          <w:p w14:paraId="5C8044AB" w14:textId="77777777" w:rsidR="000403B8" w:rsidRPr="00A81E0C" w:rsidRDefault="00AC7B1E" w:rsidP="006B2B16">
            <w:pPr>
              <w:jc w:val="both"/>
            </w:pPr>
            <w:r w:rsidRPr="00A81E0C">
              <w:rPr>
                <w:rFonts w:ascii="Arial" w:eastAsia="Arial" w:hAnsi="Arial" w:cs="Arial"/>
                <w:sz w:val="18"/>
              </w:rPr>
              <w:t>Six Sigma</w:t>
            </w:r>
          </w:p>
        </w:tc>
        <w:tc>
          <w:tcPr>
            <w:tcW w:w="700" w:type="dxa"/>
          </w:tcPr>
          <w:p w14:paraId="3FD747E3" w14:textId="77777777" w:rsidR="000403B8" w:rsidRPr="00A81E0C" w:rsidRDefault="00AC7B1E" w:rsidP="006B2B16">
            <w:pPr>
              <w:jc w:val="both"/>
            </w:pPr>
            <w:r w:rsidRPr="00A81E0C">
              <w:rPr>
                <w:rFonts w:ascii="Arial" w:eastAsia="Arial" w:hAnsi="Arial" w:cs="Arial"/>
                <w:sz w:val="18"/>
              </w:rPr>
              <w:t>2</w:t>
            </w:r>
          </w:p>
        </w:tc>
        <w:tc>
          <w:tcPr>
            <w:tcW w:w="700" w:type="dxa"/>
          </w:tcPr>
          <w:p w14:paraId="40ED9B4B" w14:textId="77777777" w:rsidR="000403B8" w:rsidRPr="00A81E0C" w:rsidRDefault="00AC7B1E" w:rsidP="006B2B16">
            <w:pPr>
              <w:jc w:val="both"/>
            </w:pPr>
            <w:r w:rsidRPr="00A81E0C">
              <w:rPr>
                <w:rFonts w:ascii="Arial" w:eastAsia="Arial" w:hAnsi="Arial" w:cs="Arial"/>
                <w:sz w:val="18"/>
              </w:rPr>
              <w:t>3</w:t>
            </w:r>
          </w:p>
        </w:tc>
        <w:tc>
          <w:tcPr>
            <w:tcW w:w="1200" w:type="dxa"/>
          </w:tcPr>
          <w:p w14:paraId="766B5F30" w14:textId="77777777" w:rsidR="000403B8" w:rsidRPr="00A81E0C" w:rsidRDefault="00AC7B1E" w:rsidP="006B2B16">
            <w:pPr>
              <w:jc w:val="both"/>
            </w:pPr>
            <w:r w:rsidRPr="00A81E0C">
              <w:rPr>
                <w:rFonts w:ascii="Arial" w:eastAsia="Arial" w:hAnsi="Arial" w:cs="Arial"/>
                <w:sz w:val="18"/>
              </w:rPr>
              <w:t>5</w:t>
            </w:r>
          </w:p>
        </w:tc>
      </w:tr>
      <w:tr w:rsidR="000403B8" w:rsidRPr="00A81E0C" w14:paraId="5D6AB819" w14:textId="77777777">
        <w:trPr>
          <w:cantSplit/>
          <w:jc w:val="center"/>
        </w:trPr>
        <w:tc>
          <w:tcPr>
            <w:tcW w:w="1300" w:type="dxa"/>
          </w:tcPr>
          <w:p w14:paraId="11A1E45C" w14:textId="77777777" w:rsidR="000403B8" w:rsidRPr="00A81E0C" w:rsidRDefault="00AC7B1E" w:rsidP="006B2B16">
            <w:pPr>
              <w:jc w:val="both"/>
            </w:pPr>
            <w:r w:rsidRPr="00A81E0C">
              <w:rPr>
                <w:rFonts w:ascii="Arial" w:eastAsia="Arial" w:hAnsi="Arial" w:cs="Arial"/>
                <w:sz w:val="18"/>
              </w:rPr>
              <w:t>SLF-2604</w:t>
            </w:r>
          </w:p>
        </w:tc>
        <w:tc>
          <w:tcPr>
            <w:tcW w:w="4308" w:type="dxa"/>
          </w:tcPr>
          <w:p w14:paraId="0AC2571F" w14:textId="77777777" w:rsidR="000403B8" w:rsidRPr="00A81E0C" w:rsidRDefault="00AC7B1E" w:rsidP="006B2B16">
            <w:pPr>
              <w:jc w:val="both"/>
            </w:pPr>
            <w:r w:rsidRPr="00A81E0C">
              <w:rPr>
                <w:rFonts w:ascii="Arial" w:eastAsia="Arial" w:hAnsi="Arial" w:cs="Arial"/>
                <w:sz w:val="18"/>
              </w:rPr>
              <w:t>Cargo Logistics and Packaging Design</w:t>
            </w:r>
          </w:p>
        </w:tc>
        <w:tc>
          <w:tcPr>
            <w:tcW w:w="700" w:type="dxa"/>
          </w:tcPr>
          <w:p w14:paraId="5C94EE7E" w14:textId="77777777" w:rsidR="000403B8" w:rsidRPr="00A81E0C" w:rsidRDefault="00AC7B1E" w:rsidP="006B2B16">
            <w:pPr>
              <w:jc w:val="both"/>
            </w:pPr>
            <w:r w:rsidRPr="00A81E0C">
              <w:rPr>
                <w:rFonts w:ascii="Arial" w:eastAsia="Arial" w:hAnsi="Arial" w:cs="Arial"/>
                <w:sz w:val="18"/>
              </w:rPr>
              <w:t>3</w:t>
            </w:r>
          </w:p>
        </w:tc>
        <w:tc>
          <w:tcPr>
            <w:tcW w:w="700" w:type="dxa"/>
          </w:tcPr>
          <w:p w14:paraId="588E3462" w14:textId="77777777" w:rsidR="000403B8" w:rsidRPr="00A81E0C" w:rsidRDefault="00AC7B1E" w:rsidP="006B2B16">
            <w:pPr>
              <w:jc w:val="both"/>
            </w:pPr>
            <w:r w:rsidRPr="00A81E0C">
              <w:rPr>
                <w:rFonts w:ascii="Arial" w:eastAsia="Arial" w:hAnsi="Arial" w:cs="Arial"/>
                <w:sz w:val="18"/>
              </w:rPr>
              <w:t>2</w:t>
            </w:r>
          </w:p>
        </w:tc>
        <w:tc>
          <w:tcPr>
            <w:tcW w:w="1200" w:type="dxa"/>
          </w:tcPr>
          <w:p w14:paraId="627C80EC" w14:textId="77777777" w:rsidR="000403B8" w:rsidRPr="00A81E0C" w:rsidRDefault="00AC7B1E" w:rsidP="006B2B16">
            <w:pPr>
              <w:jc w:val="both"/>
            </w:pPr>
            <w:r w:rsidRPr="00A81E0C">
              <w:rPr>
                <w:rFonts w:ascii="Arial" w:eastAsia="Arial" w:hAnsi="Arial" w:cs="Arial"/>
                <w:sz w:val="18"/>
              </w:rPr>
              <w:t>5</w:t>
            </w:r>
          </w:p>
        </w:tc>
      </w:tr>
      <w:tr w:rsidR="000403B8" w:rsidRPr="00A81E0C" w14:paraId="6156A6AE" w14:textId="77777777">
        <w:trPr>
          <w:cantSplit/>
          <w:jc w:val="center"/>
        </w:trPr>
        <w:tc>
          <w:tcPr>
            <w:tcW w:w="1300" w:type="dxa"/>
          </w:tcPr>
          <w:p w14:paraId="6225732B" w14:textId="77777777" w:rsidR="000403B8" w:rsidRPr="00A81E0C" w:rsidRDefault="00AC7B1E" w:rsidP="006B2B16">
            <w:pPr>
              <w:jc w:val="both"/>
            </w:pPr>
            <w:r w:rsidRPr="00A81E0C">
              <w:rPr>
                <w:rFonts w:ascii="Arial" w:eastAsia="Arial" w:hAnsi="Arial" w:cs="Arial"/>
                <w:sz w:val="18"/>
              </w:rPr>
              <w:t>SLL-2605</w:t>
            </w:r>
          </w:p>
        </w:tc>
        <w:tc>
          <w:tcPr>
            <w:tcW w:w="4308" w:type="dxa"/>
          </w:tcPr>
          <w:p w14:paraId="51C01B87" w14:textId="77777777" w:rsidR="000403B8" w:rsidRPr="00A81E0C" w:rsidRDefault="00AC7B1E" w:rsidP="006B2B16">
            <w:pPr>
              <w:jc w:val="both"/>
            </w:pPr>
            <w:r w:rsidRPr="00A81E0C">
              <w:rPr>
                <w:rFonts w:ascii="Arial" w:eastAsia="Arial" w:hAnsi="Arial" w:cs="Arial"/>
                <w:sz w:val="18"/>
              </w:rPr>
              <w:t>Logistics Systems Engineering</w:t>
            </w:r>
          </w:p>
        </w:tc>
        <w:tc>
          <w:tcPr>
            <w:tcW w:w="700" w:type="dxa"/>
          </w:tcPr>
          <w:p w14:paraId="51ECDAE4" w14:textId="77777777" w:rsidR="000403B8" w:rsidRPr="00A81E0C" w:rsidRDefault="00AC7B1E" w:rsidP="006B2B16">
            <w:pPr>
              <w:jc w:val="both"/>
            </w:pPr>
            <w:r w:rsidRPr="00A81E0C">
              <w:rPr>
                <w:rFonts w:ascii="Arial" w:eastAsia="Arial" w:hAnsi="Arial" w:cs="Arial"/>
                <w:sz w:val="18"/>
              </w:rPr>
              <w:t>4</w:t>
            </w:r>
          </w:p>
        </w:tc>
        <w:tc>
          <w:tcPr>
            <w:tcW w:w="700" w:type="dxa"/>
          </w:tcPr>
          <w:p w14:paraId="0696364C" w14:textId="77777777" w:rsidR="000403B8" w:rsidRPr="00A81E0C" w:rsidRDefault="00AC7B1E" w:rsidP="006B2B16">
            <w:pPr>
              <w:jc w:val="both"/>
            </w:pPr>
            <w:r w:rsidRPr="00A81E0C">
              <w:rPr>
                <w:rFonts w:ascii="Arial" w:eastAsia="Arial" w:hAnsi="Arial" w:cs="Arial"/>
                <w:sz w:val="18"/>
              </w:rPr>
              <w:t>1</w:t>
            </w:r>
          </w:p>
        </w:tc>
        <w:tc>
          <w:tcPr>
            <w:tcW w:w="1200" w:type="dxa"/>
          </w:tcPr>
          <w:p w14:paraId="4BADB070" w14:textId="77777777" w:rsidR="000403B8" w:rsidRPr="00A81E0C" w:rsidRDefault="00AC7B1E" w:rsidP="006B2B16">
            <w:pPr>
              <w:jc w:val="both"/>
            </w:pPr>
            <w:r w:rsidRPr="00A81E0C">
              <w:rPr>
                <w:rFonts w:ascii="Arial" w:eastAsia="Arial" w:hAnsi="Arial" w:cs="Arial"/>
                <w:sz w:val="18"/>
              </w:rPr>
              <w:t>5</w:t>
            </w:r>
          </w:p>
        </w:tc>
      </w:tr>
      <w:tr w:rsidR="000403B8" w:rsidRPr="00A81E0C" w14:paraId="10BB4926" w14:textId="77777777">
        <w:trPr>
          <w:cantSplit/>
          <w:jc w:val="center"/>
        </w:trPr>
        <w:tc>
          <w:tcPr>
            <w:tcW w:w="1300" w:type="dxa"/>
          </w:tcPr>
          <w:p w14:paraId="544553ED" w14:textId="77777777" w:rsidR="000403B8" w:rsidRPr="00A81E0C" w:rsidRDefault="00AC7B1E" w:rsidP="006B2B16">
            <w:pPr>
              <w:jc w:val="both"/>
            </w:pPr>
            <w:r w:rsidRPr="00A81E0C">
              <w:rPr>
                <w:rFonts w:ascii="Arial" w:eastAsia="Arial" w:hAnsi="Arial" w:cs="Arial"/>
                <w:sz w:val="18"/>
              </w:rPr>
              <w:t>SLG-2606</w:t>
            </w:r>
          </w:p>
        </w:tc>
        <w:tc>
          <w:tcPr>
            <w:tcW w:w="4308" w:type="dxa"/>
          </w:tcPr>
          <w:p w14:paraId="02B18876" w14:textId="77777777" w:rsidR="000403B8" w:rsidRPr="00A81E0C" w:rsidRDefault="00AC7B1E" w:rsidP="006B2B16">
            <w:pPr>
              <w:jc w:val="both"/>
            </w:pPr>
            <w:r w:rsidRPr="00A81E0C">
              <w:rPr>
                <w:rFonts w:ascii="Arial" w:eastAsia="Arial" w:hAnsi="Arial" w:cs="Arial"/>
                <w:sz w:val="18"/>
              </w:rPr>
              <w:t>Intelligent Warehouse and Transport Operations Engineering</w:t>
            </w:r>
          </w:p>
        </w:tc>
        <w:tc>
          <w:tcPr>
            <w:tcW w:w="700" w:type="dxa"/>
          </w:tcPr>
          <w:p w14:paraId="6FCCD6C7" w14:textId="77777777" w:rsidR="000403B8" w:rsidRPr="00A81E0C" w:rsidRDefault="00AC7B1E" w:rsidP="006B2B16">
            <w:pPr>
              <w:jc w:val="both"/>
            </w:pPr>
            <w:r w:rsidRPr="00A81E0C">
              <w:rPr>
                <w:rFonts w:ascii="Arial" w:eastAsia="Arial" w:hAnsi="Arial" w:cs="Arial"/>
                <w:sz w:val="18"/>
              </w:rPr>
              <w:t>3</w:t>
            </w:r>
          </w:p>
        </w:tc>
        <w:tc>
          <w:tcPr>
            <w:tcW w:w="700" w:type="dxa"/>
          </w:tcPr>
          <w:p w14:paraId="20588E2D" w14:textId="77777777" w:rsidR="000403B8" w:rsidRPr="00A81E0C" w:rsidRDefault="00AC7B1E" w:rsidP="006B2B16">
            <w:pPr>
              <w:jc w:val="both"/>
            </w:pPr>
            <w:r w:rsidRPr="00A81E0C">
              <w:rPr>
                <w:rFonts w:ascii="Arial" w:eastAsia="Arial" w:hAnsi="Arial" w:cs="Arial"/>
                <w:sz w:val="18"/>
              </w:rPr>
              <w:t>3</w:t>
            </w:r>
          </w:p>
        </w:tc>
        <w:tc>
          <w:tcPr>
            <w:tcW w:w="1200" w:type="dxa"/>
          </w:tcPr>
          <w:p w14:paraId="005324E6" w14:textId="77777777" w:rsidR="000403B8" w:rsidRPr="00A81E0C" w:rsidRDefault="00AC7B1E" w:rsidP="006B2B16">
            <w:pPr>
              <w:jc w:val="both"/>
            </w:pPr>
            <w:r w:rsidRPr="00A81E0C">
              <w:rPr>
                <w:rFonts w:ascii="Arial" w:eastAsia="Arial" w:hAnsi="Arial" w:cs="Arial"/>
                <w:sz w:val="18"/>
              </w:rPr>
              <w:t>6</w:t>
            </w:r>
          </w:p>
        </w:tc>
      </w:tr>
      <w:tr w:rsidR="000403B8" w:rsidRPr="00A81E0C" w14:paraId="5384BA23" w14:textId="77777777">
        <w:trPr>
          <w:cantSplit/>
          <w:jc w:val="center"/>
        </w:trPr>
        <w:tc>
          <w:tcPr>
            <w:tcW w:w="1300" w:type="dxa"/>
            <w:tcBorders>
              <w:top w:val="single" w:sz="6" w:space="0" w:color="000000"/>
            </w:tcBorders>
          </w:tcPr>
          <w:p w14:paraId="7BF1F61E" w14:textId="77777777" w:rsidR="000403B8" w:rsidRPr="00A81E0C" w:rsidRDefault="000403B8" w:rsidP="006B2B16">
            <w:pPr>
              <w:jc w:val="both"/>
            </w:pPr>
          </w:p>
        </w:tc>
        <w:tc>
          <w:tcPr>
            <w:tcW w:w="4308" w:type="dxa"/>
            <w:tcBorders>
              <w:top w:val="single" w:sz="6" w:space="0" w:color="000000"/>
            </w:tcBorders>
          </w:tcPr>
          <w:p w14:paraId="0C7BD7C4" w14:textId="77777777" w:rsidR="000403B8" w:rsidRPr="00A81E0C" w:rsidRDefault="00AC7B1E" w:rsidP="006B2B16">
            <w:pPr>
              <w:jc w:val="both"/>
            </w:pPr>
            <w:r w:rsidRPr="00A81E0C">
              <w:rPr>
                <w:rFonts w:ascii="Arial" w:eastAsia="Arial" w:hAnsi="Arial" w:cs="Arial"/>
                <w:b/>
                <w:sz w:val="18"/>
              </w:rPr>
              <w:t>Total</w:t>
            </w:r>
          </w:p>
        </w:tc>
        <w:tc>
          <w:tcPr>
            <w:tcW w:w="700" w:type="dxa"/>
            <w:tcBorders>
              <w:top w:val="single" w:sz="6" w:space="0" w:color="000000"/>
            </w:tcBorders>
          </w:tcPr>
          <w:p w14:paraId="0611316E" w14:textId="77777777" w:rsidR="000403B8" w:rsidRPr="00A81E0C" w:rsidRDefault="00AC7B1E" w:rsidP="006B2B16">
            <w:pPr>
              <w:jc w:val="both"/>
            </w:pPr>
            <w:r w:rsidRPr="00A81E0C">
              <w:rPr>
                <w:rFonts w:ascii="Arial" w:eastAsia="Arial" w:hAnsi="Arial" w:cs="Arial"/>
                <w:b/>
                <w:sz w:val="18"/>
              </w:rPr>
              <w:t>18</w:t>
            </w:r>
          </w:p>
        </w:tc>
        <w:tc>
          <w:tcPr>
            <w:tcW w:w="700" w:type="dxa"/>
            <w:tcBorders>
              <w:top w:val="single" w:sz="6" w:space="0" w:color="000000"/>
            </w:tcBorders>
          </w:tcPr>
          <w:p w14:paraId="5CA1F76A" w14:textId="77777777" w:rsidR="000403B8" w:rsidRPr="00A81E0C" w:rsidRDefault="00AC7B1E" w:rsidP="006B2B16">
            <w:pPr>
              <w:jc w:val="both"/>
            </w:pPr>
            <w:r w:rsidRPr="00A81E0C">
              <w:rPr>
                <w:rFonts w:ascii="Arial" w:eastAsia="Arial" w:hAnsi="Arial" w:cs="Arial"/>
                <w:b/>
                <w:sz w:val="18"/>
              </w:rPr>
              <w:t>13</w:t>
            </w:r>
          </w:p>
        </w:tc>
        <w:tc>
          <w:tcPr>
            <w:tcW w:w="1200" w:type="dxa"/>
            <w:tcBorders>
              <w:top w:val="single" w:sz="6" w:space="0" w:color="000000"/>
            </w:tcBorders>
          </w:tcPr>
          <w:p w14:paraId="4C9D8F06" w14:textId="77777777" w:rsidR="000403B8" w:rsidRPr="00A81E0C" w:rsidRDefault="00AC7B1E" w:rsidP="006B2B16">
            <w:pPr>
              <w:jc w:val="both"/>
            </w:pPr>
            <w:r w:rsidRPr="00A81E0C">
              <w:rPr>
                <w:rFonts w:ascii="Arial" w:eastAsia="Arial" w:hAnsi="Arial" w:cs="Arial"/>
                <w:b/>
                <w:sz w:val="18"/>
              </w:rPr>
              <w:t>31</w:t>
            </w:r>
          </w:p>
        </w:tc>
      </w:tr>
    </w:tbl>
    <w:p w14:paraId="25E5AC34" w14:textId="77777777" w:rsidR="000403B8" w:rsidRPr="00A81E0C" w:rsidRDefault="00AC7B1E" w:rsidP="006B2B16">
      <w:pPr>
        <w:pStyle w:val="Body"/>
        <w:spacing w:before="40" w:after="0"/>
      </w:pPr>
      <w:proofErr w:type="spellStart"/>
      <w:r w:rsidRPr="00A81E0C">
        <w:rPr>
          <w:rFonts w:ascii="Arial" w:eastAsia="Arial" w:hAnsi="Arial" w:cs="Arial"/>
          <w:sz w:val="17"/>
          <w:vertAlign w:val="superscript"/>
        </w:rPr>
        <w:t>a</w:t>
      </w:r>
      <w:r w:rsidRPr="00A81E0C">
        <w:rPr>
          <w:rFonts w:ascii="Arial" w:eastAsia="Arial" w:hAnsi="Arial" w:cs="Arial"/>
          <w:sz w:val="17"/>
        </w:rPr>
        <w:t>Theory</w:t>
      </w:r>
      <w:proofErr w:type="spellEnd"/>
      <w:r w:rsidRPr="00A81E0C">
        <w:rPr>
          <w:rFonts w:ascii="Arial" w:eastAsia="Arial" w:hAnsi="Arial" w:cs="Arial"/>
          <w:sz w:val="17"/>
        </w:rPr>
        <w:t xml:space="preserve"> hours per week. </w:t>
      </w:r>
      <w:proofErr w:type="spellStart"/>
      <w:r w:rsidRPr="00A81E0C">
        <w:rPr>
          <w:rFonts w:ascii="Arial" w:eastAsia="Arial" w:hAnsi="Arial" w:cs="Arial"/>
          <w:sz w:val="17"/>
          <w:vertAlign w:val="superscript"/>
        </w:rPr>
        <w:t>b</w:t>
      </w:r>
      <w:r w:rsidRPr="00A81E0C">
        <w:rPr>
          <w:rFonts w:ascii="Arial" w:eastAsia="Arial" w:hAnsi="Arial" w:cs="Arial"/>
          <w:sz w:val="17"/>
        </w:rPr>
        <w:t>Practice</w:t>
      </w:r>
      <w:proofErr w:type="spellEnd"/>
      <w:r w:rsidRPr="00A81E0C">
        <w:rPr>
          <w:rFonts w:ascii="Arial" w:eastAsia="Arial" w:hAnsi="Arial" w:cs="Arial"/>
          <w:sz w:val="17"/>
        </w:rPr>
        <w:t xml:space="preserve"> hours per week. SATCA = Academic Credit Allocation and Transfer System.</w:t>
      </w:r>
    </w:p>
    <w:p w14:paraId="770C1869" w14:textId="77777777" w:rsidR="000403B8" w:rsidRPr="00A81E0C" w:rsidRDefault="00AC7B1E" w:rsidP="006B2B16">
      <w:pPr>
        <w:pStyle w:val="Body"/>
        <w:spacing w:after="160"/>
      </w:pPr>
      <w:r w:rsidRPr="00A81E0C">
        <w:rPr>
          <w:rFonts w:ascii="Arial" w:eastAsia="Arial" w:hAnsi="Arial" w:cs="Arial"/>
          <w:sz w:val="17"/>
        </w:rPr>
        <w:t>Source: prepared by the authors from the curricular proposal of the Specialization in Intelligent Logistics Systems, Academy of Industrial Engineering, ITC-</w:t>
      </w:r>
      <w:proofErr w:type="spellStart"/>
      <w:r w:rsidRPr="00A81E0C">
        <w:rPr>
          <w:rFonts w:ascii="Arial" w:eastAsia="Arial" w:hAnsi="Arial" w:cs="Arial"/>
          <w:sz w:val="17"/>
        </w:rPr>
        <w:t>TecNM</w:t>
      </w:r>
      <w:proofErr w:type="spellEnd"/>
      <w:r w:rsidRPr="00A81E0C">
        <w:rPr>
          <w:rFonts w:ascii="Arial" w:eastAsia="Arial" w:hAnsi="Arial" w:cs="Arial"/>
          <w:sz w:val="17"/>
        </w:rPr>
        <w:t>, 2026.</w:t>
      </w:r>
    </w:p>
    <w:p w14:paraId="261165F6" w14:textId="77777777" w:rsidR="000403B8" w:rsidRPr="00A81E0C" w:rsidRDefault="00AC7B1E" w:rsidP="006B2B16">
      <w:pPr>
        <w:pStyle w:val="Body"/>
        <w:spacing w:after="160"/>
      </w:pPr>
      <w:r w:rsidRPr="00A81E0C">
        <w:rPr>
          <w:rFonts w:ascii="Arial" w:eastAsia="Arial" w:hAnsi="Arial" w:cs="Arial"/>
        </w:rPr>
        <w:t>The program</w:t>
      </w:r>
      <w:r w:rsidRPr="00A81E0C">
        <w:rPr>
          <w:rFonts w:ascii="Arial" w:eastAsia="Arial" w:hAnsi="Arial" w:cs="Arial"/>
          <w:highlight w:val="yellow"/>
        </w:rPr>
        <w:t>me</w:t>
      </w:r>
      <w:r w:rsidRPr="00A81E0C">
        <w:rPr>
          <w:rFonts w:ascii="Arial" w:eastAsia="Arial" w:hAnsi="Arial" w:cs="Arial"/>
        </w:rPr>
        <w:t xml:space="preserve"> has 18 classrooms of its own, each with a projector, an interactive whiteboard and wireless connectivity, as well as six operational laboratories and shared spaces for group work. The computer laboratory has 30 workstations and an interactive whiteboard, and another 58 general-use computers are available elsewhere in the </w:t>
      </w:r>
      <w:r w:rsidRPr="00A81E0C">
        <w:rPr>
          <w:rFonts w:ascii="Arial" w:eastAsia="Arial" w:hAnsi="Arial" w:cs="Arial"/>
          <w:highlight w:val="yellow"/>
        </w:rPr>
        <w:t>i</w:t>
      </w:r>
      <w:r w:rsidRPr="00A81E0C">
        <w:rPr>
          <w:rFonts w:ascii="Arial" w:eastAsia="Arial" w:hAnsi="Arial" w:cs="Arial"/>
        </w:rPr>
        <w:t xml:space="preserve">nstitute. </w:t>
      </w:r>
      <w:r w:rsidRPr="00A81E0C">
        <w:rPr>
          <w:rFonts w:ascii="Arial" w:eastAsia="Arial" w:hAnsi="Arial" w:cs="Arial"/>
          <w:highlight w:val="yellow"/>
        </w:rPr>
        <w:t>Entir</w:t>
      </w:r>
      <w:r w:rsidRPr="00A81E0C">
        <w:rPr>
          <w:rFonts w:ascii="Arial" w:eastAsia="Arial" w:hAnsi="Arial" w:cs="Arial"/>
        </w:rPr>
        <w:t>e class groups can therefore work with speciali</w:t>
      </w:r>
      <w:r w:rsidRPr="00A81E0C">
        <w:rPr>
          <w:rFonts w:ascii="Arial" w:eastAsia="Arial" w:hAnsi="Arial" w:cs="Arial"/>
          <w:highlight w:val="yellow"/>
        </w:rPr>
        <w:t>s</w:t>
      </w:r>
      <w:r w:rsidRPr="00A81E0C">
        <w:rPr>
          <w:rFonts w:ascii="Arial" w:eastAsia="Arial" w:hAnsi="Arial" w:cs="Arial"/>
        </w:rPr>
        <w:t>ed software at the same time.</w:t>
      </w:r>
    </w:p>
    <w:p w14:paraId="048164EA" w14:textId="77777777" w:rsidR="000403B8" w:rsidRPr="00A81E0C" w:rsidRDefault="00AC7B1E" w:rsidP="006B2B16">
      <w:pPr>
        <w:pStyle w:val="Body"/>
        <w:spacing w:after="160"/>
      </w:pPr>
      <w:r w:rsidRPr="00A81E0C">
        <w:rPr>
          <w:rFonts w:ascii="Arial" w:eastAsia="Arial" w:hAnsi="Arial" w:cs="Arial"/>
        </w:rPr>
        <w:t>The analysis identified a specific technological gap. The programme has no Logistics 4.0 tools of its own, such as warehouse management systems (WMS), supply chain visibility platforms or modules for logistics data analysis. Studies of logistics competencies and engineering education highlight the relevance of digital technologies and intelligent warehousing to contemporary professional training (Belmonte et al., 2023; Guadarrama Atrizco &amp; Pedraza Amador, 2025). This shortfall currently limits the programme's ability to provide hands-on experience with these tools. Addressing it is therefore a priority in the proposed action plan.</w:t>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r w:rsidRPr="00A81E0C">
        <w:rPr>
          <w:rFonts w:ascii="Arial" w:eastAsia="Arial" w:hAnsi="Arial" w:cs="Arial"/>
          <w:highlight w:val="yellow"/>
        </w:rPr>
      </w:r>
      <w:r w:rsidRPr="00A81E0C">
        <w:rPr>
          <w:rFonts w:ascii="Arial" w:eastAsia="Arial" w:hAnsi="Arial" w:cs="Arial"/>
        </w:rPr>
      </w:r>
    </w:p>
    <w:p w14:paraId="7309109D" w14:textId="77777777" w:rsidR="000403B8" w:rsidRPr="00A81E0C" w:rsidRDefault="00AC7B1E" w:rsidP="006B2B16">
      <w:pPr>
        <w:pStyle w:val="Body"/>
        <w:keepNext/>
        <w:spacing w:before="80" w:after="80"/>
      </w:pPr>
      <w:r w:rsidRPr="00A81E0C">
        <w:rPr>
          <w:rFonts w:ascii="Arial" w:eastAsia="Arial" w:hAnsi="Arial" w:cs="Arial"/>
          <w:b/>
          <w:sz w:val="22"/>
        </w:rPr>
        <w:t>3.5 Industry Linkage through Professional Residencies</w:t>
      </w:r>
    </w:p>
    <w:p w14:paraId="3DCF4C4C" w14:textId="77777777" w:rsidR="000403B8" w:rsidRPr="00A81E0C" w:rsidRDefault="00AC7B1E" w:rsidP="006B2B16">
      <w:pPr>
        <w:pStyle w:val="Body"/>
        <w:spacing w:after="160"/>
      </w:pPr>
      <w:r w:rsidRPr="00A81E0C">
        <w:rPr>
          <w:rFonts w:ascii="Arial" w:eastAsia="Arial" w:hAnsi="Arial" w:cs="Arial"/>
        </w:rPr>
        <w:t>The professional residency is the program</w:t>
      </w:r>
      <w:r w:rsidRPr="00A81E0C">
        <w:rPr>
          <w:rFonts w:ascii="Arial" w:eastAsia="Arial" w:hAnsi="Arial" w:cs="Arial"/>
          <w:highlight w:val="yellow"/>
        </w:rPr>
        <w:t>me</w:t>
      </w:r>
      <w:r w:rsidRPr="00A81E0C">
        <w:rPr>
          <w:rFonts w:ascii="Arial" w:eastAsia="Arial" w:hAnsi="Arial" w:cs="Arial"/>
        </w:rPr>
        <w:t>'s main link with the productive sector, and 95.4% of graduates use it as their route to the degree. Each residency project runs for four to six months (500 hours) in a company and addresses a real problem in that workplace. The projects also in</w:t>
      </w:r>
      <w:r w:rsidRPr="00A81E0C">
        <w:rPr>
          <w:rFonts w:ascii="Arial" w:eastAsia="Arial" w:hAnsi="Arial" w:cs="Arial"/>
          <w:highlight w:val="yellow"/>
        </w:rPr>
        <w:t>f</w:t>
      </w:r>
      <w:r w:rsidRPr="00A81E0C">
        <w:rPr>
          <w:rFonts w:ascii="Arial" w:eastAsia="Arial" w:hAnsi="Arial" w:cs="Arial"/>
        </w:rPr>
        <w:t>o</w:t>
      </w:r>
      <w:r w:rsidRPr="00A81E0C">
        <w:rPr>
          <w:rFonts w:ascii="Arial" w:eastAsia="Arial" w:hAnsi="Arial" w:cs="Arial"/>
          <w:highlight w:val="yellow"/>
        </w:rPr>
        <w:t>rm</w:t>
      </w:r>
      <w:r w:rsidRPr="00A81E0C">
        <w:rPr>
          <w:rFonts w:ascii="Arial" w:eastAsia="Arial" w:hAnsi="Arial" w:cs="Arial"/>
        </w:rPr>
        <w:t xml:space="preserve"> the curriculum. Problems </w:t>
      </w:r>
      <w:r w:rsidRPr="00A81E0C">
        <w:rPr>
          <w:rFonts w:ascii="Arial" w:eastAsia="Arial" w:hAnsi="Arial" w:cs="Arial"/>
          <w:highlight w:val="yellow"/>
        </w:rPr>
        <w:t>encoun</w:t>
      </w:r>
      <w:r w:rsidRPr="00A81E0C">
        <w:rPr>
          <w:rFonts w:ascii="Arial" w:eastAsia="Arial" w:hAnsi="Arial" w:cs="Arial"/>
        </w:rPr>
        <w:t>t</w:t>
      </w:r>
      <w:r w:rsidRPr="00A81E0C">
        <w:rPr>
          <w:rFonts w:ascii="Arial" w:eastAsia="Arial" w:hAnsi="Arial" w:cs="Arial"/>
          <w:highlight w:val="yellow"/>
        </w:rPr>
        <w:t>ered by</w:t>
      </w:r>
      <w:r w:rsidRPr="00A81E0C">
        <w:rPr>
          <w:rFonts w:ascii="Arial" w:eastAsia="Arial" w:hAnsi="Arial" w:cs="Arial"/>
        </w:rPr>
        <w:t xml:space="preserve"> residents in industry help the Academy update course content and reinforce specific competences in the classroom.</w:t>
      </w:r>
    </w:p>
    <w:p w14:paraId="54AEE3CA" w14:textId="77777777" w:rsidR="000403B8" w:rsidRPr="00A81E0C" w:rsidRDefault="00AC7B1E" w:rsidP="006B2B16">
      <w:pPr>
        <w:pStyle w:val="Body"/>
        <w:spacing w:after="160"/>
      </w:pPr>
      <w:r w:rsidRPr="00A81E0C">
        <w:rPr>
          <w:rFonts w:ascii="Arial" w:eastAsia="Arial" w:hAnsi="Arial" w:cs="Arial"/>
        </w:rPr>
        <w:t xml:space="preserve">For the Specialization in Intelligent Logistics Systems, residencies </w:t>
      </w:r>
      <w:r w:rsidRPr="00A81E0C">
        <w:rPr>
          <w:rFonts w:ascii="Arial" w:eastAsia="Arial" w:hAnsi="Arial" w:cs="Arial"/>
          <w:highlight w:val="yellow"/>
        </w:rPr>
        <w:t>w</w:t>
      </w:r>
      <w:r w:rsidRPr="00A81E0C">
        <w:rPr>
          <w:rFonts w:ascii="Arial" w:eastAsia="Arial" w:hAnsi="Arial" w:cs="Arial"/>
        </w:rPr>
        <w:t>i</w:t>
      </w:r>
      <w:r w:rsidRPr="00A81E0C">
        <w:rPr>
          <w:rFonts w:ascii="Arial" w:eastAsia="Arial" w:hAnsi="Arial" w:cs="Arial"/>
          <w:highlight w:val="yellow"/>
        </w:rPr>
        <w:t>th</w:t>
      </w:r>
      <w:r w:rsidRPr="00A81E0C">
        <w:rPr>
          <w:rFonts w:ascii="Arial" w:eastAsia="Arial" w:hAnsi="Arial" w:cs="Arial"/>
        </w:rPr>
        <w:t xml:space="preserve"> firms </w:t>
      </w:r>
      <w:r w:rsidRPr="00A81E0C">
        <w:rPr>
          <w:rFonts w:ascii="Arial" w:eastAsia="Arial" w:hAnsi="Arial" w:cs="Arial"/>
          <w:highlight w:val="yellow"/>
        </w:rPr>
        <w:t>in</w:t>
      </w:r>
      <w:r w:rsidRPr="00A81E0C">
        <w:rPr>
          <w:rFonts w:ascii="Arial" w:eastAsia="Arial" w:hAnsi="Arial" w:cs="Arial"/>
        </w:rPr>
        <w:t xml:space="preserve"> the Manzanillo port cluster, such as customs brokers, logistics operators, multimodal transport companies and distribution cent</w:t>
      </w:r>
      <w:r w:rsidRPr="00A81E0C">
        <w:rPr>
          <w:rFonts w:ascii="Arial" w:eastAsia="Arial" w:hAnsi="Arial" w:cs="Arial"/>
          <w:highlight w:val="yellow"/>
        </w:rPr>
        <w:t>r</w:t>
      </w:r>
      <w:r w:rsidRPr="00A81E0C">
        <w:rPr>
          <w:rFonts w:ascii="Arial" w:eastAsia="Arial" w:hAnsi="Arial" w:cs="Arial"/>
        </w:rPr>
        <w:t xml:space="preserve">es, are the clearest evidence of </w:t>
      </w:r>
      <w:r w:rsidRPr="00A81E0C">
        <w:rPr>
          <w:rFonts w:ascii="Arial" w:eastAsia="Arial" w:hAnsi="Arial" w:cs="Arial"/>
          <w:highlight w:val="yellow"/>
        </w:rPr>
        <w:t>e</w:t>
      </w:r>
      <w:r w:rsidRPr="00A81E0C">
        <w:rPr>
          <w:rFonts w:ascii="Arial" w:eastAsia="Arial" w:hAnsi="Arial" w:cs="Arial"/>
        </w:rPr>
        <w:t>n</w:t>
      </w:r>
      <w:r w:rsidRPr="00A81E0C">
        <w:rPr>
          <w:rFonts w:ascii="Arial" w:eastAsia="Arial" w:hAnsi="Arial" w:cs="Arial"/>
          <w:highlight w:val="yellow"/>
        </w:rPr>
        <w:t>gag</w:t>
      </w:r>
      <w:r w:rsidRPr="00A81E0C">
        <w:rPr>
          <w:rFonts w:ascii="Arial" w:eastAsia="Arial" w:hAnsi="Arial" w:cs="Arial"/>
        </w:rPr>
        <w:t>e</w:t>
      </w:r>
      <w:r w:rsidRPr="00A81E0C">
        <w:rPr>
          <w:rFonts w:ascii="Arial" w:eastAsia="Arial" w:hAnsi="Arial" w:cs="Arial"/>
          <w:highlight w:val="yellow"/>
        </w:rPr>
        <w:t>me</w:t>
      </w:r>
      <w:r w:rsidRPr="00A81E0C">
        <w:rPr>
          <w:rFonts w:ascii="Arial" w:eastAsia="Arial" w:hAnsi="Arial" w:cs="Arial"/>
        </w:rPr>
        <w:t>nt</w:t>
      </w:r>
      <w:r w:rsidRPr="00A81E0C">
        <w:rPr>
          <w:rFonts w:ascii="Arial" w:eastAsia="Arial" w:hAnsi="Arial" w:cs="Arial"/>
          <w:highlight w:val="yellow"/>
        </w:rPr>
        <w:t xml:space="preserve"> with</w:t>
      </w:r>
      <w:r w:rsidRPr="00A81E0C">
        <w:rPr>
          <w:rFonts w:ascii="Arial" w:eastAsia="Arial" w:hAnsi="Arial" w:cs="Arial"/>
        </w:rPr>
        <w:t xml:space="preserve"> the sector. One priority of the improvement plan is to formali</w:t>
      </w:r>
      <w:r w:rsidRPr="00A81E0C">
        <w:rPr>
          <w:rFonts w:ascii="Arial" w:eastAsia="Arial" w:hAnsi="Arial" w:cs="Arial"/>
          <w:highlight w:val="yellow"/>
        </w:rPr>
        <w:t>s</w:t>
      </w:r>
      <w:r w:rsidRPr="00A81E0C">
        <w:rPr>
          <w:rFonts w:ascii="Arial" w:eastAsia="Arial" w:hAnsi="Arial" w:cs="Arial"/>
        </w:rPr>
        <w:t>e this channel through institutional agreements with port operators.</w:t>
      </w:r>
    </w:p>
    <w:p w14:paraId="5465909A" w14:textId="77777777" w:rsidR="000403B8" w:rsidRPr="00A81E0C" w:rsidRDefault="00AC7B1E" w:rsidP="006B2B16">
      <w:pPr>
        <w:pStyle w:val="Body"/>
        <w:spacing w:after="160"/>
      </w:pPr>
      <w:r w:rsidRPr="00A81E0C">
        <w:rPr>
          <w:rFonts w:ascii="Arial" w:eastAsia="Arial" w:hAnsi="Arial" w:cs="Arial"/>
        </w:rPr>
        <w:t xml:space="preserve">Industry linkage is also visible in the faculty profile. </w:t>
      </w:r>
      <w:r w:rsidRPr="00A81E0C">
        <w:rPr>
          <w:rFonts w:ascii="Arial" w:eastAsia="Arial" w:hAnsi="Arial" w:cs="Arial"/>
          <w:highlight w:val="yellow"/>
        </w:rPr>
        <w:t>As</w:t>
      </w:r>
      <w:r w:rsidRPr="00A81E0C">
        <w:rPr>
          <w:rFonts w:ascii="Arial" w:eastAsia="Arial" w:hAnsi="Arial" w:cs="Arial"/>
        </w:rPr>
        <w:t xml:space="preserve"> 88.2% of professors </w:t>
      </w:r>
      <w:r w:rsidRPr="00A81E0C">
        <w:rPr>
          <w:rFonts w:ascii="Arial" w:eastAsia="Arial" w:hAnsi="Arial" w:cs="Arial"/>
          <w:highlight w:val="yellow"/>
        </w:rPr>
        <w:t>have</w:t>
      </w:r>
      <w:r w:rsidRPr="00A81E0C">
        <w:rPr>
          <w:rFonts w:ascii="Arial" w:eastAsia="Arial" w:hAnsi="Arial" w:cs="Arial"/>
        </w:rPr>
        <w:t xml:space="preserve"> prior industrial experience, theoretical content tends to be anchored in real problems. This is consistent with the high employment expectations recorded in the survey (78.1%), although the present data do not allow a causal relationship between the</w:t>
      </w:r>
      <w:r w:rsidRPr="00A81E0C">
        <w:rPr>
          <w:rFonts w:ascii="Arial" w:eastAsia="Arial" w:hAnsi="Arial" w:cs="Arial"/>
          <w:highlight w:val="yellow"/>
        </w:rPr>
        <w:t>se</w:t>
      </w:r>
      <w:r w:rsidRPr="00A81E0C">
        <w:rPr>
          <w:rFonts w:ascii="Arial" w:eastAsia="Arial" w:hAnsi="Arial" w:cs="Arial"/>
        </w:rPr>
        <w:t xml:space="preserve"> </w:t>
      </w:r>
      <w:r w:rsidRPr="00A81E0C">
        <w:rPr>
          <w:rFonts w:ascii="Arial" w:eastAsia="Arial" w:hAnsi="Arial" w:cs="Arial"/>
          <w:highlight w:val="yellow"/>
        </w:rPr>
        <w:t>fac</w:t>
      </w:r>
      <w:r w:rsidRPr="00A81E0C">
        <w:rPr>
          <w:rFonts w:ascii="Arial" w:eastAsia="Arial" w:hAnsi="Arial" w:cs="Arial"/>
        </w:rPr>
        <w:t>to</w:t>
      </w:r>
      <w:r w:rsidRPr="00A81E0C">
        <w:rPr>
          <w:rFonts w:ascii="Arial" w:eastAsia="Arial" w:hAnsi="Arial" w:cs="Arial"/>
          <w:highlight w:val="yellow"/>
        </w:rPr>
        <w:t>rs</w:t>
      </w:r>
      <w:r w:rsidRPr="00A81E0C">
        <w:rPr>
          <w:rFonts w:ascii="Arial" w:eastAsia="Arial" w:hAnsi="Arial" w:cs="Arial"/>
        </w:rPr>
        <w:t xml:space="preserve"> to be established.</w:t>
      </w:r>
    </w:p>
    <w:p w14:paraId="57694414" w14:textId="77777777" w:rsidR="000403B8" w:rsidRPr="00A81E0C" w:rsidRDefault="00AC7B1E" w:rsidP="006B2B16">
      <w:pPr>
        <w:pStyle w:val="Body"/>
        <w:keepNext/>
        <w:spacing w:before="80" w:after="80"/>
      </w:pPr>
      <w:r w:rsidRPr="00A81E0C">
        <w:rPr>
          <w:rFonts w:ascii="Arial" w:eastAsia="Arial" w:hAnsi="Arial" w:cs="Arial"/>
          <w:b/>
          <w:sz w:val="22"/>
        </w:rPr>
        <w:lastRenderedPageBreak/>
        <w:t>3.6 Operational Action Plan and Key Performance Indicators, 2026–2029</w:t>
      </w:r>
    </w:p>
    <w:p w14:paraId="7C658ED3" w14:textId="77777777" w:rsidR="000403B8" w:rsidRPr="00A81E0C" w:rsidRDefault="00AC7B1E" w:rsidP="006B2B16">
      <w:pPr>
        <w:pStyle w:val="Body"/>
        <w:spacing w:after="160"/>
      </w:pPr>
      <w:r w:rsidRPr="00A81E0C">
        <w:rPr>
          <w:rFonts w:ascii="Arial" w:eastAsia="Arial" w:hAnsi="Arial" w:cs="Arial"/>
        </w:rPr>
        <w:t>Drawing on observations from the evaluation process and the prospective analysis, the Academy of Industrial Engineering proposes the actions listed in Table 5 for the 2026–2029 period. Each action is paired with key performance indicators (KPIs) so that progress can be measured objectively.</w:t>
      </w:r>
    </w:p>
    <w:p w14:paraId="5F253381" w14:textId="77777777" w:rsidR="000403B8" w:rsidRPr="00A81E0C" w:rsidRDefault="00AC7B1E" w:rsidP="006B2B16">
      <w:pPr>
        <w:pStyle w:val="Body"/>
        <w:keepNext/>
        <w:spacing w:before="120" w:after="80"/>
      </w:pPr>
      <w:r w:rsidRPr="00A81E0C">
        <w:rPr>
          <w:rFonts w:ascii="Arial" w:eastAsia="Arial" w:hAnsi="Arial" w:cs="Arial"/>
          <w:b/>
        </w:rPr>
        <w:t>Table 5. Operational action plan to strengthen the Specialization in Intelligent Logistics Systems at ITC-</w:t>
      </w:r>
      <w:proofErr w:type="spellStart"/>
      <w:r w:rsidRPr="00A81E0C">
        <w:rPr>
          <w:rFonts w:ascii="Arial" w:eastAsia="Arial" w:hAnsi="Arial" w:cs="Arial"/>
          <w:b/>
        </w:rPr>
        <w:t>TecNM</w:t>
      </w:r>
      <w:proofErr w:type="spellEnd"/>
      <w:r w:rsidRPr="00A81E0C">
        <w:rPr>
          <w:rFonts w:ascii="Arial" w:eastAsia="Arial" w:hAnsi="Arial" w:cs="Arial"/>
          <w:b/>
        </w:rPr>
        <w:t>, 2026–2029</w:t>
      </w:r>
    </w:p>
    <w:tbl>
      <w:tblPr>
        <w:tblW w:w="8208" w:type="dxa"/>
        <w:jc w:val="center"/>
        <w:tblBorders>
          <w:top w:val="single" w:sz="8" w:space="0" w:color="000000"/>
          <w:left w:val="nil"/>
          <w:bottom w:val="single" w:sz="8" w:space="0" w:color="000000"/>
          <w:right w:val="nil"/>
          <w:insideH w:val="nil"/>
          <w:insideV w:val="nil"/>
        </w:tblBorders>
        <w:tblLayout w:type="fixed"/>
        <w:tblCellMar>
          <w:top w:w="30" w:type="dxa"/>
          <w:left w:w="80" w:type="dxa"/>
          <w:bottom w:w="30" w:type="dxa"/>
          <w:right w:w="80" w:type="dxa"/>
        </w:tblCellMar>
        <w:tblLook w:val="04A0" w:firstRow="1" w:lastRow="0" w:firstColumn="1" w:lastColumn="0" w:noHBand="0" w:noVBand="1"/>
      </w:tblPr>
      <w:tblGrid>
        <w:gridCol w:w="2800"/>
        <w:gridCol w:w="2700"/>
        <w:gridCol w:w="1000"/>
        <w:gridCol w:w="1708"/>
      </w:tblGrid>
      <w:tr w:rsidR="000403B8" w:rsidRPr="00A81E0C" w14:paraId="3CEBBAAD" w14:textId="77777777">
        <w:trPr>
          <w:cantSplit/>
          <w:tblHeader/>
          <w:jc w:val="center"/>
        </w:trPr>
        <w:tc>
          <w:tcPr>
            <w:tcW w:w="2800" w:type="dxa"/>
            <w:tcBorders>
              <w:bottom w:val="single" w:sz="6" w:space="0" w:color="000000"/>
            </w:tcBorders>
          </w:tcPr>
          <w:p w14:paraId="3135C9A2" w14:textId="77777777" w:rsidR="000403B8" w:rsidRPr="00A81E0C" w:rsidRDefault="00AC7B1E" w:rsidP="006B2B16">
            <w:pPr>
              <w:jc w:val="both"/>
            </w:pPr>
            <w:r w:rsidRPr="00A81E0C">
              <w:rPr>
                <w:rFonts w:ascii="Arial" w:eastAsia="Arial" w:hAnsi="Arial" w:cs="Arial"/>
                <w:b/>
                <w:sz w:val="18"/>
              </w:rPr>
              <w:t>Action</w:t>
            </w:r>
          </w:p>
        </w:tc>
        <w:tc>
          <w:tcPr>
            <w:tcW w:w="2700" w:type="dxa"/>
            <w:tcBorders>
              <w:bottom w:val="single" w:sz="6" w:space="0" w:color="000000"/>
            </w:tcBorders>
          </w:tcPr>
          <w:p w14:paraId="778529A9" w14:textId="77777777" w:rsidR="000403B8" w:rsidRPr="00A81E0C" w:rsidRDefault="00AC7B1E" w:rsidP="006B2B16">
            <w:pPr>
              <w:jc w:val="both"/>
            </w:pPr>
            <w:r w:rsidRPr="00A81E0C">
              <w:rPr>
                <w:rFonts w:ascii="Arial" w:eastAsia="Arial" w:hAnsi="Arial" w:cs="Arial"/>
                <w:b/>
                <w:sz w:val="18"/>
              </w:rPr>
              <w:t>Monitoring indicator (KPI)</w:t>
            </w:r>
          </w:p>
        </w:tc>
        <w:tc>
          <w:tcPr>
            <w:tcW w:w="1000" w:type="dxa"/>
            <w:tcBorders>
              <w:bottom w:val="single" w:sz="6" w:space="0" w:color="000000"/>
            </w:tcBorders>
          </w:tcPr>
          <w:p w14:paraId="4A9C221E" w14:textId="77777777" w:rsidR="000403B8" w:rsidRPr="00A81E0C" w:rsidRDefault="00AC7B1E" w:rsidP="006B2B16">
            <w:pPr>
              <w:jc w:val="both"/>
            </w:pPr>
            <w:r w:rsidRPr="00A81E0C">
              <w:rPr>
                <w:rFonts w:ascii="Arial" w:eastAsia="Arial" w:hAnsi="Arial" w:cs="Arial"/>
                <w:b/>
                <w:sz w:val="18"/>
              </w:rPr>
              <w:t>Target date</w:t>
            </w:r>
          </w:p>
        </w:tc>
        <w:tc>
          <w:tcPr>
            <w:tcW w:w="1708" w:type="dxa"/>
            <w:tcBorders>
              <w:bottom w:val="single" w:sz="6" w:space="0" w:color="000000"/>
            </w:tcBorders>
          </w:tcPr>
          <w:p w14:paraId="62D5BE20" w14:textId="77777777" w:rsidR="000403B8" w:rsidRPr="00A81E0C" w:rsidRDefault="00AC7B1E" w:rsidP="006B2B16">
            <w:pPr>
              <w:jc w:val="both"/>
            </w:pPr>
            <w:r w:rsidRPr="00A81E0C">
              <w:rPr>
                <w:rFonts w:ascii="Arial" w:eastAsia="Arial" w:hAnsi="Arial" w:cs="Arial"/>
                <w:b/>
                <w:sz w:val="18"/>
              </w:rPr>
              <w:t>Responsible unit</w:t>
            </w:r>
          </w:p>
        </w:tc>
      </w:tr>
      <w:tr w:rsidR="000403B8" w:rsidRPr="00A81E0C" w14:paraId="006E242F" w14:textId="77777777">
        <w:trPr>
          <w:cantSplit/>
          <w:jc w:val="center"/>
        </w:trPr>
        <w:tc>
          <w:tcPr>
            <w:tcW w:w="2800" w:type="dxa"/>
          </w:tcPr>
          <w:p w14:paraId="3A654BA6" w14:textId="77777777" w:rsidR="000403B8" w:rsidRPr="00A81E0C" w:rsidRDefault="00AC7B1E" w:rsidP="006B2B16">
            <w:pPr>
              <w:jc w:val="both"/>
            </w:pPr>
            <w:r w:rsidRPr="00A81E0C">
              <w:rPr>
                <w:rFonts w:ascii="Arial" w:eastAsia="Arial" w:hAnsi="Arial" w:cs="Arial"/>
                <w:sz w:val="18"/>
              </w:rPr>
              <w:t>1. Acquire an educational WMS license (SAP EWM Student Edition)</w:t>
            </w:r>
          </w:p>
        </w:tc>
        <w:tc>
          <w:tcPr>
            <w:tcW w:w="2700" w:type="dxa"/>
          </w:tcPr>
          <w:p w14:paraId="5B14001C" w14:textId="77777777" w:rsidR="000403B8" w:rsidRPr="00A81E0C" w:rsidRDefault="00AC7B1E" w:rsidP="006B2B16">
            <w:pPr>
              <w:jc w:val="both"/>
            </w:pPr>
            <w:r w:rsidRPr="00A81E0C">
              <w:rPr>
                <w:rFonts w:ascii="Arial" w:eastAsia="Arial" w:hAnsi="Arial" w:cs="Arial"/>
                <w:sz w:val="18"/>
              </w:rPr>
              <w:t>License active; ≥ 80% of specialization students with access</w:t>
            </w:r>
          </w:p>
        </w:tc>
        <w:tc>
          <w:tcPr>
            <w:tcW w:w="1000" w:type="dxa"/>
          </w:tcPr>
          <w:p w14:paraId="29552616" w14:textId="77777777" w:rsidR="000403B8" w:rsidRPr="00A81E0C" w:rsidRDefault="00AC7B1E" w:rsidP="006B2B16">
            <w:pPr>
              <w:jc w:val="both"/>
            </w:pPr>
            <w:r w:rsidRPr="00A81E0C">
              <w:rPr>
                <w:rFonts w:ascii="Arial" w:eastAsia="Arial" w:hAnsi="Arial" w:cs="Arial"/>
                <w:sz w:val="18"/>
              </w:rPr>
              <w:t>Dec. 2026</w:t>
            </w:r>
          </w:p>
        </w:tc>
        <w:tc>
          <w:tcPr>
            <w:tcW w:w="1708" w:type="dxa"/>
          </w:tcPr>
          <w:p w14:paraId="42A2F3C2" w14:textId="77777777" w:rsidR="000403B8" w:rsidRPr="00A81E0C" w:rsidRDefault="00AC7B1E" w:rsidP="006B2B16">
            <w:pPr>
              <w:jc w:val="both"/>
            </w:pPr>
            <w:r w:rsidRPr="00A81E0C">
              <w:rPr>
                <w:rFonts w:ascii="Arial" w:eastAsia="Arial" w:hAnsi="Arial" w:cs="Arial"/>
                <w:sz w:val="18"/>
              </w:rPr>
              <w:t>Head of the Department of Industrial Engineering</w:t>
            </w:r>
          </w:p>
        </w:tc>
      </w:tr>
      <w:tr w:rsidR="000403B8" w:rsidRPr="00A81E0C" w14:paraId="21A5362D" w14:textId="77777777">
        <w:trPr>
          <w:cantSplit/>
          <w:jc w:val="center"/>
        </w:trPr>
        <w:tc>
          <w:tcPr>
            <w:tcW w:w="2800" w:type="dxa"/>
          </w:tcPr>
          <w:p w14:paraId="1C6ED639" w14:textId="77777777" w:rsidR="000403B8" w:rsidRPr="00A81E0C" w:rsidRDefault="00AC7B1E" w:rsidP="006B2B16">
            <w:pPr>
              <w:jc w:val="both"/>
            </w:pPr>
            <w:r w:rsidRPr="00A81E0C">
              <w:rPr>
                <w:rFonts w:ascii="Arial" w:eastAsia="Arial" w:hAnsi="Arial" w:cs="Arial"/>
                <w:sz w:val="18"/>
              </w:rPr>
              <w:t>2. Formalize new residency agreements with operators of the Manzanillo port cluster</w:t>
            </w:r>
          </w:p>
        </w:tc>
        <w:tc>
          <w:tcPr>
            <w:tcW w:w="2700" w:type="dxa"/>
          </w:tcPr>
          <w:p w14:paraId="631D168F" w14:textId="77777777" w:rsidR="000403B8" w:rsidRPr="00A81E0C" w:rsidRDefault="00AC7B1E" w:rsidP="006B2B16">
            <w:pPr>
              <w:jc w:val="both"/>
            </w:pPr>
            <w:r w:rsidRPr="00A81E0C">
              <w:rPr>
                <w:rFonts w:ascii="Arial" w:eastAsia="Arial" w:hAnsi="Arial" w:cs="Arial"/>
                <w:sz w:val="18"/>
              </w:rPr>
              <w:t>Number of agreements signed; ≥ 30% of residents placed in the port-logistics sector</w:t>
            </w:r>
          </w:p>
        </w:tc>
        <w:tc>
          <w:tcPr>
            <w:tcW w:w="1000" w:type="dxa"/>
          </w:tcPr>
          <w:p w14:paraId="6DF746B9" w14:textId="77777777" w:rsidR="000403B8" w:rsidRPr="00A81E0C" w:rsidRDefault="00AC7B1E" w:rsidP="006B2B16">
            <w:pPr>
              <w:jc w:val="both"/>
            </w:pPr>
            <w:r w:rsidRPr="00A81E0C">
              <w:rPr>
                <w:rFonts w:ascii="Arial" w:eastAsia="Arial" w:hAnsi="Arial" w:cs="Arial"/>
                <w:sz w:val="18"/>
              </w:rPr>
              <w:t>June 2027</w:t>
            </w:r>
          </w:p>
        </w:tc>
        <w:tc>
          <w:tcPr>
            <w:tcW w:w="1708" w:type="dxa"/>
          </w:tcPr>
          <w:p w14:paraId="42611667" w14:textId="77777777" w:rsidR="000403B8" w:rsidRPr="00A81E0C" w:rsidRDefault="00AC7B1E" w:rsidP="006B2B16">
            <w:pPr>
              <w:jc w:val="both"/>
            </w:pPr>
            <w:r w:rsidRPr="00A81E0C">
              <w:rPr>
                <w:rFonts w:ascii="Arial" w:eastAsia="Arial" w:hAnsi="Arial" w:cs="Arial"/>
                <w:sz w:val="18"/>
              </w:rPr>
              <w:t>Head of Linkage Projects</w:t>
            </w:r>
          </w:p>
        </w:tc>
      </w:tr>
      <w:tr w:rsidR="000403B8" w:rsidRPr="00A81E0C" w14:paraId="197BCE71" w14:textId="77777777">
        <w:trPr>
          <w:cantSplit/>
          <w:jc w:val="center"/>
        </w:trPr>
        <w:tc>
          <w:tcPr>
            <w:tcW w:w="2800" w:type="dxa"/>
          </w:tcPr>
          <w:p w14:paraId="5A1C1E22" w14:textId="77777777" w:rsidR="000403B8" w:rsidRPr="00A81E0C" w:rsidRDefault="00AC7B1E" w:rsidP="006B2B16">
            <w:pPr>
              <w:jc w:val="both"/>
            </w:pPr>
            <w:r w:rsidRPr="00A81E0C">
              <w:rPr>
                <w:rFonts w:ascii="Arial" w:eastAsia="Arial" w:hAnsi="Arial" w:cs="Arial"/>
                <w:sz w:val="18"/>
              </w:rPr>
              <w:t>3. Add a logistics data analytics module (Python/Power BI) to course INH-1020 Logistics and Supply Chains (Unit 5, Information Technology)</w:t>
            </w:r>
          </w:p>
        </w:tc>
        <w:tc>
          <w:tcPr>
            <w:tcW w:w="2700" w:type="dxa"/>
          </w:tcPr>
          <w:p w14:paraId="03BCEAA0" w14:textId="77777777" w:rsidR="000403B8" w:rsidRPr="00A81E0C" w:rsidRDefault="00AC7B1E" w:rsidP="006B2B16">
            <w:pPr>
              <w:jc w:val="both"/>
            </w:pPr>
            <w:r w:rsidRPr="00A81E0C">
              <w:rPr>
                <w:rFonts w:ascii="Arial" w:eastAsia="Arial" w:hAnsi="Arial" w:cs="Arial"/>
                <w:sz w:val="18"/>
              </w:rPr>
              <w:t>Modification approved; ≥ 75% of students pass the module</w:t>
            </w:r>
          </w:p>
        </w:tc>
        <w:tc>
          <w:tcPr>
            <w:tcW w:w="1000" w:type="dxa"/>
          </w:tcPr>
          <w:p w14:paraId="0181C1AA" w14:textId="77777777" w:rsidR="000403B8" w:rsidRPr="00A81E0C" w:rsidRDefault="00AC7B1E" w:rsidP="006B2B16">
            <w:pPr>
              <w:jc w:val="both"/>
            </w:pPr>
            <w:r w:rsidRPr="00A81E0C">
              <w:rPr>
                <w:rFonts w:ascii="Arial" w:eastAsia="Arial" w:hAnsi="Arial" w:cs="Arial"/>
                <w:sz w:val="18"/>
              </w:rPr>
              <w:t>Aug. 2026</w:t>
            </w:r>
          </w:p>
        </w:tc>
        <w:tc>
          <w:tcPr>
            <w:tcW w:w="1708" w:type="dxa"/>
          </w:tcPr>
          <w:p w14:paraId="69EF3973" w14:textId="77777777" w:rsidR="000403B8" w:rsidRPr="00A81E0C" w:rsidRDefault="00AC7B1E" w:rsidP="006B2B16">
            <w:pPr>
              <w:jc w:val="both"/>
            </w:pPr>
            <w:r w:rsidRPr="00A81E0C">
              <w:rPr>
                <w:rFonts w:ascii="Arial" w:eastAsia="Arial" w:hAnsi="Arial" w:cs="Arial"/>
                <w:sz w:val="18"/>
              </w:rPr>
              <w:t>Academy of Industrial Engineering</w:t>
            </w:r>
          </w:p>
        </w:tc>
      </w:tr>
      <w:tr w:rsidR="000403B8" w:rsidRPr="00A81E0C" w14:paraId="15A69CF7" w14:textId="77777777">
        <w:trPr>
          <w:cantSplit/>
          <w:jc w:val="center"/>
        </w:trPr>
        <w:tc>
          <w:tcPr>
            <w:tcW w:w="2800" w:type="dxa"/>
          </w:tcPr>
          <w:p w14:paraId="3DAB85F0" w14:textId="77777777" w:rsidR="000403B8" w:rsidRPr="00A81E0C" w:rsidRDefault="00AC7B1E" w:rsidP="006B2B16">
            <w:pPr>
              <w:jc w:val="both"/>
            </w:pPr>
            <w:r w:rsidRPr="00A81E0C">
              <w:rPr>
                <w:rFonts w:ascii="Arial" w:eastAsia="Arial" w:hAnsi="Arial" w:cs="Arial"/>
                <w:sz w:val="18"/>
              </w:rPr>
              <w:t>4. Strengthen outreach to enroll at least 120 new students per year</w:t>
            </w:r>
          </w:p>
        </w:tc>
        <w:tc>
          <w:tcPr>
            <w:tcW w:w="2700" w:type="dxa"/>
          </w:tcPr>
          <w:p w14:paraId="783E2D90" w14:textId="77777777" w:rsidR="000403B8" w:rsidRPr="00A81E0C" w:rsidRDefault="00AC7B1E" w:rsidP="006B2B16">
            <w:pPr>
              <w:jc w:val="both"/>
            </w:pPr>
            <w:r w:rsidRPr="00A81E0C">
              <w:rPr>
                <w:rFonts w:ascii="Arial" w:eastAsia="Arial" w:hAnsi="Arial" w:cs="Arial"/>
                <w:sz w:val="18"/>
              </w:rPr>
              <w:t>Annual new enrollment ≥ 120; first-year retention ≥ 85%</w:t>
            </w:r>
          </w:p>
        </w:tc>
        <w:tc>
          <w:tcPr>
            <w:tcW w:w="1000" w:type="dxa"/>
          </w:tcPr>
          <w:p w14:paraId="0466E44D" w14:textId="77777777" w:rsidR="000403B8" w:rsidRPr="00A81E0C" w:rsidRDefault="00AC7B1E" w:rsidP="006B2B16">
            <w:pPr>
              <w:jc w:val="both"/>
            </w:pPr>
            <w:r w:rsidRPr="00A81E0C">
              <w:rPr>
                <w:rFonts w:ascii="Arial" w:eastAsia="Arial" w:hAnsi="Arial" w:cs="Arial"/>
                <w:sz w:val="18"/>
              </w:rPr>
              <w:t>Aug. 2027</w:t>
            </w:r>
          </w:p>
        </w:tc>
        <w:tc>
          <w:tcPr>
            <w:tcW w:w="1708" w:type="dxa"/>
          </w:tcPr>
          <w:p w14:paraId="7A512287" w14:textId="77777777" w:rsidR="000403B8" w:rsidRPr="00A81E0C" w:rsidRDefault="00AC7B1E" w:rsidP="006B2B16">
            <w:pPr>
              <w:jc w:val="both"/>
            </w:pPr>
            <w:r w:rsidRPr="00A81E0C">
              <w:rPr>
                <w:rFonts w:ascii="Arial" w:eastAsia="Arial" w:hAnsi="Arial" w:cs="Arial"/>
                <w:sz w:val="18"/>
              </w:rPr>
              <w:t>Head of Teaching</w:t>
            </w:r>
          </w:p>
        </w:tc>
      </w:tr>
      <w:tr w:rsidR="000403B8" w:rsidRPr="00A81E0C" w14:paraId="5C66FE6E" w14:textId="77777777">
        <w:trPr>
          <w:cantSplit/>
          <w:jc w:val="center"/>
        </w:trPr>
        <w:tc>
          <w:tcPr>
            <w:tcW w:w="2800" w:type="dxa"/>
          </w:tcPr>
          <w:p w14:paraId="33E07664" w14:textId="77777777" w:rsidR="000403B8" w:rsidRPr="00A81E0C" w:rsidRDefault="00AC7B1E" w:rsidP="006B2B16">
            <w:pPr>
              <w:jc w:val="both"/>
            </w:pPr>
            <w:r w:rsidRPr="00A81E0C">
              <w:rPr>
                <w:rFonts w:ascii="Arial" w:eastAsia="Arial" w:hAnsi="Arial" w:cs="Arial"/>
                <w:sz w:val="18"/>
              </w:rPr>
              <w:t>5. Hire one research professor specialized in supply chain 4.0</w:t>
            </w:r>
          </w:p>
        </w:tc>
        <w:tc>
          <w:tcPr>
            <w:tcW w:w="2700" w:type="dxa"/>
          </w:tcPr>
          <w:p w14:paraId="452A98D1" w14:textId="77777777" w:rsidR="000403B8" w:rsidRPr="00A81E0C" w:rsidRDefault="00AC7B1E" w:rsidP="006B2B16">
            <w:pPr>
              <w:jc w:val="both"/>
            </w:pPr>
            <w:r w:rsidRPr="00A81E0C">
              <w:rPr>
                <w:rFonts w:ascii="Arial" w:eastAsia="Arial" w:hAnsi="Arial" w:cs="Arial"/>
                <w:sz w:val="18"/>
              </w:rPr>
              <w:t>Position advertised and filled; ≥ 1 applied research project linked to the port cluster</w:t>
            </w:r>
          </w:p>
        </w:tc>
        <w:tc>
          <w:tcPr>
            <w:tcW w:w="1000" w:type="dxa"/>
          </w:tcPr>
          <w:p w14:paraId="0E357680" w14:textId="77777777" w:rsidR="000403B8" w:rsidRPr="00A81E0C" w:rsidRDefault="00AC7B1E" w:rsidP="006B2B16">
            <w:pPr>
              <w:jc w:val="both"/>
            </w:pPr>
            <w:r w:rsidRPr="00A81E0C">
              <w:rPr>
                <w:rFonts w:ascii="Arial" w:eastAsia="Arial" w:hAnsi="Arial" w:cs="Arial"/>
                <w:sz w:val="18"/>
              </w:rPr>
              <w:t>Dec. 2027</w:t>
            </w:r>
          </w:p>
        </w:tc>
        <w:tc>
          <w:tcPr>
            <w:tcW w:w="1708" w:type="dxa"/>
          </w:tcPr>
          <w:p w14:paraId="340FC78B" w14:textId="77777777" w:rsidR="000403B8" w:rsidRPr="00A81E0C" w:rsidRDefault="00AC7B1E" w:rsidP="006B2B16">
            <w:pPr>
              <w:jc w:val="both"/>
            </w:pPr>
            <w:r w:rsidRPr="00A81E0C">
              <w:rPr>
                <w:rFonts w:ascii="Arial" w:eastAsia="Arial" w:hAnsi="Arial" w:cs="Arial"/>
                <w:sz w:val="18"/>
              </w:rPr>
              <w:t>Academic Deputy Directorate</w:t>
            </w:r>
          </w:p>
        </w:tc>
      </w:tr>
    </w:tbl>
    <w:p w14:paraId="763BA11E" w14:textId="77777777" w:rsidR="000403B8" w:rsidRPr="00A81E0C" w:rsidRDefault="00AC7B1E" w:rsidP="006B2B16">
      <w:pPr>
        <w:pStyle w:val="Body"/>
        <w:spacing w:before="40" w:after="0"/>
      </w:pPr>
      <w:r w:rsidRPr="00A81E0C">
        <w:rPr>
          <w:rFonts w:ascii="Arial" w:eastAsia="Arial" w:hAnsi="Arial" w:cs="Arial"/>
          <w:sz w:val="17"/>
        </w:rPr>
        <w:t>KPI = key performance indicator; WMS = warehouse management system.</w:t>
      </w:r>
    </w:p>
    <w:p w14:paraId="68A0EFF6" w14:textId="77777777" w:rsidR="000403B8" w:rsidRPr="00A81E0C" w:rsidRDefault="00AC7B1E" w:rsidP="006B2B16">
      <w:pPr>
        <w:pStyle w:val="Body"/>
        <w:spacing w:after="160"/>
      </w:pPr>
      <w:r w:rsidRPr="00A81E0C">
        <w:rPr>
          <w:rFonts w:ascii="Arial" w:eastAsia="Arial" w:hAnsi="Arial" w:cs="Arial"/>
          <w:sz w:val="17"/>
        </w:rPr>
        <w:t>Source: prepared by the authors from the results of the relevance study of the Specialization in Intelligent Logistics Systems, ITC-</w:t>
      </w:r>
      <w:proofErr w:type="spellStart"/>
      <w:r w:rsidRPr="00A81E0C">
        <w:rPr>
          <w:rFonts w:ascii="Arial" w:eastAsia="Arial" w:hAnsi="Arial" w:cs="Arial"/>
          <w:sz w:val="17"/>
        </w:rPr>
        <w:t>TecNM</w:t>
      </w:r>
      <w:proofErr w:type="spellEnd"/>
      <w:r w:rsidRPr="00A81E0C">
        <w:rPr>
          <w:rFonts w:ascii="Arial" w:eastAsia="Arial" w:hAnsi="Arial" w:cs="Arial"/>
          <w:sz w:val="17"/>
        </w:rPr>
        <w:t>, 2026.</w:t>
      </w:r>
    </w:p>
    <w:p w14:paraId="01229826" w14:textId="77777777" w:rsidR="000403B8" w:rsidRPr="00A81E0C" w:rsidRDefault="00AC7B1E" w:rsidP="006B2B16">
      <w:pPr>
        <w:pStyle w:val="Body"/>
        <w:spacing w:after="160"/>
      </w:pPr>
      <w:r w:rsidRPr="00A81E0C">
        <w:rPr>
          <w:rFonts w:ascii="Arial" w:eastAsia="Arial" w:hAnsi="Arial" w:cs="Arial"/>
        </w:rPr>
        <w:t>The actions are ranked by their expected effect on graduate employability and curriculum renewal. The educational WMS licen</w:t>
      </w:r>
      <w:r w:rsidRPr="00A81E0C">
        <w:rPr>
          <w:rFonts w:ascii="Arial" w:eastAsia="Arial" w:hAnsi="Arial" w:cs="Arial"/>
          <w:highlight w:val="yellow"/>
        </w:rPr>
        <w:t>c</w:t>
      </w:r>
      <w:r w:rsidRPr="00A81E0C">
        <w:rPr>
          <w:rFonts w:ascii="Arial" w:eastAsia="Arial" w:hAnsi="Arial" w:cs="Arial"/>
        </w:rPr>
        <w:t>e and the data analytics module in course INH-1020 Logistics and Supply Chains (Unit 5, Information Technology) have the greatest potential to close the gap described in Section 3.4. Residency agreements with port operators would formali</w:t>
      </w:r>
      <w:r w:rsidRPr="00A81E0C">
        <w:rPr>
          <w:rFonts w:ascii="Arial" w:eastAsia="Arial" w:hAnsi="Arial" w:cs="Arial"/>
          <w:highlight w:val="yellow"/>
        </w:rPr>
        <w:t>s</w:t>
      </w:r>
      <w:r w:rsidRPr="00A81E0C">
        <w:rPr>
          <w:rFonts w:ascii="Arial" w:eastAsia="Arial" w:hAnsi="Arial" w:cs="Arial"/>
        </w:rPr>
        <w:t xml:space="preserve">e links that are </w:t>
      </w:r>
      <w:r w:rsidRPr="00A81E0C">
        <w:rPr>
          <w:rFonts w:ascii="Arial" w:eastAsia="Arial" w:hAnsi="Arial" w:cs="Arial"/>
          <w:highlight w:val="yellow"/>
        </w:rPr>
        <w:t>curre</w:t>
      </w:r>
      <w:r w:rsidRPr="00A81E0C">
        <w:rPr>
          <w:rFonts w:ascii="Arial" w:eastAsia="Arial" w:hAnsi="Arial" w:cs="Arial"/>
        </w:rPr>
        <w:t>n</w:t>
      </w:r>
      <w:r w:rsidRPr="00A81E0C">
        <w:rPr>
          <w:rFonts w:ascii="Arial" w:eastAsia="Arial" w:hAnsi="Arial" w:cs="Arial"/>
          <w:highlight w:val="yellow"/>
        </w:rPr>
        <w:t>tly</w:t>
      </w:r>
      <w:r w:rsidRPr="00A81E0C">
        <w:rPr>
          <w:rFonts w:ascii="Arial" w:eastAsia="Arial" w:hAnsi="Arial" w:cs="Arial"/>
        </w:rPr>
        <w:t xml:space="preserve"> informal and give graduates a </w:t>
      </w:r>
      <w:r w:rsidRPr="00A81E0C">
        <w:rPr>
          <w:rFonts w:ascii="Arial" w:eastAsia="Arial" w:hAnsi="Arial" w:cs="Arial"/>
          <w:highlight w:val="yellow"/>
        </w:rPr>
        <w:t>more consi</w:t>
      </w:r>
      <w:r w:rsidRPr="00A81E0C">
        <w:rPr>
          <w:rFonts w:ascii="Arial" w:eastAsia="Arial" w:hAnsi="Arial" w:cs="Arial"/>
        </w:rPr>
        <w:t>ste</w:t>
      </w:r>
      <w:r w:rsidRPr="00A81E0C">
        <w:rPr>
          <w:rFonts w:ascii="Arial" w:eastAsia="Arial" w:hAnsi="Arial" w:cs="Arial"/>
          <w:highlight w:val="yellow"/>
        </w:rPr>
        <w:t>nt</w:t>
      </w:r>
      <w:r w:rsidRPr="00A81E0C">
        <w:rPr>
          <w:rFonts w:ascii="Arial" w:eastAsia="Arial" w:hAnsi="Arial" w:cs="Arial"/>
        </w:rPr>
        <w:t xml:space="preserve"> path</w:t>
      </w:r>
      <w:r w:rsidRPr="00A81E0C">
        <w:rPr>
          <w:rFonts w:ascii="Arial" w:eastAsia="Arial" w:hAnsi="Arial" w:cs="Arial"/>
          <w:highlight w:val="yellow"/>
        </w:rPr>
        <w:t>way</w:t>
      </w:r>
      <w:r w:rsidRPr="00A81E0C">
        <w:rPr>
          <w:rFonts w:ascii="Arial" w:eastAsia="Arial" w:hAnsi="Arial" w:cs="Arial"/>
        </w:rPr>
        <w:t xml:space="preserve"> into the Manzanillo logistics cluster. The outreach and hiring measures address two conditions for sustaining the speciali</w:t>
      </w:r>
      <w:r w:rsidRPr="00A81E0C">
        <w:rPr>
          <w:rFonts w:ascii="Arial" w:eastAsia="Arial" w:hAnsi="Arial" w:cs="Arial"/>
          <w:highlight w:val="yellow"/>
        </w:rPr>
        <w:t>s</w:t>
      </w:r>
      <w:r w:rsidRPr="00A81E0C">
        <w:rPr>
          <w:rFonts w:ascii="Arial" w:eastAsia="Arial" w:hAnsi="Arial" w:cs="Arial"/>
        </w:rPr>
        <w:t>ation over time: a sufficient intake of students and research capacity in supply chain 4.0.</w:t>
      </w:r>
    </w:p>
    <w:p w14:paraId="27338CDF" w14:textId="77777777" w:rsidR="000403B8" w:rsidRPr="00A81E0C" w:rsidRDefault="00AC7B1E" w:rsidP="006B2B16">
      <w:pPr>
        <w:pStyle w:val="Body"/>
        <w:keepNext/>
        <w:spacing w:before="80" w:after="80"/>
      </w:pPr>
      <w:r w:rsidRPr="00A81E0C">
        <w:rPr>
          <w:rFonts w:ascii="Arial" w:eastAsia="Arial" w:hAnsi="Arial" w:cs="Arial"/>
          <w:b/>
          <w:sz w:val="22"/>
        </w:rPr>
        <w:t>3.7 Limitations and Future Research</w:t>
      </w:r>
    </w:p>
    <w:p w14:paraId="7FB02126" w14:textId="77777777" w:rsidR="000403B8" w:rsidRPr="00A81E0C" w:rsidRDefault="00AC7B1E" w:rsidP="006B2B16">
      <w:pPr>
        <w:pStyle w:val="Body"/>
        <w:spacing w:after="160"/>
      </w:pPr>
      <w:r w:rsidRPr="00A81E0C">
        <w:rPr>
          <w:rFonts w:ascii="Arial" w:eastAsia="Arial" w:hAnsi="Arial" w:cs="Arial"/>
        </w:rPr>
        <w:t xml:space="preserve">The study has five limitations. First, the academic indicators come from internal institutional sources and may </w:t>
      </w:r>
      <w:r w:rsidRPr="00A81E0C">
        <w:rPr>
          <w:rFonts w:ascii="Arial" w:eastAsia="Arial" w:hAnsi="Arial" w:cs="Arial"/>
          <w:highlight w:val="yellow"/>
        </w:rPr>
        <w:t>be subje</w:t>
      </w:r>
      <w:r w:rsidRPr="00A81E0C">
        <w:rPr>
          <w:rFonts w:ascii="Arial" w:eastAsia="Arial" w:hAnsi="Arial" w:cs="Arial"/>
        </w:rPr>
        <w:t>c</w:t>
      </w:r>
      <w:r w:rsidRPr="00A81E0C">
        <w:rPr>
          <w:rFonts w:ascii="Arial" w:eastAsia="Arial" w:hAnsi="Arial" w:cs="Arial"/>
          <w:highlight w:val="yellow"/>
        </w:rPr>
        <w:t>t to</w:t>
      </w:r>
      <w:r w:rsidRPr="00A81E0C">
        <w:rPr>
          <w:rFonts w:ascii="Arial" w:eastAsia="Arial" w:hAnsi="Arial" w:cs="Arial"/>
        </w:rPr>
        <w:t xml:space="preserve"> self-reporting bias; future work should co</w:t>
      </w:r>
      <w:r w:rsidRPr="00A81E0C">
        <w:rPr>
          <w:rFonts w:ascii="Arial" w:eastAsia="Arial" w:hAnsi="Arial" w:cs="Arial"/>
          <w:highlight w:val="yellow"/>
        </w:rPr>
        <w:t>mpa</w:t>
      </w:r>
      <w:r w:rsidRPr="00A81E0C">
        <w:rPr>
          <w:rFonts w:ascii="Arial" w:eastAsia="Arial" w:hAnsi="Arial" w:cs="Arial"/>
        </w:rPr>
        <w:t>r</w:t>
      </w:r>
      <w:r w:rsidRPr="00A81E0C">
        <w:rPr>
          <w:rFonts w:ascii="Arial" w:eastAsia="Arial" w:hAnsi="Arial" w:cs="Arial"/>
          <w:highlight w:val="yellow"/>
        </w:rPr>
        <w:t>e</w:t>
      </w:r>
      <w:r w:rsidRPr="00A81E0C">
        <w:rPr>
          <w:rFonts w:ascii="Arial" w:eastAsia="Arial" w:hAnsi="Arial" w:cs="Arial"/>
        </w:rPr>
        <w:t xml:space="preserve"> them with data from the TecNM Institutional Information System. Second, although the survey reached almost the entire active population, it </w:t>
      </w:r>
      <w:r w:rsidRPr="00A81E0C">
        <w:rPr>
          <w:rFonts w:ascii="Arial" w:eastAsia="Arial" w:hAnsi="Arial" w:cs="Arial"/>
          <w:highlight w:val="yellow"/>
        </w:rPr>
        <w:t>ex</w:t>
      </w:r>
      <w:r w:rsidRPr="00A81E0C">
        <w:rPr>
          <w:rFonts w:ascii="Arial" w:eastAsia="Arial" w:hAnsi="Arial" w:cs="Arial"/>
        </w:rPr>
        <w:t>clude</w:t>
      </w:r>
      <w:r w:rsidRPr="00A81E0C">
        <w:rPr>
          <w:rFonts w:ascii="Arial" w:eastAsia="Arial" w:hAnsi="Arial" w:cs="Arial"/>
          <w:highlight w:val="yellow"/>
        </w:rPr>
        <w:t>d</w:t>
      </w:r>
      <w:r w:rsidRPr="00A81E0C">
        <w:rPr>
          <w:rFonts w:ascii="Arial" w:eastAsia="Arial" w:hAnsi="Arial" w:cs="Arial"/>
        </w:rPr>
        <w:t xml:space="preserve"> the 42 students on temporary leave and may therefore understate the socioeconomic diversity of the group most exposed to dropout. Third, employability data for the port-logistics cluster are indirect. They were inferred from residency reports, because the program</w:t>
      </w:r>
      <w:r w:rsidRPr="00A81E0C">
        <w:rPr>
          <w:rFonts w:ascii="Arial" w:eastAsia="Arial" w:hAnsi="Arial" w:cs="Arial"/>
          <w:highlight w:val="yellow"/>
        </w:rPr>
        <w:t>me</w:t>
      </w:r>
      <w:r w:rsidRPr="00A81E0C">
        <w:rPr>
          <w:rFonts w:ascii="Arial" w:eastAsia="Arial" w:hAnsi="Arial" w:cs="Arial"/>
        </w:rPr>
        <w:t xml:space="preserve"> does not yet have a formal graduate follow-up system; developing one is planned for 2027. Fourth, the regional analysis was limited to the Centro-Occidente region (Colima, Jalisco, Michoacán and Nayarit). It left out demand from other states that move goods through Manzanillo, such as Guanajuato and Querétaro in the Bajío, where graduates could also find work. Fifth, the study did not directly</w:t>
      </w:r>
      <w:r w:rsidRPr="00A81E0C">
        <w:rPr>
          <w:rFonts w:ascii="Arial" w:eastAsia="Arial" w:hAnsi="Arial" w:cs="Arial"/>
          <w:highlight w:val="yellow"/>
        </w:rPr>
        <w:t xml:space="preserve"> measure</w:t>
      </w:r>
      <w:r w:rsidRPr="00A81E0C">
        <w:rPr>
          <w:rFonts w:ascii="Arial" w:eastAsia="Arial" w:hAnsi="Arial" w:cs="Arial"/>
        </w:rPr>
        <w:t xml:space="preserve"> the gap </w:t>
      </w:r>
      <w:r w:rsidRPr="00A81E0C">
        <w:rPr>
          <w:rFonts w:ascii="Arial" w:eastAsia="Arial" w:hAnsi="Arial" w:cs="Arial"/>
        </w:rPr>
        <w:lastRenderedPageBreak/>
        <w:t>between graduates' competences and those required by employers, a question that calls for an employer survey.</w:t>
      </w:r>
    </w:p>
    <w:p w14:paraId="22F4A7DA" w14:textId="77777777" w:rsidR="000403B8" w:rsidRPr="00A81E0C" w:rsidRDefault="00AC7B1E" w:rsidP="006B2B16">
      <w:pPr>
        <w:pStyle w:val="Body"/>
        <w:spacing w:after="160"/>
      </w:pPr>
      <w:r w:rsidRPr="00A81E0C">
        <w:rPr>
          <w:rFonts w:ascii="Arial" w:eastAsia="Arial" w:hAnsi="Arial" w:cs="Arial"/>
        </w:rPr>
        <w:t>Three lines of research follow from these limitations: (a) a graduate tracer study with a standardi</w:t>
      </w:r>
      <w:r w:rsidRPr="00A81E0C">
        <w:rPr>
          <w:rFonts w:ascii="Arial" w:eastAsia="Arial" w:hAnsi="Arial" w:cs="Arial"/>
          <w:highlight w:val="yellow"/>
        </w:rPr>
        <w:t>s</w:t>
      </w:r>
      <w:r w:rsidRPr="00A81E0C">
        <w:rPr>
          <w:rFonts w:ascii="Arial" w:eastAsia="Arial" w:hAnsi="Arial" w:cs="Arial"/>
        </w:rPr>
        <w:t>ed instrument to measure insertion into the port-logistics cluster; (b) a survey of logistics employers in western Mexico to map the competence gap; and (c) a comparison with TecNM institutes in other port settings, such as Veracruz, Lázaro Cárdenas and Ensenada, to identify good practices in managing logistics speciali</w:t>
      </w:r>
      <w:r w:rsidRPr="00A81E0C">
        <w:rPr>
          <w:rFonts w:ascii="Arial" w:eastAsia="Arial" w:hAnsi="Arial" w:cs="Arial"/>
          <w:highlight w:val="yellow"/>
        </w:rPr>
        <w:t>s</w:t>
      </w:r>
      <w:r w:rsidRPr="00A81E0C">
        <w:rPr>
          <w:rFonts w:ascii="Arial" w:eastAsia="Arial" w:hAnsi="Arial" w:cs="Arial"/>
        </w:rPr>
        <w:t xml:space="preserve">ations. Longitudinal studies would also help to </w:t>
      </w:r>
      <w:r w:rsidRPr="00A81E0C">
        <w:rPr>
          <w:rFonts w:ascii="Arial" w:eastAsia="Arial" w:hAnsi="Arial" w:cs="Arial"/>
          <w:highlight w:val="yellow"/>
        </w:rPr>
        <w:t>track</w:t>
      </w:r>
      <w:r w:rsidRPr="00A81E0C">
        <w:rPr>
          <w:rFonts w:ascii="Arial" w:eastAsia="Arial" w:hAnsi="Arial" w:cs="Arial"/>
        </w:rPr>
        <w:t xml:space="preserve"> the effect</w:t>
      </w:r>
      <w:r w:rsidRPr="00A81E0C">
        <w:rPr>
          <w:rFonts w:ascii="Arial" w:eastAsia="Arial" w:hAnsi="Arial" w:cs="Arial"/>
          <w:highlight w:val="yellow"/>
        </w:rPr>
        <w:t>s</w:t>
      </w:r>
      <w:r w:rsidRPr="00A81E0C">
        <w:rPr>
          <w:rFonts w:ascii="Arial" w:eastAsia="Arial" w:hAnsi="Arial" w:cs="Arial"/>
        </w:rPr>
        <w:t xml:space="preserve"> of the speciali</w:t>
      </w:r>
      <w:r w:rsidRPr="00A81E0C">
        <w:rPr>
          <w:rFonts w:ascii="Arial" w:eastAsia="Arial" w:hAnsi="Arial" w:cs="Arial"/>
          <w:highlight w:val="yellow"/>
        </w:rPr>
        <w:t>s</w:t>
      </w:r>
      <w:r w:rsidRPr="00A81E0C">
        <w:rPr>
          <w:rFonts w:ascii="Arial" w:eastAsia="Arial" w:hAnsi="Arial" w:cs="Arial"/>
        </w:rPr>
        <w:t>ation on graduates' careers and on regional development. Another o</w:t>
      </w:r>
      <w:r w:rsidRPr="00A81E0C">
        <w:rPr>
          <w:rFonts w:ascii="Arial" w:eastAsia="Arial" w:hAnsi="Arial" w:cs="Arial"/>
          <w:highlight w:val="yellow"/>
        </w:rPr>
        <w:t>utsta</w:t>
      </w:r>
      <w:r w:rsidRPr="00A81E0C">
        <w:rPr>
          <w:rFonts w:ascii="Arial" w:eastAsia="Arial" w:hAnsi="Arial" w:cs="Arial"/>
        </w:rPr>
        <w:t>n</w:t>
      </w:r>
      <w:r w:rsidRPr="00A81E0C">
        <w:rPr>
          <w:rFonts w:ascii="Arial" w:eastAsia="Arial" w:hAnsi="Arial" w:cs="Arial"/>
          <w:highlight w:val="yellow"/>
        </w:rPr>
        <w:t>ding</w:t>
      </w:r>
      <w:r w:rsidRPr="00A81E0C">
        <w:rPr>
          <w:rFonts w:ascii="Arial" w:eastAsia="Arial" w:hAnsi="Arial" w:cs="Arial"/>
        </w:rPr>
        <w:t xml:space="preserve"> question </w:t>
      </w:r>
      <w:r w:rsidRPr="00A81E0C">
        <w:rPr>
          <w:rFonts w:ascii="Arial" w:eastAsia="Arial" w:hAnsi="Arial" w:cs="Arial"/>
          <w:highlight w:val="yellow"/>
        </w:rPr>
        <w:t>concern</w:t>
      </w:r>
      <w:r w:rsidRPr="00A81E0C">
        <w:rPr>
          <w:rFonts w:ascii="Arial" w:eastAsia="Arial" w:hAnsi="Arial" w:cs="Arial"/>
        </w:rPr>
        <w:t xml:space="preserve">s how competences in digital transformation, intelligent logistics and sustainability relate to employability and to the competitiveness of supply chains linked to the Manzanillo corridor. Such work would </w:t>
      </w:r>
      <w:r w:rsidRPr="00A81E0C">
        <w:rPr>
          <w:rFonts w:ascii="Arial" w:eastAsia="Arial" w:hAnsi="Arial" w:cs="Arial"/>
          <w:highlight w:val="yellow"/>
        </w:rPr>
        <w:t>prov</w:t>
      </w:r>
      <w:r w:rsidRPr="00A81E0C">
        <w:rPr>
          <w:rFonts w:ascii="Arial" w:eastAsia="Arial" w:hAnsi="Arial" w:cs="Arial"/>
        </w:rPr>
        <w:t>i</w:t>
      </w:r>
      <w:r w:rsidRPr="00A81E0C">
        <w:rPr>
          <w:rFonts w:ascii="Arial" w:eastAsia="Arial" w:hAnsi="Arial" w:cs="Arial"/>
          <w:highlight w:val="yellow"/>
        </w:rPr>
        <w:t>d</w:t>
      </w:r>
      <w:r w:rsidRPr="00A81E0C">
        <w:rPr>
          <w:rFonts w:ascii="Arial" w:eastAsia="Arial" w:hAnsi="Arial" w:cs="Arial"/>
        </w:rPr>
        <w:t>e the program</w:t>
      </w:r>
      <w:r w:rsidRPr="00A81E0C">
        <w:rPr>
          <w:rFonts w:ascii="Arial" w:eastAsia="Arial" w:hAnsi="Arial" w:cs="Arial"/>
          <w:highlight w:val="yellow"/>
        </w:rPr>
        <w:t>me with</w:t>
      </w:r>
      <w:r w:rsidRPr="00A81E0C">
        <w:rPr>
          <w:rFonts w:ascii="Arial" w:eastAsia="Arial" w:hAnsi="Arial" w:cs="Arial"/>
        </w:rPr>
        <w:t xml:space="preserve"> an evidence base for continuous curriculum improvement.</w:t>
      </w:r>
    </w:p>
    <w:p w14:paraId="1ED82DCA" w14:textId="77777777" w:rsidR="000403B8" w:rsidRPr="00A81E0C" w:rsidRDefault="000403B8" w:rsidP="006B2B16">
      <w:pPr>
        <w:pStyle w:val="Body"/>
        <w:spacing w:after="0"/>
      </w:pPr>
    </w:p>
    <w:p w14:paraId="66615ED2" w14:textId="77777777" w:rsidR="000403B8" w:rsidRPr="00A81E0C" w:rsidRDefault="00AC7B1E" w:rsidP="006B2B16">
      <w:pPr>
        <w:pStyle w:val="ConcHead"/>
        <w:spacing w:after="120"/>
        <w:jc w:val="both"/>
      </w:pPr>
      <w:r w:rsidRPr="00A81E0C">
        <w:rPr>
          <w:rFonts w:ascii="Arial" w:eastAsia="Arial" w:hAnsi="Arial" w:cs="Arial"/>
        </w:rPr>
        <w:t>4. CONCLUSION</w:t>
      </w:r>
    </w:p>
    <w:p w14:paraId="7968ED9C" w14:textId="77777777" w:rsidR="006B2B16" w:rsidRPr="006B2B16" w:rsidRDefault="006B2B16" w:rsidP="006B2B16">
      <w:pPr>
        <w:pStyle w:val="Body"/>
        <w:rPr>
          <w:highlight w:val="yellow"/>
        </w:rPr>
      </w:pPr>
      <w:r w:rsidRPr="006B2B16">
        <w:rPr>
          <w:highlight w:val="yellow"/>
        </w:rPr>
        <w:t xml:space="preserve">This case study indicates that the Specialization in Intelligent Logistics Systems is broadly consistent with the geoeconomic context of Colima and the training interests of Industrial Engineering students at the Instituto Tecnológico de Colima. Logistics was the first-choice </w:t>
      </w:r>
      <w:proofErr w:type="spellStart"/>
      <w:r w:rsidRPr="006B2B16">
        <w:rPr>
          <w:highlight w:val="yellow"/>
        </w:rPr>
        <w:t>specialisation</w:t>
      </w:r>
      <w:proofErr w:type="spellEnd"/>
      <w:r w:rsidRPr="006B2B16">
        <w:rPr>
          <w:highlight w:val="yellow"/>
        </w:rPr>
        <w:t xml:space="preserve"> for 27.4% of surveyed students, and 78.1% reported high employment expectations. Institutional records across four cohorts showed a mean course failure rate of 13.7%, declining dropout rates and increasing graduation rates. These findings, together with a core faculty of 17 professors, 88.2% of whom have previous industrial experience, provide evidence of institutional capacity to support the </w:t>
      </w:r>
      <w:proofErr w:type="spellStart"/>
      <w:r w:rsidRPr="006B2B16">
        <w:rPr>
          <w:highlight w:val="yellow"/>
        </w:rPr>
        <w:t>specialisation</w:t>
      </w:r>
      <w:proofErr w:type="spellEnd"/>
      <w:r w:rsidRPr="006B2B16">
        <w:rPr>
          <w:highlight w:val="yellow"/>
        </w:rPr>
        <w:t>.</w:t>
      </w:r>
    </w:p>
    <w:p w14:paraId="21E93238" w14:textId="497070CF" w:rsidR="000403B8" w:rsidRPr="00A81E0C" w:rsidRDefault="006B2B16" w:rsidP="006B2B16">
      <w:pPr>
        <w:pStyle w:val="Body"/>
        <w:spacing w:after="0"/>
      </w:pPr>
      <w:r w:rsidRPr="006B2B16">
        <w:rPr>
          <w:highlight w:val="yellow"/>
        </w:rPr>
        <w:t>A significant limitation in provision is the absence of dedicated Logistics 4.0 tools, particularly warehouse management, logistics analytics and supply chain visibility systems. The proposed 2026–2029 action plan addresses this gap through software provision, stronger professional residency agreements, an analytics module, student recruitment and specialist faculty recruitment. Its associated performance indicators offer a basis for monitoring implementation. Nevertheless, employer competency needs and graduate employment outcomes were not measured directly. The findings therefore support an assessment of curricular relevance rather than a demonstrated improvement in employability.</w:t>
      </w:r>
    </w:p>
    <w:p w14:paraId="0A38645D" w14:textId="77777777" w:rsidR="000403B8" w:rsidRPr="00A81E0C" w:rsidRDefault="000403B8" w:rsidP="006B2B16">
      <w:pPr>
        <w:pStyle w:val="Body"/>
        <w:spacing w:after="0"/>
      </w:pPr>
    </w:p>
    <w:p w14:paraId="306F0B58" w14:textId="77777777" w:rsidR="000403B8" w:rsidRPr="00A81E0C" w:rsidRDefault="00AC7B1E" w:rsidP="006B2B16">
      <w:pPr>
        <w:pStyle w:val="ReferHead"/>
        <w:spacing w:after="120"/>
        <w:jc w:val="both"/>
      </w:pPr>
      <w:r w:rsidRPr="00A81E0C">
        <w:rPr>
          <w:rFonts w:ascii="Arial" w:eastAsia="Arial" w:hAnsi="Arial" w:cs="Arial"/>
        </w:rPr>
        <w:t>COMPETING INTERESTS</w:t>
      </w:r>
    </w:p>
    <w:p w14:paraId="2F12F45B" w14:textId="77777777" w:rsidR="000403B8" w:rsidRPr="00A81E0C" w:rsidRDefault="00AC7B1E" w:rsidP="006B2B16">
      <w:pPr>
        <w:pStyle w:val="Body"/>
        <w:spacing w:after="160"/>
      </w:pPr>
      <w:r w:rsidRPr="00A81E0C">
        <w:rPr>
          <w:rFonts w:ascii="Arial" w:eastAsia="Arial" w:hAnsi="Arial" w:cs="Arial"/>
        </w:rPr>
        <w:t>The authors are faculty members of the Industrial Engineering program evaluated in this study. They declare no financial or personal relationships that could have inappropriately influenced this work.</w:t>
      </w:r>
    </w:p>
    <w:p w14:paraId="0535022E" w14:textId="77777777" w:rsidR="000403B8" w:rsidRPr="00A81E0C" w:rsidRDefault="000403B8" w:rsidP="006B2B16">
      <w:pPr>
        <w:pStyle w:val="Body"/>
        <w:spacing w:after="0"/>
      </w:pPr>
    </w:p>
    <w:p w14:paraId="5DA15E40" w14:textId="77777777" w:rsidR="000403B8" w:rsidRPr="00A81E0C" w:rsidRDefault="000403B8" w:rsidP="006B2B16">
      <w:pPr>
        <w:pStyle w:val="Body"/>
        <w:spacing w:after="0"/>
      </w:pPr>
    </w:p>
    <w:p w14:paraId="12A9984A" w14:textId="77777777" w:rsidR="000403B8" w:rsidRPr="00A81E0C" w:rsidRDefault="00AC7B1E" w:rsidP="006B2B16">
      <w:pPr>
        <w:pStyle w:val="ReferHead"/>
        <w:spacing w:after="120"/>
        <w:jc w:val="both"/>
      </w:pPr>
      <w:r w:rsidRPr="00A81E0C">
        <w:rPr>
          <w:rFonts w:ascii="Arial" w:eastAsia="Arial" w:hAnsi="Arial" w:cs="Arial"/>
        </w:rPr>
        <w:t>ETHICAL APPROVAL</w:t>
      </w:r>
    </w:p>
    <w:p w14:paraId="0F441CF6" w14:textId="77777777" w:rsidR="000403B8" w:rsidRPr="00A81E0C" w:rsidRDefault="00AC7B1E" w:rsidP="006B2B16">
      <w:pPr>
        <w:pStyle w:val="Body"/>
        <w:spacing w:after="160"/>
        <w:rPr>
          <w:rFonts w:ascii="Arial" w:eastAsia="Arial" w:hAnsi="Arial" w:cs="Arial"/>
        </w:rPr>
      </w:pPr>
      <w:r w:rsidRPr="00A81E0C">
        <w:rPr>
          <w:rFonts w:ascii="Arial" w:eastAsia="Arial" w:hAnsi="Arial" w:cs="Arial"/>
        </w:rPr>
        <w:t xml:space="preserve">The student survey was anonymous and voluntary, collected no personally identifying data, and respondents gave informed consent before answering. </w:t>
      </w:r>
    </w:p>
    <w:p w14:paraId="4317C72F" w14:textId="77777777" w:rsidR="000E78FF" w:rsidRPr="00A81E0C" w:rsidRDefault="000E78FF" w:rsidP="006B2B16">
      <w:pPr>
        <w:pStyle w:val="Body"/>
        <w:spacing w:after="160"/>
        <w:rPr>
          <w:rFonts w:ascii="Arial" w:eastAsia="Arial" w:hAnsi="Arial" w:cs="Arial"/>
        </w:rPr>
      </w:pPr>
    </w:p>
    <w:p w14:paraId="02412A4C" w14:textId="77777777" w:rsidR="000E78FF" w:rsidRPr="00A81E0C" w:rsidRDefault="000E78FF" w:rsidP="006B2B16">
      <w:pPr>
        <w:pStyle w:val="Body"/>
        <w:spacing w:after="0"/>
      </w:pPr>
      <w:r w:rsidRPr="00A81E0C">
        <w:rPr>
          <w:rFonts w:ascii="Arial" w:eastAsia="Arial" w:hAnsi="Arial" w:cs="Arial"/>
          <w:b/>
          <w:sz w:val="18"/>
        </w:rPr>
        <w:t>Abbreviations:</w:t>
      </w:r>
      <w:r w:rsidRPr="00A81E0C">
        <w:rPr>
          <w:rFonts w:ascii="Arial" w:eastAsia="Arial" w:hAnsi="Arial" w:cs="Arial"/>
          <w:sz w:val="18"/>
        </w:rPr>
        <w:t xml:space="preserve"> AMAN, Mexican Association of Shipping Agents (</w:t>
      </w:r>
      <w:proofErr w:type="spellStart"/>
      <w:r w:rsidRPr="00A81E0C">
        <w:rPr>
          <w:rFonts w:ascii="Arial" w:eastAsia="Arial" w:hAnsi="Arial" w:cs="Arial"/>
          <w:sz w:val="18"/>
        </w:rPr>
        <w:t>Asociación</w:t>
      </w:r>
      <w:proofErr w:type="spellEnd"/>
      <w:r w:rsidRPr="00A81E0C">
        <w:rPr>
          <w:rFonts w:ascii="Arial" w:eastAsia="Arial" w:hAnsi="Arial" w:cs="Arial"/>
          <w:sz w:val="18"/>
        </w:rPr>
        <w:t xml:space="preserve"> Mexicana de </w:t>
      </w:r>
      <w:proofErr w:type="spellStart"/>
      <w:r w:rsidRPr="00A81E0C">
        <w:rPr>
          <w:rFonts w:ascii="Arial" w:eastAsia="Arial" w:hAnsi="Arial" w:cs="Arial"/>
          <w:sz w:val="18"/>
        </w:rPr>
        <w:t>Agentes</w:t>
      </w:r>
      <w:proofErr w:type="spellEnd"/>
      <w:r w:rsidRPr="00A81E0C">
        <w:rPr>
          <w:rFonts w:ascii="Arial" w:eastAsia="Arial" w:hAnsi="Arial" w:cs="Arial"/>
          <w:sz w:val="18"/>
        </w:rPr>
        <w:t xml:space="preserve"> </w:t>
      </w:r>
      <w:proofErr w:type="spellStart"/>
      <w:r w:rsidRPr="00A81E0C">
        <w:rPr>
          <w:rFonts w:ascii="Arial" w:eastAsia="Arial" w:hAnsi="Arial" w:cs="Arial"/>
          <w:sz w:val="18"/>
        </w:rPr>
        <w:t>Navieros</w:t>
      </w:r>
      <w:proofErr w:type="spellEnd"/>
      <w:r w:rsidRPr="00A81E0C">
        <w:rPr>
          <w:rFonts w:ascii="Arial" w:eastAsia="Arial" w:hAnsi="Arial" w:cs="Arial"/>
          <w:sz w:val="18"/>
        </w:rPr>
        <w:t xml:space="preserve">); ANUIES, National Association of Universities and Higher Education Institutions; ASIPONA, National Port System Administration (Administración del Sistema </w:t>
      </w:r>
      <w:proofErr w:type="spellStart"/>
      <w:r w:rsidRPr="00A81E0C">
        <w:rPr>
          <w:rFonts w:ascii="Arial" w:eastAsia="Arial" w:hAnsi="Arial" w:cs="Arial"/>
          <w:sz w:val="18"/>
        </w:rPr>
        <w:t>Portuario</w:t>
      </w:r>
      <w:proofErr w:type="spellEnd"/>
      <w:r w:rsidRPr="00A81E0C">
        <w:rPr>
          <w:rFonts w:ascii="Arial" w:eastAsia="Arial" w:hAnsi="Arial" w:cs="Arial"/>
          <w:sz w:val="18"/>
        </w:rPr>
        <w:t xml:space="preserve"> Nacional); CACEI, Council for the Accreditation of Engineering Education; HEI, higher education institution; ITC, Instituto Tecnológico de Colima; KPI, key performance indicator; PRODEP, Program for the Professional Development of Teachers; SATCA, Academic Credit Allocation and Transfer System; SEMAR, Ministry of the Navy of Mexico; SICT, Ministry of Infrastructure, Communications and Transport of Mexico; SNII, </w:t>
      </w:r>
      <w:r w:rsidRPr="00A81E0C">
        <w:rPr>
          <w:rFonts w:ascii="Arial" w:eastAsia="Arial" w:hAnsi="Arial" w:cs="Arial"/>
          <w:sz w:val="18"/>
        </w:rPr>
        <w:lastRenderedPageBreak/>
        <w:t xml:space="preserve">National System of Researchers of Mexico; </w:t>
      </w:r>
      <w:proofErr w:type="spellStart"/>
      <w:r w:rsidRPr="00A81E0C">
        <w:rPr>
          <w:rFonts w:ascii="Arial" w:eastAsia="Arial" w:hAnsi="Arial" w:cs="Arial"/>
          <w:sz w:val="18"/>
        </w:rPr>
        <w:t>TecNM</w:t>
      </w:r>
      <w:proofErr w:type="spellEnd"/>
      <w:r w:rsidRPr="00A81E0C">
        <w:rPr>
          <w:rFonts w:ascii="Arial" w:eastAsia="Arial" w:hAnsi="Arial" w:cs="Arial"/>
          <w:sz w:val="18"/>
        </w:rPr>
        <w:t>, Tecnológico Nacional de México; TEU, twenty-foot equivalent unit; WMS, warehouse management system.</w:t>
      </w:r>
    </w:p>
    <w:p w14:paraId="19005F62" w14:textId="77777777" w:rsidR="000E78FF" w:rsidRDefault="000E78FF" w:rsidP="006B2B16">
      <w:pPr>
        <w:pStyle w:val="Body"/>
        <w:spacing w:after="160"/>
      </w:pPr>
    </w:p>
    <w:p w14:paraId="3E57E7CE" w14:textId="77777777" w:rsidR="00716941" w:rsidRDefault="00716941" w:rsidP="006B2B16">
      <w:pPr>
        <w:pStyle w:val="Body"/>
        <w:spacing w:after="160"/>
      </w:pPr>
    </w:p>
    <w:p w14:paraId="4D6492F7" w14:textId="77777777" w:rsidR="00716941" w:rsidRPr="00716941" w:rsidRDefault="00716941" w:rsidP="006B2B16">
      <w:pPr>
        <w:jc w:val="both"/>
        <w:rPr>
          <w:rFonts w:ascii="Arial" w:eastAsiaTheme="minorHAnsi" w:hAnsi="Arial" w:cs="Arial"/>
          <w:b/>
        </w:rPr>
      </w:pPr>
      <w:bookmarkStart w:id="0" w:name="_Hlk238550938"/>
      <w:bookmarkStart w:id="1" w:name="_Hlk237856463"/>
      <w:r w:rsidRPr="00716941">
        <w:rPr>
          <w:rFonts w:ascii="Arial" w:eastAsiaTheme="minorHAnsi" w:hAnsi="Arial" w:cs="Arial"/>
          <w:b/>
        </w:rPr>
        <w:t>Declaration of AI Use</w:t>
      </w:r>
    </w:p>
    <w:p w14:paraId="2666F25C" w14:textId="77777777" w:rsidR="00716941" w:rsidRPr="00716941" w:rsidRDefault="00716941" w:rsidP="006B2B16">
      <w:pPr>
        <w:jc w:val="both"/>
        <w:rPr>
          <w:rFonts w:ascii="Arial" w:eastAsiaTheme="minorHAnsi" w:hAnsi="Arial" w:cs="Arial"/>
        </w:rPr>
      </w:pPr>
      <w:bookmarkStart w:id="2" w:name="_Hlk239068730"/>
    </w:p>
    <w:p w14:paraId="566C8B16" w14:textId="77777777" w:rsidR="00716941" w:rsidRPr="00716941" w:rsidRDefault="00716941" w:rsidP="006B2B16">
      <w:pPr>
        <w:jc w:val="both"/>
        <w:rPr>
          <w:rFonts w:ascii="Arial" w:eastAsiaTheme="minorHAnsi" w:hAnsi="Arial" w:cs="Arial"/>
        </w:rPr>
      </w:pPr>
      <w:bookmarkStart w:id="3" w:name="_Hlk237862032"/>
      <w:r w:rsidRPr="00716941">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716941">
        <w:rPr>
          <w:rFonts w:ascii="Arial" w:eastAsiaTheme="minorHAnsi" w:hAnsi="Arial" w:cs="Arial"/>
        </w:rPr>
        <w:t>.</w:t>
      </w:r>
    </w:p>
    <w:bookmarkEnd w:id="1"/>
    <w:bookmarkEnd w:id="2"/>
    <w:bookmarkEnd w:id="3"/>
    <w:p w14:paraId="1D20B8C4" w14:textId="77777777" w:rsidR="00716941" w:rsidRPr="00A81E0C" w:rsidRDefault="00716941" w:rsidP="006B2B16">
      <w:pPr>
        <w:pStyle w:val="Body"/>
        <w:spacing w:after="160"/>
      </w:pPr>
    </w:p>
    <w:p w14:paraId="0B5CEEA7" w14:textId="77777777" w:rsidR="000403B8" w:rsidRPr="00A81E0C" w:rsidRDefault="000403B8" w:rsidP="006B2B16">
      <w:pPr>
        <w:pStyle w:val="Body"/>
        <w:spacing w:after="0"/>
      </w:pPr>
    </w:p>
    <w:p w14:paraId="073C4008" w14:textId="77777777" w:rsidR="000403B8" w:rsidRPr="00A81E0C" w:rsidRDefault="00AC7B1E" w:rsidP="006B2B16">
      <w:pPr>
        <w:pStyle w:val="ReferHead"/>
        <w:spacing w:after="120"/>
        <w:jc w:val="both"/>
      </w:pPr>
      <w:r w:rsidRPr="00A81E0C">
        <w:rPr>
          <w:rFonts w:ascii="Arial" w:eastAsia="Arial" w:hAnsi="Arial" w:cs="Arial"/>
        </w:rPr>
        <w:t>REFERENCES</w:t>
      </w:r>
    </w:p>
    <w:p>
      <w:pPr>
        <w:pStyle w:val="Body"/>
        <w:keepLines/>
        <w:spacing w:after="80"/>
        <w:ind w:left="403" w:hanging="403"/>
        <w:jc w:val="left"/>
      </w:pPr>
      <w:r>
        <w:rPr>
          <w:rFonts w:ascii="Arial" w:hAnsi="Arial"/>
          <w:i w:val="0"/>
          <w:sz w:val="20"/>
        </w:rPr>
        <w:t xml:space="preserve">Administración del Sistema Portuario Nacional Manzanillo. (2024). </w:t>
      </w:r>
      <w:r>
        <w:rPr>
          <w:rFonts w:ascii="Arial" w:hAnsi="Arial"/>
          <w:i/>
          <w:sz w:val="20"/>
        </w:rPr>
        <w:t>Estadísticas históricas: Movimiento histórico de TEU, 1992–2024</w:t>
      </w:r>
      <w:r>
        <w:rPr>
          <w:rFonts w:ascii="Arial" w:hAnsi="Arial"/>
          <w:i w:val="0"/>
          <w:sz w:val="20"/>
        </w:rPr>
        <w:t xml:space="preserve"> [Historical statistics: Container movement, 1992–2024].</w:t>
      </w:r>
      <w:r>
        <w:t xml:space="preserve"> </w:t>
      </w:r>
      <w:hyperlink r:id="rId21">
        <w:r>
          <w:rPr>
            <w:color w:val="0563C1"/>
            <w:u w:val="single"/>
          </w:rPr>
          <w:t>https://puertomanzanillo.com.mx/esps/2110433/estadisticas-historicas.html</w:t>
        </w:r>
      </w:hyperlink>
    </w:p>
    <w:p>
      <w:pPr>
        <w:pStyle w:val="Body"/>
        <w:keepLines/>
        <w:spacing w:after="80"/>
        <w:ind w:left="403" w:hanging="403"/>
        <w:jc w:val="left"/>
      </w:pPr>
      <w:r>
        <w:rPr>
          <w:rFonts w:ascii="Arial" w:hAnsi="Arial"/>
          <w:i w:val="0"/>
          <w:sz w:val="20"/>
        </w:rPr>
        <w:t xml:space="preserve">Administración del Sistema Portuario Nacional Manzanillo. (2025, October 6). </w:t>
      </w:r>
      <w:r>
        <w:rPr>
          <w:rFonts w:ascii="Arial" w:hAnsi="Arial"/>
          <w:i/>
          <w:sz w:val="20"/>
        </w:rPr>
        <w:t>Grupos empresariales han invertido más de 35 mil millones en el puerto</w:t>
      </w:r>
      <w:r>
        <w:rPr>
          <w:rFonts w:ascii="Arial" w:hAnsi="Arial"/>
          <w:i w:val="0"/>
          <w:sz w:val="20"/>
        </w:rPr>
        <w:t xml:space="preserve"> [Business groups have invested more than 35 billion pesos in the port].</w:t>
      </w:r>
      <w:r>
        <w:t xml:space="preserve"> </w:t>
      </w:r>
      <w:hyperlink r:id="rId22">
        <w:r>
          <w:rPr>
            <w:color w:val="0563C1"/>
            <w:u w:val="single"/>
          </w:rPr>
          <w:t>https://www.puertomanzanillo.com.mx/espi/0000001/noticia.php?id=170</w:t>
        </w:r>
      </w:hyperlink>
    </w:p>
    <w:p>
      <w:pPr>
        <w:pStyle w:val="Body"/>
        <w:keepLines/>
        <w:spacing w:after="80"/>
        <w:ind w:left="403" w:hanging="403"/>
        <w:jc w:val="left"/>
      </w:pPr>
      <w:r>
        <w:rPr>
          <w:rFonts w:ascii="Arial" w:hAnsi="Arial"/>
          <w:i w:val="0"/>
          <w:sz w:val="20"/>
        </w:rPr>
        <w:t xml:space="preserve">Barleta, E. P., Saade Hazin, M., &amp; Sánchez, R. J. (2025). </w:t>
      </w:r>
      <w:r>
        <w:rPr>
          <w:rFonts w:ascii="Arial" w:hAnsi="Arial"/>
          <w:i/>
          <w:sz w:val="20"/>
        </w:rPr>
        <w:t>Informe portuario 2023–2024: Señales mixtas en el comercio y los puertos y nuevas disrupciones en la logística internacional marítima de contenedores</w:t>
      </w:r>
      <w:r>
        <w:rPr>
          <w:rFonts w:ascii="Arial" w:hAnsi="Arial"/>
          <w:i w:val="0"/>
          <w:sz w:val="20"/>
        </w:rPr>
        <w:t xml:space="preserve"> [Port report 2023–2024: Mixed signals in trade and ports and new disruptions in international maritime container logistics] (Boletín FAL No. 407). Comisión Económica para América Latina y el Caribe.</w:t>
      </w:r>
      <w:r>
        <w:t xml:space="preserve"> </w:t>
      </w:r>
      <w:hyperlink r:id="rId23">
        <w:r>
          <w:rPr>
            <w:color w:val="0563C1"/>
            <w:u w:val="single"/>
          </w:rPr>
          <w:t>https://hdl.handle.net/11362/81386</w:t>
        </w:r>
      </w:hyperlink>
    </w:p>
    <w:p>
      <w:pPr>
        <w:pStyle w:val="Body"/>
        <w:keepLines/>
        <w:spacing w:after="80"/>
        <w:ind w:left="403" w:hanging="403"/>
        <w:jc w:val="left"/>
      </w:pPr>
      <w:r>
        <w:rPr>
          <w:rFonts w:ascii="Arial" w:hAnsi="Arial"/>
          <w:i w:val="0"/>
          <w:sz w:val="20"/>
        </w:rPr>
        <w:t xml:space="preserve">Belmonte, L. M., Segura, E., de la Rosa, F. L., Gómez-Sirvent, J. L., Fernández-Caballero, A., &amp; Morales, R. (2023). Training industrial engineers in Logistics 4.0. </w:t>
      </w:r>
      <w:r>
        <w:rPr>
          <w:rFonts w:ascii="Arial" w:hAnsi="Arial"/>
          <w:i/>
          <w:sz w:val="20"/>
        </w:rPr>
        <w:t>Computers &amp; Industrial Engineering, 184</w:t>
      </w:r>
      <w:r>
        <w:rPr>
          <w:rFonts w:ascii="Arial" w:hAnsi="Arial"/>
          <w:i w:val="0"/>
          <w:sz w:val="20"/>
        </w:rPr>
        <w:t>, 109550.</w:t>
      </w:r>
      <w:r>
        <w:t xml:space="preserve"> </w:t>
      </w:r>
      <w:hyperlink r:id="rId24">
        <w:r>
          <w:rPr>
            <w:color w:val="0563C1"/>
            <w:u w:val="single"/>
          </w:rPr>
          <w:t>https://doi.org/10.1016/j.cie.2023.109550</w:t>
        </w:r>
      </w:hyperlink>
    </w:p>
    <w:p>
      <w:pPr>
        <w:pStyle w:val="Body"/>
        <w:keepLines/>
        <w:spacing w:after="80"/>
        <w:ind w:left="403" w:hanging="403"/>
        <w:jc w:val="left"/>
      </w:pPr>
      <w:r>
        <w:rPr>
          <w:rFonts w:ascii="Arial" w:hAnsi="Arial"/>
          <w:i w:val="0"/>
          <w:sz w:val="20"/>
        </w:rPr>
        <w:t xml:space="preserve">Consejo de Acreditación de la Enseñanza de la Ingeniería. (2025). </w:t>
      </w:r>
      <w:r>
        <w:rPr>
          <w:rFonts w:ascii="Arial" w:hAnsi="Arial"/>
          <w:i/>
          <w:sz w:val="20"/>
        </w:rPr>
        <w:t>Marco de referencia 2025 para la acreditación de programas de ingeniería</w:t>
      </w:r>
      <w:r>
        <w:rPr>
          <w:rFonts w:ascii="Arial" w:hAnsi="Arial"/>
          <w:i w:val="0"/>
          <w:sz w:val="20"/>
        </w:rPr>
        <w:t xml:space="preserve"> [2025 reference framework for the accreditation of engineering programmes].</w:t>
      </w:r>
      <w:r>
        <w:t xml:space="preserve"> </w:t>
      </w:r>
      <w:hyperlink r:id="rId25">
        <w:r>
          <w:rPr>
            <w:color w:val="0563C1"/>
            <w:u w:val="single"/>
          </w:rPr>
          <w:t>https://cacei.org.mx/nv/nvdocs/marco_ing_2025.pdf</w:t>
        </w:r>
      </w:hyperlink>
    </w:p>
    <w:p>
      <w:pPr>
        <w:pStyle w:val="Body"/>
        <w:keepLines/>
        <w:spacing w:after="80"/>
        <w:ind w:left="403" w:hanging="403"/>
        <w:jc w:val="left"/>
      </w:pPr>
      <w:r>
        <w:rPr>
          <w:rFonts w:ascii="Arial" w:hAnsi="Arial"/>
          <w:i w:val="0"/>
          <w:sz w:val="20"/>
        </w:rPr>
        <w:t xml:space="preserve">Creswell, J. W., &amp; Creswell, J. D. (2023). </w:t>
      </w:r>
      <w:r>
        <w:rPr>
          <w:rFonts w:ascii="Arial" w:hAnsi="Arial"/>
          <w:i/>
          <w:sz w:val="20"/>
        </w:rPr>
        <w:t>Research design: Qualitative, quantitative, and mixed methods approaches</w:t>
      </w:r>
      <w:r>
        <w:rPr>
          <w:rFonts w:ascii="Arial" w:hAnsi="Arial"/>
          <w:i w:val="0"/>
          <w:sz w:val="20"/>
        </w:rPr>
        <w:t xml:space="preserve"> (6th ed.). SAGE Publications.</w:t>
      </w:r>
      <w:r>
        <w:t xml:space="preserve"> </w:t>
      </w:r>
      <w:hyperlink r:id="rId26">
        <w:r>
          <w:rPr>
            <w:color w:val="0563C1"/>
            <w:u w:val="single"/>
          </w:rPr>
          <w:t>https://us2.sagepub.com/en-us/nam/research-design/book270550</w:t>
        </w:r>
      </w:hyperlink>
    </w:p>
    <w:p>
      <w:pPr>
        <w:pStyle w:val="Body"/>
        <w:keepLines/>
        <w:spacing w:after="80"/>
        <w:ind w:left="403" w:hanging="403"/>
        <w:jc w:val="left"/>
      </w:pPr>
      <w:r>
        <w:rPr>
          <w:rFonts w:ascii="Arial" w:hAnsi="Arial"/>
          <w:i w:val="0"/>
          <w:sz w:val="20"/>
        </w:rPr>
        <w:t xml:space="preserve">Dai, Y.-Y., &amp; Chen, X. (2026). Key success factors for the integration of industry and education in maritime and foreign-related business majors in Chinese universities. </w:t>
      </w:r>
      <w:r>
        <w:rPr>
          <w:rFonts w:ascii="Arial" w:hAnsi="Arial"/>
          <w:i/>
          <w:sz w:val="20"/>
        </w:rPr>
        <w:t>Journal of Education, Society and Behavioural Science, 39</w:t>
      </w:r>
      <w:r>
        <w:rPr>
          <w:rFonts w:ascii="Arial" w:hAnsi="Arial"/>
          <w:i w:val="0"/>
          <w:sz w:val="20"/>
        </w:rPr>
        <w:t>(4), 80–94.</w:t>
      </w:r>
      <w:r>
        <w:t xml:space="preserve"> </w:t>
      </w:r>
      <w:hyperlink r:id="rId27">
        <w:r>
          <w:rPr>
            <w:color w:val="0563C1"/>
            <w:u w:val="single"/>
          </w:rPr>
          <w:t>https://doi.org/10.9734/jesbs/2026/v39i41499</w:t>
        </w:r>
      </w:hyperlink>
    </w:p>
    <w:p>
      <w:pPr>
        <w:pStyle w:val="Body"/>
        <w:keepLines/>
        <w:spacing w:after="80"/>
        <w:ind w:left="403" w:hanging="403"/>
        <w:jc w:val="left"/>
      </w:pPr>
      <w:r>
        <w:rPr>
          <w:rFonts w:ascii="Arial" w:hAnsi="Arial"/>
          <w:i w:val="0"/>
          <w:sz w:val="20"/>
        </w:rPr>
        <w:t xml:space="preserve">Dubois, D., Ashraf, M. H., Ozpolat, K., Ebrahimpour, M., &amp; Yalcin, M. G. (2026). Mapping the maze: Developing curricula in supply chain management. </w:t>
      </w:r>
      <w:r>
        <w:rPr>
          <w:rFonts w:ascii="Arial" w:hAnsi="Arial"/>
          <w:i/>
          <w:sz w:val="20"/>
        </w:rPr>
        <w:t>The International Journal of Logistics Management</w:t>
      </w:r>
      <w:r>
        <w:rPr>
          <w:rFonts w:ascii="Arial" w:hAnsi="Arial"/>
          <w:i w:val="0"/>
          <w:sz w:val="20"/>
        </w:rPr>
        <w:t>. Advance online publication.</w:t>
      </w:r>
      <w:r>
        <w:t xml:space="preserve"> </w:t>
      </w:r>
      <w:hyperlink r:id="rId28">
        <w:r>
          <w:rPr>
            <w:color w:val="0563C1"/>
            <w:u w:val="single"/>
          </w:rPr>
          <w:t>https://doi.org/10.1108/IJLM-08-2025-0550</w:t>
        </w:r>
      </w:hyperlink>
    </w:p>
    <w:p>
      <w:pPr>
        <w:pStyle w:val="Body"/>
        <w:keepLines/>
        <w:spacing w:after="80"/>
        <w:ind w:left="403" w:hanging="403"/>
        <w:jc w:val="left"/>
      </w:pPr>
      <w:r>
        <w:rPr>
          <w:rFonts w:ascii="Arial" w:hAnsi="Arial"/>
          <w:i w:val="0"/>
          <w:sz w:val="20"/>
        </w:rPr>
        <w:t xml:space="preserve">Gobierno del Estado de Colima. (2021). </w:t>
      </w:r>
      <w:r>
        <w:rPr>
          <w:rFonts w:ascii="Arial" w:hAnsi="Arial"/>
          <w:i/>
          <w:sz w:val="20"/>
        </w:rPr>
        <w:t>Plan estatal de desarrollo 2021–2027</w:t>
      </w:r>
      <w:r>
        <w:rPr>
          <w:rFonts w:ascii="Arial" w:hAnsi="Arial"/>
          <w:i w:val="0"/>
          <w:sz w:val="20"/>
        </w:rPr>
        <w:t xml:space="preserve"> [State development plan 2021–2027].</w:t>
      </w:r>
      <w:r>
        <w:t xml:space="preserve"> </w:t>
      </w:r>
      <w:hyperlink r:id="rId29">
        <w:r>
          <w:rPr>
            <w:color w:val="0563C1"/>
            <w:u w:val="single"/>
          </w:rPr>
          <w:t>https://plancolima.col.gob.mx/pbrsed/mped21</w:t>
        </w:r>
      </w:hyperlink>
    </w:p>
    <w:p>
      <w:pPr>
        <w:pStyle w:val="Body"/>
        <w:keepLines/>
        <w:spacing w:after="80"/>
        <w:ind w:left="403" w:hanging="403"/>
        <w:jc w:val="left"/>
      </w:pPr>
      <w:r>
        <w:rPr>
          <w:rFonts w:ascii="Arial" w:hAnsi="Arial"/>
          <w:i w:val="0"/>
          <w:sz w:val="20"/>
        </w:rPr>
        <w:t xml:space="preserve">Gobierno del Estado de Colima. (2025, January 24). </w:t>
      </w:r>
      <w:r>
        <w:rPr>
          <w:rFonts w:ascii="Arial" w:hAnsi="Arial"/>
          <w:i/>
          <w:sz w:val="20"/>
        </w:rPr>
        <w:t>Puerto de Manzanillo impulsa el desarrollo económico de Colima: Sedeco</w:t>
      </w:r>
      <w:r>
        <w:rPr>
          <w:rFonts w:ascii="Arial" w:hAnsi="Arial"/>
          <w:i w:val="0"/>
          <w:sz w:val="20"/>
        </w:rPr>
        <w:t xml:space="preserve"> [Port of Manzanillo drives Colima’s economic development: Sedeco].</w:t>
      </w:r>
      <w:r>
        <w:t xml:space="preserve"> </w:t>
      </w:r>
      <w:hyperlink r:id="rId30">
        <w:r>
          <w:rPr>
            <w:color w:val="0563C1"/>
            <w:u w:val="single"/>
          </w:rPr>
          <w:t>https://www.col.gob.mx/Portal/detalle_noticia/NjA5OTE%3D</w:t>
        </w:r>
      </w:hyperlink>
    </w:p>
    <w:p>
      <w:pPr>
        <w:pStyle w:val="Body"/>
        <w:keepLines/>
        <w:spacing w:after="80"/>
        <w:ind w:left="403" w:hanging="403"/>
        <w:jc w:val="left"/>
      </w:pPr>
      <w:r>
        <w:rPr>
          <w:rFonts w:ascii="Arial" w:hAnsi="Arial"/>
          <w:i w:val="0"/>
          <w:sz w:val="20"/>
        </w:rPr>
        <w:t xml:space="preserve">González-Pérez, L. I., &amp; Ramírez-Montoya, M. S. (2022). Components of Education 4.0 in 21st century skills frameworks: Systematic review. </w:t>
      </w:r>
      <w:r>
        <w:rPr>
          <w:rFonts w:ascii="Arial" w:hAnsi="Arial"/>
          <w:i/>
          <w:sz w:val="20"/>
        </w:rPr>
        <w:t>Sustainability, 14</w:t>
      </w:r>
      <w:r>
        <w:rPr>
          <w:rFonts w:ascii="Arial" w:hAnsi="Arial"/>
          <w:i w:val="0"/>
          <w:sz w:val="20"/>
        </w:rPr>
        <w:t>(3), 1493.</w:t>
      </w:r>
      <w:r>
        <w:t xml:space="preserve"> </w:t>
      </w:r>
      <w:hyperlink r:id="rId31">
        <w:r>
          <w:rPr>
            <w:color w:val="0563C1"/>
            <w:u w:val="single"/>
          </w:rPr>
          <w:t>https://doi.org/10.3390/su14031493</w:t>
        </w:r>
      </w:hyperlink>
    </w:p>
    <w:p>
      <w:pPr>
        <w:pStyle w:val="Body"/>
        <w:keepLines/>
        <w:spacing w:after="80"/>
        <w:ind w:left="403" w:hanging="403"/>
        <w:jc w:val="left"/>
      </w:pPr>
      <w:r>
        <w:rPr>
          <w:rFonts w:ascii="Arial" w:hAnsi="Arial"/>
          <w:i w:val="0"/>
          <w:sz w:val="20"/>
        </w:rPr>
        <w:t xml:space="preserve">Guadarrama Atrizco, V. H., &amp; Pedraza Amador, E. M. (2025). El modelo de competencias industriales en el sector de la logística [The industrial competency model in the logistics sector]. </w:t>
      </w:r>
      <w:r>
        <w:rPr>
          <w:rFonts w:ascii="Arial" w:hAnsi="Arial"/>
          <w:i/>
          <w:sz w:val="20"/>
        </w:rPr>
        <w:t>Senpai, 2</w:t>
      </w:r>
      <w:r>
        <w:rPr>
          <w:rFonts w:ascii="Arial" w:hAnsi="Arial"/>
          <w:i w:val="0"/>
          <w:sz w:val="20"/>
        </w:rPr>
        <w:t>(10), 72–88.</w:t>
      </w:r>
      <w:r>
        <w:t xml:space="preserve"> </w:t>
      </w:r>
      <w:hyperlink r:id="rId32">
        <w:r>
          <w:rPr>
            <w:color w:val="0563C1"/>
            <w:u w:val="single"/>
          </w:rPr>
          <w:t>https://senpai.org.mx/index.php/senpai/article/view/60</w:t>
        </w:r>
      </w:hyperlink>
    </w:p>
    <w:p>
      <w:pPr>
        <w:pStyle w:val="Body"/>
        <w:keepLines/>
        <w:spacing w:after="80"/>
        <w:ind w:left="403" w:hanging="403"/>
        <w:jc w:val="left"/>
      </w:pPr>
      <w:r>
        <w:rPr>
          <w:rFonts w:ascii="Arial" w:hAnsi="Arial"/>
          <w:i w:val="0"/>
          <w:sz w:val="20"/>
        </w:rPr>
        <w:t xml:space="preserve">Hrouga, M., &amp; Sbihi, A. (2023). Logistics 4.0 for supply chain performance: Perspectives from a retailing case study. </w:t>
      </w:r>
      <w:r>
        <w:rPr>
          <w:rFonts w:ascii="Arial" w:hAnsi="Arial"/>
          <w:i/>
          <w:sz w:val="20"/>
        </w:rPr>
        <w:t>Business Process Management Journal, 29</w:t>
      </w:r>
      <w:r>
        <w:rPr>
          <w:rFonts w:ascii="Arial" w:hAnsi="Arial"/>
          <w:i w:val="0"/>
          <w:sz w:val="20"/>
        </w:rPr>
        <w:t>(6), 1892–1919.</w:t>
      </w:r>
      <w:r>
        <w:t xml:space="preserve"> </w:t>
      </w:r>
      <w:hyperlink r:id="rId33">
        <w:r>
          <w:rPr>
            <w:color w:val="0563C1"/>
            <w:u w:val="single"/>
          </w:rPr>
          <w:t>https://doi.org/10.1108/BPMJ-03-2023-0183</w:t>
        </w:r>
      </w:hyperlink>
    </w:p>
    <w:p>
      <w:pPr>
        <w:pStyle w:val="Body"/>
        <w:keepLines/>
        <w:spacing w:after="80"/>
        <w:ind w:left="403" w:hanging="403"/>
        <w:jc w:val="left"/>
      </w:pPr>
      <w:r>
        <w:rPr>
          <w:rFonts w:ascii="Arial" w:hAnsi="Arial"/>
          <w:i w:val="0"/>
          <w:sz w:val="20"/>
        </w:rPr>
        <w:t xml:space="preserve">Ivanov, D., &amp; Dolgui, A. (2022). The shortage economy and its implications for supply chain and operations management. </w:t>
      </w:r>
      <w:r>
        <w:rPr>
          <w:rFonts w:ascii="Arial" w:hAnsi="Arial"/>
          <w:i/>
          <w:sz w:val="20"/>
        </w:rPr>
        <w:t>International Journal of Production Research, 60</w:t>
      </w:r>
      <w:r>
        <w:rPr>
          <w:rFonts w:ascii="Arial" w:hAnsi="Arial"/>
          <w:i w:val="0"/>
          <w:sz w:val="20"/>
        </w:rPr>
        <w:t>(24), 7141–7154.</w:t>
      </w:r>
      <w:r>
        <w:t xml:space="preserve"> </w:t>
      </w:r>
      <w:hyperlink r:id="rId34">
        <w:r>
          <w:rPr>
            <w:color w:val="0563C1"/>
            <w:u w:val="single"/>
          </w:rPr>
          <w:t>https://doi.org/10.1080/00207543.2022.2118889</w:t>
        </w:r>
      </w:hyperlink>
    </w:p>
    <w:p>
      <w:pPr>
        <w:pStyle w:val="Body"/>
        <w:keepLines/>
        <w:spacing w:after="80"/>
        <w:ind w:left="403" w:hanging="403"/>
        <w:jc w:val="left"/>
      </w:pPr>
      <w:r>
        <w:rPr>
          <w:rFonts w:ascii="Arial" w:hAnsi="Arial"/>
          <w:i w:val="0"/>
          <w:sz w:val="20"/>
        </w:rPr>
        <w:t xml:space="preserve">Li, Z., &amp; Jia, X. (2024). Analysis of logistics curriculum and recruitment requirements based on text mining: A case study of China. </w:t>
      </w:r>
      <w:r>
        <w:rPr>
          <w:rFonts w:ascii="Arial" w:hAnsi="Arial"/>
          <w:i/>
          <w:sz w:val="20"/>
        </w:rPr>
        <w:t>SAGE Open, 14</w:t>
      </w:r>
      <w:r>
        <w:rPr>
          <w:rFonts w:ascii="Arial" w:hAnsi="Arial"/>
          <w:i w:val="0"/>
          <w:sz w:val="20"/>
        </w:rPr>
        <w:t>(2), 1–13.</w:t>
      </w:r>
      <w:r>
        <w:t xml:space="preserve"> </w:t>
      </w:r>
      <w:hyperlink r:id="rId35">
        <w:r>
          <w:rPr>
            <w:color w:val="0563C1"/>
            <w:u w:val="single"/>
          </w:rPr>
          <w:t>https://doi.org/10.1177/21582440241239839</w:t>
        </w:r>
      </w:hyperlink>
    </w:p>
    <w:p>
      <w:pPr>
        <w:pStyle w:val="Body"/>
        <w:keepLines/>
        <w:spacing w:after="80"/>
        <w:ind w:left="403" w:hanging="403"/>
        <w:jc w:val="left"/>
      </w:pPr>
      <w:r>
        <w:rPr>
          <w:rFonts w:ascii="Arial" w:hAnsi="Arial"/>
          <w:i w:val="0"/>
          <w:sz w:val="20"/>
        </w:rPr>
        <w:t xml:space="preserve">Mohsen, B. M. (2023). Developments of digital technologies related to supply chain management. </w:t>
      </w:r>
      <w:r>
        <w:rPr>
          <w:rFonts w:ascii="Arial" w:hAnsi="Arial"/>
          <w:i/>
          <w:sz w:val="20"/>
        </w:rPr>
        <w:t>Procedia Computer Science, 220</w:t>
      </w:r>
      <w:r>
        <w:rPr>
          <w:rFonts w:ascii="Arial" w:hAnsi="Arial"/>
          <w:i w:val="0"/>
          <w:sz w:val="20"/>
        </w:rPr>
        <w:t>, 788–795.</w:t>
      </w:r>
      <w:r>
        <w:t xml:space="preserve"> </w:t>
      </w:r>
      <w:hyperlink r:id="rId36">
        <w:r>
          <w:rPr>
            <w:color w:val="0563C1"/>
            <w:u w:val="single"/>
          </w:rPr>
          <w:t>https://doi.org/10.1016/j.procs.2023.03.105</w:t>
        </w:r>
      </w:hyperlink>
    </w:p>
    <w:p>
      <w:pPr>
        <w:pStyle w:val="Body"/>
        <w:keepLines/>
        <w:spacing w:after="80"/>
        <w:ind w:left="403" w:hanging="403"/>
        <w:jc w:val="left"/>
      </w:pPr>
      <w:r>
        <w:rPr>
          <w:rFonts w:ascii="Arial" w:hAnsi="Arial"/>
          <w:i w:val="0"/>
          <w:sz w:val="20"/>
        </w:rPr>
        <w:t xml:space="preserve">Monferdini, L., Tebaldi, L., &amp; Bottani, E. (2025). From Industry 4.0 to Industry 5.0: Opportunities, challenges, and future perspectives in logistics. </w:t>
      </w:r>
      <w:r>
        <w:rPr>
          <w:rFonts w:ascii="Arial" w:hAnsi="Arial"/>
          <w:i/>
          <w:sz w:val="20"/>
        </w:rPr>
        <w:t>Procedia Computer Science, 253</w:t>
      </w:r>
      <w:r>
        <w:rPr>
          <w:rFonts w:ascii="Arial" w:hAnsi="Arial"/>
          <w:i w:val="0"/>
          <w:sz w:val="20"/>
        </w:rPr>
        <w:t>, 2941–2950.</w:t>
      </w:r>
      <w:r>
        <w:t xml:space="preserve"> </w:t>
      </w:r>
      <w:hyperlink r:id="rId37">
        <w:r>
          <w:rPr>
            <w:color w:val="0563C1"/>
            <w:u w:val="single"/>
          </w:rPr>
          <w:t>https://doi.org/10.1016/j.procs.2025.02.018</w:t>
        </w:r>
      </w:hyperlink>
    </w:p>
    <w:p>
      <w:pPr>
        <w:pStyle w:val="Body"/>
        <w:keepLines/>
        <w:spacing w:after="80"/>
        <w:ind w:left="403" w:hanging="403"/>
        <w:jc w:val="left"/>
      </w:pPr>
      <w:r>
        <w:rPr>
          <w:rFonts w:ascii="Arial" w:hAnsi="Arial"/>
          <w:i w:val="0"/>
          <w:sz w:val="20"/>
        </w:rPr>
        <w:t xml:space="preserve">Notteboom, T., Pallis, A., &amp; Rodrigue, J.-P. (2022). </w:t>
      </w:r>
      <w:r>
        <w:rPr>
          <w:rFonts w:ascii="Arial" w:hAnsi="Arial"/>
          <w:i/>
          <w:sz w:val="20"/>
        </w:rPr>
        <w:t>Port economics, management and policy</w:t>
      </w:r>
      <w:r>
        <w:rPr>
          <w:rFonts w:ascii="Arial" w:hAnsi="Arial"/>
          <w:i w:val="0"/>
          <w:sz w:val="20"/>
        </w:rPr>
        <w:t>. Routledge.</w:t>
      </w:r>
      <w:r>
        <w:t xml:space="preserve"> </w:t>
      </w:r>
      <w:hyperlink r:id="rId38">
        <w:r>
          <w:rPr>
            <w:color w:val="0563C1"/>
            <w:u w:val="single"/>
          </w:rPr>
          <w:t>https://doi.org/10.4324/9780429318184</w:t>
        </w:r>
      </w:hyperlink>
    </w:p>
    <w:p>
      <w:pPr>
        <w:pStyle w:val="Body"/>
        <w:keepLines/>
        <w:spacing w:after="80"/>
        <w:ind w:left="403" w:hanging="403"/>
        <w:jc w:val="left"/>
      </w:pPr>
      <w:r>
        <w:rPr>
          <w:rFonts w:ascii="Arial" w:hAnsi="Arial"/>
          <w:i w:val="0"/>
          <w:sz w:val="20"/>
        </w:rPr>
        <w:t xml:space="preserve">Olatunji, A. O. (2025). Leveraging data science for demand forecasting and inventory management: A comprehensive review. </w:t>
      </w:r>
      <w:r>
        <w:rPr>
          <w:rFonts w:ascii="Arial" w:hAnsi="Arial"/>
          <w:i/>
          <w:sz w:val="20"/>
        </w:rPr>
        <w:t>Journal of Basic and Applied Research International, 31</w:t>
      </w:r>
      <w:r>
        <w:rPr>
          <w:rFonts w:ascii="Arial" w:hAnsi="Arial"/>
          <w:i w:val="0"/>
          <w:sz w:val="20"/>
        </w:rPr>
        <w:t>(2), 29–38.</w:t>
      </w:r>
      <w:r>
        <w:t xml:space="preserve"> </w:t>
      </w:r>
      <w:hyperlink r:id="rId39">
        <w:r>
          <w:rPr>
            <w:color w:val="0563C1"/>
            <w:u w:val="single"/>
          </w:rPr>
          <w:t>https://doi.org/10.56557/jobari/2025/v31i29133</w:t>
        </w:r>
      </w:hyperlink>
    </w:p>
    <w:p>
      <w:pPr>
        <w:pStyle w:val="Body"/>
        <w:keepLines/>
        <w:spacing w:after="80"/>
        <w:ind w:left="403" w:hanging="403"/>
        <w:jc w:val="left"/>
      </w:pPr>
      <w:r>
        <w:rPr>
          <w:rFonts w:ascii="Arial" w:hAnsi="Arial"/>
          <w:i w:val="0"/>
          <w:sz w:val="20"/>
        </w:rPr>
        <w:t xml:space="preserve">Perotti, S., Bastidas Santacruz, R. F., Bremer, P., &amp; Beer, J. E. (2022). Logistics 4.0 in warehousing: A conceptual framework of influencing factors, benefits and barriers. </w:t>
      </w:r>
      <w:r>
        <w:rPr>
          <w:rFonts w:ascii="Arial" w:hAnsi="Arial"/>
          <w:i/>
          <w:sz w:val="20"/>
        </w:rPr>
        <w:t>The International Journal of Logistics Management, 33</w:t>
      </w:r>
      <w:r>
        <w:rPr>
          <w:rFonts w:ascii="Arial" w:hAnsi="Arial"/>
          <w:i w:val="0"/>
          <w:sz w:val="20"/>
        </w:rPr>
        <w:t>(5), 193–220.</w:t>
      </w:r>
      <w:r>
        <w:t xml:space="preserve"> </w:t>
      </w:r>
      <w:hyperlink r:id="rId40">
        <w:r>
          <w:rPr>
            <w:color w:val="0563C1"/>
            <w:u w:val="single"/>
          </w:rPr>
          <w:t>https://doi.org/10.1108/IJLM-02-2022-0068</w:t>
        </w:r>
      </w:hyperlink>
    </w:p>
    <w:p>
      <w:pPr>
        <w:pStyle w:val="Body"/>
        <w:keepLines/>
        <w:spacing w:after="80"/>
        <w:ind w:left="403" w:hanging="403"/>
        <w:jc w:val="left"/>
      </w:pPr>
      <w:r>
        <w:rPr>
          <w:rFonts w:ascii="Arial" w:hAnsi="Arial"/>
          <w:i w:val="0"/>
          <w:sz w:val="20"/>
        </w:rPr>
        <w:t xml:space="preserve">Salazar Aguilar, A., &amp; González García, J. (2025). Integración comercial deficitaria de México con el Noreste asiático: Tendencias posibles ante el neoproteccionismo [Mexico’s deficit trade integration with Northeast Asia: Possible trends amid neoprotectionism]. </w:t>
      </w:r>
      <w:r>
        <w:rPr>
          <w:rFonts w:ascii="Arial" w:hAnsi="Arial"/>
          <w:i/>
          <w:sz w:val="20"/>
        </w:rPr>
        <w:t>Análisis Económico, 40</w:t>
      </w:r>
      <w:r>
        <w:rPr>
          <w:rFonts w:ascii="Arial" w:hAnsi="Arial"/>
          <w:i w:val="0"/>
          <w:sz w:val="20"/>
        </w:rPr>
        <w:t>(105), 61–85.</w:t>
      </w:r>
      <w:r>
        <w:t xml:space="preserve"> </w:t>
      </w:r>
      <w:hyperlink r:id="rId41">
        <w:r>
          <w:rPr>
            <w:color w:val="0563C1"/>
            <w:u w:val="single"/>
          </w:rPr>
          <w:t>https://doi.org/10.24275/uam/azc/dcsh/ae/2025v40n105/Salazar</w:t>
        </w:r>
      </w:hyperlink>
    </w:p>
    <w:p>
      <w:pPr>
        <w:pStyle w:val="Body"/>
        <w:keepLines/>
        <w:spacing w:after="80"/>
        <w:ind w:left="403" w:hanging="403"/>
        <w:jc w:val="left"/>
      </w:pPr>
      <w:r>
        <w:rPr>
          <w:rFonts w:ascii="Arial" w:hAnsi="Arial"/>
          <w:i w:val="0"/>
          <w:sz w:val="20"/>
        </w:rPr>
        <w:t xml:space="preserve">Secretaría de Infraestructura, Comunicaciones y Transportes. (2024). </w:t>
      </w:r>
      <w:r>
        <w:rPr>
          <w:rFonts w:ascii="Arial" w:hAnsi="Arial"/>
          <w:i/>
          <w:sz w:val="20"/>
        </w:rPr>
        <w:t>Anuario estadístico del sector infraestructura, comunicaciones y transportes 2023</w:t>
      </w:r>
      <w:r>
        <w:rPr>
          <w:rFonts w:ascii="Arial" w:hAnsi="Arial"/>
          <w:i w:val="0"/>
          <w:sz w:val="20"/>
        </w:rPr>
        <w:t xml:space="preserve"> [Statistical yearbook of the infrastructure, communications and transport sector, 2023].</w:t>
      </w:r>
      <w:r>
        <w:t xml:space="preserve"> </w:t>
      </w:r>
      <w:hyperlink r:id="rId42">
        <w:r>
          <w:rPr>
            <w:color w:val="0563C1"/>
            <w:u w:val="single"/>
          </w:rPr>
          <w:t>https://micrs.sct.gob.mx/images/DireccionesGrales/DGP/PDF/DEC-PDF/Anuario_SICT_2023.pdf</w:t>
        </w:r>
      </w:hyperlink>
    </w:p>
    <w:p>
      <w:pPr>
        <w:pStyle w:val="Body"/>
        <w:keepLines/>
        <w:spacing w:after="80"/>
        <w:ind w:left="403" w:hanging="403"/>
        <w:jc w:val="left"/>
      </w:pPr>
      <w:r>
        <w:rPr>
          <w:rFonts w:ascii="Arial" w:hAnsi="Arial"/>
          <w:i w:val="0"/>
          <w:sz w:val="20"/>
        </w:rPr>
        <w:t xml:space="preserve">Secretaría de Marina. (2025). </w:t>
      </w:r>
      <w:r>
        <w:rPr>
          <w:rFonts w:ascii="Arial" w:hAnsi="Arial"/>
          <w:i/>
          <w:sz w:val="20"/>
        </w:rPr>
        <w:t>Anuario estadístico de los puertos de México 2024</w:t>
      </w:r>
      <w:r>
        <w:rPr>
          <w:rFonts w:ascii="Arial" w:hAnsi="Arial"/>
          <w:i w:val="0"/>
          <w:sz w:val="20"/>
        </w:rPr>
        <w:t xml:space="preserve"> [Statistical yearbook of Mexico’s ports 2024]. Coordinación General de Puertos y Marina Mercante.</w:t>
      </w:r>
      <w:r>
        <w:t xml:space="preserve"> </w:t>
      </w:r>
      <w:hyperlink r:id="rId43">
        <w:r>
          <w:rPr>
            <w:color w:val="0563C1"/>
            <w:u w:val="single"/>
          </w:rPr>
          <w:t>https://www.gob.mx/puertosymarinamercante/acciones-y-programas/anuario-estadistico-de-los-puertos-de-mexico-2024-415855</w:t>
        </w:r>
      </w:hyperlink>
    </w:p>
    <w:p>
      <w:pPr>
        <w:pStyle w:val="Body"/>
        <w:keepLines/>
        <w:spacing w:after="80"/>
        <w:ind w:left="403" w:hanging="403"/>
        <w:jc w:val="left"/>
      </w:pPr>
      <w:r>
        <w:rPr>
          <w:rFonts w:ascii="Arial" w:hAnsi="Arial"/>
          <w:i w:val="0"/>
          <w:sz w:val="20"/>
        </w:rPr>
        <w:t xml:space="preserve">Sheffi, Y. (2023). </w:t>
      </w:r>
      <w:r>
        <w:rPr>
          <w:rFonts w:ascii="Arial" w:hAnsi="Arial"/>
          <w:i/>
          <w:sz w:val="20"/>
        </w:rPr>
        <w:t>The magic conveyor belt: Supply chains, A.I., and the future of work</w:t>
      </w:r>
      <w:r>
        <w:rPr>
          <w:rFonts w:ascii="Arial" w:hAnsi="Arial"/>
          <w:i w:val="0"/>
          <w:sz w:val="20"/>
        </w:rPr>
        <w:t>. Transoft.</w:t>
      </w:r>
      <w:r>
        <w:t xml:space="preserve"> </w:t>
      </w:r>
      <w:hyperlink r:id="rId44">
        <w:r>
          <w:rPr>
            <w:color w:val="0563C1"/>
            <w:u w:val="single"/>
          </w:rPr>
          <w:t>https://sheffi.mit.edu/magicbelt</w:t>
        </w:r>
      </w:hyperlink>
    </w:p>
    <w:p>
      <w:pPr>
        <w:pStyle w:val="Body"/>
        <w:keepLines/>
        <w:spacing w:after="80"/>
        <w:ind w:left="403" w:hanging="403"/>
        <w:jc w:val="left"/>
      </w:pPr>
      <w:r>
        <w:rPr>
          <w:rFonts w:ascii="Arial" w:hAnsi="Arial"/>
          <w:i w:val="0"/>
          <w:sz w:val="20"/>
        </w:rPr>
        <w:t xml:space="preserve">Silva Medina, P. I., García Alcaraz, P., Escamilla López, M., Tejeda Castrejón, J. F., &amp; Mejías Brito, J. (2026). Propuesta metodológica para el desarrollo de competencias digitales en Ingeniería Industrial: Una transición hacia la industria inteligente en el plan IIND-2010-227 [A methodological proposal for developing digital competences in industrial engineering: A transition towards smart industry in plan IIND-2010-227]. </w:t>
      </w:r>
      <w:r>
        <w:rPr>
          <w:rFonts w:ascii="Arial" w:hAnsi="Arial"/>
          <w:i/>
          <w:sz w:val="20"/>
        </w:rPr>
        <w:t>Dilemas Contemporáneos: Educación, Política y Valores, 13</w:t>
      </w:r>
      <w:r>
        <w:rPr>
          <w:rFonts w:ascii="Arial" w:hAnsi="Arial"/>
          <w:i w:val="0"/>
          <w:sz w:val="20"/>
        </w:rPr>
        <w:t>(3).</w:t>
      </w:r>
      <w:r>
        <w:t xml:space="preserve"> </w:t>
      </w:r>
      <w:hyperlink r:id="rId45">
        <w:r>
          <w:rPr>
            <w:color w:val="0563C1"/>
            <w:u w:val="single"/>
          </w:rPr>
          <w:t>https://doi.org/10.46377/dilemas.v13i3.4882</w:t>
        </w:r>
      </w:hyperlink>
    </w:p>
    <w:p>
      <w:pPr>
        <w:pStyle w:val="Body"/>
        <w:keepLines/>
        <w:spacing w:after="80"/>
        <w:ind w:left="403" w:hanging="403"/>
        <w:jc w:val="left"/>
      </w:pPr>
      <w:r>
        <w:rPr>
          <w:rFonts w:ascii="Arial" w:hAnsi="Arial"/>
          <w:i w:val="0"/>
          <w:sz w:val="20"/>
        </w:rPr>
        <w:t xml:space="preserve">Tecnológico Nacional de México. (2015). </w:t>
      </w:r>
      <w:r>
        <w:rPr>
          <w:rFonts w:ascii="Arial" w:hAnsi="Arial"/>
          <w:i/>
          <w:sz w:val="20"/>
        </w:rPr>
        <w:t>Manual de lineamientos académico-administrativos del Tecnológico Nacional de México: Capítulo 19. Lineamiento para la integración de especialidades</w:t>
      </w:r>
      <w:r>
        <w:rPr>
          <w:rFonts w:ascii="Arial" w:hAnsi="Arial"/>
          <w:i w:val="0"/>
          <w:sz w:val="20"/>
        </w:rPr>
        <w:t xml:space="preserve"> [Academic-administrative guidelines: Chapter 19, integration of specialisations].</w:t>
      </w:r>
      <w:r>
        <w:t xml:space="preserve"> </w:t>
      </w:r>
      <w:hyperlink r:id="rId46">
        <w:r>
          <w:rPr>
            <w:color w:val="0563C1"/>
            <w:u w:val="single"/>
          </w:rPr>
          <w:t>https://www.cdhidalgo.tecnm.mx/normativos/plan2015</w:t>
        </w:r>
      </w:hyperlink>
    </w:p>
    <w:p>
      <w:pPr>
        <w:pStyle w:val="Body"/>
        <w:keepLines/>
        <w:spacing w:after="80"/>
        <w:ind w:left="403" w:hanging="403"/>
        <w:jc w:val="left"/>
      </w:pPr>
      <w:r>
        <w:rPr>
          <w:rFonts w:ascii="Arial" w:hAnsi="Arial"/>
          <w:i w:val="0"/>
          <w:sz w:val="20"/>
        </w:rPr>
        <w:t xml:space="preserve">Tikwayo, L. N., &amp; Mathaba, T. N. D. (2023). Applications of Industry 4.0 technologies in warehouse management: A systematic literature review. </w:t>
      </w:r>
      <w:r>
        <w:rPr>
          <w:rFonts w:ascii="Arial" w:hAnsi="Arial"/>
          <w:i/>
          <w:sz w:val="20"/>
        </w:rPr>
        <w:t>Logistics, 7</w:t>
      </w:r>
      <w:r>
        <w:rPr>
          <w:rFonts w:ascii="Arial" w:hAnsi="Arial"/>
          <w:i w:val="0"/>
          <w:sz w:val="20"/>
        </w:rPr>
        <w:t>(2), 24.</w:t>
      </w:r>
      <w:r>
        <w:t xml:space="preserve"> </w:t>
      </w:r>
      <w:hyperlink r:id="rId47">
        <w:r>
          <w:rPr>
            <w:color w:val="0563C1"/>
            <w:u w:val="single"/>
          </w:rPr>
          <w:t>https://doi.org/10.3390/logistics7020024</w:t>
        </w:r>
      </w:hyperlink>
    </w:p>
    <w:p>
      <w:pPr>
        <w:pStyle w:val="Body"/>
        <w:keepLines/>
        <w:spacing w:after="80"/>
        <w:ind w:left="403" w:hanging="403"/>
        <w:jc w:val="left"/>
      </w:pPr>
      <w:r>
        <w:rPr>
          <w:rFonts w:ascii="Arial" w:hAnsi="Arial"/>
          <w:i w:val="0"/>
          <w:sz w:val="20"/>
        </w:rPr>
        <w:t xml:space="preserve">Tobón Tobón, S., Pimienta Prieto, J. H., &amp; García Fraile, J. A. (2010). </w:t>
      </w:r>
      <w:r>
        <w:rPr>
          <w:rFonts w:ascii="Arial" w:hAnsi="Arial"/>
          <w:i/>
          <w:sz w:val="20"/>
        </w:rPr>
        <w:t>Secuencias didácticas: Aprendizaje y evaluación de competencias</w:t>
      </w:r>
      <w:r>
        <w:rPr>
          <w:rFonts w:ascii="Arial" w:hAnsi="Arial"/>
          <w:i w:val="0"/>
          <w:sz w:val="20"/>
        </w:rPr>
        <w:t xml:space="preserve"> [Didactic sequences: Competency learning and assessment]. Pearson Educación.</w:t>
      </w:r>
      <w:r>
        <w:t xml:space="preserve"> </w:t>
      </w:r>
      <w:hyperlink r:id="rId48">
        <w:r>
          <w:rPr>
            <w:color w:val="0563C1"/>
            <w:u w:val="single"/>
          </w:rPr>
          <w:t>https://books.google.com/books?id=WX74ZwEACAAJ</w:t>
        </w:r>
      </w:hyperlink>
    </w:p>
    <w:p>
      <w:pPr>
        <w:pStyle w:val="Body"/>
        <w:keepLines/>
        <w:spacing w:after="80"/>
        <w:ind w:left="403" w:hanging="403"/>
        <w:jc w:val="left"/>
      </w:pPr>
      <w:r>
        <w:rPr>
          <w:rFonts w:ascii="Arial" w:hAnsi="Arial"/>
          <w:i w:val="0"/>
          <w:sz w:val="20"/>
        </w:rPr>
        <w:t xml:space="preserve">United Nations Educational, Scientific and Cultural Organization. (2022). </w:t>
      </w:r>
      <w:r>
        <w:rPr>
          <w:rFonts w:ascii="Arial" w:hAnsi="Arial"/>
          <w:i/>
          <w:sz w:val="20"/>
        </w:rPr>
        <w:t>Beyond limits: New ways to reinvent higher education</w:t>
      </w:r>
      <w:r>
        <w:rPr>
          <w:rFonts w:ascii="Arial" w:hAnsi="Arial"/>
          <w:i w:val="0"/>
          <w:sz w:val="20"/>
        </w:rPr>
        <w:t xml:space="preserve"> [Roadmap for the World Higher Education Conference, Barcelona, May 18–20, 2022].</w:t>
      </w:r>
      <w:r>
        <w:t xml:space="preserve"> </w:t>
      </w:r>
      <w:hyperlink r:id="rId49">
        <w:r>
          <w:rPr>
            <w:color w:val="0563C1"/>
            <w:u w:val="single"/>
          </w:rPr>
          <w:t>https://unesdoc.unesco.org/ark:/48223/pf0000389912</w:t>
        </w:r>
      </w:hyperlink>
    </w:p>
    <w:p>
      <w:pPr>
        <w:pStyle w:val="Body"/>
        <w:keepLines/>
        <w:spacing w:after="80"/>
        <w:ind w:left="403" w:hanging="403"/>
        <w:jc w:val="left"/>
      </w:pPr>
      <w:r>
        <w:rPr>
          <w:rFonts w:ascii="Arial" w:hAnsi="Arial"/>
          <w:i w:val="0"/>
          <w:sz w:val="20"/>
        </w:rPr>
        <w:t xml:space="preserve">World Economic Forum. (2023). </w:t>
      </w:r>
      <w:r>
        <w:rPr>
          <w:rFonts w:ascii="Arial" w:hAnsi="Arial"/>
          <w:i/>
          <w:sz w:val="20"/>
        </w:rPr>
        <w:t>The future of jobs report 2023</w:t>
      </w:r>
      <w:r>
        <w:rPr>
          <w:rFonts w:ascii="Arial" w:hAnsi="Arial"/>
          <w:i w:val="0"/>
          <w:sz w:val="20"/>
        </w:rPr>
        <w:t>.</w:t>
      </w:r>
      <w:r>
        <w:t xml:space="preserve"> </w:t>
      </w:r>
      <w:hyperlink r:id="rId50">
        <w:r>
          <w:rPr>
            <w:color w:val="0563C1"/>
            <w:u w:val="single"/>
          </w:rPr>
          <w:t>https://www.weforum.org/publications/the-future-of-jobs-report-2023/</w:t>
        </w:r>
      </w:hyperlink>
    </w:p>
    <w:sectPr w:rsidR="000403B8" w:rsidRPr="006B2B16" w:rsidSect="00E152EA">
      <w:headerReference w:type="even" r:id="rId15"/>
      <w:headerReference w:type="default" r:id="rId16"/>
      <w:footerReference w:type="default" r:id="rId17"/>
      <w:headerReference w:type="first" r:id="rId18"/>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19813" w14:textId="77777777" w:rsidR="00F842C8" w:rsidRDefault="00F842C8" w:rsidP="00C37E61">
      <w:r>
        <w:separator/>
      </w:r>
    </w:p>
  </w:endnote>
  <w:endnote w:type="continuationSeparator" w:id="0">
    <w:p w14:paraId="50017E5B" w14:textId="77777777" w:rsidR="00F842C8" w:rsidRDefault="00F842C8"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panose1 w:val="00000400000000000000"/>
    <w:charset w:val="00"/>
    <w:family w:val="swiss"/>
    <w:pitch w:val="variable"/>
    <w:sig w:usb0="0001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7F59A" w14:textId="77777777" w:rsidR="00E152EA" w:rsidRDefault="00E152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D71F6" w14:textId="77777777" w:rsidR="00C37E61" w:rsidRDefault="00C37E61" w:rsidP="00C37E61">
    <w:pPr>
      <w:pStyle w:val="Footer"/>
    </w:pPr>
  </w:p>
  <w:p w14:paraId="65C9B153" w14:textId="77777777" w:rsidR="00C37E61" w:rsidRDefault="00C37E61" w:rsidP="00C37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24C3" w14:textId="77777777" w:rsidR="00754C9A" w:rsidRPr="00E152EA" w:rsidRDefault="00754C9A" w:rsidP="00E152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D62A"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22423" w14:textId="77777777" w:rsidR="00F842C8" w:rsidRDefault="00F842C8" w:rsidP="00C37E61">
      <w:r>
        <w:separator/>
      </w:r>
    </w:p>
  </w:footnote>
  <w:footnote w:type="continuationSeparator" w:id="0">
    <w:p w14:paraId="01EB1F8D" w14:textId="77777777" w:rsidR="00F842C8" w:rsidRDefault="00F842C8"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694C" w14:textId="77777777" w:rsidR="00E152EA" w:rsidRDefault="00000000">
    <w:pPr>
      <w:pStyle w:val="Header"/>
    </w:pPr>
    <w:r>
      <w:rPr>
        <w:noProof/>
      </w:rPr>
      <w:pict w14:anchorId="5CA8DE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297"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F03B3" w14:textId="77777777" w:rsidR="00E152EA" w:rsidRDefault="00000000">
    <w:pPr>
      <w:pStyle w:val="Header"/>
    </w:pPr>
    <w:r>
      <w:rPr>
        <w:noProof/>
      </w:rPr>
      <w:pict w14:anchorId="76EEF2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298"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7F0B" w14:textId="77777777" w:rsidR="00296529" w:rsidRPr="00296529" w:rsidRDefault="00000000" w:rsidP="00296529">
    <w:pPr>
      <w:ind w:left="2160"/>
      <w:jc w:val="center"/>
      <w:rPr>
        <w:rFonts w:ascii="Times New Roman" w:eastAsia="Calibri" w:hAnsi="Times New Roman"/>
        <w:i/>
        <w:sz w:val="18"/>
        <w:szCs w:val="22"/>
      </w:rPr>
    </w:pPr>
    <w:r>
      <w:rPr>
        <w:noProof/>
      </w:rPr>
      <w:pict w14:anchorId="0AE2FC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296"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8F7858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7ACACFFA"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199A9A6"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F0E1AA7"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B2127E0"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203807C"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E19BD" w14:textId="77777777" w:rsidR="00E152EA" w:rsidRDefault="00000000">
    <w:pPr>
      <w:pStyle w:val="Header"/>
    </w:pPr>
    <w:r>
      <w:rPr>
        <w:noProof/>
      </w:rPr>
      <w:pict w14:anchorId="1BBB55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300"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AD4C4A9">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8AC1" w14:textId="77777777" w:rsidR="00E152EA" w:rsidRDefault="00000000">
    <w:pPr>
      <w:pStyle w:val="Header"/>
    </w:pPr>
    <w:r>
      <w:rPr>
        <w:noProof/>
      </w:rPr>
      <w:pict w14:anchorId="2E6B53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301"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89E4780">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D5788" w14:textId="77777777" w:rsidR="00E152EA" w:rsidRPr="00296529" w:rsidRDefault="00000000" w:rsidP="00296529">
    <w:pPr>
      <w:ind w:left="2160"/>
      <w:jc w:val="center"/>
      <w:rPr>
        <w:rFonts w:ascii="Times New Roman" w:eastAsia="Calibri" w:hAnsi="Times New Roman"/>
        <w:i/>
        <w:sz w:val="18"/>
        <w:szCs w:val="22"/>
      </w:rPr>
    </w:pPr>
    <w:r>
      <w:rPr>
        <w:noProof/>
      </w:rPr>
      <w:pict w14:anchorId="30C5E6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167299"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CB5A7E9">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333D9D9" w14:textId="77777777" w:rsidR="00E152EA" w:rsidRPr="00296529" w:rsidRDefault="00E152EA"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738FA59" w14:textId="77777777" w:rsidR="00E152EA" w:rsidRPr="00296529" w:rsidRDefault="00E152E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FE92217" w14:textId="77777777" w:rsidR="00E152EA" w:rsidRPr="00296529" w:rsidRDefault="00E152EA"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DCDC392" w14:textId="77777777" w:rsidR="00E152EA" w:rsidRDefault="00E152EA"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9D46B24" w14:textId="77777777" w:rsidR="00E152EA" w:rsidRDefault="00E152EA"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51F1945" w14:textId="77777777" w:rsidR="00E152EA" w:rsidRDefault="00E152E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210711525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19456447">
    <w:abstractNumId w:val="15"/>
  </w:num>
  <w:num w:numId="3" w16cid:durableId="1688020857">
    <w:abstractNumId w:val="23"/>
  </w:num>
  <w:num w:numId="4" w16cid:durableId="42083776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703817866">
    <w:abstractNumId w:val="7"/>
  </w:num>
  <w:num w:numId="6" w16cid:durableId="1892304233">
    <w:abstractNumId w:val="6"/>
  </w:num>
  <w:num w:numId="7" w16cid:durableId="244656241">
    <w:abstractNumId w:val="1"/>
  </w:num>
  <w:num w:numId="8" w16cid:durableId="247814927">
    <w:abstractNumId w:val="12"/>
  </w:num>
  <w:num w:numId="9" w16cid:durableId="2123188508">
    <w:abstractNumId w:val="25"/>
  </w:num>
  <w:num w:numId="10" w16cid:durableId="592662201">
    <w:abstractNumId w:val="2"/>
  </w:num>
  <w:num w:numId="11" w16cid:durableId="1457603002">
    <w:abstractNumId w:val="18"/>
  </w:num>
  <w:num w:numId="12" w16cid:durableId="1829980869">
    <w:abstractNumId w:val="3"/>
  </w:num>
  <w:num w:numId="13" w16cid:durableId="1963221569">
    <w:abstractNumId w:val="17"/>
  </w:num>
  <w:num w:numId="14" w16cid:durableId="651063435">
    <w:abstractNumId w:val="8"/>
  </w:num>
  <w:num w:numId="15" w16cid:durableId="551775478">
    <w:abstractNumId w:val="21"/>
  </w:num>
  <w:num w:numId="16" w16cid:durableId="1917008246">
    <w:abstractNumId w:val="5"/>
  </w:num>
  <w:num w:numId="17" w16cid:durableId="1987666882">
    <w:abstractNumId w:val="22"/>
  </w:num>
  <w:num w:numId="18" w16cid:durableId="1320159967">
    <w:abstractNumId w:val="14"/>
  </w:num>
  <w:num w:numId="19" w16cid:durableId="963998401">
    <w:abstractNumId w:val="28"/>
  </w:num>
  <w:num w:numId="20" w16cid:durableId="1997028230">
    <w:abstractNumId w:val="11"/>
  </w:num>
  <w:num w:numId="21" w16cid:durableId="1995645022">
    <w:abstractNumId w:val="9"/>
  </w:num>
  <w:num w:numId="22" w16cid:durableId="1468400498">
    <w:abstractNumId w:val="13"/>
  </w:num>
  <w:num w:numId="23" w16cid:durableId="40790072">
    <w:abstractNumId w:val="19"/>
  </w:num>
  <w:num w:numId="24" w16cid:durableId="506944026">
    <w:abstractNumId w:val="26"/>
  </w:num>
  <w:num w:numId="25" w16cid:durableId="935791893">
    <w:abstractNumId w:val="4"/>
  </w:num>
  <w:num w:numId="26" w16cid:durableId="714895435">
    <w:abstractNumId w:val="16"/>
  </w:num>
  <w:num w:numId="27" w16cid:durableId="1121343215">
    <w:abstractNumId w:val="20"/>
  </w:num>
  <w:num w:numId="28" w16cid:durableId="78799192">
    <w:abstractNumId w:val="27"/>
  </w:num>
  <w:num w:numId="29" w16cid:durableId="1978993661">
    <w:abstractNumId w:val="24"/>
  </w:num>
  <w:num w:numId="30" w16cid:durableId="18416529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MyNze0MDA3t7Q0NDdT0lEKTi0uzszPAykwrAUAeZOvAywAAAA="/>
  </w:docVars>
  <w:rsids>
    <w:rsidRoot w:val="00AA6219"/>
    <w:rsid w:val="00000F8F"/>
    <w:rsid w:val="00030174"/>
    <w:rsid w:val="000403B8"/>
    <w:rsid w:val="0004579C"/>
    <w:rsid w:val="000A47FA"/>
    <w:rsid w:val="000A65D3"/>
    <w:rsid w:val="000B1E33"/>
    <w:rsid w:val="000D689F"/>
    <w:rsid w:val="000E54E1"/>
    <w:rsid w:val="000E78FF"/>
    <w:rsid w:val="000E7B7B"/>
    <w:rsid w:val="000E7D62"/>
    <w:rsid w:val="00103357"/>
    <w:rsid w:val="00123C9F"/>
    <w:rsid w:val="00126190"/>
    <w:rsid w:val="00130F17"/>
    <w:rsid w:val="001320BF"/>
    <w:rsid w:val="00163BC4"/>
    <w:rsid w:val="00191062"/>
    <w:rsid w:val="00192B72"/>
    <w:rsid w:val="001A29D8"/>
    <w:rsid w:val="001A5CAA"/>
    <w:rsid w:val="001B0427"/>
    <w:rsid w:val="001C58C4"/>
    <w:rsid w:val="001D3A51"/>
    <w:rsid w:val="001E10D2"/>
    <w:rsid w:val="001E25B4"/>
    <w:rsid w:val="001E44FE"/>
    <w:rsid w:val="00200595"/>
    <w:rsid w:val="00204835"/>
    <w:rsid w:val="00231920"/>
    <w:rsid w:val="0023195C"/>
    <w:rsid w:val="0024282C"/>
    <w:rsid w:val="002460DC"/>
    <w:rsid w:val="00250985"/>
    <w:rsid w:val="00251090"/>
    <w:rsid w:val="002556F6"/>
    <w:rsid w:val="00257238"/>
    <w:rsid w:val="00283105"/>
    <w:rsid w:val="00284C4C"/>
    <w:rsid w:val="00287E68"/>
    <w:rsid w:val="00296529"/>
    <w:rsid w:val="00297885"/>
    <w:rsid w:val="002B27FB"/>
    <w:rsid w:val="002B685A"/>
    <w:rsid w:val="002C57D2"/>
    <w:rsid w:val="002C5B30"/>
    <w:rsid w:val="002E0D56"/>
    <w:rsid w:val="002E1AD6"/>
    <w:rsid w:val="00315186"/>
    <w:rsid w:val="0033343E"/>
    <w:rsid w:val="003512C2"/>
    <w:rsid w:val="00371FB6"/>
    <w:rsid w:val="003755E0"/>
    <w:rsid w:val="003763C1"/>
    <w:rsid w:val="00376BBE"/>
    <w:rsid w:val="0039224F"/>
    <w:rsid w:val="003A43A4"/>
    <w:rsid w:val="003A7E18"/>
    <w:rsid w:val="003C4C86"/>
    <w:rsid w:val="003C6258"/>
    <w:rsid w:val="003E2904"/>
    <w:rsid w:val="00401927"/>
    <w:rsid w:val="00404FA1"/>
    <w:rsid w:val="0041027F"/>
    <w:rsid w:val="00412475"/>
    <w:rsid w:val="00423789"/>
    <w:rsid w:val="00440F43"/>
    <w:rsid w:val="00441B6F"/>
    <w:rsid w:val="00446221"/>
    <w:rsid w:val="00450E62"/>
    <w:rsid w:val="004539DB"/>
    <w:rsid w:val="00471A80"/>
    <w:rsid w:val="004924C5"/>
    <w:rsid w:val="004D305E"/>
    <w:rsid w:val="004D4277"/>
    <w:rsid w:val="00502516"/>
    <w:rsid w:val="00505F06"/>
    <w:rsid w:val="00506828"/>
    <w:rsid w:val="0053056E"/>
    <w:rsid w:val="00534BAA"/>
    <w:rsid w:val="00554FDA"/>
    <w:rsid w:val="00557B89"/>
    <w:rsid w:val="005C784C"/>
    <w:rsid w:val="005D17F6"/>
    <w:rsid w:val="005E5539"/>
    <w:rsid w:val="00602BF5"/>
    <w:rsid w:val="00617FDD"/>
    <w:rsid w:val="00633614"/>
    <w:rsid w:val="00633F68"/>
    <w:rsid w:val="00636EB2"/>
    <w:rsid w:val="006375B8"/>
    <w:rsid w:val="00661CBE"/>
    <w:rsid w:val="0066510A"/>
    <w:rsid w:val="00673F9F"/>
    <w:rsid w:val="00686953"/>
    <w:rsid w:val="00687DEA"/>
    <w:rsid w:val="00687E67"/>
    <w:rsid w:val="006967F7"/>
    <w:rsid w:val="006A250C"/>
    <w:rsid w:val="006B21D3"/>
    <w:rsid w:val="006B2B16"/>
    <w:rsid w:val="006B57D0"/>
    <w:rsid w:val="006D30FF"/>
    <w:rsid w:val="006D6940"/>
    <w:rsid w:val="006F01C1"/>
    <w:rsid w:val="006F11EC"/>
    <w:rsid w:val="006F5E33"/>
    <w:rsid w:val="0070082C"/>
    <w:rsid w:val="00702CB9"/>
    <w:rsid w:val="00716941"/>
    <w:rsid w:val="007369E6"/>
    <w:rsid w:val="00746E59"/>
    <w:rsid w:val="00754C9A"/>
    <w:rsid w:val="0075599A"/>
    <w:rsid w:val="00761D52"/>
    <w:rsid w:val="0077749E"/>
    <w:rsid w:val="00790ADA"/>
    <w:rsid w:val="007D2288"/>
    <w:rsid w:val="007E088F"/>
    <w:rsid w:val="007E6CA9"/>
    <w:rsid w:val="007F7B32"/>
    <w:rsid w:val="00804BC2"/>
    <w:rsid w:val="00811583"/>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7548F"/>
    <w:rsid w:val="00A81E0C"/>
    <w:rsid w:val="00A94063"/>
    <w:rsid w:val="00AA6219"/>
    <w:rsid w:val="00AA74E0"/>
    <w:rsid w:val="00AB703F"/>
    <w:rsid w:val="00AC6BB8"/>
    <w:rsid w:val="00AC7B1E"/>
    <w:rsid w:val="00AD3A40"/>
    <w:rsid w:val="00AE008F"/>
    <w:rsid w:val="00B01FCD"/>
    <w:rsid w:val="00B1776C"/>
    <w:rsid w:val="00B52583"/>
    <w:rsid w:val="00B52896"/>
    <w:rsid w:val="00B65D75"/>
    <w:rsid w:val="00B7676F"/>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E0089"/>
    <w:rsid w:val="00CE793C"/>
    <w:rsid w:val="00CF193C"/>
    <w:rsid w:val="00D173F1"/>
    <w:rsid w:val="00D36784"/>
    <w:rsid w:val="00D74CB0"/>
    <w:rsid w:val="00D8295D"/>
    <w:rsid w:val="00DC2A65"/>
    <w:rsid w:val="00DE15F0"/>
    <w:rsid w:val="00DE5663"/>
    <w:rsid w:val="00DE78AA"/>
    <w:rsid w:val="00DF1AC8"/>
    <w:rsid w:val="00E053D0"/>
    <w:rsid w:val="00E152EA"/>
    <w:rsid w:val="00E15994"/>
    <w:rsid w:val="00E3114E"/>
    <w:rsid w:val="00E31A70"/>
    <w:rsid w:val="00E35B02"/>
    <w:rsid w:val="00E66496"/>
    <w:rsid w:val="00E66B35"/>
    <w:rsid w:val="00E66E10"/>
    <w:rsid w:val="00E769F6"/>
    <w:rsid w:val="00E8407C"/>
    <w:rsid w:val="00E84F3C"/>
    <w:rsid w:val="00EA012C"/>
    <w:rsid w:val="00EC6A55"/>
    <w:rsid w:val="00ED0288"/>
    <w:rsid w:val="00EE17F9"/>
    <w:rsid w:val="00EE52CB"/>
    <w:rsid w:val="00EF581D"/>
    <w:rsid w:val="00EF7FD8"/>
    <w:rsid w:val="00F06F59"/>
    <w:rsid w:val="00F17988"/>
    <w:rsid w:val="00F31491"/>
    <w:rsid w:val="00F333B5"/>
    <w:rsid w:val="00F469F0"/>
    <w:rsid w:val="00F53273"/>
    <w:rsid w:val="00F755E4"/>
    <w:rsid w:val="00F77D02"/>
    <w:rsid w:val="00F842C8"/>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443C5A9E"/>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table" w:customStyle="1" w:styleId="TableGrid1">
    <w:name w:val="Table Grid1"/>
    <w:basedOn w:val="TableNormal"/>
    <w:next w:val="TableGrid"/>
    <w:uiPriority w:val="39"/>
    <w:rsid w:val="000E78FF"/>
    <w:rPr>
      <w:rFonts w:ascii="Calibri" w:eastAsia="Calibri" w:hAnsi="Calibri" w:cs="Vrinda"/>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1" Type="http://schemas.openxmlformats.org/officeDocument/2006/relationships/hyperlink" Target="https://puertomanzanillo.com.mx/esps/2110433/estadisticas-historicas.html" TargetMode="External"/><Relationship Id="rId22" Type="http://schemas.openxmlformats.org/officeDocument/2006/relationships/hyperlink" Target="https://www.puertomanzanillo.com.mx/espi/0000001/noticia.php?id=170" TargetMode="External"/><Relationship Id="rId23" Type="http://schemas.openxmlformats.org/officeDocument/2006/relationships/hyperlink" Target="https://hdl.handle.net/11362/81386" TargetMode="External"/><Relationship Id="rId24" Type="http://schemas.openxmlformats.org/officeDocument/2006/relationships/hyperlink" Target="https://doi.org/10.1016/j.cie.2023.109550" TargetMode="External"/><Relationship Id="rId25" Type="http://schemas.openxmlformats.org/officeDocument/2006/relationships/hyperlink" Target="https://cacei.org.mx/nv/nvdocs/marco_ing_2025.pdf" TargetMode="External"/><Relationship Id="rId26" Type="http://schemas.openxmlformats.org/officeDocument/2006/relationships/hyperlink" Target="https://us2.sagepub.com/en-us/nam/research-design/book270550" TargetMode="External"/><Relationship Id="rId27" Type="http://schemas.openxmlformats.org/officeDocument/2006/relationships/hyperlink" Target="https://doi.org/10.9734/jesbs/2026/v39i41499" TargetMode="External"/><Relationship Id="rId28" Type="http://schemas.openxmlformats.org/officeDocument/2006/relationships/hyperlink" Target="https://doi.org/10.1108/IJLM-08-2025-0550" TargetMode="External"/><Relationship Id="rId29" Type="http://schemas.openxmlformats.org/officeDocument/2006/relationships/hyperlink" Target="https://plancolima.col.gob.mx/pbrsed/mped21" TargetMode="External"/><Relationship Id="rId30" Type="http://schemas.openxmlformats.org/officeDocument/2006/relationships/hyperlink" Target="https://www.col.gob.mx/Portal/detalle_noticia/NjA5OTE%3D" TargetMode="External"/><Relationship Id="rId31" Type="http://schemas.openxmlformats.org/officeDocument/2006/relationships/hyperlink" Target="https://doi.org/10.3390/su14031493" TargetMode="External"/><Relationship Id="rId32" Type="http://schemas.openxmlformats.org/officeDocument/2006/relationships/hyperlink" Target="https://senpai.org.mx/index.php/senpai/article/view/60" TargetMode="External"/><Relationship Id="rId33" Type="http://schemas.openxmlformats.org/officeDocument/2006/relationships/hyperlink" Target="https://doi.org/10.1108/BPMJ-03-2023-0183" TargetMode="External"/><Relationship Id="rId34" Type="http://schemas.openxmlformats.org/officeDocument/2006/relationships/hyperlink" Target="https://doi.org/10.1080/00207543.2022.2118889" TargetMode="External"/><Relationship Id="rId35" Type="http://schemas.openxmlformats.org/officeDocument/2006/relationships/hyperlink" Target="https://doi.org/10.1177/21582440241239839" TargetMode="External"/><Relationship Id="rId36" Type="http://schemas.openxmlformats.org/officeDocument/2006/relationships/hyperlink" Target="https://doi.org/10.1016/j.procs.2023.03.105" TargetMode="External"/><Relationship Id="rId37" Type="http://schemas.openxmlformats.org/officeDocument/2006/relationships/hyperlink" Target="https://doi.org/10.1016/j.procs.2025.02.018" TargetMode="External"/><Relationship Id="rId38" Type="http://schemas.openxmlformats.org/officeDocument/2006/relationships/hyperlink" Target="https://doi.org/10.4324/9780429318184" TargetMode="External"/><Relationship Id="rId39" Type="http://schemas.openxmlformats.org/officeDocument/2006/relationships/hyperlink" Target="https://doi.org/10.56557/jobari/2025/v31i29133" TargetMode="External"/><Relationship Id="rId40" Type="http://schemas.openxmlformats.org/officeDocument/2006/relationships/hyperlink" Target="https://doi.org/10.1108/IJLM-02-2022-0068" TargetMode="External"/><Relationship Id="rId41" Type="http://schemas.openxmlformats.org/officeDocument/2006/relationships/hyperlink" Target="https://doi.org/10.24275/uam/azc/dcsh/ae/2025v40n105/Salazar" TargetMode="External"/><Relationship Id="rId42" Type="http://schemas.openxmlformats.org/officeDocument/2006/relationships/hyperlink" Target="https://micrs.sct.gob.mx/images/DireccionesGrales/DGP/PDF/DEC-PDF/Anuario_SICT_2023.pdf" TargetMode="External"/><Relationship Id="rId43" Type="http://schemas.openxmlformats.org/officeDocument/2006/relationships/hyperlink" Target="https://www.gob.mx/puertosymarinamercante/acciones-y-programas/anuario-estadistico-de-los-puertos-de-mexico-2024-415855" TargetMode="External"/><Relationship Id="rId44" Type="http://schemas.openxmlformats.org/officeDocument/2006/relationships/hyperlink" Target="https://sheffi.mit.edu/magicbelt" TargetMode="External"/><Relationship Id="rId45" Type="http://schemas.openxmlformats.org/officeDocument/2006/relationships/hyperlink" Target="https://doi.org/10.46377/dilemas.v13i3.4882" TargetMode="External"/><Relationship Id="rId46" Type="http://schemas.openxmlformats.org/officeDocument/2006/relationships/hyperlink" Target="https://www.cdhidalgo.tecnm.mx/normativos/plan2015" TargetMode="External"/><Relationship Id="rId47" Type="http://schemas.openxmlformats.org/officeDocument/2006/relationships/hyperlink" Target="https://doi.org/10.3390/logistics7020024" TargetMode="External"/><Relationship Id="rId48" Type="http://schemas.openxmlformats.org/officeDocument/2006/relationships/hyperlink" Target="https://books.google.com/books?id=WX74ZwEACAAJ" TargetMode="External"/><Relationship Id="rId49" Type="http://schemas.openxmlformats.org/officeDocument/2006/relationships/hyperlink" Target="https://unesdoc.unesco.org/ark:/48223/pf0000389912" TargetMode="External"/><Relationship Id="rId50" Type="http://schemas.openxmlformats.org/officeDocument/2006/relationships/hyperlink" Target="https://www.weforum.org/publications/the-future-of-jobs-report-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74</TotalTime>
  <Pages>13</Pages>
  <Words>5792</Words>
  <Characters>33020</Characters>
  <Application>Microsoft Office Word</Application>
  <DocSecurity>0</DocSecurity>
  <Lines>275</Lines>
  <Paragraphs>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Relevance of the Specialization in Intelligent Logistics Systems at the Instituto Tecnológico de Colima, Mexico: Institutional Capacities, Regional Geoeconomic Context and Strategic Foresight</vt:lpstr>
      <vt:lpstr>Paper Template</vt:lpstr>
    </vt:vector>
  </TitlesOfParts>
  <Company>aaaa</Company>
  <LinksUpToDate>false</LinksUpToDate>
  <CharactersWithSpaces>38735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Relevance of the Specialization in Intelligent Logistics Systems at the Instituto Tecnológico de Colima, Mexico: Institutional Capacities, Regional Geoeconomic Context and Strategic Foresight</dc:title>
  <dc:subject>Original Research Article</dc:subject>
  <dc:creator>Johann Mejías Brito; Pedro Itzvan Silva Medina; José de Jesús Amezcua Vivas; Miguel Escamilla López; Jesús Francisco Tejeda Castrejón</dc:creator>
  <cp:keywords>Logistics engineering; industrial engineering; curricular relevance; technological higher education; port cluster; regional competitiveness; intelligent logistics.</cp:keywords>
  <dc:description/>
  <cp:lastModifiedBy>SDI PC New 16</cp:lastModifiedBy>
  <cp:revision>41</cp:revision>
  <cp:lastPrinted>1999-07-06T11:00:00Z</cp:lastPrinted>
  <dcterms:created xsi:type="dcterms:W3CDTF">2014-10-25T14:34:00Z</dcterms:created>
  <dcterms:modified xsi:type="dcterms:W3CDTF">2026-10-12T11:17:00Z</dcterms:modified>
</cp:coreProperties>
</file>