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975" w:rsidRPr="00044728" w:rsidRDefault="00353B5B" w:rsidP="00353B5B">
      <w:pPr>
        <w:spacing w:after="0" w:line="240" w:lineRule="auto"/>
        <w:jc w:val="center"/>
        <w:rPr>
          <w:rFonts w:ascii="Times New Roman" w:hAnsi="Times New Roman" w:cs="Times New Roman"/>
          <w:b/>
          <w:bCs/>
        </w:rPr>
      </w:pPr>
      <w:r w:rsidRPr="00044728">
        <w:rPr>
          <w:rFonts w:ascii="Times New Roman" w:hAnsi="Times New Roman" w:cs="Times New Roman"/>
          <w:b/>
          <w:bCs/>
        </w:rPr>
        <w:t>MULTIVARIATE ANALYSIS OF THE DYNAMIC CORRELATIONS AMONG GLOBAL COMMODITY PRICES, EXCHANGE RATE AND STOCK MARKET RETURNS</w:t>
      </w:r>
    </w:p>
    <w:p w:rsidR="00BD1D7C" w:rsidRPr="00044728" w:rsidRDefault="00BD1D7C" w:rsidP="00EE0234">
      <w:pPr>
        <w:spacing w:after="0" w:line="240" w:lineRule="auto"/>
        <w:jc w:val="both"/>
        <w:rPr>
          <w:rFonts w:ascii="Times New Roman" w:hAnsi="Times New Roman" w:cs="Times New Roman"/>
          <w:b/>
          <w:bCs/>
        </w:rPr>
      </w:pPr>
    </w:p>
    <w:p w:rsidR="00BD1D7C" w:rsidRPr="00044728" w:rsidRDefault="00BD1D7C" w:rsidP="00EE0234">
      <w:pPr>
        <w:pStyle w:val="isselectedend"/>
        <w:jc w:val="both"/>
      </w:pPr>
      <w:r w:rsidRPr="00044728">
        <w:rPr>
          <w:rStyle w:val="Strong"/>
          <w:rFonts w:eastAsiaTheme="majorEastAsia"/>
        </w:rPr>
        <w:t>Abstract</w:t>
      </w:r>
    </w:p>
    <w:p w:rsidR="00BD1D7C" w:rsidRPr="00044728" w:rsidRDefault="00BD1D7C" w:rsidP="00EE0234">
      <w:pPr>
        <w:pStyle w:val="NormalWeb"/>
        <w:jc w:val="both"/>
      </w:pPr>
      <w:r>
        <w:t xml:space="preserve">This study examined the dynamic correlations among global commodity prices, </w:t>
      </w:r>
      <w:r>
        <w:rPr>
          <w:highlight w:val="yellow"/>
        </w:rPr>
        <w:t xml:space="preserve">the </w:t>
      </w:r>
      <w:r>
        <w:t xml:space="preserve">exchange rate and stock market returns in Nigeria. The study was </w:t>
      </w:r>
      <w:r>
        <w:rPr>
          <w:highlight w:val="yellow"/>
        </w:rPr>
        <w:t>motivated</w:t>
      </w:r>
      <w:r>
        <w:t xml:space="preserve"> by the </w:t>
      </w:r>
      <w:r>
        <w:rPr>
          <w:highlight w:val="yellow"/>
        </w:rPr>
        <w:t>need</w:t>
      </w:r>
      <w:r>
        <w:t xml:space="preserve"> to </w:t>
      </w:r>
      <w:r>
        <w:rPr>
          <w:highlight w:val="yellow"/>
        </w:rPr>
        <w:t>understand</w:t>
      </w:r>
      <w:r>
        <w:t xml:space="preserve"> the evolution of the relationships among global commodity and financial markets over time, particularly during periods of economic and financial uncertainty, and the </w:t>
      </w:r>
      <w:r>
        <w:rPr>
          <w:highlight w:val="yellow"/>
        </w:rPr>
        <w:t>increasing</w:t>
      </w:r>
      <w:r>
        <w:t xml:space="preserve"> integration of these systems. The </w:t>
      </w:r>
      <w:r>
        <w:rPr>
          <w:highlight w:val="yellow"/>
        </w:rPr>
        <w:t xml:space="preserve">study employed an ex post facto </w:t>
      </w:r>
      <w:r>
        <w:t xml:space="preserve">research design, </w:t>
      </w:r>
      <w:r>
        <w:rPr>
          <w:highlight w:val="yellow"/>
        </w:rPr>
        <w:t>using</w:t>
      </w:r>
      <w:r>
        <w:t xml:space="preserve"> daily secondary data from the Central Bank of Nigeria, </w:t>
      </w:r>
      <w:r>
        <w:rPr>
          <w:highlight w:val="yellow"/>
        </w:rPr>
        <w:t xml:space="preserve">the </w:t>
      </w:r>
      <w:r>
        <w:t xml:space="preserve">Nigerian Exchange Group and </w:t>
      </w:r>
      <w:r>
        <w:rPr>
          <w:highlight w:val="yellow"/>
        </w:rPr>
        <w:t>recognised</w:t>
      </w:r>
      <w:r>
        <w:t xml:space="preserve"> global financial databases for the period from 29 December 2009 to 7 November 2025. The </w:t>
      </w:r>
      <w:r>
        <w:rPr>
          <w:highlight w:val="yellow"/>
        </w:rPr>
        <w:t>study employed</w:t>
      </w:r>
      <w:r>
        <w:t xml:space="preserve"> a multivariate t-distribution-based Dynamic Conditional Correlation-Generalized Autoregressive Conditional Heteroskedasticity (DCC-GARCH) model and a Vector Autoregressive (VAR) model. The VAR lag-selection criteria </w:t>
      </w:r>
      <w:r>
        <w:rPr>
          <w:highlight w:val="yellow"/>
        </w:rPr>
        <w:t>indicated</w:t>
      </w:r>
      <w:r>
        <w:t xml:space="preserve"> a one-period lag, </w:t>
      </w:r>
      <w:r>
        <w:rPr>
          <w:highlight w:val="yellow"/>
        </w:rPr>
        <w:t>and</w:t>
      </w:r>
      <w:r>
        <w:t xml:space="preserve"> the results </w:t>
      </w:r>
      <w:r>
        <w:rPr>
          <w:highlight w:val="yellow"/>
        </w:rPr>
        <w:t>identified</w:t>
      </w:r>
      <w:r>
        <w:t xml:space="preserve"> significant short-run interactions involving copper and gold returns in the Brent crude oil equation, lagged natural gas returns in the natural gas equation, and lagged natural gas and stock market returns in the Nigerian </w:t>
      </w:r>
      <w:r>
        <w:rPr>
          <w:highlight w:val="yellow"/>
        </w:rPr>
        <w:t>stock-market</w:t>
      </w:r>
      <w:r>
        <w:t xml:space="preserve"> equation. The DCC-GARCH results showed substantial volatility persistence across the six markets, with persistence coefficients of 0.9864 for Brent crude oil, 0.9811 for gold, 0.9990 for natural gas, 0.9922 for copper, 0.9109 for stock market returns and 0.9990 for the exchange rate. The estimated DCC parameters were statistically significant, with </w:t>
      </w:r>
      <w:r>
        <w:rPr>
          <w:highlight w:val="yellow"/>
        </w:rPr>
        <w:t>a</w:t>
      </w:r>
      <w:r>
        <w:t xml:space="preserve"> correlation innovation coefficient of 0.00668 and </w:t>
      </w:r>
      <w:r>
        <w:rPr>
          <w:highlight w:val="yellow"/>
        </w:rPr>
        <w:t>a</w:t>
      </w:r>
      <w:r>
        <w:t xml:space="preserve"> correlation persistence coefficient of 0.99041, </w:t>
      </w:r>
      <w:r>
        <w:rPr>
          <w:highlight w:val="yellow"/>
        </w:rPr>
        <w:t>indicating</w:t>
      </w:r>
      <w:r>
        <w:t xml:space="preserve"> that the conditional correlation structure changes in response to new information but remains highly persistent over time. The results </w:t>
      </w:r>
      <w:r>
        <w:rPr>
          <w:highlight w:val="yellow"/>
        </w:rPr>
        <w:t>also</w:t>
      </w:r>
      <w:r>
        <w:t xml:space="preserve"> showed that correlations varied considerably across market pairs, with average correlations ranging from -0.0972 between natural gas and exchange rate returns to 0.2164 between gold and copper returns. The correlations also moved between negative and positive values over the study period, </w:t>
      </w:r>
      <w:r>
        <w:rPr>
          <w:highlight w:val="yellow"/>
        </w:rPr>
        <w:t>indicating</w:t>
      </w:r>
      <w:r>
        <w:t xml:space="preserve"> that the relationships were dynamic rather than constant. The study concludes that global commodity prices,</w:t>
      </w:r>
      <w:r>
        <w:rPr>
          <w:highlight w:val="yellow"/>
        </w:rPr>
        <w:t xml:space="preserve"> the</w:t>
      </w:r>
      <w:r>
        <w:t xml:space="preserve"> exchange rate and Nigerian stock market returns are interconnected through time-varying and persistent correlation structures. </w:t>
      </w:r>
    </w:p>
    <w:p w:rsidR="00930833" w:rsidRPr="00044728" w:rsidRDefault="00930833" w:rsidP="00EE0234">
      <w:pPr>
        <w:spacing w:after="0" w:line="240" w:lineRule="auto"/>
        <w:jc w:val="both"/>
        <w:rPr>
          <w:rFonts w:ascii="Times New Roman" w:hAnsi="Times New Roman" w:cs="Times New Roman"/>
          <w:b/>
          <w:bCs/>
        </w:rPr>
      </w:pPr>
      <w:r w:rsidRPr="00044728">
        <w:rPr>
          <w:rFonts w:ascii="Times New Roman" w:hAnsi="Times New Roman" w:cs="Times New Roman"/>
          <w:b/>
          <w:bCs/>
        </w:rPr>
        <w:t xml:space="preserve">Keywords: </w:t>
      </w:r>
      <w:r w:rsidRPr="00044728">
        <w:rPr>
          <w:rFonts w:ascii="Times New Roman" w:hAnsi="Times New Roman" w:cs="Times New Roman"/>
          <w:bCs/>
        </w:rPr>
        <w:t>Multivariate Analysis, Dynamic Correlations, Global Commodity Prices</w:t>
      </w:r>
    </w:p>
    <w:p w:rsidR="00930833" w:rsidRPr="00044728" w:rsidRDefault="00930833" w:rsidP="00EE0234">
      <w:pPr>
        <w:spacing w:after="0" w:line="360" w:lineRule="auto"/>
        <w:jc w:val="both"/>
        <w:rPr>
          <w:rFonts w:ascii="Times New Roman" w:hAnsi="Times New Roman" w:cs="Times New Roman"/>
          <w:b/>
          <w:bCs/>
        </w:rPr>
      </w:pPr>
    </w:p>
    <w:p w:rsidR="00BE67CF" w:rsidRPr="00044728" w:rsidRDefault="00BE67CF" w:rsidP="00EE0234">
      <w:pPr>
        <w:spacing w:after="0" w:line="360" w:lineRule="auto"/>
        <w:jc w:val="both"/>
        <w:rPr>
          <w:rFonts w:ascii="Times New Roman" w:eastAsia="Times New Roman" w:hAnsi="Times New Roman" w:cs="Times New Roman"/>
          <w:kern w:val="0"/>
          <w14:ligatures w14:val="none"/>
        </w:rPr>
      </w:pPr>
      <w:r w:rsidRPr="00044728">
        <w:rPr>
          <w:rFonts w:ascii="Times New Roman" w:hAnsi="Times New Roman" w:cs="Times New Roman"/>
          <w:b/>
          <w:bCs/>
        </w:rPr>
        <w:t>Introduction</w:t>
      </w:r>
    </w:p>
    <w:p w:rsidR="00B74E76" w:rsidRPr="00574714" w:rsidRDefault="00097B0E" w:rsidP="00574714">
      <w:pPr>
        <w:pStyle w:val="pdq2pgselectionanchorcontainer"/>
        <w:spacing w:before="0" w:beforeAutospacing="0" w:line="360" w:lineRule="auto"/>
        <w:jc w:val="both"/>
      </w:pPr>
      <w:r>
        <w:t xml:space="preserve">Financial markets across the world have become increasingly integrated due to </w:t>
      </w:r>
      <w:r>
        <w:rPr>
          <w:highlight w:val="yellow"/>
        </w:rPr>
        <w:t>globalisation</w:t>
      </w:r>
      <w:r>
        <w:t xml:space="preserve">, technological advancement, financial </w:t>
      </w:r>
      <w:r>
        <w:rPr>
          <w:highlight w:val="yellow"/>
        </w:rPr>
        <w:t>liberalisation</w:t>
      </w:r>
      <w:r>
        <w:t xml:space="preserve">, and the rapid movement of capital across national borders. This integration has significantly strengthened the </w:t>
      </w:r>
      <w:r>
        <w:rPr>
          <w:highlight w:val="yellow"/>
        </w:rPr>
        <w:t>connections</w:t>
      </w:r>
      <w:r>
        <w:t xml:space="preserve"> </w:t>
      </w:r>
      <w:r>
        <w:rPr>
          <w:highlight w:val="yellow"/>
        </w:rPr>
        <w:t>among</w:t>
      </w:r>
      <w:r>
        <w:t xml:space="preserve"> </w:t>
      </w:r>
      <w:r>
        <w:rPr>
          <w:highlight w:val="yellow"/>
        </w:rPr>
        <w:t>markets</w:t>
      </w:r>
      <w:r>
        <w:t xml:space="preserve">, making commodity, foreign exchange, and stock markets more interconnected than ever before. Nigeria’s economy is closely </w:t>
      </w:r>
      <w:r>
        <w:rPr>
          <w:highlight w:val="yellow"/>
        </w:rPr>
        <w:t xml:space="preserve">linked </w:t>
      </w:r>
      <w:r>
        <w:t xml:space="preserve">to </w:t>
      </w:r>
      <w:r>
        <w:rPr>
          <w:highlight w:val="yellow"/>
        </w:rPr>
        <w:t>developments</w:t>
      </w:r>
      <w:r>
        <w:t xml:space="preserve"> in global commodity markets. Crude oil earnings </w:t>
      </w:r>
      <w:r>
        <w:rPr>
          <w:highlight w:val="yellow"/>
        </w:rPr>
        <w:t>continue to</w:t>
      </w:r>
      <w:r>
        <w:t xml:space="preserve"> shape government revenue and the supply of foreign exchange, and through both channels</w:t>
      </w:r>
      <w:r>
        <w:rPr>
          <w:highlight w:val="yellow"/>
        </w:rPr>
        <w:t>,</w:t>
      </w:r>
      <w:r>
        <w:t xml:space="preserve"> they influence investor </w:t>
      </w:r>
      <w:r>
        <w:rPr>
          <w:highlight w:val="yellow"/>
        </w:rPr>
        <w:t>behaviour</w:t>
      </w:r>
      <w:r>
        <w:t xml:space="preserve"> on the Nigerian Exchange</w:t>
      </w:r>
      <w:r>
        <w:rPr>
          <w:highlight w:val="yellow"/>
        </w:rPr>
        <w:t>. Consequently</w:t>
      </w:r>
      <w:r>
        <w:t xml:space="preserve">, a sharp </w:t>
      </w:r>
      <w:r>
        <w:rPr>
          <w:highlight w:val="yellow"/>
        </w:rPr>
        <w:lastRenderedPageBreak/>
        <w:t>movement</w:t>
      </w:r>
      <w:r>
        <w:t xml:space="preserve"> in Brent prices rarely </w:t>
      </w:r>
      <w:r>
        <w:rPr>
          <w:highlight w:val="yellow"/>
        </w:rPr>
        <w:t>remains</w:t>
      </w:r>
      <w:r>
        <w:t xml:space="preserve"> </w:t>
      </w:r>
      <w:r>
        <w:rPr>
          <w:highlight w:val="yellow"/>
        </w:rPr>
        <w:t>confined to</w:t>
      </w:r>
      <w:r>
        <w:t xml:space="preserve"> the oil market. </w:t>
      </w:r>
      <w:r>
        <w:rPr>
          <w:highlight w:val="yellow"/>
        </w:rPr>
        <w:t>Its effects</w:t>
      </w:r>
      <w:r>
        <w:t xml:space="preserve"> tend to reach the naira first and </w:t>
      </w:r>
      <w:r>
        <w:rPr>
          <w:highlight w:val="yellow"/>
        </w:rPr>
        <w:t>subsequently</w:t>
      </w:r>
      <w:r>
        <w:t xml:space="preserve"> equity returns.</w:t>
      </w:r>
      <w:r>
        <w:rPr>
          <w:b/>
        </w:rPr>
        <w:t xml:space="preserve"> </w:t>
      </w:r>
      <w:r>
        <w:t xml:space="preserve">These interactions are particularly important for Nigeria because the economy and financial system are exposed to international commodity-price movements, especially through crude oil, while the naira exchange rate provides an important channel through which external shocks can be transmitted to domestic financial markets. </w:t>
      </w:r>
      <w:r>
        <w:rPr>
          <w:highlight w:val="yellow"/>
        </w:rPr>
        <w:t>Correlations</w:t>
      </w:r>
      <w:r>
        <w:t xml:space="preserve"> among </w:t>
      </w:r>
      <w:r w:rsidRPr="00574714">
        <w:t xml:space="preserve">variables that </w:t>
      </w:r>
      <w:r w:rsidRPr="00574714">
        <w:rPr>
          <w:highlight w:val="yellow"/>
        </w:rPr>
        <w:t>appear</w:t>
      </w:r>
      <w:r w:rsidRPr="00574714">
        <w:t xml:space="preserve"> modest </w:t>
      </w:r>
      <w:r w:rsidRPr="00574714">
        <w:rPr>
          <w:highlight w:val="yellow"/>
        </w:rPr>
        <w:t>during</w:t>
      </w:r>
      <w:r w:rsidRPr="00574714">
        <w:t xml:space="preserve"> calm periods can strengthen </w:t>
      </w:r>
      <w:r w:rsidRPr="00574714">
        <w:rPr>
          <w:highlight w:val="yellow"/>
        </w:rPr>
        <w:t>rapidly</w:t>
      </w:r>
      <w:r w:rsidRPr="00574714">
        <w:t xml:space="preserve"> under stress, as the COVID-19 pandemic and the war in Ukraine showed (Ben </w:t>
      </w:r>
      <w:r w:rsidRPr="00574714">
        <w:rPr>
          <w:highlight w:val="yellow"/>
        </w:rPr>
        <w:t xml:space="preserve">Flah </w:t>
      </w:r>
      <w:r w:rsidRPr="00574714">
        <w:t xml:space="preserve">et al., 2025; Ghallabi et al., 2025). </w:t>
      </w:r>
      <w:r w:rsidR="00574714" w:rsidRPr="00574714">
        <w:t xml:space="preserve"> </w:t>
      </w:r>
      <w:proofErr w:type="spellStart"/>
      <w:r w:rsidR="00042CDD" w:rsidRPr="00574714">
        <w:rPr>
          <w:highlight w:val="yellow"/>
        </w:rPr>
        <w:t>Umoru</w:t>
      </w:r>
      <w:proofErr w:type="spellEnd"/>
      <w:r w:rsidR="00042CDD" w:rsidRPr="00574714">
        <w:rPr>
          <w:highlight w:val="yellow"/>
        </w:rPr>
        <w:t xml:space="preserve"> et al. (2024) examined crude oil and exchange-rate returns in oil-importing countri</w:t>
      </w:r>
      <w:r w:rsidR="00042CDD" w:rsidRPr="00574714">
        <w:rPr>
          <w:highlight w:val="yellow"/>
        </w:rPr>
        <w:t>es using quantile regression and VAR-GARCH models and reported volatility transmission between these markets. In Nigeria, Odiche (2022) used a VECH-GARCH model to investigate the relationships among oil-price volatility, exchange-rate volatility and stock-</w:t>
      </w:r>
      <w:r w:rsidR="00042CDD" w:rsidRPr="00574714">
        <w:rPr>
          <w:highlight w:val="yellow"/>
        </w:rPr>
        <w:t>market returns; Raji et al. (2018) also examined the relationship between crude oil prices and exchange rates.</w:t>
      </w:r>
    </w:p>
    <w:p w:rsidR="00B74E76" w:rsidRPr="00574714" w:rsidRDefault="00551BD8" w:rsidP="00574714">
      <w:pPr>
        <w:pStyle w:val="NormalWeb"/>
        <w:spacing w:line="360" w:lineRule="auto"/>
        <w:jc w:val="both"/>
      </w:pPr>
      <w:r w:rsidRPr="00574714">
        <w:t xml:space="preserve">Economic fundamentals </w:t>
      </w:r>
      <w:r w:rsidRPr="00574714">
        <w:rPr>
          <w:highlight w:val="yellow"/>
        </w:rPr>
        <w:t>help</w:t>
      </w:r>
      <w:r w:rsidRPr="00574714">
        <w:t xml:space="preserve"> explain the dynamics of long-run correlations, and both the short-run and long-run correlations between commodity returns and exchange rates fluctuate over time, as </w:t>
      </w:r>
      <w:r w:rsidRPr="00574714">
        <w:rPr>
          <w:highlight w:val="yellow"/>
        </w:rPr>
        <w:t>shown</w:t>
      </w:r>
      <w:r w:rsidRPr="00574714">
        <w:t xml:space="preserve"> </w:t>
      </w:r>
      <w:r w:rsidRPr="00574714">
        <w:rPr>
          <w:highlight w:val="yellow"/>
        </w:rPr>
        <w:t>by</w:t>
      </w:r>
      <w:r w:rsidRPr="00574714">
        <w:t xml:space="preserve"> Tsiakas and Zhang (2021)</w:t>
      </w:r>
      <w:r w:rsidRPr="00574714">
        <w:rPr>
          <w:highlight w:val="yellow"/>
        </w:rPr>
        <w:t>,</w:t>
      </w:r>
      <w:r w:rsidRPr="00574714">
        <w:t xml:space="preserve"> </w:t>
      </w:r>
      <w:r w:rsidRPr="00574714">
        <w:rPr>
          <w:highlight w:val="yellow"/>
        </w:rPr>
        <w:t>who</w:t>
      </w:r>
      <w:r w:rsidRPr="00574714">
        <w:t xml:space="preserve"> utilised a DCC-MIDAS framework. </w:t>
      </w:r>
      <w:r w:rsidRPr="00574714">
        <w:rPr>
          <w:highlight w:val="yellow"/>
        </w:rPr>
        <w:t>Using</w:t>
      </w:r>
      <w:r w:rsidRPr="00574714">
        <w:t xml:space="preserve"> DCC-based methodologies, Nandelenga et al. (2022) </w:t>
      </w:r>
      <w:r w:rsidRPr="00574714">
        <w:rPr>
          <w:highlight w:val="yellow"/>
        </w:rPr>
        <w:t>identified</w:t>
      </w:r>
      <w:r w:rsidRPr="00574714">
        <w:t xml:space="preserve"> various associations </w:t>
      </w:r>
      <w:r w:rsidRPr="00574714">
        <w:rPr>
          <w:highlight w:val="yellow"/>
        </w:rPr>
        <w:t>among</w:t>
      </w:r>
      <w:r w:rsidRPr="00574714">
        <w:t xml:space="preserve"> gold, crude oil, stock markets and exchange rates in South Africa, Kenya, and Nigeria. They also found that these associations changed significantly during the COVID-19 era. Using an asymmetric VAR-BEKK(DCC)-GARCH paradigm, Chen</w:t>
      </w:r>
      <w:r>
        <w:t xml:space="preserve"> et al. (2022) examined crude oil, currency rates, and gold across BRICS nations and found dynamic correlations and asymmetric volatility spillovers. Atipaga et al. (2024) </w:t>
      </w:r>
      <w:r>
        <w:rPr>
          <w:highlight w:val="yellow"/>
        </w:rPr>
        <w:t>reported</w:t>
      </w:r>
      <w:r>
        <w:t xml:space="preserve"> that stock returns and exchange rates are interdependent</w:t>
      </w:r>
      <w:r>
        <w:rPr>
          <w:highlight w:val="yellow"/>
        </w:rPr>
        <w:t xml:space="preserve"> in nine developing</w:t>
      </w:r>
      <w:r>
        <w:t xml:space="preserve"> and</w:t>
      </w:r>
      <w:r>
        <w:rPr>
          <w:highlight w:val="yellow"/>
        </w:rPr>
        <w:t xml:space="preserve"> emerging African markets, while</w:t>
      </w:r>
      <w:r>
        <w:t xml:space="preserve"> Ben Salem et al. (2024) showed that this relationship changed during the COVID-19 pandemic and the Russia</w:t>
      </w:r>
      <w:r>
        <w:rPr>
          <w:highlight w:val="yellow"/>
        </w:rPr>
        <w:t>–</w:t>
      </w:r>
      <w:r>
        <w:t xml:space="preserve">Ukraine war and also </w:t>
      </w:r>
      <w:r>
        <w:rPr>
          <w:highlight w:val="yellow"/>
        </w:rPr>
        <w:t>identified</w:t>
      </w:r>
      <w:r>
        <w:t xml:space="preserve"> </w:t>
      </w:r>
      <w:r>
        <w:rPr>
          <w:highlight w:val="yellow"/>
        </w:rPr>
        <w:t>substantial</w:t>
      </w:r>
      <w:r>
        <w:t xml:space="preserve"> </w:t>
      </w:r>
      <w:r>
        <w:rPr>
          <w:highlight w:val="yellow"/>
        </w:rPr>
        <w:t>volatility</w:t>
      </w:r>
      <w:r>
        <w:t xml:space="preserve"> transmission between oil prices and exchange rates. Hassan et al. (2024) investigated the transmission of Brent oil, natural gas, carbon markets, and the naira-dollar exchange rate to the Nigerian stock market, while Adenomon et al. (2025) utilised DCC-MGARCH to examine the time-varying volatility spillovers of crude oil prices, inflation, exchange rates, and stock market performance. </w:t>
      </w:r>
      <w:r>
        <w:rPr>
          <w:highlight w:val="yellow"/>
        </w:rPr>
        <w:t>Using a GARCH-MIDAS model, Tumala et al. (2023) found that stock</w:t>
      </w:r>
      <w:r>
        <w:t xml:space="preserve"> markets in South Africa and Nigeria responded similarly to shocks in oil consumption and supply but in different directions to shocks in economic activity and oil inventory demand. </w:t>
      </w:r>
      <w:r>
        <w:lastRenderedPageBreak/>
        <w:t xml:space="preserve">This instability has also been demonstrated in research carried out during pandemics. Kumeka et al. (2022) examined twelve oil-exporting nations and found that following the COVID-19 announcement, oil prices affected stock and </w:t>
      </w:r>
      <w:r>
        <w:rPr>
          <w:highlight w:val="yellow"/>
        </w:rPr>
        <w:t>exchange-rate</w:t>
      </w:r>
      <w:r>
        <w:t xml:space="preserve"> markets. </w:t>
      </w:r>
      <w:r>
        <w:rPr>
          <w:highlight w:val="yellow"/>
        </w:rPr>
        <w:t>Before</w:t>
      </w:r>
      <w:r>
        <w:t xml:space="preserve"> this point, the shocks had a disproportionate impact on the variables. Ben </w:t>
      </w:r>
      <w:r>
        <w:rPr>
          <w:highlight w:val="yellow"/>
        </w:rPr>
        <w:t xml:space="preserve">Flah </w:t>
      </w:r>
      <w:r>
        <w:t>et al. (2025) found that</w:t>
      </w:r>
      <w:r>
        <w:rPr>
          <w:highlight w:val="yellow"/>
        </w:rPr>
        <w:t>,</w:t>
      </w:r>
      <w:r>
        <w:t xml:space="preserve"> when an asymmetric BEKK-GARCH model was applied to oil, cocoa, and gold prices, as well as the stock indices of Nigeria, Ghana, and Côte d'Ivoire, there was a 30% increase in volatility spillovers during COVID-19, along with clear asymmetry in conditional variances. </w:t>
      </w:r>
      <w:r>
        <w:rPr>
          <w:highlight w:val="yellow"/>
        </w:rPr>
        <w:t>In contrast, Urom et al. (2023) found stronger connections between</w:t>
      </w:r>
      <w:r>
        <w:t xml:space="preserve"> twelve African stock markets </w:t>
      </w:r>
      <w:r>
        <w:rPr>
          <w:highlight w:val="yellow"/>
        </w:rPr>
        <w:t>and</w:t>
      </w:r>
      <w:r>
        <w:t xml:space="preserve"> global </w:t>
      </w:r>
      <w:r>
        <w:rPr>
          <w:highlight w:val="yellow"/>
        </w:rPr>
        <w:t>commodity</w:t>
      </w:r>
      <w:r>
        <w:t xml:space="preserve"> and developed </w:t>
      </w:r>
      <w:r>
        <w:rPr>
          <w:highlight w:val="yellow"/>
        </w:rPr>
        <w:t>equity</w:t>
      </w:r>
      <w:r>
        <w:t xml:space="preserve"> markets during the </w:t>
      </w:r>
      <w:r>
        <w:rPr>
          <w:highlight w:val="yellow"/>
        </w:rPr>
        <w:t>pandemic</w:t>
      </w:r>
      <w:r>
        <w:t xml:space="preserve">. </w:t>
      </w:r>
      <w:r>
        <w:rPr>
          <w:highlight w:val="yellow"/>
        </w:rPr>
        <w:t>During</w:t>
      </w:r>
      <w:r>
        <w:t xml:space="preserve"> COVID-19, oil </w:t>
      </w:r>
      <w:r>
        <w:rPr>
          <w:highlight w:val="yellow"/>
        </w:rPr>
        <w:t>assumed</w:t>
      </w:r>
      <w:r>
        <w:t xml:space="preserve"> the role of a safe-haven asset in several African stock markets, notably Nigeria, </w:t>
      </w:r>
      <w:r>
        <w:rPr>
          <w:highlight w:val="yellow"/>
        </w:rPr>
        <w:t>while</w:t>
      </w:r>
      <w:r>
        <w:t xml:space="preserve"> gold </w:t>
      </w:r>
      <w:r>
        <w:rPr>
          <w:highlight w:val="yellow"/>
        </w:rPr>
        <w:t xml:space="preserve">had previously served </w:t>
      </w:r>
      <w:r>
        <w:t xml:space="preserve">as </w:t>
      </w:r>
      <w:r>
        <w:rPr>
          <w:highlight w:val="yellow"/>
        </w:rPr>
        <w:t>a</w:t>
      </w:r>
      <w:r>
        <w:t xml:space="preserve"> hedging </w:t>
      </w:r>
      <w:r>
        <w:rPr>
          <w:highlight w:val="yellow"/>
        </w:rPr>
        <w:t>instrument (Dontoh et al., 2024)</w:t>
      </w:r>
      <w:r>
        <w:t xml:space="preserve">. Using an ADCC-CoVaR approach, Ghallabi et al. (2025) found that the dynamic correlations between crude oil, gold, a global commodities index, and emerging market equities </w:t>
      </w:r>
      <w:r>
        <w:rPr>
          <w:highlight w:val="yellow"/>
        </w:rPr>
        <w:t>changed</w:t>
      </w:r>
      <w:r>
        <w:t xml:space="preserve"> over time and increased during times of crisis. Their findings suggest that gold had comparatively limited risk spillovers, while crude-oil spillovers remained relatively stable during the major crises examined.</w:t>
      </w:r>
      <w:r>
        <w:rPr>
          <w:highlight w:val="yellow"/>
        </w:rPr>
      </w:r>
      <w:r/>
      <w:r>
        <w:rPr>
          <w:highlight w:val="yellow"/>
        </w:rPr>
      </w:r>
      <w:r/>
      <w:r>
        <w:rPr>
          <w:highlight w:val="yellow"/>
        </w:rPr>
      </w:r>
      <w:r/>
      <w:r>
        <w:rPr>
          <w:highlight w:val="yellow"/>
        </w:rPr>
      </w:r>
      <w:r/>
      <w:r>
        <w:rPr>
          <w:highlight w:val="yellow"/>
        </w:rPr>
      </w:r>
      <w:r/>
      <w:r>
        <w:rPr>
          <w:highlight w:val="yellow"/>
        </w:rPr>
      </w:r>
      <w:r>
        <w:t xml:space="preserve"> </w:t>
      </w:r>
      <w:r>
        <w:rPr>
          <w:highlight w:val="yellow"/>
        </w:rPr>
        <w:t>After examining</w:t>
      </w:r>
      <w:r>
        <w:t xml:space="preserve"> seven </w:t>
      </w:r>
      <w:r>
        <w:rPr>
          <w:highlight w:val="yellow"/>
        </w:rPr>
        <w:t>global</w:t>
      </w:r>
      <w:r>
        <w:t xml:space="preserve"> stock markets, Ahmadian-Yazdi et al. (2025) found that spillovers were more common </w:t>
      </w:r>
      <w:r>
        <w:rPr>
          <w:highlight w:val="yellow"/>
        </w:rPr>
        <w:t>after</w:t>
      </w:r>
      <w:r>
        <w:t xml:space="preserve"> catastrophic </w:t>
      </w:r>
      <w:r>
        <w:rPr>
          <w:highlight w:val="yellow"/>
        </w:rPr>
        <w:t>events</w:t>
      </w:r>
      <w:r>
        <w:t xml:space="preserve">, with natural gas being the source of the least amount of shock transmission. </w:t>
      </w:r>
      <w:r>
        <w:rPr>
          <w:highlight w:val="yellow"/>
        </w:rPr>
        <w:t>The study considered copper</w:t>
      </w:r>
      <w:r>
        <w:t>, Brent</w:t>
      </w:r>
      <w:r>
        <w:rPr>
          <w:highlight w:val="yellow"/>
        </w:rPr>
        <w:t xml:space="preserve"> crude</w:t>
      </w:r>
      <w:r>
        <w:t xml:space="preserve"> oil, natural gas, gold and other commodities. Ben Salem </w:t>
      </w:r>
      <w:r>
        <w:rPr>
          <w:highlight w:val="yellow"/>
        </w:rPr>
        <w:t xml:space="preserve">et </w:t>
      </w:r>
      <w:r>
        <w:t>al</w:t>
      </w:r>
      <w:r>
        <w:rPr>
          <w:highlight w:val="yellow"/>
        </w:rPr>
        <w:t>.</w:t>
      </w:r>
      <w:r>
        <w:t xml:space="preserve"> (2024) </w:t>
      </w:r>
      <w:r>
        <w:rPr>
          <w:highlight w:val="yellow"/>
        </w:rPr>
        <w:t>also found a stronger relationship</w:t>
      </w:r>
      <w:r>
        <w:t xml:space="preserve"> between </w:t>
      </w:r>
      <w:r>
        <w:rPr>
          <w:highlight w:val="yellow"/>
        </w:rPr>
        <w:t>oil</w:t>
      </w:r>
      <w:r>
        <w:t xml:space="preserve"> </w:t>
      </w:r>
      <w:r>
        <w:rPr>
          <w:highlight w:val="yellow"/>
        </w:rPr>
        <w:t>prices</w:t>
      </w:r>
      <w:r>
        <w:t xml:space="preserve"> and exchange rates </w:t>
      </w:r>
      <w:r>
        <w:rPr>
          <w:highlight w:val="yellow"/>
        </w:rPr>
        <w:t>in</w:t>
      </w:r>
      <w:r>
        <w:t xml:space="preserve"> eleven</w:t>
      </w:r>
      <w:r>
        <w:rPr>
          <w:highlight w:val="yellow"/>
        </w:rPr>
        <w:t xml:space="preserve"> oil-importing and oil-exporting</w:t>
      </w:r>
      <w:r>
        <w:t xml:space="preserve"> countries. In addition</w:t>
      </w:r>
      <w:r w:rsidRPr="00574714">
        <w:t xml:space="preserve">, Rastogi et al. (2024) </w:t>
      </w:r>
      <w:r w:rsidRPr="00574714">
        <w:rPr>
          <w:highlight w:val="yellow"/>
        </w:rPr>
        <w:t>utilised</w:t>
      </w:r>
      <w:r w:rsidRPr="00574714">
        <w:t xml:space="preserve"> a pairwise design and BEKK- and DCC-GARCH models</w:t>
      </w:r>
      <w:r w:rsidRPr="00574714">
        <w:rPr>
          <w:highlight w:val="yellow"/>
        </w:rPr>
        <w:t xml:space="preserve"> to investigate the relationships between the Indian rupee, interest rates, crude oil and gold</w:t>
      </w:r>
      <w:r w:rsidRPr="00574714">
        <w:t>.</w:t>
      </w:r>
      <w:r w:rsidR="00574714" w:rsidRPr="00574714">
        <w:t xml:space="preserve"> </w:t>
      </w:r>
      <w:proofErr w:type="spellStart"/>
      <w:r w:rsidR="00042CDD" w:rsidRPr="00574714">
        <w:rPr>
          <w:highlight w:val="yellow"/>
        </w:rPr>
        <w:t>Woode</w:t>
      </w:r>
      <w:proofErr w:type="spellEnd"/>
      <w:r w:rsidR="00042CDD" w:rsidRPr="00574714">
        <w:rPr>
          <w:highlight w:val="yellow"/>
        </w:rPr>
        <w:t xml:space="preserve"> et al. (2025) </w:t>
      </w:r>
      <w:r w:rsidR="00042CDD" w:rsidRPr="00574714">
        <w:rPr>
          <w:highlight w:val="yellow"/>
        </w:rPr>
        <w:t>documented time-varying connectedness among commodities, exchange rates, and equity markets in commodity-dependent sub-Saharan African economies using time- and frequency-based approaches. Liu et al. (2026) also examined volatility co-movement among commod</w:t>
      </w:r>
      <w:r w:rsidR="00042CDD" w:rsidRPr="00574714">
        <w:rPr>
          <w:highlight w:val="yellow"/>
        </w:rPr>
        <w:t>ity, currency, and stock markets, providing additional context for the analysis of cross-market dependence.</w:t>
      </w:r>
    </w:p>
    <w:p w:rsidR="001C6F0B" w:rsidRPr="00044728" w:rsidRDefault="001A1001" w:rsidP="00EE0234">
      <w:pPr>
        <w:pStyle w:val="NormalWeb"/>
        <w:spacing w:line="360" w:lineRule="auto"/>
        <w:jc w:val="both"/>
      </w:pPr>
      <w:r w:rsidRPr="00574714">
        <w:t xml:space="preserve">Despite these contributions, most of the recent literature examines either limited </w:t>
      </w:r>
      <w:r w:rsidRPr="00574714">
        <w:rPr>
          <w:highlight w:val="yellow"/>
        </w:rPr>
        <w:t>pairs</w:t>
      </w:r>
      <w:r w:rsidRPr="00574714">
        <w:t xml:space="preserve"> of markets, such as oil and stocks or commodities and</w:t>
      </w:r>
      <w:r>
        <w:t xml:space="preserve"> exchange rates, or focuses primarily on volatility spillovers rather than modelling the </w:t>
      </w:r>
      <w:r>
        <w:rPr>
          <w:rStyle w:val="Strong"/>
          <w:rFonts w:eastAsiaTheme="majorEastAsia"/>
          <w:b w:val="0"/>
        </w:rPr>
        <w:t>joint dynamic correlation structure of several major global commodities, the Nigerian exchange rate and the Nigerian stock</w:t>
      </w:r>
      <w:r>
        <w:rPr>
          <w:rStyle w:val="Strong"/>
          <w:rFonts w:eastAsiaTheme="majorEastAsia"/>
          <w:b w:val="0"/>
          <w:highlight w:val="yellow"/>
        </w:rPr>
        <w:t xml:space="preserve"> </w:t>
      </w:r>
      <w:r>
        <w:rPr>
          <w:rStyle w:val="Strong"/>
          <w:rFonts w:eastAsiaTheme="majorEastAsia"/>
          <w:b w:val="0"/>
        </w:rPr>
        <w:t xml:space="preserve">market. </w:t>
      </w:r>
      <w:r>
        <w:t xml:space="preserve">Pairwise designs cannot </w:t>
      </w:r>
      <w:r>
        <w:lastRenderedPageBreak/>
        <w:t xml:space="preserve">show how a shock travels through a system in which several commodities, the currency and share prices interact simultaneously. Without that knowledge, investors may misjudge diversification benefits, and policymakers may be left with an incomplete view of how external price shocks are passed on to the domestic financial system. Therefore, the central problem is not simply whether commodity prices, exchange rates and stock returns are correlated, but whether their </w:t>
      </w:r>
      <w:r>
        <w:rPr>
          <w:rStyle w:val="Strong"/>
          <w:rFonts w:eastAsiaTheme="majorEastAsia"/>
          <w:b w:val="0"/>
        </w:rPr>
        <w:t>conditional correlations change over time</w:t>
      </w:r>
      <w:r>
        <w:rPr>
          <w:b/>
        </w:rPr>
        <w:t>,</w:t>
      </w:r>
      <w:r>
        <w:t xml:space="preserve"> particularly when markets experience major economic, financial and geopolitical disturbances. This leaves an empirical gap concerning how the conditional correlations among crude oil, copper, gold, natural gas, </w:t>
      </w:r>
      <w:r>
        <w:rPr>
          <w:highlight w:val="yellow"/>
        </w:rPr>
        <w:t>exchange-rate</w:t>
      </w:r>
      <w:r>
        <w:t xml:space="preserve"> and stock-market returns change jointly through time in Nigeria. </w:t>
      </w:r>
      <w:r>
        <w:rPr>
          <w:highlight w:val="yellow"/>
        </w:rPr>
        <w:t>Accordingly,</w:t>
      </w:r>
      <w:r>
        <w:t xml:space="preserve"> this study </w:t>
      </w:r>
      <w:r>
        <w:rPr>
          <w:highlight w:val="yellow"/>
        </w:rPr>
        <w:t>undertakes</w:t>
      </w:r>
      <w:r>
        <w:t xml:space="preserve"> a multivariate analysis of the dynamic </w:t>
      </w:r>
      <w:r>
        <w:rPr>
          <w:highlight w:val="yellow"/>
        </w:rPr>
        <w:t>correlations</w:t>
      </w:r>
      <w:r>
        <w:t xml:space="preserve"> among commodity and financial markets in Nigeria. The study is guided by three research objectives</w:t>
      </w:r>
      <w:r>
        <w:rPr>
          <w:highlight w:val="yellow"/>
        </w:rPr>
        <w:t>:</w:t>
      </w:r>
    </w:p>
    <w:p w:rsidR="00B137B1" w:rsidRPr="00044728" w:rsidRDefault="007C27D5" w:rsidP="00EE0234">
      <w:pPr>
        <w:pStyle w:val="ListParagraph"/>
        <w:numPr>
          <w:ilvl w:val="0"/>
          <w:numId w:val="29"/>
        </w:numPr>
        <w:jc w:val="both"/>
        <w:rPr>
          <w:rFonts w:ascii="Times New Roman" w:hAnsi="Times New Roman" w:cs="Times New Roman"/>
        </w:rPr>
      </w:pPr>
      <w:r>
        <w:rPr>
          <w:rFonts w:ascii="Times New Roman" w:hAnsi="Times New Roman" w:cs="Times New Roman"/>
        </w:rPr>
        <w:t>To estimate the dynamic conditional correlations among global commodity prices, exchange rate and stock market returns</w:t>
      </w:r>
      <w:r>
        <w:rPr>
          <w:rFonts w:ascii="Times New Roman" w:hAnsi="Times New Roman" w:cs="Times New Roman"/>
          <w:highlight w:val="yellow"/>
        </w:rPr>
        <w:t>.</w:t>
      </w:r>
    </w:p>
    <w:p w:rsidR="00826975" w:rsidRPr="00044728" w:rsidRDefault="007C27D5" w:rsidP="00EE0234">
      <w:pPr>
        <w:pStyle w:val="ListParagraph"/>
        <w:numPr>
          <w:ilvl w:val="0"/>
          <w:numId w:val="29"/>
        </w:numPr>
        <w:jc w:val="both"/>
        <w:rPr>
          <w:rFonts w:ascii="Times New Roman" w:hAnsi="Times New Roman" w:cs="Times New Roman"/>
        </w:rPr>
      </w:pPr>
      <w:r w:rsidRPr="00044728">
        <w:rPr>
          <w:rFonts w:ascii="Times New Roman" w:hAnsi="Times New Roman" w:cs="Times New Roman"/>
        </w:rPr>
        <w:t>To assess the extent to which shocks and volatility in global commodity prices and exchange rate are transmitted to Nigerian stock market returns.</w:t>
      </w:r>
    </w:p>
    <w:p w:rsidR="00826975" w:rsidRPr="00044728" w:rsidRDefault="007C27D5" w:rsidP="00EE0234">
      <w:pPr>
        <w:pStyle w:val="ListParagraph"/>
        <w:numPr>
          <w:ilvl w:val="0"/>
          <w:numId w:val="29"/>
        </w:numPr>
        <w:jc w:val="both"/>
        <w:rPr>
          <w:rFonts w:ascii="Times New Roman" w:hAnsi="Times New Roman" w:cs="Times New Roman"/>
        </w:rPr>
      </w:pPr>
      <w:r>
        <w:rPr>
          <w:rFonts w:ascii="Times New Roman" w:hAnsi="Times New Roman" w:cs="Times New Roman"/>
        </w:rPr>
        <w:t>To investigate the persistence and evolution of the correlations among global commodity prices, exchange rate and stock market returns</w:t>
      </w:r>
      <w:r>
        <w:rPr>
          <w:rFonts w:ascii="Times New Roman" w:hAnsi="Times New Roman" w:cs="Times New Roman"/>
          <w:highlight w:val="yellow"/>
        </w:rPr>
        <w:t>.</w:t>
      </w:r>
    </w:p>
    <w:p w:rsidR="001A1001" w:rsidRPr="00044728" w:rsidRDefault="001A1001" w:rsidP="00EE0234">
      <w:pPr>
        <w:pStyle w:val="ListParagraph"/>
        <w:jc w:val="both"/>
        <w:rPr>
          <w:rFonts w:ascii="Times New Roman" w:hAnsi="Times New Roman" w:cs="Times New Roman"/>
        </w:rPr>
      </w:pPr>
    </w:p>
    <w:p w:rsidR="00826975" w:rsidRPr="00044728" w:rsidRDefault="00826975" w:rsidP="00EE0234">
      <w:pPr>
        <w:jc w:val="both"/>
        <w:rPr>
          <w:rFonts w:ascii="Times New Roman" w:hAnsi="Times New Roman" w:cs="Times New Roman"/>
          <w:b/>
        </w:rPr>
      </w:pPr>
      <w:r w:rsidRPr="00044728">
        <w:rPr>
          <w:rFonts w:ascii="Times New Roman" w:hAnsi="Times New Roman" w:cs="Times New Roman"/>
          <w:b/>
        </w:rPr>
        <w:t>METHODOLOGY</w:t>
      </w:r>
    </w:p>
    <w:p w:rsidR="00803B32" w:rsidRPr="00044728" w:rsidRDefault="00EE0234" w:rsidP="00EE0234">
      <w:pPr>
        <w:spacing w:after="0" w:line="360" w:lineRule="auto"/>
        <w:jc w:val="both"/>
        <w:rPr>
          <w:rFonts w:ascii="Times New Roman" w:hAnsi="Times New Roman" w:cs="Times New Roman"/>
        </w:rPr>
      </w:pPr>
      <w:r>
        <w:rPr>
          <w:rFonts w:ascii="Times New Roman" w:hAnsi="Times New Roman" w:cs="Times New Roman"/>
        </w:rPr>
        <w:t xml:space="preserve">The study adopts </w:t>
      </w:r>
      <w:r>
        <w:rPr>
          <w:rFonts w:ascii="Times New Roman" w:hAnsi="Times New Roman" w:cs="Times New Roman"/>
          <w:highlight w:val="yellow"/>
        </w:rPr>
        <w:t xml:space="preserve">an </w:t>
      </w:r>
      <w:r>
        <w:rPr>
          <w:rFonts w:ascii="Times New Roman" w:hAnsi="Times New Roman" w:cs="Times New Roman"/>
        </w:rPr>
        <w:t>ex post</w:t>
      </w:r>
      <w:r>
        <w:rPr>
          <w:rFonts w:ascii="Times New Roman" w:hAnsi="Times New Roman" w:cs="Times New Roman"/>
          <w:highlight w:val="yellow"/>
        </w:rPr>
        <w:t xml:space="preserve"> </w:t>
      </w:r>
      <w:r>
        <w:rPr>
          <w:rFonts w:ascii="Times New Roman" w:hAnsi="Times New Roman" w:cs="Times New Roman"/>
        </w:rPr>
        <w:t xml:space="preserve">facto research design because the researcher investigates the relationship between an independent variable and a dependent variable after the independent variable has already occurred naturally, without any manipulation or control by the researcher. The dataset </w:t>
      </w:r>
      <w:r>
        <w:rPr>
          <w:rFonts w:ascii="Times New Roman" w:hAnsi="Times New Roman" w:cs="Times New Roman"/>
          <w:highlight w:val="yellow"/>
        </w:rPr>
        <w:t>covers the period</w:t>
      </w:r>
      <w:r>
        <w:rPr>
          <w:rFonts w:ascii="Times New Roman" w:hAnsi="Times New Roman" w:cs="Times New Roman"/>
        </w:rPr>
        <w:t xml:space="preserve"> from</w:t>
      </w:r>
      <w:r>
        <w:rPr>
          <w:rFonts w:ascii="Times New Roman" w:hAnsi="Times New Roman" w:cs="Times New Roman"/>
          <w:highlight w:val="yellow"/>
        </w:rPr>
        <w:t xml:space="preserve"> 29</w:t>
      </w:r>
      <w:r>
        <w:rPr>
          <w:rFonts w:ascii="Times New Roman" w:hAnsi="Times New Roman" w:cs="Times New Roman"/>
        </w:rPr>
        <w:t xml:space="preserve"> December 2009 to</w:t>
      </w:r>
      <w:r>
        <w:rPr>
          <w:rFonts w:ascii="Times New Roman" w:hAnsi="Times New Roman" w:cs="Times New Roman"/>
          <w:highlight w:val="yellow"/>
        </w:rPr>
        <w:t xml:space="preserve"> 7</w:t>
      </w:r>
      <w:r>
        <w:rPr>
          <w:rFonts w:ascii="Times New Roman" w:hAnsi="Times New Roman" w:cs="Times New Roman"/>
        </w:rPr>
        <w:t xml:space="preserve"> November 2025 and was sourced from</w:t>
      </w:r>
      <w:r>
        <w:rPr>
          <w:rFonts w:ascii="Times New Roman" w:hAnsi="Times New Roman" w:cs="Times New Roman"/>
          <w:highlight w:val="yellow"/>
        </w:rPr>
        <w:t xml:space="preserve"> the</w:t>
      </w:r>
      <w:r>
        <w:rPr>
          <w:rFonts w:ascii="Times New Roman" w:hAnsi="Times New Roman" w:cs="Times New Roman"/>
        </w:rPr>
        <w:t xml:space="preserve"> Central Bank of Nigeria (CBN), Nigerian Exchange Group (NGX) and </w:t>
      </w:r>
      <w:r>
        <w:rPr>
          <w:rFonts w:ascii="Times New Roman" w:hAnsi="Times New Roman" w:cs="Times New Roman"/>
          <w:highlight w:val="yellow"/>
        </w:rPr>
        <w:t>recognised</w:t>
      </w:r>
      <w:r>
        <w:rPr>
          <w:rFonts w:ascii="Times New Roman" w:hAnsi="Times New Roman" w:cs="Times New Roman"/>
        </w:rPr>
        <w:t xml:space="preserve"> global financial databases. This study uses both VAR and DCC models. The Vector Autoregressive (VAR) model was </w:t>
      </w:r>
      <w:r>
        <w:rPr>
          <w:rStyle w:val="Emphasis"/>
          <w:rFonts w:ascii="Times New Roman" w:hAnsi="Times New Roman" w:cs="Times New Roman"/>
          <w:i w:val="0"/>
          <w:spacing w:val="2"/>
          <w:bdr w:val="none" w:sz="0" w:space="0" w:color="auto" w:frame="1"/>
          <w:shd w:val="clear" w:color="auto" w:fill="FFFFFF"/>
        </w:rPr>
        <w:t xml:space="preserve">used </w:t>
      </w:r>
      <w:r>
        <w:rPr>
          <w:rStyle w:val="Emphasis"/>
          <w:rFonts w:ascii="Times New Roman" w:hAnsi="Times New Roman" w:cs="Times New Roman"/>
          <w:i w:val="0"/>
          <w:spacing w:val="2"/>
          <w:highlight w:val="yellow"/>
          <w:bdr w:val="none" w:sz="0" w:space="0" w:color="auto" w:frame="1"/>
          <w:shd w:val="clear" w:color="auto" w:fill="FFFFFF"/>
        </w:rPr>
        <w:t>by Sims</w:t>
      </w:r>
      <w:r>
        <w:rPr>
          <w:rStyle w:val="Emphasis"/>
          <w:rFonts w:ascii="Times New Roman" w:hAnsi="Times New Roman" w:cs="Times New Roman"/>
          <w:i w:val="0"/>
          <w:spacing w:val="2"/>
          <w:bdr w:val="none" w:sz="0" w:space="0" w:color="auto" w:frame="1"/>
          <w:shd w:val="clear" w:color="auto" w:fill="FFFFFF"/>
        </w:rPr>
        <w:t xml:space="preserve"> </w:t>
      </w:r>
      <w:r>
        <w:rPr>
          <w:rStyle w:val="Emphasis"/>
          <w:rFonts w:ascii="Times New Roman" w:hAnsi="Times New Roman" w:cs="Times New Roman"/>
          <w:i w:val="0"/>
          <w:spacing w:val="2"/>
          <w:highlight w:val="yellow"/>
          <w:bdr w:val="none" w:sz="0" w:space="0" w:color="auto" w:frame="1"/>
          <w:shd w:val="clear" w:color="auto" w:fill="FFFFFF"/>
        </w:rPr>
        <w:t>(</w:t>
      </w:r>
      <w:r>
        <w:rPr>
          <w:rStyle w:val="Emphasis"/>
          <w:rFonts w:ascii="Times New Roman" w:hAnsi="Times New Roman" w:cs="Times New Roman"/>
          <w:i w:val="0"/>
          <w:spacing w:val="2"/>
          <w:bdr w:val="none" w:sz="0" w:space="0" w:color="auto" w:frame="1"/>
          <w:shd w:val="clear" w:color="auto" w:fill="FFFFFF"/>
        </w:rPr>
        <w:t>1980</w:t>
      </w:r>
      <w:r>
        <w:rPr>
          <w:rStyle w:val="Emphasis"/>
          <w:rFonts w:ascii="Times New Roman" w:hAnsi="Times New Roman" w:cs="Times New Roman"/>
          <w:i w:val="0"/>
          <w:spacing w:val="2"/>
          <w:highlight w:val="yellow"/>
          <w:bdr w:val="none" w:sz="0" w:space="0" w:color="auto" w:frame="1"/>
          <w:shd w:val="clear" w:color="auto" w:fill="FFFFFF"/>
        </w:rPr>
        <w:t>)</w:t>
      </w:r>
      <w:r>
        <w:rPr>
          <w:rStyle w:val="Emphasis"/>
          <w:rFonts w:ascii="Times New Roman" w:hAnsi="Times New Roman" w:cs="Times New Roman"/>
          <w:i w:val="0"/>
          <w:spacing w:val="2"/>
          <w:bdr w:val="none" w:sz="0" w:space="0" w:color="auto" w:frame="1"/>
          <w:shd w:val="clear" w:color="auto" w:fill="FFFFFF"/>
        </w:rPr>
        <w:t xml:space="preserve"> </w:t>
      </w:r>
      <w:r>
        <w:rPr>
          <w:rFonts w:ascii="Times New Roman" w:hAnsi="Times New Roman" w:cs="Times New Roman"/>
        </w:rPr>
        <w:t>to capture the dynamic interrelationships among jointly endogenous variables without imposing strong a priori structural restrictions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The</w:t>
      </w:r>
      <w:r>
        <w:rPr>
          <w:rFonts w:ascii="Times New Roman" w:hAnsi="Times New Roman" w:cs="Times New Roman"/>
        </w:rPr>
        <w:t xml:space="preserve"> Dynamic Conditional Correlation (DCC</w:t>
      </w:r>
      <w:r>
        <w:rPr>
          <w:rFonts w:ascii="Times New Roman" w:hAnsi="Times New Roman" w:cs="Times New Roman"/>
          <w:highlight w:val="yellow"/>
        </w:rPr>
        <w:t>)</w:t>
      </w:r>
      <w:r>
        <w:rPr>
          <w:rFonts w:ascii="Times New Roman" w:hAnsi="Times New Roman" w:cs="Times New Roman"/>
        </w:rPr>
        <w:t xml:space="preserve">-GARCH model belongs to the class of models that estimate conditional variances and correlations. It was introduced by Engle and Sheppard </w:t>
      </w:r>
      <w:r>
        <w:rPr>
          <w:rFonts w:ascii="Times New Roman" w:hAnsi="Times New Roman" w:cs="Times New Roman"/>
          <w:highlight w:val="yellow"/>
        </w:rPr>
        <w:t>(</w:t>
      </w:r>
      <w:r>
        <w:rPr>
          <w:rFonts w:ascii="Times New Roman" w:hAnsi="Times New Roman" w:cs="Times New Roman"/>
        </w:rPr>
        <w:t>2001</w:t>
      </w:r>
      <w:r>
        <w:rPr>
          <w:rFonts w:ascii="Times New Roman" w:hAnsi="Times New Roman" w:cs="Times New Roman"/>
          <w:highlight w:val="yellow"/>
        </w:rPr>
        <w:t>)</w:t>
      </w:r>
      <w:r>
        <w:rPr>
          <w:rFonts w:ascii="Times New Roman" w:hAnsi="Times New Roman" w:cs="Times New Roman"/>
        </w:rPr>
        <w:t>.</w:t>
      </w:r>
    </w:p>
    <w:p w:rsidR="007E3FA6" w:rsidRPr="00044728" w:rsidRDefault="007E3FA6" w:rsidP="00EE0234">
      <w:pPr>
        <w:spacing w:after="0" w:line="240" w:lineRule="auto"/>
        <w:jc w:val="both"/>
        <w:rPr>
          <w:rFonts w:ascii="Times New Roman" w:hAnsi="Times New Roman" w:cs="Times New Roman"/>
          <w:b/>
        </w:rPr>
      </w:pPr>
      <w:r w:rsidRPr="00044728">
        <w:rPr>
          <w:rFonts w:ascii="Times New Roman" w:hAnsi="Times New Roman" w:cs="Times New Roman"/>
          <w:b/>
        </w:rPr>
        <w:t>Vector Autoregressive (VAR) model</w:t>
      </w:r>
    </w:p>
    <w:p w:rsidR="00A5036E" w:rsidRPr="00044728" w:rsidRDefault="005B132E" w:rsidP="00EE0234">
      <w:pPr>
        <w:spacing w:after="0" w:line="240" w:lineRule="auto"/>
        <w:jc w:val="both"/>
        <w:rPr>
          <w:rFonts w:ascii="Times New Roman" w:eastAsiaTheme="minorEastAsia" w:hAnsi="Times New Roman" w:cs="Times New Roman"/>
        </w:rPr>
      </w:pPr>
      <w:r w:rsidRPr="005B132E">
        <w:rPr>
          <w:rFonts w:ascii="Times New Roman" w:hAnsi="Times New Roman" w:cs="Times New Roman"/>
          <w:highlight w:val="yellow"/>
        </w:rPr>
        <w:t xml:space="preserve">In the VAR model, each variable is expressed as a function of its own lagged values and the lagged values of all other variables in the system. The model is useful for examining the dynamic effects </w:t>
      </w:r>
      <w:r w:rsidRPr="005B132E">
        <w:rPr>
          <w:rFonts w:ascii="Times New Roman" w:hAnsi="Times New Roman" w:cs="Times New Roman"/>
          <w:highlight w:val="yellow"/>
        </w:rPr>
        <w:lastRenderedPageBreak/>
        <w:t>of random shocks on the system. The K-dimensional return vector is</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STOKP,t</m:t>
                                  </m:r>
                                </m:sub>
                              </m:sSub>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w:t>
      </w:r>
    </w:p>
    <w:p w:rsidR="003A5880" w:rsidRPr="00044728" w:rsidRDefault="003A5880" w:rsidP="00EE0234">
      <w:pPr>
        <w:spacing w:after="0" w:line="240" w:lineRule="auto"/>
        <w:jc w:val="both"/>
        <w:rPr>
          <w:rFonts w:ascii="Times New Roman" w:eastAsiaTheme="minorEastAsia" w:hAnsi="Times New Roman" w:cs="Times New Roman"/>
        </w:rPr>
      </w:pPr>
    </w:p>
    <w:p w:rsidR="00075FF0" w:rsidRPr="00044728" w:rsidRDefault="00075FF0" w:rsidP="00EE0234">
      <w:pPr>
        <w:spacing w:after="0" w:line="240" w:lineRule="auto"/>
        <w:jc w:val="both"/>
        <w:rPr>
          <w:rFonts w:ascii="Times New Roman" w:hAnsi="Times New Roman" w:cs="Times New Roman"/>
        </w:rPr>
      </w:pPr>
      <w:r w:rsidRPr="00044728">
        <w:rPr>
          <w:rFonts w:ascii="Times New Roman" w:eastAsiaTheme="minorEastAsia" w:hAnsi="Times New Roman" w:cs="Times New Roman"/>
        </w:rPr>
        <w:t>Where</w:t>
      </w:r>
    </w:p>
    <w:p w:rsidR="00A5036E"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m:t>
            </m:r>
            <m:r>
              <w:rPr>
                <w:rFonts w:ascii="Cambria Math" w:hAnsi="Cambria Math" w:cs="Times New Roman"/>
              </w:rPr>
              <m:t>,</m:t>
            </m:r>
            <m:r>
              <w:rPr>
                <w:rFonts w:ascii="Cambria Math" w:hAnsi="Cambria Math" w:cs="Times New Roman"/>
              </w:rPr>
              <m:t>t</m:t>
            </m:r>
          </m:sub>
        </m:sSub>
      </m:oMath>
      <w:r w:rsidR="003C6872" w:rsidRPr="00044728">
        <w:rPr>
          <w:rFonts w:ascii="Times New Roman" w:eastAsiaTheme="minorEastAsia" w:hAnsi="Times New Roman" w:cs="Times New Roman"/>
        </w:rPr>
        <w:t xml:space="preserve"> = </w:t>
      </w:r>
      <m:oMath>
        <m:r>
          <w:rPr>
            <w:rFonts w:ascii="Cambria Math" w:eastAsiaTheme="minorEastAsia" w:hAnsi="Cambria Math" w:cs="Times New Roman"/>
          </w:rPr>
          <m:t>∆</m:t>
        </m:r>
        <m:r>
          <w:rPr>
            <w:rFonts w:ascii="Cambria Math" w:eastAsiaTheme="minorEastAsia" w:hAnsi="Cambria Math" w:cs="Times New Roman"/>
          </w:rPr>
          <m:t>In</m:t>
        </m:r>
        <m:r>
          <w:rPr>
            <w:rFonts w:ascii="Cambria Math" w:eastAsiaTheme="minorEastAsia" w:hAnsi="Cambria Math" w:cs="Times New Roman"/>
          </w:rPr>
          <m:t xml:space="preserve"> (</m:t>
        </m:r>
        <m:sSub>
          <m:sSubPr>
            <m:ctrlPr>
              <w:rPr>
                <w:rFonts w:ascii="Cambria Math" w:hAnsi="Cambria Math" w:cs="Times New Roman"/>
                <w:i/>
              </w:rPr>
            </m:ctrlPr>
          </m:sSubPr>
          <m:e>
            <m:r>
              <w:rPr>
                <w:rFonts w:ascii="Cambria Math" w:hAnsi="Cambria Math" w:cs="Times New Roman"/>
              </w:rPr>
              <m:t>EXR</m:t>
            </m:r>
          </m:e>
          <m:sub>
            <m:r>
              <w:rPr>
                <w:rFonts w:ascii="Cambria Math" w:hAnsi="Cambria Math" w:cs="Times New Roman"/>
              </w:rPr>
              <m:t>t</m:t>
            </m:r>
          </m:sub>
        </m:sSub>
        <m:r>
          <w:rPr>
            <w:rFonts w:ascii="Cambria Math" w:eastAsiaTheme="minorEastAsia" w:hAnsi="Cambria Math" w:cs="Times New Roman"/>
          </w:rPr>
          <m:t>)</m:t>
        </m:r>
      </m:oMath>
    </w:p>
    <w:p w:rsidR="003C6872"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m:t>
            </m:r>
            <m:r>
              <w:rPr>
                <w:rFonts w:ascii="Cambria Math" w:hAnsi="Cambria Math" w:cs="Times New Roman"/>
              </w:rPr>
              <m:t>,</m:t>
            </m:r>
            <m:r>
              <w:rPr>
                <w:rFonts w:ascii="Cambria Math" w:hAnsi="Cambria Math" w:cs="Times New Roman"/>
              </w:rPr>
              <m:t>t</m:t>
            </m:r>
          </m:sub>
        </m:sSub>
      </m:oMath>
      <w:r w:rsidR="003C6872" w:rsidRPr="00044728">
        <w:rPr>
          <w:rFonts w:ascii="Times New Roman" w:eastAsiaTheme="minorEastAsia" w:hAnsi="Times New Roman" w:cs="Times New Roman"/>
        </w:rPr>
        <w:t>=</w:t>
      </w:r>
      <m:oMath>
        <m:r>
          <w:rPr>
            <w:rFonts w:ascii="Cambria Math" w:eastAsiaTheme="minorEastAsia" w:hAnsi="Cambria Math" w:cs="Times New Roman"/>
          </w:rPr>
          <m:t>∆</m:t>
        </m:r>
        <m:r>
          <w:rPr>
            <w:rFonts w:ascii="Cambria Math" w:eastAsiaTheme="minorEastAsia" w:hAnsi="Cambria Math" w:cs="Times New Roman"/>
          </w:rPr>
          <m:t>In</m:t>
        </m:r>
        <m:r>
          <w:rPr>
            <w:rFonts w:ascii="Cambria Math" w:eastAsiaTheme="minorEastAsia" w:hAnsi="Cambria Math" w:cs="Times New Roman"/>
          </w:rPr>
          <m:t xml:space="preserve"> (</m:t>
        </m:r>
        <m:sSub>
          <m:sSubPr>
            <m:ctrlPr>
              <w:rPr>
                <w:rFonts w:ascii="Cambria Math" w:hAnsi="Cambria Math" w:cs="Times New Roman"/>
                <w:i/>
              </w:rPr>
            </m:ctrlPr>
          </m:sSubPr>
          <m:e>
            <m:r>
              <w:rPr>
                <w:rFonts w:ascii="Cambria Math" w:hAnsi="Cambria Math" w:cs="Times New Roman"/>
              </w:rPr>
              <m:t>COPP</m:t>
            </m:r>
          </m:e>
          <m:sub>
            <m:r>
              <w:rPr>
                <w:rFonts w:ascii="Cambria Math" w:hAnsi="Cambria Math" w:cs="Times New Roman"/>
              </w:rPr>
              <m:t>t</m:t>
            </m:r>
          </m:sub>
        </m:sSub>
        <m:r>
          <w:rPr>
            <w:rFonts w:ascii="Cambria Math" w:eastAsiaTheme="minorEastAsia" w:hAnsi="Cambria Math" w:cs="Times New Roman"/>
          </w:rPr>
          <m:t>)</m:t>
        </m:r>
      </m:oMath>
    </w:p>
    <w:p w:rsidR="003C6872"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m:t>
            </m:r>
            <m:r>
              <w:rPr>
                <w:rFonts w:ascii="Cambria Math" w:hAnsi="Cambria Math" w:cs="Times New Roman"/>
              </w:rPr>
              <m:t>,</m:t>
            </m:r>
            <m:r>
              <w:rPr>
                <w:rFonts w:ascii="Cambria Math" w:hAnsi="Cambria Math" w:cs="Times New Roman"/>
              </w:rPr>
              <m:t>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m:t>
        </m:r>
        <m:r>
          <w:rPr>
            <w:rFonts w:ascii="Cambria Math" w:eastAsiaTheme="minorEastAsia" w:hAnsi="Cambria Math" w:cs="Times New Roman"/>
          </w:rPr>
          <m:t>In</m:t>
        </m:r>
        <m:r>
          <w:rPr>
            <w:rFonts w:ascii="Cambria Math" w:eastAsiaTheme="minorEastAsia" w:hAnsi="Cambria Math" w:cs="Times New Roman"/>
          </w:rPr>
          <m:t xml:space="preserve"> (</m:t>
        </m:r>
        <m:sSub>
          <m:sSubPr>
            <m:ctrlPr>
              <w:rPr>
                <w:rFonts w:ascii="Cambria Math" w:hAnsi="Cambria Math" w:cs="Times New Roman"/>
                <w:i/>
              </w:rPr>
            </m:ctrlPr>
          </m:sSubPr>
          <m:e>
            <m:r>
              <w:rPr>
                <w:rFonts w:ascii="Cambria Math" w:hAnsi="Cambria Math" w:cs="Times New Roman"/>
              </w:rPr>
              <m:t>BCOP</m:t>
            </m:r>
          </m:e>
          <m:sub>
            <m:r>
              <w:rPr>
                <w:rFonts w:ascii="Cambria Math" w:hAnsi="Cambria Math" w:cs="Times New Roman"/>
              </w:rPr>
              <m:t>t</m:t>
            </m:r>
          </m:sub>
        </m:sSub>
        <m:r>
          <w:rPr>
            <w:rFonts w:ascii="Cambria Math" w:eastAsiaTheme="minorEastAsia" w:hAnsi="Cambria Math" w:cs="Times New Roman"/>
          </w:rPr>
          <m:t>)</m:t>
        </m:r>
      </m:oMath>
    </w:p>
    <w:p w:rsidR="003C6872"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m:t>
            </m:r>
            <m:r>
              <w:rPr>
                <w:rFonts w:ascii="Cambria Math" w:hAnsi="Cambria Math" w:cs="Times New Roman"/>
              </w:rPr>
              <m:t>,</m:t>
            </m:r>
            <m:r>
              <w:rPr>
                <w:rFonts w:ascii="Cambria Math" w:hAnsi="Cambria Math" w:cs="Times New Roman"/>
              </w:rPr>
              <m:t>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m:t>
        </m:r>
        <m:r>
          <w:rPr>
            <w:rFonts w:ascii="Cambria Math" w:eastAsiaTheme="minorEastAsia" w:hAnsi="Cambria Math" w:cs="Times New Roman"/>
          </w:rPr>
          <m:t>In</m:t>
        </m:r>
        <m:r>
          <w:rPr>
            <w:rFonts w:ascii="Cambria Math" w:eastAsiaTheme="minorEastAsia" w:hAnsi="Cambria Math" w:cs="Times New Roman"/>
          </w:rPr>
          <m:t xml:space="preserve"> (</m:t>
        </m:r>
        <m:sSub>
          <m:sSubPr>
            <m:ctrlPr>
              <w:rPr>
                <w:rFonts w:ascii="Cambria Math" w:hAnsi="Cambria Math" w:cs="Times New Roman"/>
                <w:i/>
              </w:rPr>
            </m:ctrlPr>
          </m:sSubPr>
          <m:e>
            <m:r>
              <w:rPr>
                <w:rFonts w:ascii="Cambria Math" w:hAnsi="Cambria Math" w:cs="Times New Roman"/>
              </w:rPr>
              <m:t>GOLD</m:t>
            </m:r>
          </m:e>
          <m:sub>
            <m:r>
              <w:rPr>
                <w:rFonts w:ascii="Cambria Math" w:hAnsi="Cambria Math" w:cs="Times New Roman"/>
              </w:rPr>
              <m:t>t</m:t>
            </m:r>
          </m:sub>
        </m:sSub>
        <m:r>
          <w:rPr>
            <w:rFonts w:ascii="Cambria Math" w:eastAsiaTheme="minorEastAsia" w:hAnsi="Cambria Math" w:cs="Times New Roman"/>
          </w:rPr>
          <m:t>)</m:t>
        </m:r>
      </m:oMath>
    </w:p>
    <w:p w:rsidR="003C6872"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m:t>
            </m:r>
            <m:r>
              <w:rPr>
                <w:rFonts w:ascii="Cambria Math" w:hAnsi="Cambria Math" w:cs="Times New Roman"/>
              </w:rPr>
              <m:t>,</m:t>
            </m:r>
            <m:r>
              <w:rPr>
                <w:rFonts w:ascii="Cambria Math" w:hAnsi="Cambria Math" w:cs="Times New Roman"/>
              </w:rPr>
              <m:t>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m:t>
        </m:r>
        <m:r>
          <w:rPr>
            <w:rFonts w:ascii="Cambria Math" w:eastAsiaTheme="minorEastAsia" w:hAnsi="Cambria Math" w:cs="Times New Roman"/>
          </w:rPr>
          <m:t>In</m:t>
        </m:r>
        <m:r>
          <w:rPr>
            <w:rFonts w:ascii="Cambria Math" w:eastAsiaTheme="minorEastAsia" w:hAnsi="Cambria Math" w:cs="Times New Roman"/>
          </w:rPr>
          <m:t xml:space="preserve"> (</m:t>
        </m:r>
        <m:sSub>
          <m:sSubPr>
            <m:ctrlPr>
              <w:rPr>
                <w:rFonts w:ascii="Cambria Math" w:hAnsi="Cambria Math" w:cs="Times New Roman"/>
                <w:i/>
              </w:rPr>
            </m:ctrlPr>
          </m:sSubPr>
          <m:e>
            <m:r>
              <w:rPr>
                <w:rFonts w:ascii="Cambria Math" w:hAnsi="Cambria Math" w:cs="Times New Roman"/>
              </w:rPr>
              <m:t>NGAS</m:t>
            </m:r>
          </m:e>
          <m:sub>
            <m:r>
              <w:rPr>
                <w:rFonts w:ascii="Cambria Math" w:hAnsi="Cambria Math" w:cs="Times New Roman"/>
              </w:rPr>
              <m:t>t</m:t>
            </m:r>
          </m:sub>
        </m:sSub>
        <m:r>
          <w:rPr>
            <w:rFonts w:ascii="Cambria Math" w:eastAsiaTheme="minorEastAsia" w:hAnsi="Cambria Math" w:cs="Times New Roman"/>
          </w:rPr>
          <m:t>)</m:t>
        </m:r>
      </m:oMath>
    </w:p>
    <w:p w:rsidR="003C6872"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STOKP</m:t>
            </m:r>
            <m:r>
              <w:rPr>
                <w:rFonts w:ascii="Cambria Math" w:hAnsi="Cambria Math" w:cs="Times New Roman"/>
              </w:rPr>
              <m:t>,</m:t>
            </m:r>
            <m:r>
              <w:rPr>
                <w:rFonts w:ascii="Cambria Math" w:hAnsi="Cambria Math" w:cs="Times New Roman"/>
              </w:rPr>
              <m:t>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m:t>
        </m:r>
        <m:r>
          <w:rPr>
            <w:rFonts w:ascii="Cambria Math" w:eastAsiaTheme="minorEastAsia" w:hAnsi="Cambria Math" w:cs="Times New Roman"/>
          </w:rPr>
          <m:t>In</m:t>
        </m:r>
        <m:r>
          <w:rPr>
            <w:rFonts w:ascii="Cambria Math" w:eastAsiaTheme="minorEastAsia" w:hAnsi="Cambria Math" w:cs="Times New Roman"/>
          </w:rPr>
          <m:t xml:space="preserve"> (</m:t>
        </m:r>
        <m:sSub>
          <m:sSubPr>
            <m:ctrlPr>
              <w:rPr>
                <w:rFonts w:ascii="Cambria Math" w:hAnsi="Cambria Math" w:cs="Times New Roman"/>
                <w:i/>
              </w:rPr>
            </m:ctrlPr>
          </m:sSubPr>
          <m:e>
            <m:r>
              <w:rPr>
                <w:rFonts w:ascii="Cambria Math" w:hAnsi="Cambria Math" w:cs="Times New Roman"/>
              </w:rPr>
              <m:t>STOKP</m:t>
            </m:r>
          </m:e>
          <m:sub>
            <m:r>
              <w:rPr>
                <w:rFonts w:ascii="Cambria Math" w:hAnsi="Cambria Math" w:cs="Times New Roman"/>
              </w:rPr>
              <m:t>t</m:t>
            </m:r>
          </m:sub>
        </m:sSub>
        <m:r>
          <w:rPr>
            <w:rFonts w:ascii="Cambria Math" w:eastAsiaTheme="minorEastAsia" w:hAnsi="Cambria Math" w:cs="Times New Roman"/>
          </w:rPr>
          <m:t>)</m:t>
        </m:r>
      </m:oMath>
    </w:p>
    <w:p w:rsidR="00B95B2C" w:rsidRPr="00044728" w:rsidRDefault="00B95B2C" w:rsidP="00EE0234">
      <w:pPr>
        <w:tabs>
          <w:tab w:val="left" w:pos="2105"/>
        </w:tabs>
        <w:spacing w:after="0" w:line="240" w:lineRule="auto"/>
        <w:jc w:val="both"/>
        <w:rPr>
          <w:rFonts w:ascii="Times New Roman" w:hAnsi="Times New Roman" w:cs="Times New Roman"/>
        </w:rPr>
      </w:pPr>
    </w:p>
    <w:p w:rsidR="003C6872" w:rsidRPr="00044728" w:rsidRDefault="00075FF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The operator</w:t>
      </w:r>
      <w:r w:rsidR="00502324" w:rsidRPr="00044728">
        <w:rPr>
          <w:rFonts w:ascii="Times New Roman" w:hAnsi="Times New Roman" w:cs="Times New Roman"/>
        </w:rPr>
        <w:t xml:space="preserve"> </w:t>
      </w:r>
      <m:oMath>
        <m:r>
          <w:rPr>
            <w:rFonts w:ascii="Cambria Math" w:eastAsiaTheme="minorEastAsia" w:hAnsi="Cambria Math" w:cs="Times New Roman"/>
          </w:rPr>
          <m:t>∆</m:t>
        </m:r>
      </m:oMath>
      <w:r w:rsidRPr="00044728">
        <w:rPr>
          <w:rFonts w:ascii="Times New Roman" w:hAnsi="Times New Roman" w:cs="Times New Roman"/>
        </w:rPr>
        <w:t xml:space="preserve"> denotes the first-difference operator, such that</w:t>
      </w:r>
    </w:p>
    <w:p w:rsidR="00B95B2C" w:rsidRPr="00044728" w:rsidRDefault="00B95B2C" w:rsidP="00EE0234">
      <w:pPr>
        <w:tabs>
          <w:tab w:val="left" w:pos="2105"/>
        </w:tabs>
        <w:spacing w:after="0" w:line="240" w:lineRule="auto"/>
        <w:jc w:val="both"/>
        <w:rPr>
          <w:rFonts w:ascii="Times New Roman" w:hAnsi="Times New Roman" w:cs="Times New Roman"/>
        </w:rPr>
      </w:pPr>
    </w:p>
    <w:p w:rsidR="00502324" w:rsidRPr="00044728" w:rsidRDefault="00502324" w:rsidP="00EE0234">
      <w:pPr>
        <w:tabs>
          <w:tab w:val="left" w:pos="2105"/>
        </w:tabs>
        <w:spacing w:after="0" w:line="240" w:lineRule="auto"/>
        <w:jc w:val="both"/>
        <w:rPr>
          <w:rFonts w:ascii="Times New Roman" w:eastAsiaTheme="minorEastAsia" w:hAnsi="Times New Roman" w:cs="Times New Roman"/>
        </w:rPr>
      </w:pPr>
      <m:oMath>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Pr="00044728">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t-1</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(2)</w:t>
      </w:r>
    </w:p>
    <w:p w:rsidR="00B95B2C" w:rsidRPr="00044728" w:rsidRDefault="00B95B2C" w:rsidP="00EE0234">
      <w:pPr>
        <w:tabs>
          <w:tab w:val="left" w:pos="2105"/>
        </w:tabs>
        <w:spacing w:after="0" w:line="240" w:lineRule="auto"/>
        <w:jc w:val="both"/>
        <w:rPr>
          <w:rFonts w:ascii="Times New Roman" w:hAnsi="Times New Roman" w:cs="Times New Roman"/>
        </w:rPr>
      </w:pPr>
    </w:p>
    <w:p w:rsidR="00502324" w:rsidRPr="00044728" w:rsidRDefault="00502324"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while the continuously compounded return is given by</w:t>
      </w:r>
    </w:p>
    <w:p w:rsidR="00B95B2C" w:rsidRPr="00044728" w:rsidRDefault="00B95B2C" w:rsidP="00EE0234">
      <w:pPr>
        <w:tabs>
          <w:tab w:val="left" w:pos="2105"/>
        </w:tabs>
        <w:spacing w:after="0" w:line="240" w:lineRule="auto"/>
        <w:jc w:val="both"/>
        <w:rPr>
          <w:rFonts w:ascii="Times New Roman" w:hAnsi="Times New Roman" w:cs="Times New Roman"/>
        </w:rPr>
      </w:pPr>
    </w:p>
    <w:p w:rsidR="00B95B2C" w:rsidRPr="00044728" w:rsidRDefault="00502324" w:rsidP="00EE0234">
      <w:pPr>
        <w:tabs>
          <w:tab w:val="left" w:pos="2105"/>
        </w:tabs>
        <w:spacing w:after="0" w:line="240" w:lineRule="auto"/>
        <w:jc w:val="both"/>
        <w:rPr>
          <w:rFonts w:ascii="Times New Roman" w:eastAsiaTheme="minorEastAsia" w:hAnsi="Times New Roman" w:cs="Times New Roman"/>
        </w:rPr>
      </w:pPr>
      <m:oMath>
        <m:r>
          <w:rPr>
            <w:rFonts w:ascii="Cambria Math" w:eastAsiaTheme="minorEastAsia" w:hAnsi="Cambria Math" w:cs="Times New Roman"/>
          </w:rPr>
          <m:t>∆In</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Pr="00044728">
        <w:rPr>
          <w:rFonts w:ascii="Times New Roman" w:eastAsiaTheme="minorEastAsia" w:hAnsi="Times New Roman" w:cs="Times New Roman"/>
        </w:rPr>
        <w:t xml:space="preserve">= </w:t>
      </w:r>
      <m:oMath>
        <m:r>
          <w:rPr>
            <w:rFonts w:ascii="Cambria Math" w:eastAsiaTheme="minorEastAsia" w:hAnsi="Cambria Math" w:cs="Times New Roman"/>
          </w:rPr>
          <m:t>In(</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In(X</m:t>
            </m:r>
          </m:e>
          <m:sub>
            <m:r>
              <w:rPr>
                <w:rFonts w:ascii="Cambria Math" w:hAnsi="Cambria Math" w:cs="Times New Roman"/>
              </w:rPr>
              <m:t>t-1</m:t>
            </m:r>
          </m:sub>
        </m:sSub>
        <m:r>
          <w:rPr>
            <w:rFonts w:ascii="Cambria Math" w:hAnsi="Cambria Math" w:cs="Times New Roman"/>
          </w:rPr>
          <m:t>)</m:t>
        </m:r>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p>
    <w:p w:rsidR="00502324" w:rsidRPr="00044728" w:rsidRDefault="00502324" w:rsidP="00EE0234">
      <w:pPr>
        <w:tabs>
          <w:tab w:val="left" w:pos="2105"/>
        </w:tabs>
        <w:spacing w:after="0" w:line="240" w:lineRule="auto"/>
        <w:jc w:val="both"/>
        <w:rPr>
          <w:rFonts w:ascii="Times New Roman" w:eastAsiaTheme="minorEastAsia" w:hAnsi="Times New Roman" w:cs="Times New Roman"/>
        </w:rPr>
      </w:pPr>
      <w:r w:rsidRPr="00044728">
        <w:rPr>
          <w:rFonts w:ascii="Times New Roman" w:eastAsiaTheme="minorEastAsia" w:hAnsi="Times New Roman" w:cs="Times New Roman"/>
        </w:rPr>
        <w:t xml:space="preserve">          =In(</w:t>
      </w:r>
      <m:oMath>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t</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t-1</m:t>
                </m:r>
              </m:sub>
            </m:sSub>
          </m:den>
        </m:f>
      </m:oMath>
      <w:r w:rsidRPr="00044728">
        <w:rPr>
          <w:rFonts w:ascii="Times New Roman" w:eastAsiaTheme="minorEastAsia" w:hAnsi="Times New Roman" w:cs="Times New Roman"/>
        </w:rPr>
        <w:t>)</w:t>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(3)</w:t>
      </w:r>
    </w:p>
    <w:p w:rsidR="00502324" w:rsidRPr="00044728" w:rsidRDefault="00502324" w:rsidP="00EE0234">
      <w:pPr>
        <w:pStyle w:val="Heading3"/>
        <w:spacing w:after="0" w:line="240" w:lineRule="auto"/>
        <w:jc w:val="both"/>
        <w:rPr>
          <w:rFonts w:ascii="Times New Roman" w:hAnsi="Times New Roman" w:cs="Times New Roman"/>
          <w:color w:val="auto"/>
          <w:kern w:val="0"/>
          <w:sz w:val="24"/>
          <w:szCs w:val="24"/>
          <w14:ligatures w14:val="none"/>
        </w:rPr>
      </w:pPr>
      <w:r w:rsidRPr="00044728">
        <w:rPr>
          <w:rFonts w:ascii="Times New Roman" w:hAnsi="Times New Roman" w:cs="Times New Roman"/>
          <w:color w:val="auto"/>
          <w:sz w:val="24"/>
          <w:szCs w:val="24"/>
        </w:rPr>
        <w:t>General VAR Formulation</w:t>
      </w:r>
    </w:p>
    <w:p w:rsidR="00502324" w:rsidRPr="00044728" w:rsidRDefault="00502324" w:rsidP="00EE0234">
      <w:pPr>
        <w:pStyle w:val="NormalWeb"/>
        <w:spacing w:after="0" w:afterAutospacing="0"/>
        <w:jc w:val="both"/>
      </w:pPr>
      <w:r>
        <w:t xml:space="preserve">The unrestricted VAR model of order </w:t>
      </w:r>
      <w:r>
        <w:rPr>
          <w:rStyle w:val="katex"/>
          <w:rFonts w:eastAsiaTheme="majorEastAsia"/>
        </w:rPr>
        <w:t>p</w:t>
      </w:r>
      <w:r>
        <w:t xml:space="preserve">, denoted by </w:t>
      </w:r>
      <w:r>
        <w:rPr>
          <w:rStyle w:val="katex"/>
          <w:rFonts w:eastAsiaTheme="majorEastAsia"/>
        </w:rPr>
        <w:t>VAR(p)</w:t>
      </w:r>
      <w:r>
        <w:t>, is specified as</w:t>
      </w:r>
      <w:r>
        <w:rPr>
          <w:highlight w:val="yellow"/>
        </w:rPr>
        <w:t xml:space="preserve"> follows:</w:t>
      </w:r>
    </w:p>
    <w:p w:rsidR="00502324"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r>
          <w:rPr>
            <w:rFonts w:ascii="Cambria Math" w:hAnsi="Cambria Math" w:cs="Times New Roman"/>
          </w:rPr>
          <m:t>c</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r>
              <w:rPr>
                <w:rFonts w:ascii="Cambria Math" w:hAnsi="Cambria Math" w:cs="Times New Roman"/>
              </w:rPr>
              <m:t>-</m:t>
            </m:r>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p</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r>
              <w:rPr>
                <w:rFonts w:ascii="Cambria Math" w:hAnsi="Cambria Math" w:cs="Times New Roman"/>
              </w:rPr>
              <m:t>-</m:t>
            </m:r>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(4)</w:t>
      </w:r>
    </w:p>
    <w:p w:rsidR="0014727B" w:rsidRPr="00044728" w:rsidRDefault="0014727B" w:rsidP="00EE0234">
      <w:pPr>
        <w:tabs>
          <w:tab w:val="left" w:pos="2105"/>
        </w:tabs>
        <w:spacing w:after="0" w:line="240" w:lineRule="auto"/>
        <w:jc w:val="both"/>
        <w:rPr>
          <w:rFonts w:ascii="Times New Roman" w:eastAsiaTheme="minorEastAsia" w:hAnsi="Times New Roman" w:cs="Times New Roman"/>
        </w:rPr>
      </w:pPr>
      <w:r w:rsidRPr="00044728">
        <w:rPr>
          <w:rFonts w:ascii="Times New Roman" w:eastAsiaTheme="minorEastAsia" w:hAnsi="Times New Roman" w:cs="Times New Roman"/>
        </w:rPr>
        <w:t>where</w:t>
      </w:r>
    </w:p>
    <w:p w:rsidR="00502324" w:rsidRPr="00044728" w:rsidRDefault="0014727B" w:rsidP="00EE0234">
      <w:pPr>
        <w:tabs>
          <w:tab w:val="left" w:pos="2105"/>
        </w:tabs>
        <w:spacing w:after="0" w:line="240" w:lineRule="auto"/>
        <w:jc w:val="both"/>
        <w:rPr>
          <w:rFonts w:ascii="Times New Roman" w:eastAsiaTheme="minorEastAsia" w:hAnsi="Times New Roman" w:cs="Times New Roman"/>
        </w:rPr>
      </w:pPr>
      <w:r w:rsidRPr="00044728">
        <w:rPr>
          <w:rFonts w:ascii="Times New Roman" w:eastAsiaTheme="minorEastAsia" w:hAnsi="Times New Roman" w:cs="Times New Roman"/>
        </w:rPr>
        <w:t>c</w:t>
      </w:r>
      <w:r w:rsidR="00A231F1" w:rsidRPr="00044728">
        <w:rPr>
          <w:rFonts w:ascii="Times New Roman" w:eastAsiaTheme="minorEastAsia" w:hAnsi="Times New Roman" w:cs="Times New Roman"/>
        </w:rPr>
        <w:t>=</w:t>
      </w:r>
      <m:oMath>
        <m:d>
          <m:dPr>
            <m:begChr m:val="["/>
            <m:endChr m:val="]"/>
            <m:ctrlPr>
              <w:rPr>
                <w:rFonts w:ascii="Cambria Math" w:eastAsiaTheme="minorEastAsia" w:hAnsi="Cambria Math" w:cs="Times New Roman"/>
                <w:i/>
              </w:rPr>
            </m:ctrlPr>
          </m:dPr>
          <m:e>
            <m:m>
              <m:mPr>
                <m:mcs>
                  <m:mc>
                    <m:mcPr>
                      <m:count m:val="1"/>
                      <m:mcJc m:val="center"/>
                    </m:mcPr>
                  </m:mc>
                </m:mcs>
                <m:ctrlPr>
                  <w:rPr>
                    <w:rFonts w:ascii="Cambria Math" w:eastAsiaTheme="minorEastAsia" w:hAnsi="Cambria Math" w:cs="Times New Roman"/>
                    <w:i/>
                  </w:rPr>
                </m:ctrlPr>
              </m:mPr>
              <m:mr>
                <m:e>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1</m:t>
                            </m:r>
                          </m:sub>
                        </m:sSub>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2</m:t>
                            </m:r>
                          </m:sub>
                        </m:sSub>
                      </m:e>
                    </m:mr>
                  </m:m>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3</m:t>
                      </m:r>
                    </m:sub>
                  </m:sSub>
                </m:e>
              </m:mr>
              <m:mr>
                <m:e>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4</m:t>
                            </m:r>
                          </m:sub>
                        </m:sSub>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5</m:t>
                            </m:r>
                          </m:sub>
                        </m:sSub>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6</m:t>
                            </m:r>
                          </m:sub>
                        </m:sSub>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(5)</w:t>
      </w:r>
    </w:p>
    <w:p w:rsidR="0014727B" w:rsidRPr="00044728" w:rsidRDefault="0014727B"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is the vector of intercept terms,</w:t>
      </w:r>
    </w:p>
    <w:p w:rsidR="00DE0D6E" w:rsidRPr="00044728" w:rsidRDefault="00042CDD"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r>
          <w:rPr>
            <w:rFonts w:ascii="Cambria Math" w:hAnsi="Cambria Math" w:cs="Times New Roman"/>
          </w:rPr>
          <m:t>∈</m:t>
        </m:r>
        <m:sSup>
          <m:sSupPr>
            <m:ctrlPr>
              <w:rPr>
                <w:rFonts w:ascii="Cambria Math" w:hAnsi="Cambria Math" w:cs="Times New Roman"/>
                <w:i/>
              </w:rPr>
            </m:ctrlPr>
          </m:sSupPr>
          <m:e>
            <m:r>
              <m:rPr>
                <m:scr m:val="double-struck"/>
              </m:rPr>
              <w:rPr>
                <w:rFonts w:ascii="Cambria Math" w:hAnsi="Cambria Math" w:cs="Times New Roman"/>
              </w:rPr>
              <m:t>R</m:t>
            </m:r>
          </m:e>
          <m:sup>
            <m:r>
              <w:rPr>
                <w:rFonts w:ascii="Cambria Math" w:hAnsi="Cambria Math" w:cs="Times New Roman"/>
              </w:rPr>
              <m:t>kxk</m:t>
            </m:r>
          </m:sup>
        </m:sSup>
      </m:oMath>
      <w:r w:rsidR="00DA4B91" w:rsidRPr="00044728">
        <w:rPr>
          <w:rFonts w:ascii="Times New Roman" w:eastAsiaTheme="minorEastAsia" w:hAnsi="Times New Roman" w:cs="Times New Roman"/>
        </w:rPr>
        <w:t>,</w:t>
      </w:r>
      <w:r w:rsidR="00DA4B91" w:rsidRPr="00044728">
        <w:rPr>
          <w:rFonts w:ascii="Times New Roman" w:eastAsiaTheme="minorEastAsia" w:hAnsi="Times New Roman" w:cs="Times New Roman"/>
        </w:rPr>
        <w:tab/>
      </w:r>
      <m:oMath>
        <m:r>
          <w:rPr>
            <w:rFonts w:ascii="Cambria Math" w:hAnsi="Cambria Math" w:cs="Times New Roman"/>
          </w:rPr>
          <m:t>j</m:t>
        </m:r>
        <m:r>
          <w:rPr>
            <w:rFonts w:ascii="Cambria Math" w:hAnsi="Cambria Math" w:cs="Times New Roman"/>
          </w:rPr>
          <m:t>=</m:t>
        </m:r>
        <m:r>
          <w:rPr>
            <w:rFonts w:ascii="Cambria Math" w:hAnsi="Cambria Math" w:cs="Times New Roman"/>
          </w:rPr>
          <m:t>i</m:t>
        </m:r>
        <m:r>
          <w:rPr>
            <w:rFonts w:ascii="Cambria Math" w:hAnsi="Cambria Math" w:cs="Times New Roman"/>
          </w:rPr>
          <m:t>,…,</m:t>
        </m:r>
        <m:r>
          <w:rPr>
            <w:rFonts w:ascii="Cambria Math" w:hAnsi="Cambria Math" w:cs="Times New Roman"/>
          </w:rPr>
          <m:t>p</m:t>
        </m:r>
        <m:r>
          <w:rPr>
            <w:rFonts w:ascii="Cambria Math" w:hAnsi="Cambria Math" w:cs="Times New Roman"/>
          </w:rPr>
          <m:t>,</m:t>
        </m:r>
      </m:oMath>
    </w:p>
    <w:p w:rsidR="00DA4B91" w:rsidRPr="00044728" w:rsidRDefault="00DE0D6E"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are coefficient matrices,</w:t>
      </w:r>
    </w:p>
    <w:p w:rsidR="00D74890" w:rsidRPr="00044728" w:rsidRDefault="00042CDD" w:rsidP="00EE0234">
      <w:pPr>
        <w:tabs>
          <w:tab w:val="left" w:pos="2105"/>
        </w:tabs>
        <w:spacing w:after="0" w:line="24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sSup>
          <m:sSupPr>
            <m:ctrlPr>
              <w:rPr>
                <w:rFonts w:ascii="Cambria Math" w:hAnsi="Cambria Math" w:cs="Times New Roman"/>
                <w:i/>
              </w:rPr>
            </m:ctrlPr>
          </m:sSupPr>
          <m:e>
            <m:r>
              <m:rPr>
                <m:scr m:val="double-struck"/>
              </m:rPr>
              <w:rPr>
                <w:rFonts w:ascii="Cambria Math" w:hAnsi="Cambria Math" w:cs="Times New Roman"/>
              </w:rPr>
              <m:t>R</m:t>
            </m:r>
          </m:e>
          <m:sup>
            <m:r>
              <w:rPr>
                <w:rFonts w:ascii="Cambria Math" w:hAnsi="Cambria Math" w:cs="Times New Roman"/>
              </w:rPr>
              <m:t>kx</m:t>
            </m:r>
            <m:r>
              <w:rPr>
                <w:rFonts w:ascii="Cambria Math" w:hAnsi="Cambria Math" w:cs="Times New Roman"/>
              </w:rPr>
              <m:t>1</m:t>
            </m:r>
          </m:sup>
        </m:sSup>
      </m:oMath>
      <w:r w:rsidR="00D74890" w:rsidRPr="00044728">
        <w:rPr>
          <w:rFonts w:ascii="Times New Roman" w:eastAsiaTheme="minorEastAsia" w:hAnsi="Times New Roman" w:cs="Times New Roman"/>
        </w:rPr>
        <w:t>,</w:t>
      </w:r>
    </w:p>
    <w:p w:rsidR="00D74890" w:rsidRPr="00044728" w:rsidRDefault="00D7489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 xml:space="preserve">is the vector of innovations, and </w:t>
      </w:r>
      <w:r w:rsidRPr="00044728">
        <w:rPr>
          <w:rStyle w:val="katex"/>
          <w:rFonts w:ascii="Times New Roman" w:hAnsi="Times New Roman" w:cs="Times New Roman"/>
        </w:rPr>
        <w:t>p</w:t>
      </w:r>
      <w:r w:rsidRPr="00044728">
        <w:rPr>
          <w:rFonts w:ascii="Times New Roman" w:hAnsi="Times New Roman" w:cs="Times New Roman"/>
        </w:rPr>
        <w:t xml:space="preserve"> denotes the optimal lag length.</w:t>
      </w:r>
    </w:p>
    <w:p w:rsidR="00D74890" w:rsidRPr="00044728" w:rsidRDefault="00D7489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For the six-market specification, the model becomes</w:t>
      </w:r>
    </w:p>
    <w:p w:rsidR="00D74890"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r>
          <w:rPr>
            <w:rFonts w:ascii="Cambria Math" w:hAnsi="Cambria Math" w:cs="Times New Roman"/>
          </w:rPr>
          <m:t>c</m:t>
        </m:r>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m:t>
            </m:r>
            <m:r>
              <w:rPr>
                <w:rFonts w:ascii="Cambria Math" w:hAnsi="Cambria Math" w:cs="Times New Roman"/>
              </w:rPr>
              <m:t>=1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r>
                  <w:rPr>
                    <w:rFonts w:ascii="Cambria Math" w:hAnsi="Cambria Math" w:cs="Times New Roman"/>
                  </w:rPr>
                  <m:t>-</m:t>
                </m:r>
                <m:r>
                  <w:rPr>
                    <w:rFonts w:ascii="Cambria Math" w:hAnsi="Cambria Math" w:cs="Times New Roman"/>
                  </w:rPr>
                  <m:t>j</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(6)</w:t>
      </w:r>
    </w:p>
    <w:p w:rsidR="00D74890" w:rsidRPr="00044728" w:rsidRDefault="00D7489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The coefficient matrix for each lag is</w:t>
      </w:r>
    </w:p>
    <w:p w:rsidR="0014727B" w:rsidRPr="00044728" w:rsidRDefault="00042CDD" w:rsidP="00EE0234">
      <w:pPr>
        <w:tabs>
          <w:tab w:val="left" w:pos="2105"/>
        </w:tabs>
        <w:spacing w:after="0" w:line="24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r>
          <w:rPr>
            <w:rFonts w:ascii="Cambria Math" w:hAnsi="Cambria Math" w:cs="Times New Roman"/>
          </w:rPr>
          <m:t>=</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11,</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12,</m:t>
                      </m:r>
                      <m:r>
                        <w:rPr>
                          <w:rFonts w:ascii="Cambria Math" w:hAnsi="Cambria Math" w:cs="Times New Roman"/>
                        </w:rPr>
                        <m:t>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13,</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14,</m:t>
                            </m:r>
                            <m:r>
                              <w:rPr>
                                <w:rFonts w:ascii="Cambria Math" w:hAnsi="Cambria Math" w:cs="Times New Roman"/>
                              </w:rPr>
                              <m:t>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15,</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16,</m:t>
                                  </m:r>
                                  <m:r>
                                    <w:rPr>
                                      <w:rFonts w:ascii="Cambria Math" w:hAnsi="Cambria Math" w:cs="Times New Roman"/>
                                    </w:rPr>
                                    <m:t>j</m:t>
                                  </m:r>
                                </m:sub>
                              </m:sSub>
                            </m:e>
                          </m:mr>
                        </m:m>
                      </m:e>
                    </m:mr>
                  </m:m>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21,</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22,</m:t>
                      </m:r>
                      <m:r>
                        <w:rPr>
                          <w:rFonts w:ascii="Cambria Math" w:hAnsi="Cambria Math" w:cs="Times New Roman"/>
                        </w:rPr>
                        <m:t>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23,</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24,</m:t>
                            </m:r>
                            <m:r>
                              <w:rPr>
                                <w:rFonts w:ascii="Cambria Math" w:hAnsi="Cambria Math" w:cs="Times New Roman"/>
                              </w:rPr>
                              <m:t>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25,</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26,</m:t>
                                  </m:r>
                                  <m:r>
                                    <w:rPr>
                                      <w:rFonts w:ascii="Cambria Math" w:hAnsi="Cambria Math" w:cs="Times New Roman"/>
                                    </w:rPr>
                                    <m:t>j</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31.</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41,</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51,</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61,</m:t>
                                  </m:r>
                                  <m:r>
                                    <w:rPr>
                                      <w:rFonts w:ascii="Cambria Math" w:hAnsi="Cambria Math" w:cs="Times New Roman"/>
                                    </w:rPr>
                                    <m:t>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32,</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42,</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52,</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62,</m:t>
                                  </m:r>
                                  <m:r>
                                    <w:rPr>
                                      <w:rFonts w:ascii="Cambria Math" w:hAnsi="Cambria Math" w:cs="Times New Roman"/>
                                    </w:rPr>
                                    <m:t>j</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33,</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43,</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53,</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63,</m:t>
                                        </m:r>
                                        <m:r>
                                          <w:rPr>
                                            <w:rFonts w:ascii="Cambria Math" w:hAnsi="Cambria Math" w:cs="Times New Roman"/>
                                          </w:rPr>
                                          <m:t>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34,</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44,</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54,</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64,</m:t>
                                        </m:r>
                                        <m:r>
                                          <w:rPr>
                                            <w:rFonts w:ascii="Cambria Math" w:hAnsi="Cambria Math" w:cs="Times New Roman"/>
                                          </w:rPr>
                                          <m:t>j</m:t>
                                        </m:r>
                                      </m:sub>
                                    </m:sSub>
                                  </m:e>
                                </m:mr>
                              </m:m>
                            </m:e>
                          </m:mr>
                        </m:m>
                      </m:e>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35,</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45,</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55,</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65,</m:t>
                                              </m:r>
                                              <m:r>
                                                <w:rPr>
                                                  <w:rFonts w:ascii="Cambria Math" w:hAnsi="Cambria Math" w:cs="Times New Roman"/>
                                                </w:rPr>
                                                <m:t>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36,</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46,</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56,</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66,</m:t>
                                              </m:r>
                                              <m:r>
                                                <w:rPr>
                                                  <w:rFonts w:ascii="Cambria Math" w:hAnsi="Cambria Math" w:cs="Times New Roman"/>
                                                </w:rPr>
                                                <m:t>j</m:t>
                                              </m:r>
                                            </m:sub>
                                          </m:sSub>
                                        </m:e>
                                      </m:mr>
                                    </m:m>
                                  </m:e>
                                </m:mr>
                              </m:m>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(7)</w:t>
      </w:r>
    </w:p>
    <w:p w:rsidR="00F65960" w:rsidRPr="00044728" w:rsidRDefault="00D74890" w:rsidP="00EE0234">
      <w:pPr>
        <w:spacing w:after="0" w:line="240" w:lineRule="auto"/>
        <w:jc w:val="both"/>
        <w:rPr>
          <w:rFonts w:ascii="Times New Roman" w:hAnsi="Times New Roman" w:cs="Times New Roman"/>
        </w:rPr>
      </w:pPr>
      <w:r>
        <w:rPr>
          <w:rFonts w:ascii="Times New Roman" w:hAnsi="Times New Roman" w:cs="Times New Roman"/>
        </w:rPr>
        <w:t>Thus, each current return is explained by its own past returns as well as the lagged returns of every other market</w:t>
      </w:r>
      <w:r>
        <w:rPr>
          <w:rFonts w:ascii="Times New Roman" w:hAnsi="Times New Roman" w:cs="Times New Roman"/>
          <w:highlight w:val="yellow"/>
        </w:rPr>
        <w:t>,</w:t>
      </w:r>
      <w:r>
        <w:rPr>
          <w:rFonts w:ascii="Times New Roman" w:hAnsi="Times New Roman" w:cs="Times New Roman"/>
        </w:rPr>
        <w:t xml:space="preserve"> and</w:t>
      </w:r>
    </w:p>
    <w:p w:rsidR="00901380" w:rsidRPr="00044728" w:rsidRDefault="00042CDD"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EXR</m:t>
                      </m:r>
                      <m:r>
                        <w:rPr>
                          <w:rFonts w:ascii="Cambria Math" w:hAnsi="Cambria Math" w:cs="Times New Roman"/>
                        </w:rPr>
                        <m:t>,</m:t>
                      </m:r>
                      <m:r>
                        <w:rPr>
                          <w:rFonts w:ascii="Cambria Math" w:hAnsi="Cambria Math" w:cs="Times New Roman"/>
                        </w:rPr>
                        <m:t>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COPP</m:t>
                      </m:r>
                      <m:r>
                        <w:rPr>
                          <w:rFonts w:ascii="Cambria Math" w:hAnsi="Cambria Math" w:cs="Times New Roman"/>
                        </w:rPr>
                        <m:t>,</m:t>
                      </m:r>
                      <m:r>
                        <w:rPr>
                          <w:rFonts w:ascii="Cambria Math" w:hAnsi="Cambria Math" w:cs="Times New Roman"/>
                        </w:rPr>
                        <m:t>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BCOP</m:t>
                            </m:r>
                            <m:r>
                              <w:rPr>
                                <w:rFonts w:ascii="Cambria Math" w:hAnsi="Cambria Math" w:cs="Times New Roman"/>
                              </w:rPr>
                              <m:t>,</m:t>
                            </m:r>
                            <m:r>
                              <w:rPr>
                                <w:rFonts w:ascii="Cambria Math" w:hAnsi="Cambria Math" w:cs="Times New Roman"/>
                              </w:rPr>
                              <m:t>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GOLD</m:t>
                            </m:r>
                            <m:r>
                              <w:rPr>
                                <w:rFonts w:ascii="Cambria Math" w:hAnsi="Cambria Math" w:cs="Times New Roman"/>
                              </w:rPr>
                              <m:t>,</m:t>
                            </m:r>
                            <m:r>
                              <w:rPr>
                                <w:rFonts w:ascii="Cambria Math" w:hAnsi="Cambria Math" w:cs="Times New Roman"/>
                              </w:rPr>
                              <m:t>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NGAS</m:t>
                                  </m:r>
                                  <m:r>
                                    <w:rPr>
                                      <w:rFonts w:ascii="Cambria Math" w:hAnsi="Cambria Math" w:cs="Times New Roman"/>
                                    </w:rPr>
                                    <m:t>,</m:t>
                                  </m:r>
                                  <m:r>
                                    <w:rPr>
                                      <w:rFonts w:ascii="Cambria Math" w:hAnsi="Cambria Math" w:cs="Times New Roman"/>
                                    </w:rPr>
                                    <m:t>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STOKP</m:t>
                                  </m:r>
                                  <m:r>
                                    <w:rPr>
                                      <w:rFonts w:ascii="Cambria Math" w:hAnsi="Cambria Math" w:cs="Times New Roman"/>
                                    </w:rPr>
                                    <m:t>,</m:t>
                                  </m:r>
                                  <m:r>
                                    <w:rPr>
                                      <w:rFonts w:ascii="Cambria Math" w:hAnsi="Cambria Math" w:cs="Times New Roman"/>
                                    </w:rPr>
                                    <m:t>t</m:t>
                                  </m:r>
                                </m:sub>
                              </m:sSub>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(7)</w:t>
      </w:r>
    </w:p>
    <w:p w:rsidR="00901380" w:rsidRPr="00044728" w:rsidRDefault="00901380" w:rsidP="00EE0234">
      <w:pPr>
        <w:spacing w:after="0" w:line="240" w:lineRule="auto"/>
        <w:jc w:val="both"/>
        <w:rPr>
          <w:rFonts w:ascii="Times New Roman" w:hAnsi="Times New Roman" w:cs="Times New Roman"/>
        </w:rPr>
      </w:pPr>
      <w:r w:rsidRPr="00044728">
        <w:rPr>
          <w:rFonts w:ascii="Times New Roman" w:hAnsi="Times New Roman" w:cs="Times New Roman"/>
        </w:rPr>
        <w:t>is the vector of innovations.</w:t>
      </w:r>
    </w:p>
    <w:p w:rsidR="006F41A4" w:rsidRPr="00044728" w:rsidRDefault="006F41A4" w:rsidP="00EE0234">
      <w:pPr>
        <w:spacing w:after="0" w:line="240" w:lineRule="auto"/>
        <w:jc w:val="both"/>
        <w:rPr>
          <w:rFonts w:ascii="Times New Roman" w:hAnsi="Times New Roman" w:cs="Times New Roman"/>
        </w:rPr>
      </w:pPr>
    </w:p>
    <w:p w:rsidR="006F41A4" w:rsidRPr="00044728" w:rsidRDefault="006F41A4" w:rsidP="00EE0234">
      <w:pPr>
        <w:spacing w:after="0" w:line="240" w:lineRule="auto"/>
        <w:jc w:val="both"/>
        <w:rPr>
          <w:rFonts w:ascii="Times New Roman" w:hAnsi="Times New Roman" w:cs="Times New Roman"/>
        </w:rPr>
      </w:pPr>
    </w:p>
    <w:p w:rsidR="00901380" w:rsidRPr="00044728" w:rsidRDefault="00901380" w:rsidP="00EE0234">
      <w:pPr>
        <w:spacing w:after="0" w:line="240" w:lineRule="auto"/>
        <w:jc w:val="both"/>
        <w:rPr>
          <w:rFonts w:ascii="Times New Roman" w:hAnsi="Times New Roman" w:cs="Times New Roman"/>
          <w:b/>
        </w:rPr>
      </w:pPr>
      <w:r w:rsidRPr="00044728">
        <w:rPr>
          <w:rFonts w:ascii="Times New Roman" w:hAnsi="Times New Roman" w:cs="Times New Roman"/>
          <w:b/>
        </w:rPr>
        <w:t>Innovation and Conditional Variance Formulation</w:t>
      </w:r>
    </w:p>
    <w:p w:rsidR="00901380" w:rsidRPr="00044728" w:rsidRDefault="00901380" w:rsidP="00EE0234">
      <w:pPr>
        <w:spacing w:after="0" w:line="240" w:lineRule="auto"/>
        <w:jc w:val="both"/>
        <w:rPr>
          <w:rFonts w:ascii="Times New Roman" w:hAnsi="Times New Roman" w:cs="Times New Roman"/>
        </w:rPr>
      </w:pPr>
      <w:r>
        <w:rPr>
          <w:rFonts w:ascii="Times New Roman" w:hAnsi="Times New Roman" w:cs="Times New Roman"/>
        </w:rPr>
        <w:t xml:space="preserve">The principal purpose of the VAR stage in this study is not </w:t>
      </w:r>
      <w:r>
        <w:rPr>
          <w:rFonts w:ascii="Times New Roman" w:hAnsi="Times New Roman" w:cs="Times New Roman"/>
          <w:highlight w:val="yellow"/>
        </w:rPr>
        <w:t>only</w:t>
      </w:r>
      <w:r>
        <w:rPr>
          <w:rFonts w:ascii="Times New Roman" w:hAnsi="Times New Roman" w:cs="Times New Roman"/>
        </w:rPr>
        <w:t xml:space="preserve"> to examine mean-return relationships but also to obtain the innovation or residual series required for the subsequent multivariate volatility analysis.</w:t>
      </w:r>
    </w:p>
    <w:p w:rsidR="001D1133" w:rsidRPr="00044728" w:rsidRDefault="00901380" w:rsidP="00EE0234">
      <w:pPr>
        <w:spacing w:after="0" w:line="240" w:lineRule="auto"/>
        <w:jc w:val="both"/>
        <w:rPr>
          <w:rFonts w:ascii="Times New Roman" w:hAnsi="Times New Roman" w:cs="Times New Roman"/>
        </w:rPr>
      </w:pPr>
      <w:r w:rsidRPr="00044728">
        <w:rPr>
          <w:rFonts w:ascii="Times New Roman" w:hAnsi="Times New Roman" w:cs="Times New Roman"/>
        </w:rPr>
        <w:t>From the VAR system,</w:t>
      </w:r>
    </w:p>
    <w:p w:rsidR="00901380" w:rsidRPr="00044728" w:rsidRDefault="00042CDD"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r>
          <w:rPr>
            <w:rFonts w:ascii="Cambria Math" w:hAnsi="Cambria Math" w:cs="Times New Roman"/>
          </w:rPr>
          <m:t>c</m:t>
        </m:r>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m:t>
            </m:r>
            <m:r>
              <w:rPr>
                <w:rFonts w:ascii="Cambria Math" w:hAnsi="Cambria Math" w:cs="Times New Roman"/>
              </w:rPr>
              <m:t>=1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r>
                  <w:rPr>
                    <w:rFonts w:ascii="Cambria Math" w:hAnsi="Cambria Math" w:cs="Times New Roman"/>
                  </w:rPr>
                  <m:t>-</m:t>
                </m:r>
                <m:r>
                  <w:rPr>
                    <w:rFonts w:ascii="Cambria Math" w:hAnsi="Cambria Math" w:cs="Times New Roman"/>
                  </w:rPr>
                  <m:t>j</m:t>
                </m:r>
              </m:sub>
            </m:sSub>
          </m:e>
        </m:nary>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(9)</w:t>
      </w:r>
    </w:p>
    <w:p w:rsidR="00901380" w:rsidRPr="00044728" w:rsidRDefault="009B51E9" w:rsidP="00EE0234">
      <w:pPr>
        <w:spacing w:after="0" w:line="240" w:lineRule="auto"/>
        <w:jc w:val="both"/>
        <w:rPr>
          <w:rFonts w:ascii="Times New Roman" w:hAnsi="Times New Roman" w:cs="Times New Roman"/>
        </w:rPr>
      </w:pPr>
      <w:r w:rsidRPr="00044728">
        <w:rPr>
          <w:rFonts w:ascii="Times New Roman" w:hAnsi="Times New Roman" w:cs="Times New Roman"/>
        </w:rPr>
        <w:t>The conditional covariance matrix of the innovations is defined as</w:t>
      </w:r>
    </w:p>
    <w:p w:rsidR="009B51E9" w:rsidRPr="00044728" w:rsidRDefault="00042CDD"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j</m:t>
            </m:r>
          </m:sub>
        </m:sSub>
        <m:r>
          <w:rPr>
            <w:rFonts w:ascii="Cambria Math" w:hAnsi="Cambria Math" w:cs="Times New Roman"/>
          </w:rPr>
          <m:t>=</m:t>
        </m:r>
        <m:r>
          <w:rPr>
            <w:rFonts w:ascii="Cambria Math" w:hAnsi="Cambria Math" w:cs="Times New Roman"/>
          </w:rPr>
          <m:t>E</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r>
          <w:rPr>
            <w:rFonts w:ascii="Cambria Math" w:hAnsi="Cambria Math" w:cs="Times New Roman"/>
          </w:rPr>
          <m:t>)</m:t>
        </m:r>
      </m:oMath>
      <w:r w:rsidR="009B51E9" w:rsidRPr="00044728">
        <w:rPr>
          <w:rFonts w:ascii="Times New Roman" w:eastAsiaTheme="minorEastAsia" w:hAnsi="Times New Roman" w:cs="Times New Roman"/>
        </w:rPr>
        <w:t>,</w:t>
      </w:r>
    </w:p>
    <w:p w:rsidR="009B51E9" w:rsidRPr="00044728" w:rsidRDefault="009B51E9" w:rsidP="00EE0234">
      <w:pPr>
        <w:spacing w:before="100" w:beforeAutospacing="1"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highlight w:val="yellow"/>
          <w14:ligatures w14:val="none"/>
        </w:rPr>
        <w:t xml:space="preserve">where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t-1</m:t>
            </m:r>
          </m:sub>
        </m:sSub>
      </m:oMath>
      <w:r w:rsidRPr="00044728">
        <w:rPr>
          <w:rFonts w:ascii="Times New Roman" w:eastAsia="Times New Roman" w:hAnsi="Times New Roman" w:cs="Times New Roman"/>
          <w:kern w:val="0"/>
          <w14:ligatures w14:val="none"/>
        </w:rPr>
        <w:t xml:space="preserve"> represents the information set available at time t−1t-1.</w:t>
      </w:r>
    </w:p>
    <w:p w:rsidR="009B51E9" w:rsidRPr="00044728" w:rsidRDefault="009B51E9" w:rsidP="00EE0234">
      <w:pPr>
        <w:spacing w:before="100" w:beforeAutospacing="1"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Explicitly,</w:t>
      </w:r>
    </w:p>
    <w:p w:rsidR="009B51E9" w:rsidRPr="00044728" w:rsidRDefault="009B51E9" w:rsidP="00EE0234">
      <w:pPr>
        <w:spacing w:after="0" w:line="240" w:lineRule="auto"/>
        <w:jc w:val="both"/>
        <w:rPr>
          <w:rFonts w:ascii="Times New Roman" w:hAnsi="Times New Roman" w:cs="Times New Roman"/>
        </w:rPr>
      </w:pPr>
    </w:p>
    <w:p w:rsidR="001D1133" w:rsidRPr="00044728" w:rsidRDefault="00042CDD" w:rsidP="00EE0234">
      <w:pPr>
        <w:tabs>
          <w:tab w:val="left" w:pos="2105"/>
        </w:tabs>
        <w:spacing w:after="0" w:line="24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m:t>
                      </m:r>
                      <m:r>
                        <w:rPr>
                          <w:rFonts w:ascii="Cambria Math" w:hAnsi="Cambria Math" w:cs="Times New Roman"/>
                        </w:rPr>
                        <m:t>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m:t>
                            </m:r>
                            <m:r>
                              <w:rPr>
                                <w:rFonts w:ascii="Cambria Math" w:hAnsi="Cambria Math" w:cs="Times New Roman"/>
                              </w:rPr>
                              <m:t>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m:t>
                                  </m:r>
                                  <m:r>
                                    <w:rPr>
                                      <w:rFonts w:ascii="Cambria Math" w:hAnsi="Cambria Math" w:cs="Times New Roman"/>
                                    </w:rPr>
                                    <m:t>j</m:t>
                                  </m:r>
                                </m:sub>
                              </m:sSub>
                            </m:e>
                          </m:mr>
                        </m:m>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21,</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m:t>
                      </m:r>
                      <m:r>
                        <w:rPr>
                          <w:rFonts w:ascii="Cambria Math" w:hAnsi="Cambria Math" w:cs="Times New Roman"/>
                        </w:rPr>
                        <m:t>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m:t>
                            </m:r>
                            <m:r>
                              <w:rPr>
                                <w:rFonts w:ascii="Cambria Math" w:hAnsi="Cambria Math" w:cs="Times New Roman"/>
                              </w:rPr>
                              <m:t>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m:t>
                                  </m:r>
                                  <m:r>
                                    <w:rPr>
                                      <w:rFonts w:ascii="Cambria Math" w:hAnsi="Cambria Math" w:cs="Times New Roman"/>
                                    </w:rPr>
                                    <m:t>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m:t>
                                  </m:r>
                                  <m:r>
                                    <w:rPr>
                                      <w:rFonts w:ascii="Cambria Math" w:hAnsi="Cambria Math" w:cs="Times New Roman"/>
                                    </w:rPr>
                                    <m:t>j</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31.</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41,</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51,</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61,</m:t>
                                  </m:r>
                                  <m:r>
                                    <w:rPr>
                                      <w:rFonts w:ascii="Cambria Math" w:hAnsi="Cambria Math" w:cs="Times New Roman"/>
                                    </w:rPr>
                                    <m:t>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32,</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42,</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52,</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62,</m:t>
                                  </m:r>
                                  <m:r>
                                    <w:rPr>
                                      <w:rFonts w:ascii="Cambria Math" w:hAnsi="Cambria Math" w:cs="Times New Roman"/>
                                    </w:rPr>
                                    <m:t>j</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43,</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53,</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63,</m:t>
                                        </m:r>
                                        <m:r>
                                          <w:rPr>
                                            <w:rFonts w:ascii="Cambria Math" w:hAnsi="Cambria Math" w:cs="Times New Roman"/>
                                          </w:rPr>
                                          <m:t>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54,</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64,</m:t>
                                        </m:r>
                                        <m:r>
                                          <w:rPr>
                                            <w:rFonts w:ascii="Cambria Math" w:hAnsi="Cambria Math" w:cs="Times New Roman"/>
                                          </w:rPr>
                                          <m:t>j</m:t>
                                        </m:r>
                                      </m:sub>
                                    </m:sSub>
                                  </m:e>
                                </m:mr>
                              </m:m>
                            </m:e>
                          </m:mr>
                        </m:m>
                      </m:e>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65,</m:t>
                                              </m:r>
                                              <m:r>
                                                <w:rPr>
                                                  <w:rFonts w:ascii="Cambria Math" w:hAnsi="Cambria Math" w:cs="Times New Roman"/>
                                                </w:rPr>
                                                <m:t>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m:t>
                                        </m:r>
                                        <m:r>
                                          <w:rPr>
                                            <w:rFonts w:ascii="Cambria Math" w:hAnsi="Cambria Math" w:cs="Times New Roman"/>
                                          </w:rPr>
                                          <m:t>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m:t>
                                              </m:r>
                                              <m:r>
                                                <w:rPr>
                                                  <w:rFonts w:ascii="Cambria Math" w:hAnsi="Cambria Math" w:cs="Times New Roman"/>
                                                </w:rPr>
                                                <m:t>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m:t>
                                              </m:r>
                                              <m:r>
                                                <w:rPr>
                                                  <w:rFonts w:ascii="Cambria Math" w:hAnsi="Cambria Math" w:cs="Times New Roman"/>
                                                </w:rPr>
                                                <m:t>j</m:t>
                                              </m:r>
                                            </m:sub>
                                          </m:sSub>
                                        </m:e>
                                      </m:mr>
                                    </m:m>
                                  </m:e>
                                </m:mr>
                              </m:m>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(10)</w:t>
      </w:r>
    </w:p>
    <w:p w:rsidR="001D1133" w:rsidRPr="00044728" w:rsidRDefault="009B51E9" w:rsidP="00EE0234">
      <w:pPr>
        <w:spacing w:after="0" w:line="240" w:lineRule="auto"/>
        <w:jc w:val="both"/>
        <w:rPr>
          <w:rFonts w:ascii="Times New Roman" w:hAnsi="Times New Roman" w:cs="Times New Roman"/>
        </w:rPr>
      </w:pPr>
      <w:r w:rsidRPr="00044728">
        <w:rPr>
          <w:rFonts w:ascii="Times New Roman" w:hAnsi="Times New Roman" w:cs="Times New Roman"/>
        </w:rPr>
        <w:t>The diagonal elements,</w:t>
      </w:r>
    </w:p>
    <w:p w:rsidR="009B51E9" w:rsidRPr="00044728" w:rsidRDefault="00042CDD"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ii</m:t>
            </m:r>
            <m:r>
              <w:rPr>
                <w:rFonts w:ascii="Cambria Math" w:hAnsi="Cambria Math" w:cs="Times New Roman"/>
              </w:rPr>
              <m:t>,</m:t>
            </m:r>
            <m:r>
              <w:rPr>
                <w:rFonts w:ascii="Cambria Math" w:hAnsi="Cambria Math" w:cs="Times New Roman"/>
              </w:rPr>
              <m:t>t</m:t>
            </m:r>
          </m:sub>
        </m:sSub>
        <m:r>
          <w:rPr>
            <w:rFonts w:ascii="Cambria Math" w:hAnsi="Cambria Math" w:cs="Times New Roman"/>
          </w:rPr>
          <m:t>=</m:t>
        </m:r>
        <m:r>
          <w:rPr>
            <w:rFonts w:ascii="Cambria Math" w:hAnsi="Cambria Math" w:cs="Times New Roman"/>
          </w:rPr>
          <m:t>Var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r>
              <w:rPr>
                <w:rFonts w:ascii="Cambria Math" w:hAnsi="Cambria Math" w:cs="Times New Roman"/>
              </w:rPr>
              <m:t>,</m:t>
            </m:r>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r>
          <w:rPr>
            <w:rFonts w:ascii="Cambria Math" w:hAnsi="Cambria Math" w:cs="Times New Roman"/>
          </w:rPr>
          <m:t>)</m:t>
        </m:r>
      </m:oMath>
      <w:r w:rsidR="009B51E9" w:rsidRPr="00044728">
        <w:rPr>
          <w:rFonts w:ascii="Times New Roman" w:eastAsiaTheme="minorEastAsia" w:hAnsi="Times New Roman" w:cs="Times New Roman"/>
        </w:rPr>
        <w:t>,</w:t>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(11)</w:t>
      </w:r>
    </w:p>
    <w:p w:rsidR="000A2217" w:rsidRPr="00044728" w:rsidRDefault="000A2217" w:rsidP="00EE0234">
      <w:pPr>
        <w:pStyle w:val="pdq2pgselectionanchorcontainer"/>
        <w:spacing w:after="0" w:afterAutospacing="0"/>
        <w:jc w:val="both"/>
      </w:pPr>
      <w:r w:rsidRPr="00044728">
        <w:t>represent the conditional variance of each market, whereas the off-diagonal elements,</w:t>
      </w:r>
    </w:p>
    <w:p w:rsidR="000A2217" w:rsidRPr="00044728" w:rsidRDefault="00042CDD"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ij</m:t>
            </m:r>
            <m:r>
              <w:rPr>
                <w:rFonts w:ascii="Cambria Math" w:hAnsi="Cambria Math" w:cs="Times New Roman"/>
              </w:rPr>
              <m:t>,</m:t>
            </m:r>
            <m:r>
              <w:rPr>
                <w:rFonts w:ascii="Cambria Math" w:hAnsi="Cambria Math" w:cs="Times New Roman"/>
              </w:rPr>
              <m:t>t</m:t>
            </m:r>
          </m:sub>
        </m:sSub>
        <m:r>
          <w:rPr>
            <w:rFonts w:ascii="Cambria Math" w:hAnsi="Cambria Math" w:cs="Times New Roman"/>
          </w:rPr>
          <m:t>=</m:t>
        </m:r>
        <m:r>
          <w:rPr>
            <w:rFonts w:ascii="Cambria Math" w:hAnsi="Cambria Math" w:cs="Times New Roman"/>
          </w:rPr>
          <m:t>Cov</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r>
              <w:rPr>
                <w:rFonts w:ascii="Cambria Math" w:hAnsi="Cambria Math" w:cs="Times New Roman"/>
              </w:rPr>
              <m:t>,</m:t>
            </m:r>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m:t>
            </m:r>
            <m:r>
              <w:rPr>
                <w:rFonts w:ascii="Cambria Math" w:hAnsi="Cambria Math" w:cs="Times New Roman"/>
              </w:rPr>
              <m:t>ε</m:t>
            </m:r>
          </m:e>
          <m:sub>
            <m:r>
              <w:rPr>
                <w:rFonts w:ascii="Cambria Math" w:hAnsi="Cambria Math" w:cs="Times New Roman"/>
              </w:rPr>
              <m:t>j</m:t>
            </m:r>
            <m:r>
              <w:rPr>
                <w:rFonts w:ascii="Cambria Math" w:hAnsi="Cambria Math" w:cs="Times New Roman"/>
              </w:rPr>
              <m:t>,</m:t>
            </m:r>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r>
          <w:rPr>
            <w:rFonts w:ascii="Cambria Math" w:hAnsi="Cambria Math" w:cs="Times New Roman"/>
          </w:rPr>
          <m:t>)</m:t>
        </m:r>
      </m:oMath>
      <w:r w:rsidR="009B51E9" w:rsidRPr="00044728">
        <w:rPr>
          <w:rFonts w:ascii="Times New Roman" w:eastAsiaTheme="minorEastAsia" w:hAnsi="Times New Roman" w:cs="Times New Roman"/>
        </w:rPr>
        <w:t>,</w:t>
      </w:r>
      <w:r w:rsidR="000A2217" w:rsidRPr="00044728">
        <w:rPr>
          <w:rFonts w:ascii="Times New Roman" w:eastAsiaTheme="minorEastAsia" w:hAnsi="Times New Roman" w:cs="Times New Roman"/>
        </w:rPr>
        <w:t xml:space="preserve">           </w:t>
      </w:r>
      <m:oMath>
        <m:r>
          <w:rPr>
            <w:rFonts w:ascii="Cambria Math" w:hAnsi="Cambria Math" w:cs="Times New Roman"/>
          </w:rPr>
          <m:t>i</m:t>
        </m:r>
        <m:r>
          <w:rPr>
            <w:rFonts w:ascii="Cambria Math" w:hAnsi="Cambria Math" w:cs="Times New Roman"/>
          </w:rPr>
          <m:t>≠</m:t>
        </m:r>
        <m:r>
          <w:rPr>
            <w:rFonts w:ascii="Cambria Math" w:hAnsi="Cambria Math" w:cs="Times New Roman"/>
          </w:rPr>
          <m:t>j</m:t>
        </m:r>
        <m:r>
          <w:rPr>
            <w:rFonts w:ascii="Cambria Math" w:hAnsi="Cambria Math" w:cs="Times New Roman"/>
          </w:rPr>
          <m:t>,</m:t>
        </m:r>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(12)</w:t>
      </w:r>
    </w:p>
    <w:p w:rsidR="009B51E9" w:rsidRPr="00044728" w:rsidRDefault="000A2217" w:rsidP="00EE0234">
      <w:pPr>
        <w:pStyle w:val="pdq2pgselectionanchorcontainer"/>
        <w:spacing w:after="0" w:afterAutospacing="0"/>
        <w:jc w:val="both"/>
        <w:rPr>
          <w:rFonts w:eastAsiaTheme="minorEastAsia"/>
        </w:rPr>
      </w:pPr>
      <w:r w:rsidRPr="00044728">
        <w:t xml:space="preserve">represent the conditional covariance between markets </w:t>
      </w:r>
      <w:proofErr w:type="spellStart"/>
      <w:r w:rsidRPr="00044728">
        <w:rPr>
          <w:rStyle w:val="katex"/>
          <w:rFonts w:eastAsiaTheme="majorEastAsia"/>
        </w:rPr>
        <w:t>i</w:t>
      </w:r>
      <w:proofErr w:type="spellEnd"/>
      <w:r w:rsidRPr="00044728">
        <w:t xml:space="preserve"> and </w:t>
      </w:r>
      <w:r w:rsidRPr="00044728">
        <w:rPr>
          <w:rStyle w:val="katex"/>
          <w:rFonts w:eastAsiaTheme="majorEastAsia"/>
        </w:rPr>
        <w:t>j</w:t>
      </w:r>
      <w:r w:rsidRPr="00044728">
        <w:t>.</w:t>
      </w:r>
      <w:r w:rsidRPr="00044728">
        <w:rPr>
          <w:rFonts w:eastAsiaTheme="minorEastAsia"/>
        </w:rPr>
        <w:t xml:space="preserve">       </w:t>
      </w:r>
    </w:p>
    <w:p w:rsidR="007C0D65" w:rsidRPr="00044728" w:rsidRDefault="00042CDD"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ij</m:t>
            </m:r>
            <m:r>
              <w:rPr>
                <w:rFonts w:ascii="Cambria Math" w:hAnsi="Cambria Math" w:cs="Times New Roman"/>
              </w:rPr>
              <m:t>,</m:t>
            </m:r>
            <m:r>
              <w:rPr>
                <w:rFonts w:ascii="Cambria Math" w:hAnsi="Cambria Math" w:cs="Times New Roman"/>
              </w:rPr>
              <m:t>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ij</m:t>
                </m:r>
                <m:r>
                  <w:rPr>
                    <w:rFonts w:ascii="Cambria Math" w:hAnsi="Cambria Math" w:cs="Times New Roman"/>
                  </w:rPr>
                  <m:t>,</m:t>
                </m:r>
                <m:r>
                  <w:rPr>
                    <w:rFonts w:ascii="Cambria Math" w:hAnsi="Cambria Math" w:cs="Times New Roman"/>
                  </w:rPr>
                  <m:t>t</m:t>
                </m:r>
              </m:sub>
            </m:sSub>
          </m:num>
          <m:den>
            <m:rad>
              <m:radPr>
                <m:degHide m:val="1"/>
                <m:ctrlPr>
                  <w:rPr>
                    <w:rFonts w:ascii="Cambria Math" w:hAnsi="Cambria Math" w:cs="Times New Roman"/>
                    <w:i/>
                  </w:rPr>
                </m:ctrlPr>
              </m:radPr>
              <m:deg/>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ii</m:t>
                        </m:r>
                        <m:r>
                          <w:rPr>
                            <w:rFonts w:ascii="Cambria Math" w:hAnsi="Cambria Math" w:cs="Times New Roman"/>
                          </w:rPr>
                          <m:t>,</m:t>
                        </m:r>
                        <m:r>
                          <w:rPr>
                            <w:rFonts w:ascii="Cambria Math" w:hAnsi="Cambria Math" w:cs="Times New Roman"/>
                          </w:rPr>
                          <m:t>t</m:t>
                        </m:r>
                      </m:sub>
                    </m:sSub>
                    <m:r>
                      <w:rPr>
                        <w:rFonts w:ascii="Cambria Math" w:hAnsi="Cambria Math" w:cs="Times New Roman"/>
                      </w:rPr>
                      <m:t>h</m:t>
                    </m:r>
                  </m:e>
                  <m:sub>
                    <m:r>
                      <w:rPr>
                        <w:rFonts w:ascii="Cambria Math" w:hAnsi="Cambria Math" w:cs="Times New Roman"/>
                      </w:rPr>
                      <m:t>jj</m:t>
                    </m:r>
                    <m:r>
                      <w:rPr>
                        <w:rFonts w:ascii="Cambria Math" w:hAnsi="Cambria Math" w:cs="Times New Roman"/>
                      </w:rPr>
                      <m:t>,</m:t>
                    </m:r>
                    <m:r>
                      <w:rPr>
                        <w:rFonts w:ascii="Cambria Math" w:hAnsi="Cambria Math" w:cs="Times New Roman"/>
                      </w:rPr>
                      <m:t>t</m:t>
                    </m:r>
                  </m:sub>
                </m:sSub>
              </m:e>
            </m:rad>
          </m:den>
        </m:f>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(13)</w:t>
      </w:r>
    </w:p>
    <w:p w:rsidR="009B51E9" w:rsidRPr="00044728" w:rsidRDefault="007C0D65" w:rsidP="00EE0234">
      <w:pPr>
        <w:pStyle w:val="pdq2pgselectionanchorcontainer"/>
        <w:tabs>
          <w:tab w:val="left" w:pos="3588"/>
        </w:tabs>
        <w:spacing w:after="0" w:afterAutospacing="0"/>
        <w:jc w:val="both"/>
        <w:rPr>
          <w:rFonts w:eastAsiaTheme="minorEastAsia"/>
        </w:rPr>
      </w:pPr>
      <w:r>
        <w:rPr>
          <w:highlight w:val="yellow"/>
        </w:rPr>
        <w:lastRenderedPageBreak/>
        <w:t>This represents</w:t>
      </w:r>
      <w:r>
        <w:t xml:space="preserve"> the dynamic conditional correlation between markets </w:t>
      </w:r>
      <w:r>
        <w:rPr>
          <w:rStyle w:val="katex"/>
          <w:rFonts w:eastAsiaTheme="majorEastAsia"/>
        </w:rPr>
        <w:t>i</w:t>
      </w:r>
      <w:r>
        <w:t xml:space="preserve"> and </w:t>
      </w:r>
      <w:r>
        <w:rPr>
          <w:rStyle w:val="katex"/>
          <w:rFonts w:eastAsiaTheme="majorEastAsia"/>
        </w:rPr>
        <w:t>j</w:t>
      </w:r>
      <w:r>
        <w:rPr>
          <w:highlight w:val="yellow"/>
        </w:rPr>
        <w:t>.</w:t>
      </w:r>
    </w:p>
    <w:p w:rsidR="009B51E9" w:rsidRPr="00044728" w:rsidRDefault="009B51E9" w:rsidP="00EE0234">
      <w:pPr>
        <w:spacing w:after="0" w:line="240" w:lineRule="auto"/>
        <w:jc w:val="both"/>
        <w:rPr>
          <w:rFonts w:ascii="Times New Roman" w:hAnsi="Times New Roman" w:cs="Times New Roman"/>
        </w:rPr>
      </w:pPr>
    </w:p>
    <w:p w:rsidR="00FA2485" w:rsidRDefault="00FA2485" w:rsidP="00EE0234">
      <w:pPr>
        <w:spacing w:line="480" w:lineRule="auto"/>
        <w:jc w:val="both"/>
        <w:rPr>
          <w:rFonts w:ascii="Times New Roman" w:hAnsi="Times New Roman" w:cs="Times New Roman"/>
          <w:b/>
          <w:bCs/>
        </w:rPr>
      </w:pPr>
    </w:p>
    <w:p w:rsidR="006E59BF" w:rsidRPr="00044728" w:rsidRDefault="006E59BF" w:rsidP="00EE0234">
      <w:pPr>
        <w:spacing w:line="480" w:lineRule="auto"/>
        <w:jc w:val="both"/>
        <w:rPr>
          <w:rFonts w:ascii="Times New Roman" w:hAnsi="Times New Roman" w:cs="Times New Roman"/>
          <w:b/>
          <w:bCs/>
        </w:rPr>
      </w:pPr>
      <w:r w:rsidRPr="00044728">
        <w:rPr>
          <w:rFonts w:ascii="Times New Roman" w:hAnsi="Times New Roman" w:cs="Times New Roman"/>
          <w:b/>
          <w:bCs/>
        </w:rPr>
        <w:t>Dynamic Conditional Correlation (DCC) Model</w:t>
      </w:r>
    </w:p>
    <w:p w:rsidR="006E59BF" w:rsidRPr="00044728" w:rsidRDefault="00FA2485" w:rsidP="00EE0234">
      <w:pPr>
        <w:spacing w:line="480" w:lineRule="auto"/>
        <w:jc w:val="both"/>
        <w:rPr>
          <w:rFonts w:ascii="Times New Roman" w:hAnsi="Times New Roman" w:cs="Times New Roman"/>
        </w:rPr>
      </w:pPr>
      <w:r>
        <w:rPr>
          <w:rFonts w:ascii="Times New Roman" w:hAnsi="Times New Roman" w:cs="Times New Roman"/>
        </w:rPr>
        <w:t>The Dynamic Conditional Correlation</w:t>
      </w:r>
      <w:r>
        <w:rPr>
          <w:rFonts w:ascii="Times New Roman" w:hAnsi="Times New Roman" w:cs="Times New Roman"/>
          <w:highlight w:val="yellow"/>
        </w:rPr>
        <w:t>–Generalised</w:t>
      </w:r>
      <w:r>
        <w:rPr>
          <w:rFonts w:ascii="Times New Roman" w:hAnsi="Times New Roman" w:cs="Times New Roman"/>
        </w:rPr>
        <w:t xml:space="preserve"> Autoregressive </w:t>
      </w:r>
      <w:r>
        <w:rPr>
          <w:rFonts w:ascii="Times New Roman" w:hAnsi="Times New Roman" w:cs="Times New Roman"/>
          <w:highlight w:val="yellow"/>
        </w:rPr>
        <w:t>Conditional Heteroskedasticity</w:t>
      </w:r>
      <w:r>
        <w:rPr>
          <w:rFonts w:ascii="Times New Roman" w:hAnsi="Times New Roman" w:cs="Times New Roman"/>
        </w:rPr>
        <w:t xml:space="preserve"> (</w:t>
      </w:r>
      <w:r>
        <w:rPr>
          <w:rFonts w:ascii="Times New Roman" w:hAnsi="Times New Roman" w:cs="Times New Roman"/>
          <w:highlight w:val="yellow"/>
        </w:rPr>
        <w:t>DCC-GARCH</w:t>
      </w:r>
      <w:r>
        <w:rPr>
          <w:rFonts w:ascii="Times New Roman" w:hAnsi="Times New Roman" w:cs="Times New Roman"/>
        </w:rPr>
        <w:t xml:space="preserve">) model is an econometric model </w:t>
      </w:r>
      <w:r>
        <w:rPr>
          <w:rFonts w:ascii="Times New Roman" w:hAnsi="Times New Roman" w:cs="Times New Roman"/>
          <w:highlight w:val="yellow"/>
        </w:rPr>
        <w:t xml:space="preserve">used </w:t>
      </w:r>
      <w:r>
        <w:rPr>
          <w:rFonts w:ascii="Times New Roman" w:hAnsi="Times New Roman" w:cs="Times New Roman"/>
        </w:rPr>
        <w:t xml:space="preserve">to estimate time-varying correlations </w:t>
      </w:r>
      <w:r>
        <w:rPr>
          <w:rFonts w:ascii="Times New Roman" w:hAnsi="Times New Roman" w:cs="Times New Roman"/>
          <w:highlight w:val="yellow"/>
        </w:rPr>
        <w:t>among</w:t>
      </w:r>
      <w:r>
        <w:rPr>
          <w:rFonts w:ascii="Times New Roman" w:hAnsi="Times New Roman" w:cs="Times New Roman"/>
        </w:rPr>
        <w:t xml:space="preserve"> financial time series. </w:t>
      </w:r>
      <w:r>
        <w:rPr>
          <w:rFonts w:ascii="Times New Roman" w:hAnsi="Times New Roman" w:cs="Times New Roman"/>
          <w:highlight w:val="yellow"/>
        </w:rPr>
        <w:t>It</w:t>
      </w:r>
      <w:r>
        <w:rPr>
          <w:rFonts w:ascii="Times New Roman" w:hAnsi="Times New Roman" w:cs="Times New Roman"/>
        </w:rPr>
        <w:t xml:space="preserve"> </w:t>
      </w:r>
      <w:r>
        <w:rPr>
          <w:rFonts w:ascii="Times New Roman" w:hAnsi="Times New Roman" w:cs="Times New Roman"/>
          <w:highlight w:val="yellow"/>
        </w:rPr>
        <w:t>builds</w:t>
      </w:r>
      <w:r>
        <w:rPr>
          <w:rFonts w:ascii="Times New Roman" w:hAnsi="Times New Roman" w:cs="Times New Roman"/>
        </w:rPr>
        <w:t xml:space="preserve"> on the </w:t>
      </w:r>
      <w:r>
        <w:rPr>
          <w:rFonts w:ascii="Times New Roman" w:hAnsi="Times New Roman" w:cs="Times New Roman"/>
          <w:highlight w:val="yellow"/>
        </w:rPr>
        <w:t>Generalised</w:t>
      </w:r>
      <w:r>
        <w:rPr>
          <w:rFonts w:ascii="Times New Roman" w:hAnsi="Times New Roman" w:cs="Times New Roman"/>
        </w:rPr>
        <w:t xml:space="preserve"> Autoregressive Conditional Heteroskedasticity (GARCH) model. </w:t>
      </w:r>
      <w:r>
        <w:rPr>
          <w:rFonts w:ascii="Times New Roman" w:hAnsi="Times New Roman" w:cs="Times New Roman"/>
          <w:highlight w:val="yellow"/>
        </w:rPr>
        <w:t>The GARCH</w:t>
      </w:r>
      <w:r>
        <w:rPr>
          <w:rFonts w:ascii="Times New Roman" w:hAnsi="Times New Roman" w:cs="Times New Roman"/>
        </w:rPr>
        <w:t xml:space="preserve"> model </w:t>
      </w:r>
      <w:r>
        <w:rPr>
          <w:rFonts w:ascii="Times New Roman" w:hAnsi="Times New Roman" w:cs="Times New Roman"/>
          <w:highlight w:val="yellow"/>
        </w:rPr>
        <w:t>captures</w:t>
      </w:r>
      <w:r>
        <w:rPr>
          <w:rFonts w:ascii="Times New Roman" w:hAnsi="Times New Roman" w:cs="Times New Roman"/>
        </w:rPr>
        <w:t xml:space="preserve"> volatility </w:t>
      </w:r>
      <w:r>
        <w:rPr>
          <w:rFonts w:ascii="Times New Roman" w:hAnsi="Times New Roman" w:cs="Times New Roman"/>
          <w:highlight w:val="yellow"/>
        </w:rPr>
        <w:t>over</w:t>
      </w:r>
      <w:r>
        <w:rPr>
          <w:rFonts w:ascii="Times New Roman" w:hAnsi="Times New Roman" w:cs="Times New Roman"/>
        </w:rPr>
        <w:t xml:space="preserve"> time.  These models </w:t>
      </w:r>
      <w:r>
        <w:rPr>
          <w:rFonts w:ascii="Times New Roman" w:hAnsi="Times New Roman" w:cs="Times New Roman"/>
          <w:highlight w:val="yellow"/>
        </w:rPr>
        <w:t>express</w:t>
      </w:r>
      <w:r>
        <w:rPr>
          <w:rFonts w:ascii="Times New Roman" w:hAnsi="Times New Roman" w:cs="Times New Roman"/>
        </w:rPr>
        <w:t xml:space="preserve"> the </w:t>
      </w:r>
      <w:r>
        <w:rPr>
          <w:rFonts w:ascii="Times New Roman" w:hAnsi="Times New Roman" w:cs="Times New Roman"/>
          <w:highlight w:val="yellow"/>
        </w:rPr>
        <w:t>conditional covariance matrix in terms</w:t>
      </w:r>
      <w:r>
        <w:rPr>
          <w:rFonts w:ascii="Times New Roman" w:hAnsi="Times New Roman" w:cs="Times New Roman"/>
        </w:rPr>
        <w:t xml:space="preserve"> of</w:t>
      </w:r>
      <w:r>
        <w:rPr>
          <w:rFonts w:ascii="Times New Roman" w:hAnsi="Times New Roman" w:cs="Times New Roman"/>
          <w:highlight w:val="yellow"/>
        </w:rPr>
        <w:t xml:space="preserve"> conditional standard deviations and a correlation matrix, thereby</w:t>
      </w:r>
      <w:r>
        <w:rPr>
          <w:rFonts w:ascii="Times New Roman" w:hAnsi="Times New Roman" w:cs="Times New Roman"/>
        </w:rPr>
        <w:t xml:space="preserve"> modelling conditional variances and correlations as </w:t>
      </w:r>
      <w:r>
        <w:rPr>
          <w:rFonts w:ascii="Times New Roman" w:hAnsi="Times New Roman" w:cs="Times New Roman"/>
          <w:highlight w:val="yellow"/>
        </w:rPr>
        <w:t>follows</w:t>
      </w:r>
      <w:r>
        <w:rPr>
          <w:rFonts w:ascii="Times New Roman" w:hAnsi="Times New Roman" w:cs="Times New Roman"/>
        </w:rPr>
        <w:t>:</w:t>
      </w:r>
    </w:p>
    <w:p w:rsidR="006E59BF" w:rsidRPr="00044728" w:rsidRDefault="00042CDD" w:rsidP="00EE0234">
      <w:pPr>
        <w:spacing w:line="480" w:lineRule="auto"/>
        <w:ind w:firstLine="720"/>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rPr>
        <w:t>(14</w:t>
      </w:r>
      <w:r w:rsidR="006E59BF" w:rsidRPr="00044728">
        <w:rPr>
          <w:rFonts w:ascii="Times New Roman" w:eastAsiaTheme="minorEastAsia" w:hAnsi="Times New Roman" w:cs="Times New Roman"/>
        </w:rPr>
        <w:t>)</w:t>
      </w:r>
    </w:p>
    <w:p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Where:</w:t>
      </w:r>
    </w:p>
    <w:p w:rsidR="006E59BF" w:rsidRPr="00044728" w:rsidRDefault="006E59BF" w:rsidP="00EE0234">
      <w:pPr>
        <w:spacing w:line="480" w:lineRule="auto"/>
        <w:ind w:firstLine="720"/>
        <w:jc w:val="both"/>
        <w:rPr>
          <w:rFonts w:ascii="Times New Roman" w:hAnsi="Times New Roman" w:cs="Times New Roman"/>
        </w:rPr>
      </w:pPr>
      <w:r w:rsidRPr="00044728">
        <w:rPr>
          <w:rFonts w:ascii="Times New Roman" w:hAnsi="Times New Roman" w:cs="Times New Roman"/>
        </w:rPr>
        <w:t xml:space="preserv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rPr>
        <w:t xml:space="preserve"> is the time-varying correlation matrix</w:t>
      </w:r>
    </w:p>
    <w:p w:rsidR="006E59BF" w:rsidRPr="00044728" w:rsidRDefault="00042CDD" w:rsidP="00EE0234">
      <w:pPr>
        <w:spacing w:line="480" w:lineRule="auto"/>
        <w:ind w:firstLine="720"/>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r>
          <w:rPr>
            <w:rFonts w:ascii="Cambria Math" w:hAnsi="Cambria Math" w:cs="Times New Roman"/>
          </w:rPr>
          <m:t>diag</m:t>
        </m:r>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1</m:t>
                </m:r>
                <m:r>
                  <w:rPr>
                    <w:rFonts w:ascii="Cambria Math" w:hAnsi="Cambria Math" w:cs="Times New Roman"/>
                  </w:rPr>
                  <m:t>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2</m:t>
                </m:r>
                <m:r>
                  <w:rPr>
                    <w:rFonts w:ascii="Cambria Math" w:hAnsi="Cambria Math" w:cs="Times New Roman"/>
                  </w:rPr>
                  <m:t>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3</m:t>
                </m:r>
                <m:r>
                  <w:rPr>
                    <w:rFonts w:ascii="Cambria Math" w:hAnsi="Cambria Math" w:cs="Times New Roman"/>
                  </w:rPr>
                  <m:t>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r>
              <w:rPr>
                <w:rFonts w:ascii="Cambria Math" w:hAnsi="Cambria Math" w:cs="Times New Roman"/>
              </w:rPr>
              <m:t xml:space="preserve">, …, </m:t>
            </m:r>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nt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e>
        </m:d>
      </m:oMath>
      <w:r w:rsidR="006E59BF" w:rsidRPr="00044728">
        <w:rPr>
          <w:rFonts w:ascii="Times New Roman" w:eastAsiaTheme="minorEastAsia" w:hAnsi="Times New Roman" w:cs="Times New Roman"/>
        </w:rPr>
        <w:t xml:space="preserve"> is the conditional standard deviation</w:t>
      </w:r>
    </w:p>
    <w:p w:rsidR="005B132E" w:rsidRPr="005B132E" w:rsidRDefault="005B132E" w:rsidP="005B132E">
      <w:pPr>
        <w:spacing w:line="480" w:lineRule="auto"/>
        <w:jc w:val="both"/>
        <w:rPr>
          <w:rFonts w:ascii="Times New Roman" w:hAnsi="Times New Roman" w:cs="Times New Roman"/>
        </w:rPr>
      </w:pPr>
      <w:r>
        <w:rPr>
          <w:rFonts w:ascii="Times New Roman" w:hAnsi="Times New Roman" w:cs="Times New Roman"/>
        </w:rPr>
        <w:t xml:space="preserve">There are two types of models that fall into this category: those </w:t>
      </w:r>
      <w:r>
        <w:rPr>
          <w:rFonts w:ascii="Times New Roman" w:hAnsi="Times New Roman" w:cs="Times New Roman"/>
          <w:highlight w:val="yellow"/>
        </w:rPr>
        <w:t>with a static</w:t>
      </w:r>
      <w:r>
        <w:rPr>
          <w:rFonts w:ascii="Times New Roman" w:hAnsi="Times New Roman" w:cs="Times New Roman"/>
        </w:rPr>
        <w:t xml:space="preserve"> correlation matrix and those </w:t>
      </w:r>
      <w:r>
        <w:rPr>
          <w:rFonts w:ascii="Times New Roman" w:hAnsi="Times New Roman" w:cs="Times New Roman"/>
          <w:highlight w:val="yellow"/>
        </w:rPr>
        <w:t>with a time-varying</w:t>
      </w:r>
      <w:r>
        <w:rPr>
          <w:rFonts w:ascii="Times New Roman" w:hAnsi="Times New Roman" w:cs="Times New Roman"/>
        </w:rPr>
        <w:t xml:space="preserve"> correlation matrix.</w:t>
      </w:r>
    </w:p>
    <w:p w:rsidR="006E59BF" w:rsidRPr="00044728" w:rsidRDefault="005B132E" w:rsidP="005B132E">
      <w:pPr>
        <w:spacing w:line="480" w:lineRule="auto"/>
        <w:jc w:val="both"/>
        <w:rPr>
          <w:rFonts w:ascii="Times New Roman" w:hAnsi="Times New Roman" w:cs="Times New Roman"/>
        </w:rPr>
      </w:pPr>
      <w:r>
        <w:rPr>
          <w:rFonts w:ascii="Times New Roman" w:hAnsi="Times New Roman" w:cs="Times New Roman"/>
        </w:rPr>
        <w:t xml:space="preserve">The DCC-GARCH model incorporates a dynamic correlation structure while combining univariate GARCH </w:t>
      </w:r>
      <w:r>
        <w:rPr>
          <w:rFonts w:ascii="Times New Roman" w:hAnsi="Times New Roman" w:cs="Times New Roman"/>
          <w:highlight w:val="yellow"/>
        </w:rPr>
        <w:t>models for the individual series</w:t>
      </w:r>
      <w:r>
        <w:rPr>
          <w:rFonts w:ascii="Times New Roman" w:hAnsi="Times New Roman" w:cs="Times New Roman"/>
        </w:rPr>
        <w:t>. To account for the unique time-varying volatility of each financial time series, a univariate GARCH model is employed:</w:t>
      </w:r>
    </w:p>
    <w:p w:rsidR="006E59BF" w:rsidRPr="00044728" w:rsidRDefault="00042CDD" w:rsidP="00EE0234">
      <w:pPr>
        <w:spacing w:line="480" w:lineRule="auto"/>
        <w:jc w:val="both"/>
        <w:rPr>
          <w:rFonts w:ascii="Times New Roman" w:eastAsiaTheme="minorEastAsia" w:hAnsi="Times New Roman" w:cs="Times New Roman"/>
        </w:rPr>
      </w:pPr>
      <m:oMathPara>
        <m:oMath>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i</m:t>
              </m:r>
              <m:r>
                <w:rPr>
                  <w:rFonts w:ascii="Cambria Math" w:hAnsi="Cambria Math" w:cs="Times New Roman"/>
                </w:rPr>
                <m:t>t</m:t>
              </m:r>
            </m:sub>
            <m:sup>
              <m:r>
                <w:rPr>
                  <w:rFonts w:ascii="Cambria Math" w:hAnsi="Cambria Math" w:cs="Times New Roman"/>
                </w:rPr>
                <m:t xml:space="preserve"> </m:t>
              </m:r>
            </m:sup>
          </m:sSub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m:t>
              </m:r>
              <m:r>
                <w:rPr>
                  <w:rFonts w:ascii="Cambria Math" w:hAnsi="Cambria Math" w:cs="Times New Roman"/>
                </w:rPr>
                <m:t>,</m:t>
              </m:r>
              <m:r>
                <w:rPr>
                  <w:rFonts w:ascii="Cambria Math" w:hAnsi="Cambria Math" w:cs="Times New Roman"/>
                </w:rPr>
                <m:t>t</m:t>
              </m:r>
              <m:r>
                <w:rPr>
                  <w:rFonts w:ascii="Cambria Math" w:hAnsi="Cambria Math" w:cs="Times New Roman"/>
                </w:rPr>
                <m:t>-</m:t>
              </m:r>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i</m:t>
              </m:r>
              <m:r>
                <w:rPr>
                  <w:rFonts w:ascii="Cambria Math" w:hAnsi="Cambria Math" w:cs="Times New Roman"/>
                </w:rPr>
                <m:t>,</m:t>
              </m:r>
              <m:r>
                <w:rPr>
                  <w:rFonts w:ascii="Cambria Math" w:hAnsi="Cambria Math" w:cs="Times New Roman"/>
                </w:rPr>
                <m:t>t</m:t>
              </m:r>
              <m:r>
                <w:rPr>
                  <w:rFonts w:ascii="Cambria Math" w:hAnsi="Cambria Math" w:cs="Times New Roman"/>
                </w:rPr>
                <m:t>-</m:t>
              </m:r>
              <m:r>
                <w:rPr>
                  <w:rFonts w:ascii="Cambria Math" w:hAnsi="Cambria Math" w:cs="Times New Roman"/>
                </w:rPr>
                <m:t>1</m:t>
              </m:r>
            </m:sub>
            <m:sup>
              <m:r>
                <w:rPr>
                  <w:rFonts w:ascii="Cambria Math" w:hAnsi="Cambria Math" w:cs="Times New Roman"/>
                </w:rPr>
                <m:t>2</m:t>
              </m:r>
            </m:sup>
          </m:sSubSup>
          <m:r>
            <w:rPr>
              <w:rFonts w:ascii="Cambria Math" w:hAnsi="Cambria Math" w:cs="Times New Roman"/>
            </w:rPr>
            <m:t xml:space="preserve">                                                                                          (15)</m:t>
          </m:r>
        </m:oMath>
      </m:oMathPara>
    </w:p>
    <w:p w:rsidR="006E59BF" w:rsidRPr="00044728" w:rsidRDefault="006E59BF" w:rsidP="00EE0234">
      <w:pPr>
        <w:spacing w:line="480" w:lineRule="auto"/>
        <w:jc w:val="both"/>
        <w:rPr>
          <w:rFonts w:ascii="Times New Roman" w:eastAsiaTheme="minorEastAsia" w:hAnsi="Times New Roman" w:cs="Times New Roman"/>
        </w:rPr>
      </w:pPr>
      <w:r w:rsidRPr="00044728">
        <w:rPr>
          <w:rFonts w:ascii="Times New Roman" w:eastAsiaTheme="minorEastAsia" w:hAnsi="Times New Roman" w:cs="Times New Roman"/>
        </w:rPr>
        <w:t xml:space="preserve">Equation (3.18) is the variance equation </w:t>
      </w:r>
      <w:r w:rsidR="002E0BE9" w:rsidRPr="00044728">
        <w:rPr>
          <w:rFonts w:ascii="Times New Roman" w:eastAsiaTheme="minorEastAsia" w:hAnsi="Times New Roman" w:cs="Times New Roman"/>
        </w:rPr>
        <w:t>for</w:t>
      </w:r>
      <w:r w:rsidRPr="00044728">
        <w:rPr>
          <w:rFonts w:ascii="Times New Roman" w:eastAsiaTheme="minorEastAsia" w:hAnsi="Times New Roman" w:cs="Times New Roman"/>
        </w:rPr>
        <w:t xml:space="preserve"> each series </w:t>
      </w:r>
      <m:oMath>
        <m:r>
          <w:rPr>
            <w:rFonts w:ascii="Cambria Math" w:eastAsiaTheme="minorEastAsia" w:hAnsi="Cambria Math" w:cs="Times New Roman"/>
          </w:rPr>
          <m:t>i</m:t>
        </m:r>
      </m:oMath>
    </w:p>
    <w:p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lastRenderedPageBreak/>
        <w:t>where:</w:t>
      </w:r>
    </w:p>
    <w:p w:rsidR="006E59BF" w:rsidRPr="00044728" w:rsidRDefault="00042CDD" w:rsidP="00EE0234">
      <w:pPr>
        <w:numPr>
          <w:ilvl w:val="0"/>
          <w:numId w:val="16"/>
        </w:numPr>
        <w:spacing w:line="480" w:lineRule="auto"/>
        <w:jc w:val="both"/>
        <w:rPr>
          <w:rFonts w:ascii="Times New Roman" w:hAnsi="Times New Roman" w:cs="Times New Roman"/>
        </w:rPr>
      </w:pPr>
      <m:oMath>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it</m:t>
            </m:r>
          </m:sub>
          <m:sup>
            <m:r>
              <w:rPr>
                <w:rFonts w:ascii="Cambria Math" w:hAnsi="Cambria Math" w:cs="Times New Roman"/>
              </w:rPr>
              <m:t xml:space="preserve"> </m:t>
            </m:r>
          </m:sup>
        </m:sSubSup>
      </m:oMath>
      <w:r w:rsidR="006E59BF" w:rsidRPr="00044728">
        <w:rPr>
          <w:rFonts w:ascii="Times New Roman" w:hAnsi="Times New Roman" w:cs="Times New Roman"/>
        </w:rPr>
        <w:t>​is the Conditional variance of series iii at time</w:t>
      </w:r>
      <m:oMath>
        <m:r>
          <w:rPr>
            <w:rFonts w:ascii="Cambria Math" w:hAnsi="Cambria Math" w:cs="Times New Roman"/>
          </w:rPr>
          <m:t xml:space="preserve"> </m:t>
        </m:r>
        <m:r>
          <w:rPr>
            <w:rFonts w:ascii="Cambria Math" w:hAnsi="Cambria Math" w:cs="Times New Roman"/>
          </w:rPr>
          <m:t>t</m:t>
        </m:r>
      </m:oMath>
    </w:p>
    <w:p w:rsidR="006E59BF" w:rsidRPr="00044728" w:rsidRDefault="00042CDD" w:rsidP="00EE0234">
      <w:pPr>
        <w:numPr>
          <w:ilvl w:val="0"/>
          <w:numId w:val="16"/>
        </w:num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m:t>
            </m:r>
            <m:r>
              <w:rPr>
                <w:rFonts w:ascii="Cambria Math" w:hAnsi="Cambria Math" w:cs="Times New Roman"/>
              </w:rPr>
              <m:t>,</m:t>
            </m:r>
            <m:r>
              <w:rPr>
                <w:rFonts w:ascii="Cambria Math" w:hAnsi="Cambria Math" w:cs="Times New Roman"/>
              </w:rPr>
              <m:t>t</m:t>
            </m:r>
            <m:r>
              <w:rPr>
                <w:rFonts w:ascii="Cambria Math" w:hAnsi="Cambria Math" w:cs="Times New Roman"/>
              </w:rPr>
              <m:t>-</m:t>
            </m:r>
            <m:r>
              <w:rPr>
                <w:rFonts w:ascii="Cambria Math" w:hAnsi="Cambria Math" w:cs="Times New Roman"/>
              </w:rPr>
              <m:t>1</m:t>
            </m:r>
          </m:sub>
        </m:sSub>
      </m:oMath>
      <w:r w:rsidR="006E59BF" w:rsidRPr="00044728">
        <w:rPr>
          <w:rFonts w:ascii="Times New Roman" w:hAnsi="Times New Roman" w:cs="Times New Roman"/>
        </w:rPr>
        <w:t xml:space="preserve"> is the Innovation (shock) from the previous period</w:t>
      </w:r>
    </w:p>
    <w:p w:rsidR="006E59BF" w:rsidRPr="00044728" w:rsidRDefault="00042CDD" w:rsidP="00EE0234">
      <w:pPr>
        <w:numPr>
          <w:ilvl w:val="0"/>
          <w:numId w:val="16"/>
        </w:num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r>
          <w:rPr>
            <w:rFonts w:ascii="Cambria Math" w:hAnsi="Cambria Math" w:cs="Times New Roman"/>
          </w:rPr>
          <m:t xml:space="preserve"> </m:t>
        </m:r>
        <m:r>
          <w:rPr>
            <w:rFonts w:ascii="Cambria Math" w:hAnsi="Cambria Math" w:cs="Times New Roman"/>
          </w:rPr>
          <m:t>and</m:t>
        </m:r>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i</m:t>
            </m:r>
          </m:sub>
        </m:sSub>
        <m:r>
          <w:rPr>
            <w:rFonts w:ascii="Cambria Math" w:hAnsi="Cambria Math" w:cs="Times New Roman"/>
          </w:rPr>
          <m:t xml:space="preserve"> </m:t>
        </m:r>
      </m:oMath>
      <w:r w:rsidR="006E59BF" w:rsidRPr="00044728">
        <w:rPr>
          <w:rFonts w:ascii="Times New Roman" w:eastAsiaTheme="minorEastAsia" w:hAnsi="Times New Roman" w:cs="Times New Roman"/>
        </w:rPr>
        <w:t xml:space="preserve">are the </w:t>
      </w:r>
      <w:r w:rsidR="006E59BF" w:rsidRPr="00044728">
        <w:rPr>
          <w:rFonts w:ascii="Times New Roman" w:hAnsi="Times New Roman" w:cs="Times New Roman"/>
        </w:rPr>
        <w:t>Model parameters</w:t>
      </w:r>
    </w:p>
    <w:p w:rsidR="006E59BF" w:rsidRPr="00044728" w:rsidRDefault="005B132E" w:rsidP="00EE0234">
      <w:pPr>
        <w:autoSpaceDE w:val="0"/>
        <w:autoSpaceDN w:val="0"/>
        <w:adjustRightInd w:val="0"/>
        <w:spacing w:after="0" w:line="480" w:lineRule="auto"/>
        <w:jc w:val="both"/>
        <w:rPr>
          <w:rFonts w:ascii="Times New Roman" w:hAnsi="Times New Roman" w:cs="Times New Roman"/>
        </w:rPr>
      </w:pPr>
      <w:r w:rsidRPr="005B132E">
        <w:rPr>
          <w:rFonts w:ascii="Times New Roman" w:hAnsi="Times New Roman" w:cs="Times New Roman"/>
        </w:rPr>
        <w:t xml:space="preserve">Take, for example, a covariance matrix </w:t>
      </w:r>
      <w:proofErr w:type="spellStart"/>
      <w:r w:rsidRPr="005B132E">
        <w:rPr>
          <w:rFonts w:ascii="Times New Roman" w:hAnsi="Times New Roman" w:cs="Times New Roman"/>
        </w:rPr>
        <w:t>Ht</w:t>
      </w:r>
      <w:proofErr w:type="spellEnd"/>
      <w:r w:rsidRPr="005B132E">
        <w:rPr>
          <w:rFonts w:ascii="Times New Roman" w:hAnsi="Times New Roman" w:cs="Times New Roman"/>
        </w:rPr>
        <w:t xml:space="preserve"> and expected returns, at, from n assets. After that, the Dynamic Conditional Correlation (DCC-) GARCH model's average equation is calculated as</w:t>
      </w:r>
      <w:r w:rsidR="006E59BF" w:rsidRPr="00044728">
        <w:rPr>
          <w:rFonts w:ascii="Times New Roman" w:hAnsi="Times New Roman" w:cs="Times New Roman"/>
        </w:rPr>
        <w:t>:</w:t>
      </w:r>
    </w:p>
    <w:p w:rsidR="006E59BF" w:rsidRPr="00044728" w:rsidRDefault="00042CDD" w:rsidP="00EE0234">
      <w:pPr>
        <w:spacing w:line="480" w:lineRule="auto"/>
        <w:jc w:val="both"/>
        <w:rPr>
          <w:rFonts w:ascii="Times New Roman" w:hAnsi="Times New Roman" w:cs="Times New Roman"/>
        </w:rPr>
      </w:pPr>
      <m:oMathPara>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r</m:t>
                  </m:r>
                </m:e>
                <m:sub>
                  <m:r>
                    <m:rPr>
                      <m:sty m:val="bi"/>
                    </m:rPr>
                    <w:rPr>
                      <w:rFonts w:ascii="Cambria Math" w:hAnsi="Cambria Math" w:cs="Times New Roman"/>
                    </w:rPr>
                    <m:t>t</m:t>
                  </m:r>
                </m:sub>
              </m:sSub>
            </m:e>
            <m:sup>
              <m:r>
                <m:rPr>
                  <m:sty m:val="bi"/>
                </m:rPr>
                <w:rPr>
                  <w:rFonts w:ascii="Cambria Math" w:hAnsi="Cambria Math" w:cs="Times New Roman"/>
                </w:rPr>
                <m:t xml:space="preserve"> </m:t>
              </m:r>
            </m:sup>
          </m:sSup>
          <m: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μ</m:t>
              </m:r>
            </m:e>
            <m:sub>
              <m:r>
                <m:rPr>
                  <m:sty m:val="bi"/>
                </m:rPr>
                <w:rPr>
                  <w:rFonts w:ascii="Cambria Math" w:hAnsi="Cambria Math" w:cs="Times New Roman"/>
                </w:rPr>
                <m:t>t</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m:rPr>
              <m:sty m:val="bi"/>
            </m:rPr>
            <w:rPr>
              <w:rFonts w:ascii="Cambria Math" w:hAnsi="Cambria Math" w:cs="Times New Roman"/>
            </w:rPr>
            <m:t xml:space="preserve">                                                                                                                                              (</m:t>
          </m:r>
          <m:r>
            <w:rPr>
              <w:rFonts w:ascii="Cambria Math" w:hAnsi="Cambria Math" w:cs="Times New Roman"/>
            </w:rPr>
            <m:t>16</m:t>
          </m:r>
          <m:r>
            <m:rPr>
              <m:sty m:val="bi"/>
            </m:rPr>
            <w:rPr>
              <w:rFonts w:ascii="Cambria Math" w:hAnsi="Cambria Math" w:cs="Times New Roman"/>
            </w:rPr>
            <m:t>)</m:t>
          </m:r>
        </m:oMath>
      </m:oMathPara>
    </w:p>
    <w:p w:rsidR="006E59BF" w:rsidRPr="00044728" w:rsidRDefault="00042CDD" w:rsidP="00EE0234">
      <w:pPr>
        <w:autoSpaceDE w:val="0"/>
        <w:autoSpaceDN w:val="0"/>
        <w:adjustRightInd w:val="0"/>
        <w:spacing w:after="0" w:line="480" w:lineRule="auto"/>
        <w:ind w:left="720" w:firstLine="720"/>
        <w:jc w:val="both"/>
        <w:rPr>
          <w:rFonts w:ascii="Times New Roman" w:eastAsiaTheme="minorEastAsia"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sup>
        </m:sSubSup>
        <m:r>
          <m:rPr>
            <m:sty m:val="bi"/>
          </m:rPr>
          <w:rPr>
            <w:rFonts w:ascii="Cambria Math"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rPr>
        <w:t xml:space="preserve">and </w:t>
      </w:r>
    </w:p>
    <w:p w:rsidR="006E59BF" w:rsidRPr="00044728" w:rsidRDefault="00042CDD" w:rsidP="00EE0234">
      <w:pPr>
        <w:autoSpaceDE w:val="0"/>
        <w:autoSpaceDN w:val="0"/>
        <w:adjustRightInd w:val="0"/>
        <w:spacing w:after="0" w:line="480" w:lineRule="auto"/>
        <w:ind w:left="720" w:firstLine="720"/>
        <w:jc w:val="both"/>
        <w:rPr>
          <w:rFonts w:ascii="Times New Roman" w:eastAsiaTheme="minorEastAsia" w:hAnsi="Times New Roman" w:cs="Times New Roman"/>
          <w:b/>
          <w:bCs/>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p>
    <w:p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Where:</w:t>
      </w:r>
    </w:p>
    <w:p w:rsidR="006E59BF" w:rsidRPr="00044728" w:rsidRDefault="00042CDD" w:rsidP="002E0BE9">
      <w:pPr>
        <w:spacing w:after="0" w:line="480" w:lineRule="auto"/>
        <w:jc w:val="both"/>
        <w:rPr>
          <w:rFonts w:ascii="Times New Roman" w:hAnsi="Times New Roman" w:cs="Times New Roman"/>
        </w:rPr>
      </w:pP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r</m:t>
                </m:r>
              </m:e>
              <m:sub>
                <m:r>
                  <m:rPr>
                    <m:sty m:val="bi"/>
                  </m:rPr>
                  <w:rPr>
                    <w:rFonts w:ascii="Cambria Math" w:hAnsi="Cambria Math" w:cs="Times New Roman"/>
                  </w:rPr>
                  <m:t>t</m:t>
                </m:r>
              </m:sub>
            </m:sSub>
          </m:e>
          <m:sup>
            <m:r>
              <m:rPr>
                <m:sty m:val="bi"/>
              </m:rPr>
              <w:rPr>
                <w:rFonts w:ascii="Cambria Math" w:hAnsi="Cambria Math" w:cs="Times New Roman"/>
              </w:rPr>
              <m:t xml:space="preserve"> </m:t>
            </m:r>
          </m:sup>
        </m:sSup>
        <m:r>
          <w:rPr>
            <w:rFonts w:ascii="Cambria Math" w:hAnsi="Cambria Math" w:cs="Times New Roman"/>
          </w:rPr>
          <m:t>=</m:t>
        </m:r>
      </m:oMath>
      <w:r w:rsidR="006E59BF" w:rsidRPr="00044728">
        <w:rPr>
          <w:rFonts w:ascii="Times New Roman" w:hAnsi="Times New Roman" w:cs="Times New Roman"/>
          <w:i/>
          <w:iCs/>
        </w:rPr>
        <w:t xml:space="preserve">n × </w:t>
      </w:r>
      <w:r w:rsidR="006E59BF" w:rsidRPr="00044728">
        <w:rPr>
          <w:rFonts w:ascii="Times New Roman" w:hAnsi="Times New Roman" w:cs="Times New Roman"/>
        </w:rPr>
        <w:t xml:space="preserve">1 vector of log returns of </w:t>
      </w:r>
      <w:r w:rsidR="006E59BF" w:rsidRPr="00044728">
        <w:rPr>
          <w:rFonts w:ascii="Times New Roman" w:hAnsi="Times New Roman" w:cs="Times New Roman"/>
          <w:i/>
          <w:iCs/>
        </w:rPr>
        <w:t xml:space="preserve">n </w:t>
      </w:r>
      <w:r w:rsidR="006E59BF" w:rsidRPr="00044728">
        <w:rPr>
          <w:rFonts w:ascii="Times New Roman" w:hAnsi="Times New Roman" w:cs="Times New Roman"/>
        </w:rPr>
        <w:t xml:space="preserve">assets at time </w:t>
      </w:r>
      <w:r w:rsidR="006E59BF" w:rsidRPr="00044728">
        <w:rPr>
          <w:rFonts w:ascii="Times New Roman" w:hAnsi="Times New Roman" w:cs="Times New Roman"/>
          <w:i/>
          <w:iCs/>
        </w:rPr>
        <w:t>t</w:t>
      </w:r>
      <w:r w:rsidR="006E59BF" w:rsidRPr="00044728">
        <w:rPr>
          <w:rFonts w:ascii="Times New Roman" w:hAnsi="Times New Roman" w:cs="Times New Roman"/>
        </w:rPr>
        <w:t>.</w:t>
      </w:r>
    </w:p>
    <w:p w:rsidR="006E59BF" w:rsidRPr="00044728" w:rsidRDefault="00042CDD" w:rsidP="002E0BE9">
      <w:pPr>
        <w:spacing w:after="0" w:line="480" w:lineRule="auto"/>
        <w:jc w:val="both"/>
        <w:rPr>
          <w:rFonts w:ascii="Times New Roman" w:eastAsiaTheme="minorEastAsia"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w:rPr>
            <w:rFonts w:ascii="Cambria Math" w:hAnsi="Cambria Math" w:cs="Times New Roman"/>
          </w:rPr>
          <m:t>=</m:t>
        </m:r>
      </m:oMath>
      <w:r w:rsidR="006E59BF" w:rsidRPr="00044728">
        <w:rPr>
          <w:rFonts w:ascii="Times New Roman" w:eastAsiaTheme="minorEastAsia" w:hAnsi="Times New Roman" w:cs="Times New Roman"/>
        </w:rPr>
        <w:t xml:space="preserve">  Residuals at time t. </w:t>
      </w:r>
      <m:oMath>
        <m:r>
          <w:rPr>
            <w:rFonts w:ascii="Cambria Math" w:eastAsiaTheme="minorEastAsia" w:hAnsi="Cambria Math" w:cs="Times New Roman"/>
          </w:rPr>
          <m:t>E</m:t>
        </m:r>
        <m:d>
          <m:dPr>
            <m:ctrlPr>
              <w:rPr>
                <w:rFonts w:ascii="Cambria Math" w:eastAsiaTheme="minorEastAsia" w:hAnsi="Cambria Math" w:cs="Times New Roman"/>
                <w:i/>
              </w:rPr>
            </m:ctrlPr>
          </m:dPr>
          <m:e>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ctrlPr>
              <w:rPr>
                <w:rFonts w:ascii="Cambria Math" w:hAnsi="Cambria Math" w:cs="Times New Roman"/>
                <w:b/>
                <w:bCs/>
                <w:i/>
              </w:rPr>
            </m:ctrlPr>
          </m:e>
        </m:d>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oMath>
    </w:p>
    <w:p w:rsidR="006E59BF" w:rsidRPr="00044728" w:rsidRDefault="006E59BF" w:rsidP="002E0BE9">
      <w:pPr>
        <w:spacing w:after="0" w:line="480" w:lineRule="auto"/>
        <w:jc w:val="both"/>
        <w:rPr>
          <w:rFonts w:ascii="Times New Roman" w:eastAsiaTheme="minorEastAsia" w:hAnsi="Times New Roman" w:cs="Times New Roman"/>
        </w:rPr>
      </w:pPr>
      <m:oMath>
        <m:r>
          <w:rPr>
            <w:rFonts w:ascii="Cambria Math" w:eastAsiaTheme="minorEastAsia" w:hAnsi="Cambria Math" w:cs="Times New Roman"/>
          </w:rPr>
          <m:t>Cov(</m:t>
        </m:r>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w:rPr>
            <w:rFonts w:ascii="Cambria Math" w:eastAsiaTheme="minorEastAsia" w:hAnsi="Cambria Math" w:cs="Times New Roman"/>
          </w:rPr>
          <m:t xml:space="preserve">) = </m:t>
        </m:r>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w:rPr>
            <w:rFonts w:ascii="Cambria Math" w:eastAsiaTheme="minorEastAsia" w:hAnsi="Cambria Math" w:cs="Times New Roman"/>
          </w:rPr>
          <m:t>.</m:t>
        </m:r>
      </m:oMath>
      <w:r w:rsidRPr="00044728">
        <w:rPr>
          <w:rFonts w:ascii="Times New Roman" w:eastAsiaTheme="minorEastAsia" w:hAnsi="Times New Roman" w:cs="Times New Roman"/>
        </w:rPr>
        <w:tab/>
      </w:r>
    </w:p>
    <w:p w:rsidR="006E59BF" w:rsidRPr="00044728" w:rsidRDefault="00042CDD" w:rsidP="002E0BE9">
      <w:pPr>
        <w:spacing w:after="0" w:line="480" w:lineRule="auto"/>
        <w:jc w:val="both"/>
        <w:rPr>
          <w:rFonts w:ascii="Times New Roman" w:eastAsiaTheme="minorEastAsia" w:hAnsi="Times New Roman" w:cs="Times New Roman"/>
          <w:b/>
          <w:bCs/>
        </w:rPr>
      </w:pPr>
      <m:oMath>
        <m:sSub>
          <m:sSubPr>
            <m:ctrlPr>
              <w:rPr>
                <w:rFonts w:ascii="Cambria Math" w:hAnsi="Cambria Math" w:cs="Times New Roman"/>
                <w:b/>
                <w:bCs/>
                <w:i/>
              </w:rPr>
            </m:ctrlPr>
          </m:sSubPr>
          <m:e>
            <m:r>
              <m:rPr>
                <m:sty m:val="bi"/>
              </m:rPr>
              <w:rPr>
                <w:rFonts w:ascii="Cambria Math" w:hAnsi="Cambria Math" w:cs="Times New Roman"/>
              </w:rPr>
              <m:t>μ</m:t>
            </m:r>
          </m:e>
          <m:sub>
            <m:r>
              <m:rPr>
                <m:sty m:val="bi"/>
              </m:rPr>
              <w:rPr>
                <w:rFonts w:ascii="Cambria Math" w:hAnsi="Cambria Math" w:cs="Times New Roman"/>
              </w:rPr>
              <m:t>t</m:t>
            </m:r>
          </m:sub>
        </m:sSub>
        <m:r>
          <m:rPr>
            <m:sty m:val="bi"/>
          </m:rPr>
          <w:rPr>
            <w:rFonts w:ascii="Cambria Math" w:hAnsi="Cambria Math" w:cs="Times New Roman"/>
          </w:rPr>
          <m:t>=</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i/>
          <w:iCs/>
        </w:rPr>
        <w:t xml:space="preserve">n × </w:t>
      </w:r>
      <w:r w:rsidR="006E59BF" w:rsidRPr="00044728">
        <w:rPr>
          <w:rFonts w:ascii="Times New Roman" w:eastAsiaTheme="minorEastAsia" w:hAnsi="Times New Roman" w:cs="Times New Roman"/>
        </w:rPr>
        <w:t>1 vector of the expected value of the conditional</w:t>
      </w:r>
      <w:r w:rsidR="006E59BF" w:rsidRPr="00044728">
        <w:rPr>
          <w:rFonts w:ascii="Times New Roman" w:eastAsiaTheme="minorEastAsia" w:hAnsi="Times New Roman" w:cs="Times New Roman"/>
          <w:b/>
          <w:bCs/>
        </w:rPr>
        <w:t xml:space="preserve"> </w:t>
      </w:r>
      <m:oMath>
        <m:sSub>
          <m:sSubPr>
            <m:ctrlPr>
              <w:rPr>
                <w:rFonts w:ascii="Cambria Math" w:hAnsi="Cambria Math" w:cs="Times New Roman"/>
                <w:b/>
                <w:bCs/>
                <w:i/>
              </w:rPr>
            </m:ctrlPr>
          </m:sSubPr>
          <m:e>
            <m:r>
              <m:rPr>
                <m:sty m:val="bi"/>
              </m:rPr>
              <w:rPr>
                <w:rFonts w:ascii="Cambria Math" w:hAnsi="Cambria Math" w:cs="Times New Roman"/>
              </w:rPr>
              <m:t>R</m:t>
            </m:r>
          </m:e>
          <m:sub>
            <m:r>
              <m:rPr>
                <m:sty m:val="bi"/>
              </m:rPr>
              <w:rPr>
                <w:rFonts w:ascii="Cambria Math" w:hAnsi="Cambria Math" w:cs="Times New Roman"/>
              </w:rPr>
              <m:t>t</m:t>
            </m:r>
          </m:sub>
        </m:sSub>
        <m:r>
          <m:rPr>
            <m:sty m:val="bi"/>
          </m:rPr>
          <w:rPr>
            <w:rFonts w:ascii="Cambria Math" w:hAnsi="Cambria Math" w:cs="Times New Roman"/>
          </w:rPr>
          <m:t>.</m:t>
        </m:r>
      </m:oMath>
    </w:p>
    <w:bookmarkStart w:id="0" w:name="_Hlk186196317"/>
    <w:p w:rsidR="006E59BF" w:rsidRPr="00044728" w:rsidRDefault="00042CDD" w:rsidP="002E0BE9">
      <w:pPr>
        <w:spacing w:after="0" w:line="480" w:lineRule="auto"/>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oMath>
      <w:r w:rsidR="006E59BF" w:rsidRPr="00044728">
        <w:rPr>
          <w:rFonts w:ascii="Times New Roman" w:eastAsiaTheme="minorEastAsia" w:hAnsi="Times New Roman" w:cs="Times New Roman"/>
          <w:b/>
          <w:bCs/>
          <w:i/>
        </w:rPr>
        <w:t xml:space="preserve"> </w:t>
      </w:r>
      <w:bookmarkEnd w:id="0"/>
      <w:r w:rsidR="006E59BF" w:rsidRPr="00044728">
        <w:rPr>
          <w:rFonts w:ascii="Times New Roman" w:eastAsiaTheme="minorEastAsia" w:hAnsi="Times New Roman" w:cs="Times New Roman"/>
          <w:i/>
          <w:iCs/>
        </w:rPr>
        <w:t xml:space="preserve">n × n </w:t>
      </w:r>
      <w:r w:rsidR="006E59BF" w:rsidRPr="00044728">
        <w:rPr>
          <w:rFonts w:ascii="Times New Roman" w:eastAsiaTheme="minorEastAsia" w:hAnsi="Times New Roman" w:cs="Times New Roman"/>
        </w:rPr>
        <w:t>matrix of conditional variances of</w:t>
      </w:r>
      <w:r w:rsidR="006E59BF" w:rsidRPr="00044728">
        <w:rPr>
          <w:rFonts w:ascii="Times New Roman" w:eastAsiaTheme="minorEastAsia" w:hAnsi="Times New Roman" w:cs="Times New Roman"/>
          <w:i/>
          <w:iCs/>
        </w:rPr>
        <w:t xml:space="preserve"> </w:t>
      </w:r>
      <w:r w:rsidR="006E59BF" w:rsidRPr="00044728">
        <w:rPr>
          <w:rFonts w:ascii="Times New Roman" w:eastAsiaTheme="minorEastAsia" w:hAnsi="Times New Roman" w:cs="Times New Roman"/>
        </w:rPr>
        <w:t xml:space="preserve">at time </w:t>
      </w:r>
      <w:r w:rsidR="006E59BF" w:rsidRPr="00044728">
        <w:rPr>
          <w:rFonts w:ascii="Times New Roman" w:eastAsiaTheme="minorEastAsia" w:hAnsi="Times New Roman" w:cs="Times New Roman"/>
          <w:i/>
          <w:iCs/>
        </w:rPr>
        <w:t>t</w:t>
      </w:r>
      <w:r w:rsidR="006E59BF" w:rsidRPr="00044728">
        <w:rPr>
          <w:rFonts w:ascii="Times New Roman" w:eastAsiaTheme="minorEastAsia" w:hAnsi="Times New Roman" w:cs="Times New Roman"/>
        </w:rPr>
        <w:t>. or Time-varying covariance matrix.</w:t>
      </w:r>
    </w:p>
    <w:p w:rsidR="006E59BF" w:rsidRPr="00044728" w:rsidRDefault="00042CDD" w:rsidP="002E0BE9">
      <w:pPr>
        <w:spacing w:after="0" w:line="480" w:lineRule="auto"/>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sup>
        </m:sSubSup>
        <m:r>
          <m:rPr>
            <m:sty m:val="bi"/>
          </m:rPr>
          <w:rPr>
            <w:rFonts w:ascii="Cambria Math" w:hAnsi="Cambria Math" w:cs="Times New Roman"/>
          </w:rPr>
          <m:t>=</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rPr>
        <w:t xml:space="preserve">Any </w:t>
      </w:r>
      <w:r w:rsidR="006E59BF" w:rsidRPr="00044728">
        <w:rPr>
          <w:rFonts w:ascii="Times New Roman" w:eastAsiaTheme="minorEastAsia" w:hAnsi="Times New Roman" w:cs="Times New Roman"/>
          <w:i/>
          <w:iCs/>
        </w:rPr>
        <w:t xml:space="preserve">n × n </w:t>
      </w:r>
      <w:r w:rsidR="006E59BF" w:rsidRPr="00044728">
        <w:rPr>
          <w:rFonts w:ascii="Times New Roman" w:eastAsiaTheme="minorEastAsia" w:hAnsi="Times New Roman" w:cs="Times New Roman"/>
        </w:rPr>
        <w:t xml:space="preserve">matrix at time </w:t>
      </w:r>
      <w:r w:rsidR="006E59BF" w:rsidRPr="00044728">
        <w:rPr>
          <w:rFonts w:ascii="Times New Roman" w:eastAsiaTheme="minorEastAsia" w:hAnsi="Times New Roman" w:cs="Times New Roman"/>
          <w:i/>
          <w:iCs/>
        </w:rPr>
        <w:t xml:space="preserve">t </w:t>
      </w:r>
      <w:r w:rsidR="006E59BF" w:rsidRPr="00044728">
        <w:rPr>
          <w:rFonts w:ascii="Times New Roman" w:eastAsiaTheme="minorEastAsia" w:hAnsi="Times New Roman" w:cs="Times New Roman"/>
        </w:rPr>
        <w:t xml:space="preserve">such that </w:t>
      </w: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006E59BF" w:rsidRPr="00044728">
        <w:rPr>
          <w:rFonts w:ascii="Times New Roman" w:eastAsiaTheme="minorEastAsia" w:hAnsi="Times New Roman" w:cs="Times New Roman"/>
        </w:rPr>
        <w:t xml:space="preserve">is the conditional variance matrix of </w:t>
      </w:r>
      <m:oMath>
        <m:sSub>
          <m:sSubPr>
            <m:ctrlPr>
              <w:rPr>
                <w:rFonts w:ascii="Cambria Math" w:hAnsi="Cambria Math" w:cs="Times New Roman"/>
                <w:b/>
                <w:bCs/>
                <w:i/>
              </w:rPr>
            </m:ctrlPr>
          </m:sSubPr>
          <m:e>
            <m:r>
              <m:rPr>
                <m:sty m:val="bi"/>
              </m:rPr>
              <w:rPr>
                <w:rFonts w:ascii="Cambria Math" w:hAnsi="Cambria Math" w:cs="Times New Roman"/>
              </w:rPr>
              <m:t>a</m:t>
            </m:r>
          </m:e>
          <m:sub>
            <m:r>
              <m:rPr>
                <m:sty m:val="bi"/>
              </m:rPr>
              <w:rPr>
                <w:rFonts w:ascii="Cambria Math" w:hAnsi="Cambria Math" w:cs="Times New Roman"/>
              </w:rPr>
              <m:t>t</m:t>
            </m:r>
          </m:sub>
        </m:sSub>
      </m:oMath>
      <w:r w:rsidR="006E59BF" w:rsidRPr="00044728">
        <w:rPr>
          <w:rFonts w:ascii="Times New Roman" w:eastAsiaTheme="minorEastAsia" w:hAnsi="Times New Roman" w:cs="Times New Roman"/>
        </w:rPr>
        <w:t xml:space="preserve">. </w:t>
      </w: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sup>
        </m:sSubSup>
        <m:r>
          <m:rPr>
            <m:sty m:val="bi"/>
          </m:rPr>
          <w:rPr>
            <w:rFonts w:ascii="Cambria Math" w:hAnsi="Cambria Math" w:cs="Times New Roman"/>
          </w:rPr>
          <m:t xml:space="preserve"> </m:t>
        </m:r>
      </m:oMath>
      <w:r w:rsidR="006E59BF" w:rsidRPr="00044728">
        <w:rPr>
          <w:rFonts w:ascii="Times New Roman" w:eastAsiaTheme="minorEastAsia" w:hAnsi="Times New Roman" w:cs="Times New Roman"/>
          <w:b/>
          <w:bCs/>
          <w:i/>
          <w:iCs/>
        </w:rPr>
        <w:t xml:space="preserve"> </w:t>
      </w:r>
      <w:r w:rsidR="006E59BF" w:rsidRPr="00044728">
        <w:rPr>
          <w:rFonts w:ascii="Times New Roman" w:eastAsiaTheme="minorEastAsia" w:hAnsi="Times New Roman" w:cs="Times New Roman"/>
          <w:highlight w:val="yellow"/>
        </w:rPr>
        <w:t xml:space="preserve">can be obtained by Cholesky factorisation of </w:t>
      </w:r>
      <m:oMath>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 xml:space="preserve"> </m:t>
            </m:r>
          </m:sup>
        </m:sSubSup>
      </m:oMath>
    </w:p>
    <w:p w:rsidR="006E59BF" w:rsidRPr="00044728" w:rsidRDefault="00042CDD" w:rsidP="002E0BE9">
      <w:pPr>
        <w:spacing w:after="0" w:line="480" w:lineRule="auto"/>
        <w:jc w:val="both"/>
        <w:rPr>
          <w:rFonts w:ascii="Times New Roman" w:eastAsiaTheme="minorEastAsia" w:hAnsi="Times New Roman" w:cs="Times New Roman"/>
          <w:b/>
        </w:rPr>
      </w:pP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r>
          <w:rPr>
            <w:rFonts w:ascii="Cambria Math" w:hAnsi="Cambria Math" w:cs="Times New Roman"/>
          </w:rPr>
          <m:t xml:space="preserve"> </m:t>
        </m:r>
      </m:oMath>
      <w:r w:rsidR="006E59BF" w:rsidRPr="00044728">
        <w:rPr>
          <w:rFonts w:ascii="Times New Roman" w:eastAsiaTheme="minorEastAsia" w:hAnsi="Times New Roman" w:cs="Times New Roman"/>
          <w:i/>
        </w:rPr>
        <w:t xml:space="preserve"> </w:t>
      </w:r>
      <w:r w:rsidR="006E59BF" w:rsidRPr="00044728">
        <w:rPr>
          <w:rFonts w:ascii="Times New Roman" w:eastAsiaTheme="minorEastAsia" w:hAnsi="Times New Roman" w:cs="Times New Roman"/>
          <w:iCs/>
        </w:rPr>
        <w:t>is an</w:t>
      </w:r>
      <w:r w:rsidR="006E59BF" w:rsidRPr="00044728">
        <w:rPr>
          <w:rFonts w:ascii="Times New Roman" w:eastAsiaTheme="minorEastAsia" w:hAnsi="Times New Roman" w:cs="Times New Roman"/>
          <w:b/>
          <w:bCs/>
          <w:i/>
        </w:rPr>
        <w:t xml:space="preserve">   </w:t>
      </w:r>
      <w:r w:rsidR="006E59BF" w:rsidRPr="00044728">
        <w:rPr>
          <w:rFonts w:ascii="Times New Roman" w:eastAsiaTheme="minorEastAsia" w:hAnsi="Times New Roman" w:cs="Times New Roman"/>
          <w:i/>
          <w:iCs/>
        </w:rPr>
        <w:t xml:space="preserve">n × </w:t>
      </w:r>
      <w:r w:rsidR="006E59BF" w:rsidRPr="00044728">
        <w:rPr>
          <w:rFonts w:ascii="Times New Roman" w:eastAsiaTheme="minorEastAsia" w:hAnsi="Times New Roman" w:cs="Times New Roman"/>
        </w:rPr>
        <w:t xml:space="preserve">1 vector of </w:t>
      </w:r>
      <w:proofErr w:type="spellStart"/>
      <w:r w:rsidR="006E59BF" w:rsidRPr="00044728">
        <w:rPr>
          <w:rFonts w:ascii="Times New Roman" w:eastAsiaTheme="minorEastAsia" w:hAnsi="Times New Roman" w:cs="Times New Roman"/>
        </w:rPr>
        <w:t>iid</w:t>
      </w:r>
      <w:proofErr w:type="spellEnd"/>
      <w:r w:rsidR="006E59BF" w:rsidRPr="00044728">
        <w:rPr>
          <w:rFonts w:ascii="Times New Roman" w:eastAsiaTheme="minorEastAsia" w:hAnsi="Times New Roman" w:cs="Times New Roman"/>
        </w:rPr>
        <w:t xml:space="preserve"> errors such that  </w:t>
      </w:r>
      <m:oMath>
        <m:r>
          <w:rPr>
            <w:rFonts w:ascii="Cambria Math" w:eastAsiaTheme="minorEastAsia" w:hAnsi="Cambria Math" w:cs="Times New Roman"/>
          </w:rPr>
          <m:t>E</m:t>
        </m:r>
        <m:d>
          <m:dPr>
            <m:ctrlPr>
              <w:rPr>
                <w:rFonts w:ascii="Cambria Math" w:eastAsiaTheme="minorEastAsia" w:hAnsi="Cambria Math" w:cs="Times New Roman"/>
                <w:i/>
              </w:rPr>
            </m:ctrlPr>
          </m:dPr>
          <m:e>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ctrlPr>
              <w:rPr>
                <w:rFonts w:ascii="Cambria Math" w:hAnsi="Cambria Math" w:cs="Times New Roman"/>
                <w:b/>
                <w:bCs/>
                <w:i/>
              </w:rPr>
            </m:ctrlPr>
          </m:e>
        </m:d>
        <m:r>
          <m:rPr>
            <m:sty m:val="bi"/>
          </m:rPr>
          <w:rPr>
            <w:rFonts w:ascii="Cambria Math" w:hAnsi="Cambria Math" w:cs="Times New Roman"/>
          </w:rPr>
          <m:t>=</m:t>
        </m:r>
        <m:r>
          <m:rPr>
            <m:sty m:val="bi"/>
          </m:rPr>
          <w:rPr>
            <w:rFonts w:ascii="Cambria Math" w:hAnsi="Cambria Math" w:cs="Times New Roman"/>
          </w:rPr>
          <m:t>0</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rPr>
        <w:t>and</w:t>
      </w:r>
      <w:r w:rsidR="006E59BF" w:rsidRPr="00044728">
        <w:rPr>
          <w:rFonts w:ascii="Times New Roman" w:eastAsiaTheme="minorEastAsia" w:hAnsi="Times New Roman" w:cs="Times New Roman"/>
          <w:b/>
          <w:bCs/>
        </w:rPr>
        <w:t xml:space="preserve"> </w:t>
      </w:r>
      <m:oMath>
        <m:r>
          <w:rPr>
            <w:rFonts w:ascii="Cambria Math" w:eastAsiaTheme="minorEastAsia" w:hAnsi="Cambria Math" w:cs="Times New Roman"/>
          </w:rPr>
          <m:t>E</m:t>
        </m:r>
        <m:d>
          <m:dPr>
            <m:ctrlPr>
              <w:rPr>
                <w:rFonts w:ascii="Cambria Math" w:eastAsiaTheme="minorEastAsia" w:hAnsi="Cambria Math" w:cs="Times New Roman"/>
                <w:i/>
              </w:rPr>
            </m:ctrlPr>
          </m:dPr>
          <m:e>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e>
              <m:sup>
                <m:r>
                  <m:rPr>
                    <m:sty m:val="bi"/>
                  </m:rPr>
                  <w:rPr>
                    <w:rFonts w:ascii="Cambria Math" w:hAnsi="Cambria Math" w:cs="Times New Roman"/>
                  </w:rPr>
                  <m:t>'</m:t>
                </m:r>
              </m:sup>
            </m:sSup>
            <m:ctrlPr>
              <w:rPr>
                <w:rFonts w:ascii="Cambria Math" w:hAnsi="Cambria Math" w:cs="Times New Roman"/>
                <w:b/>
                <w:bCs/>
                <w:i/>
              </w:rPr>
            </m:ctrlPr>
          </m:e>
        </m:d>
        <m:r>
          <m:rPr>
            <m:sty m:val="bi"/>
          </m:rPr>
          <w:rPr>
            <w:rFonts w:ascii="Cambria Math" w:hAnsi="Cambria Math" w:cs="Times New Roman"/>
          </w:rPr>
          <m:t>=</m:t>
        </m:r>
        <m:r>
          <m:rPr>
            <m:sty m:val="bi"/>
          </m:rPr>
          <w:rPr>
            <w:rFonts w:ascii="Cambria Math" w:hAnsi="Cambria Math" w:cs="Times New Roman"/>
          </w:rPr>
          <m:t>1</m:t>
        </m:r>
      </m:oMath>
    </w:p>
    <w:p w:rsidR="006E59BF" w:rsidRPr="00044728" w:rsidRDefault="00042CDD" w:rsidP="002E0BE9">
      <w:pPr>
        <w:spacing w:after="0" w:line="480" w:lineRule="auto"/>
        <w:jc w:val="both"/>
        <w:rPr>
          <w:rFonts w:ascii="Times New Roman" w:eastAsiaTheme="minorEastAsia" w:hAnsi="Times New Roman" w:cs="Times New Roman"/>
          <w:b/>
          <w:bCs/>
          <w:i/>
        </w:rPr>
      </w:pP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oMath>
      <w:r w:rsidR="006E59BF" w:rsidRPr="00044728">
        <w:rPr>
          <w:rFonts w:ascii="Times New Roman" w:eastAsiaTheme="minorEastAsia" w:hAnsi="Times New Roman" w:cs="Times New Roman"/>
          <w:i/>
          <w:iCs/>
        </w:rPr>
        <w:t xml:space="preserve"> </w:t>
      </w:r>
      <w:r w:rsidR="006E59BF" w:rsidRPr="00044728">
        <w:rPr>
          <w:rFonts w:ascii="Times New Roman" w:eastAsiaTheme="minorEastAsia" w:hAnsi="Times New Roman" w:cs="Times New Roman"/>
        </w:rPr>
        <w:t>could also be defined as a Vector of standardized residuals.</w:t>
      </w:r>
      <w:r w:rsidR="006E59BF" w:rsidRPr="00044728">
        <w:rPr>
          <w:rFonts w:ascii="Times New Roman" w:eastAsiaTheme="minorEastAsia" w:hAnsi="Times New Roman" w:cs="Times New Roman"/>
          <w:i/>
          <w:iCs/>
        </w:rPr>
        <w:t xml:space="preserve"> </w:t>
      </w: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r>
          <m:rPr>
            <m:sty m:val="bi"/>
          </m:rPr>
          <w:rPr>
            <w:rFonts w:ascii="Cambria Math" w:hAnsi="Cambria Math" w:cs="Times New Roman"/>
          </w:rPr>
          <m:t>~</m:t>
        </m:r>
        <m:r>
          <m:rPr>
            <m:sty m:val="bi"/>
          </m:rPr>
          <w:rPr>
            <w:rFonts w:ascii="Cambria Math" w:hAnsi="Cambria Math" w:cs="Times New Roman"/>
          </w:rPr>
          <m:t>N</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oMath>
    </w:p>
    <w:p w:rsidR="006E59BF" w:rsidRPr="00044728" w:rsidRDefault="00CE35AC" w:rsidP="002E0BE9">
      <w:pPr>
        <w:spacing w:after="0" w:line="480" w:lineRule="auto"/>
        <w:jc w:val="both"/>
        <w:rPr>
          <w:rFonts w:ascii="Times New Roman" w:eastAsiaTheme="minorEastAsia" w:hAnsi="Times New Roman" w:cs="Times New Roman"/>
          <w:i/>
        </w:rPr>
      </w:pPr>
      <w:r>
        <w:rPr>
          <w:rFonts w:ascii="Times New Roman" w:hAnsi="Times New Roman" w:cs="Times New Roman"/>
        </w:rPr>
        <w:lastRenderedPageBreak/>
        <w:t>A correlation matrix</w:t>
      </w:r>
      <w:r w:rsidRPr="00CE35AC">
        <w:rPr>
          <w:rFonts w:ascii="Times New Roman" w:hAnsi="Times New Roman" w:cs="Times New Roman"/>
          <w:i/>
        </w:rPr>
        <w:t xml:space="preserve">, </w:t>
      </w:r>
      <w:r w:rsidRPr="00CE35AC">
        <w:rPr>
          <w:rFonts w:ascii="Times New Roman" w:hAnsi="Times New Roman" w:cs="Times New Roman"/>
          <w:b/>
          <w:i/>
        </w:rPr>
        <w:t>R</w:t>
      </w:r>
      <w:r w:rsidRPr="00CE35AC">
        <w:rPr>
          <w:rFonts w:ascii="Times New Roman" w:hAnsi="Times New Roman" w:cs="Times New Roman"/>
          <w:i/>
        </w:rPr>
        <w:t>t,</w:t>
      </w:r>
      <w:r w:rsidRPr="00CE35AC">
        <w:rPr>
          <w:rFonts w:ascii="Times New Roman" w:hAnsi="Times New Roman" w:cs="Times New Roman"/>
        </w:rPr>
        <w:t xml:space="preserve"> and condi</w:t>
      </w:r>
      <w:r>
        <w:rPr>
          <w:rFonts w:ascii="Times New Roman" w:hAnsi="Times New Roman" w:cs="Times New Roman"/>
        </w:rPr>
        <w:t xml:space="preserve">tional standard deviations, </w:t>
      </w:r>
      <w:r w:rsidRPr="00CE35AC">
        <w:rPr>
          <w:rFonts w:ascii="Times New Roman" w:hAnsi="Times New Roman" w:cs="Times New Roman"/>
          <w:b/>
          <w:i/>
        </w:rPr>
        <w:t>D</w:t>
      </w:r>
      <w:r w:rsidRPr="00CE35AC">
        <w:rPr>
          <w:rFonts w:ascii="Times New Roman" w:hAnsi="Times New Roman" w:cs="Times New Roman"/>
          <w:i/>
        </w:rPr>
        <w:t>t,</w:t>
      </w:r>
      <w:r w:rsidRPr="00CE35AC">
        <w:rPr>
          <w:rFonts w:ascii="Times New Roman" w:hAnsi="Times New Roman" w:cs="Times New Roman"/>
        </w:rPr>
        <w:t xml:space="preserve"> may be used to break </w:t>
      </w:r>
      <w:r>
        <w:rPr>
          <w:rFonts w:ascii="Times New Roman" w:hAnsi="Times New Roman" w:cs="Times New Roman"/>
        </w:rPr>
        <w:t xml:space="preserve">down the covariance matrix, </w:t>
      </w:r>
      <w:proofErr w:type="spellStart"/>
      <w:r w:rsidRPr="00CE35AC">
        <w:rPr>
          <w:rFonts w:ascii="Times New Roman" w:hAnsi="Times New Roman" w:cs="Times New Roman"/>
          <w:b/>
          <w:i/>
        </w:rPr>
        <w:t>H</w:t>
      </w:r>
      <w:r w:rsidRPr="00CE35AC">
        <w:rPr>
          <w:rFonts w:ascii="Times New Roman" w:hAnsi="Times New Roman" w:cs="Times New Roman"/>
          <w:i/>
        </w:rPr>
        <w:t>t</w:t>
      </w:r>
      <w:proofErr w:type="spellEnd"/>
      <w:r w:rsidRPr="00CE35AC">
        <w:rPr>
          <w:rFonts w:ascii="Times New Roman" w:hAnsi="Times New Roman" w:cs="Times New Roman"/>
        </w:rPr>
        <w:t xml:space="preserve"> =, according to the models presented in this class.  The standard deviations from univariate GARCH models are represented by the entr</w:t>
      </w:r>
      <w:r>
        <w:rPr>
          <w:rFonts w:ascii="Times New Roman" w:hAnsi="Times New Roman" w:cs="Times New Roman"/>
        </w:rPr>
        <w:t xml:space="preserve">ies in the diagonal matrix </w:t>
      </w:r>
      <w:r w:rsidRPr="00CE35AC">
        <w:rPr>
          <w:rFonts w:ascii="Times New Roman" w:hAnsi="Times New Roman" w:cs="Times New Roman"/>
          <w:b/>
          <w:i/>
        </w:rPr>
        <w:t>D</w:t>
      </w:r>
      <w:r w:rsidRPr="00CE35AC">
        <w:rPr>
          <w:rFonts w:ascii="Times New Roman" w:hAnsi="Times New Roman" w:cs="Times New Roman"/>
          <w:i/>
        </w:rPr>
        <w:t>t</w:t>
      </w:r>
      <w:r w:rsidR="006E59BF" w:rsidRPr="00CE35AC">
        <w:rPr>
          <w:rFonts w:ascii="Times New Roman" w:hAnsi="Times New Roman" w:cs="Times New Roman"/>
          <w:i/>
        </w:rPr>
        <w:t>.</w:t>
      </w:r>
    </w:p>
    <w:p w:rsidR="006E59BF" w:rsidRPr="00044728" w:rsidRDefault="00042CDD" w:rsidP="00EE0234">
      <w:pPr>
        <w:spacing w:line="480" w:lineRule="auto"/>
        <w:ind w:firstLine="720"/>
        <w:jc w:val="both"/>
        <w:rPr>
          <w:rFonts w:ascii="Times New Roman" w:eastAsiaTheme="minorEastAsia" w:hAnsi="Times New Roman" w:cs="Times New Roman"/>
          <w:b/>
          <w:bCs/>
        </w:rPr>
      </w:pPr>
      <m:oMath>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d>
          <m:dPr>
            <m:begChr m:val="["/>
            <m:endChr m:val="]"/>
            <m:ctrlPr>
              <w:rPr>
                <w:rFonts w:ascii="Cambria Math" w:hAnsi="Cambria Math" w:cs="Times New Roman"/>
                <w:b/>
                <w:bCs/>
                <w:i/>
              </w:rPr>
            </m:ctrlPr>
          </m:dPr>
          <m:e>
            <m:m>
              <m:mPr>
                <m:mcs>
                  <m:mc>
                    <m:mcPr>
                      <m:count m:val="3"/>
                      <m:mcJc m:val="center"/>
                    </m:mcPr>
                  </m:mc>
                </m:mcs>
                <m:ctrlPr>
                  <w:rPr>
                    <w:rFonts w:ascii="Cambria Math" w:hAnsi="Cambria Math" w:cs="Times New Roman"/>
                    <w:b/>
                    <w:bCs/>
                    <w:i/>
                  </w:rPr>
                </m:ctrlPr>
              </m:mPr>
              <m:mr>
                <m:e>
                  <w:bookmarkStart w:id="1" w:name="_Hlk186196676"/>
                  <m:rad>
                    <m:radPr>
                      <m:degHide m:val="1"/>
                      <m:ctrlPr>
                        <w:rPr>
                          <w:rFonts w:ascii="Cambria Math" w:hAnsi="Cambria Math" w:cs="Times New Roman"/>
                          <w:b/>
                          <w:bCs/>
                          <w:i/>
                        </w:rPr>
                      </m:ctrlPr>
                    </m:radPr>
                    <m:deg/>
                    <m:e>
                      <m:sSubSup>
                        <m:sSubSupPr>
                          <m:ctrlPr>
                            <w:rPr>
                              <w:rFonts w:ascii="Cambria Math" w:hAnsi="Cambria Math" w:cs="Times New Roman"/>
                              <w:i/>
                            </w:rPr>
                          </m:ctrlPr>
                        </m:sSubSupPr>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1</m:t>
                              </m:r>
                              <m:r>
                                <w:rPr>
                                  <w:rFonts w:ascii="Cambria Math" w:hAnsi="Cambria Math" w:cs="Times New Roman"/>
                                </w:rPr>
                                <m:t>t</m:t>
                              </m:r>
                            </m:sub>
                            <m:sup>
                              <m:r>
                                <w:rPr>
                                  <w:rFonts w:ascii="Cambria Math" w:hAnsi="Cambria Math" w:cs="Times New Roman"/>
                                </w:rPr>
                                <m:t xml:space="preserve"> </m:t>
                              </m:r>
                            </m:sup>
                          </m:sSubSup>
                        </m:e>
                        <m:sub>
                          <m:r>
                            <w:rPr>
                              <w:rFonts w:ascii="Cambria Math" w:hAnsi="Cambria Math" w:cs="Times New Roman"/>
                            </w:rPr>
                            <m:t xml:space="preserve"> </m:t>
                          </m:r>
                        </m:sub>
                        <m:sup>
                          <m:r>
                            <w:rPr>
                              <w:rFonts w:ascii="Cambria Math" w:hAnsi="Cambria Math" w:cs="Times New Roman"/>
                            </w:rPr>
                            <m:t xml:space="preserve"> </m:t>
                          </m:r>
                        </m:sup>
                      </m:sSubSup>
                    </m:e>
                  </m:rad>
                  <w:bookmarkEnd w:id="1"/>
                </m:e>
                <m:e>
                  <m:r>
                    <m:rPr>
                      <m:sty m:val="bi"/>
                    </m:rPr>
                    <w:rPr>
                      <w:rFonts w:ascii="Cambria Math" w:hAnsi="Cambria Math" w:cs="Times New Roman"/>
                    </w:rPr>
                    <m:t>0</m:t>
                  </m:r>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0</m:t>
                        </m:r>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r>
                                <m:rPr>
                                  <m:sty m:val="bi"/>
                                </m:rPr>
                                <w:rPr>
                                  <w:rFonts w:ascii="Cambria Math" w:hAnsi="Cambria Math" w:cs="Times New Roman"/>
                                </w:rPr>
                                <m:t>0</m:t>
                              </m:r>
                            </m:e>
                          </m:mr>
                        </m:m>
                      </m:e>
                    </m:mr>
                  </m:m>
                </m:e>
              </m:mr>
              <m:mr>
                <m:e>
                  <m:r>
                    <m:rPr>
                      <m:sty m:val="bi"/>
                    </m:rPr>
                    <w:rPr>
                      <w:rFonts w:ascii="Cambria Math" w:hAnsi="Cambria Math" w:cs="Times New Roman"/>
                    </w:rPr>
                    <m:t>0</m:t>
                  </m:r>
                </m:e>
                <m:e>
                  <m:rad>
                    <m:radPr>
                      <m:degHide m:val="1"/>
                      <m:ctrlPr>
                        <w:rPr>
                          <w:rFonts w:ascii="Cambria Math" w:hAnsi="Cambria Math" w:cs="Times New Roman"/>
                          <w:b/>
                          <w:bCs/>
                          <w:i/>
                        </w:rPr>
                      </m:ctrlPr>
                    </m:radPr>
                    <m:deg/>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2</m:t>
                          </m:r>
                          <m:r>
                            <w:rPr>
                              <w:rFonts w:ascii="Cambria Math" w:hAnsi="Cambria Math" w:cs="Times New Roman"/>
                            </w:rPr>
                            <m:t>t</m:t>
                          </m:r>
                        </m:sub>
                        <m:sup>
                          <m:r>
                            <w:rPr>
                              <w:rFonts w:ascii="Cambria Math" w:hAnsi="Cambria Math" w:cs="Times New Roman"/>
                            </w:rPr>
                            <m:t xml:space="preserve"> </m:t>
                          </m:r>
                        </m:sup>
                      </m:sSubSup>
                    </m:e>
                  </m:rad>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0</m:t>
                        </m:r>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r>
                                <m:rPr>
                                  <m:sty m:val="bi"/>
                                </m:rPr>
                                <w:rPr>
                                  <w:rFonts w:ascii="Cambria Math" w:hAnsi="Cambria Math" w:cs="Times New Roman"/>
                                </w:rPr>
                                <m:t>0</m:t>
                              </m:r>
                            </m:e>
                          </m:mr>
                        </m:m>
                      </m:e>
                    </m:mr>
                  </m:m>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0</m:t>
                        </m:r>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0</m:t>
                              </m:r>
                            </m:e>
                          </m:mr>
                        </m:m>
                      </m:e>
                    </m:mr>
                  </m:m>
                </m:e>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0</m:t>
                        </m:r>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0</m:t>
                              </m:r>
                            </m:e>
                          </m:mr>
                        </m:m>
                      </m:e>
                    </m:mr>
                  </m:m>
                </m:e>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ad>
                                <m:radPr>
                                  <m:degHide m:val="1"/>
                                  <m:ctrlPr>
                                    <w:rPr>
                                      <w:rFonts w:ascii="Cambria Math" w:hAnsi="Cambria Math" w:cs="Times New Roman"/>
                                      <w:b/>
                                      <w:bCs/>
                                      <w:i/>
                                    </w:rPr>
                                  </m:ctrlPr>
                                </m:radPr>
                                <m:deg/>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3</m:t>
                                      </m:r>
                                      <m:r>
                                        <w:rPr>
                                          <w:rFonts w:ascii="Cambria Math" w:hAnsi="Cambria Math" w:cs="Times New Roman"/>
                                        </w:rPr>
                                        <m:t>t</m:t>
                                      </m:r>
                                    </m:sub>
                                    <m:sup>
                                      <m:r>
                                        <w:rPr>
                                          <w:rFonts w:ascii="Cambria Math" w:hAnsi="Cambria Math" w:cs="Times New Roman"/>
                                        </w:rPr>
                                        <m:t xml:space="preserve"> </m:t>
                                      </m:r>
                                    </m:sup>
                                  </m:sSubSup>
                                </m:e>
                              </m:rad>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m:t>
                                    </m:r>
                                  </m:e>
                                </m:mr>
                              </m:m>
                            </m:e>
                          </m:mr>
                        </m:m>
                      </m:e>
                      <m:e>
                        <m:m>
                          <m:mPr>
                            <m:mcs>
                              <m:mc>
                                <m:mcPr>
                                  <m:count m:val="1"/>
                                  <m:mcJc m:val="center"/>
                                </m:mcPr>
                              </m:mc>
                            </m:mcs>
                            <m:ctrlPr>
                              <w:rPr>
                                <w:rFonts w:ascii="Cambria Math" w:hAnsi="Cambria Math" w:cs="Times New Roman"/>
                                <w:b/>
                                <w:bCs/>
                                <w:i/>
                              </w:rPr>
                            </m:ctrlPr>
                          </m:mPr>
                          <m:mr>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r>
                                      <m:rPr>
                                        <m:sty m:val="bi"/>
                                      </m:rPr>
                                      <w:rPr>
                                        <w:rFonts w:ascii="Cambria Math" w:hAnsi="Cambria Math" w:cs="Times New Roman"/>
                                      </w:rPr>
                                      <m:t>⋮</m:t>
                                    </m:r>
                                  </m:e>
                                </m:mr>
                              </m:m>
                            </m:e>
                          </m:mr>
                          <m:mr>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0</m:t>
                                          </m:r>
                                        </m:e>
                                      </m:mr>
                                    </m:m>
                                  </m:e>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0</m:t>
                                          </m:r>
                                        </m:e>
                                      </m:mr>
                                      <m:mr>
                                        <m:e>
                                          <m:rad>
                                            <m:radPr>
                                              <m:degHide m:val="1"/>
                                              <m:ctrlPr>
                                                <w:rPr>
                                                  <w:rFonts w:ascii="Cambria Math" w:hAnsi="Cambria Math" w:cs="Times New Roman"/>
                                                  <w:b/>
                                                  <w:bCs/>
                                                  <w:i/>
                                                </w:rPr>
                                              </m:ctrlPr>
                                            </m:radPr>
                                            <m:deg/>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nt</m:t>
                                                  </m:r>
                                                </m:sub>
                                                <m:sup>
                                                  <m:r>
                                                    <w:rPr>
                                                      <w:rFonts w:ascii="Cambria Math" w:hAnsi="Cambria Math" w:cs="Times New Roman"/>
                                                    </w:rPr>
                                                    <m:t xml:space="preserve"> </m:t>
                                                  </m:r>
                                                </m:sup>
                                              </m:sSubSup>
                                            </m:e>
                                          </m:rad>
                                        </m:e>
                                      </m:mr>
                                    </m:m>
                                  </m:e>
                                </m:mr>
                              </m:m>
                            </m:e>
                          </m:mr>
                        </m:m>
                      </m:e>
                    </m:mr>
                  </m:m>
                </m:e>
              </m:mr>
            </m:m>
          </m:e>
        </m:d>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rPr>
        <w:t>(17</w:t>
      </w:r>
      <w:r w:rsidR="006E59BF" w:rsidRPr="00044728">
        <w:rPr>
          <w:rFonts w:ascii="Times New Roman" w:eastAsiaTheme="minorEastAsia" w:hAnsi="Times New Roman" w:cs="Times New Roman"/>
        </w:rPr>
        <w:t>)</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p>
    <w:p w:rsidR="006E59BF" w:rsidRPr="00044728" w:rsidRDefault="00042CDD" w:rsidP="002E0BE9">
      <w:pPr>
        <w:spacing w:line="480" w:lineRule="auto"/>
        <w:jc w:val="both"/>
        <w:rPr>
          <w:rFonts w:ascii="Times New Roman" w:eastAsiaTheme="minorEastAsia" w:hAnsi="Times New Roman" w:cs="Times New Roman"/>
          <w:b/>
        </w:rPr>
      </w:pPr>
      <m:oMathPara>
        <m:oMathParaPr>
          <m:jc m:val="left"/>
        </m:oMathParaPr>
        <m:oMath>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r>
            <w:rPr>
              <w:rFonts w:ascii="Cambria Math" w:hAnsi="Cambria Math" w:cs="Times New Roman"/>
            </w:rPr>
            <m:t>diag</m:t>
          </m:r>
          <m:r>
            <m:rPr>
              <m:sty m:val="bi"/>
            </m:rP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1</m:t>
              </m:r>
              <m:r>
                <w:rPr>
                  <w:rFonts w:ascii="Cambria Math" w:hAnsi="Cambria Math" w:cs="Times New Roman"/>
                </w:rPr>
                <m:t>t</m:t>
              </m:r>
            </m:sub>
            <m:sup>
              <m: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2</m:t>
              </m:r>
              <m:r>
                <w:rPr>
                  <w:rFonts w:ascii="Cambria Math" w:hAnsi="Cambria Math" w:cs="Times New Roman"/>
                </w:rPr>
                <m:t>t</m:t>
              </m:r>
            </m:sub>
            <m:sup>
              <m:r>
                <w:rPr>
                  <w:rFonts w:ascii="Cambria Math" w:hAnsi="Cambria Math" w:cs="Times New Roman"/>
                </w:rPr>
                <m:t xml:space="preserve"> </m:t>
              </m:r>
            </m:sup>
          </m:sSubSup>
          <m:r>
            <m:rPr>
              <m:sty m:val="bi"/>
            </m:rP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3</m:t>
              </m:r>
              <m:r>
                <w:rPr>
                  <w:rFonts w:ascii="Cambria Math" w:hAnsi="Cambria Math" w:cs="Times New Roman"/>
                </w:rPr>
                <m:t>t</m:t>
              </m:r>
            </m:sub>
            <m:sup>
              <m:r>
                <w:rPr>
                  <w:rFonts w:ascii="Cambria Math" w:hAnsi="Cambria Math" w:cs="Times New Roman"/>
                </w:rPr>
                <m:t xml:space="preserve"> </m:t>
              </m:r>
            </m:sup>
          </m:sSubSup>
          <m:r>
            <m:rPr>
              <m:sty m:val="bi"/>
            </m:rPr>
            <w:rPr>
              <w:rFonts w:ascii="Cambria Math" w:hAnsi="Cambria Math" w:cs="Times New Roman"/>
            </w:rPr>
            <m:t xml:space="preserve">, …, </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nt</m:t>
              </m:r>
            </m:sub>
            <m:sup>
              <m:r>
                <w:rPr>
                  <w:rFonts w:ascii="Cambria Math" w:hAnsi="Cambria Math" w:cs="Times New Roman"/>
                </w:rPr>
                <m:t xml:space="preserve"> </m:t>
              </m:r>
            </m:sup>
          </m:sSubSup>
          <m:r>
            <m:rPr>
              <m:sty m:val="bi"/>
            </m:rPr>
            <w:rPr>
              <w:rFonts w:ascii="Cambria Math" w:hAnsi="Cambria Math" w:cs="Times New Roman"/>
            </w:rPr>
            <m:t>)</m:t>
          </m:r>
        </m:oMath>
      </m:oMathPara>
    </w:p>
    <w:p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where </w:t>
      </w:r>
      <m:oMath>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1t</m:t>
            </m:r>
          </m:sub>
          <m:sup>
            <m:r>
              <w:rPr>
                <w:rFonts w:ascii="Cambria Math" w:hAnsi="Cambria Math" w:cs="Times New Roman"/>
              </w:rPr>
              <m:t xml:space="preserve"> </m:t>
            </m:r>
          </m:sup>
        </m:sSubSup>
      </m:oMath>
      <w:r w:rsidRPr="00044728">
        <w:rPr>
          <w:rFonts w:ascii="Times New Roman" w:hAnsi="Times New Roman" w:cs="Times New Roman"/>
        </w:rPr>
        <w:t xml:space="preserve"> </w:t>
      </w:r>
      <w:r w:rsidR="00FA2485" w:rsidRPr="00FA2485">
        <w:rPr>
          <w:rFonts w:ascii="Times New Roman" w:hAnsi="Times New Roman" w:cs="Times New Roman"/>
          <w:highlight w:val="yellow"/>
        </w:rPr>
        <w:t xml:space="preserve">is usually derived from the univariate GARCH models and represents the square root of the variance (time-varying conditional standard deviation) of the </w:t>
      </w:r>
      <w:proofErr w:type="spellStart"/>
      <w:r w:rsidR="00FA2485" w:rsidRPr="00FA2485">
        <w:rPr>
          <w:rFonts w:ascii="Times New Roman" w:hAnsi="Times New Roman" w:cs="Times New Roman"/>
        </w:rPr>
        <w:t>ith</w:t>
      </w:r>
      <w:proofErr w:type="spellEnd"/>
      <w:r w:rsidR="00FA2485" w:rsidRPr="00FA2485">
        <w:rPr>
          <w:rFonts w:ascii="Times New Roman" w:hAnsi="Times New Roman" w:cs="Times New Roman"/>
        </w:rPr>
        <w:t xml:space="preserve"> time series at time t.</w:t>
      </w:r>
    </w:p>
    <w:p w:rsidR="006E59BF" w:rsidRPr="00044728" w:rsidRDefault="006E59BF" w:rsidP="002E0BE9">
      <w:pPr>
        <w:spacing w:line="480" w:lineRule="auto"/>
        <w:jc w:val="both"/>
        <w:rPr>
          <w:rFonts w:ascii="Times New Roman" w:eastAsiaTheme="minorEastAsia" w:hAnsi="Times New Roman" w:cs="Times New Roman"/>
          <w:b/>
          <w:bCs/>
        </w:rPr>
      </w:pPr>
      <w:r w:rsidRPr="00044728">
        <w:rPr>
          <w:rFonts w:ascii="Times New Roman" w:hAnsi="Times New Roman" w:cs="Times New Roman"/>
        </w:rPr>
        <w:t xml:space="preserve">The overall conditional covariance matrix </w:t>
      </w:r>
      <w:bookmarkStart w:id="2" w:name="_Hlk186231514"/>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bookmarkEnd w:id="2"/>
      <w:r w:rsidRPr="00044728">
        <w:rPr>
          <w:rFonts w:ascii="Times New Roman" w:hAnsi="Times New Roman" w:cs="Times New Roman"/>
        </w:rPr>
        <w:t xml:space="preserve">​ is constructed as </w:t>
      </w: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p>
    <w:p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where: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b/>
          <w:bCs/>
        </w:rPr>
        <w:t xml:space="preserve"> </w:t>
      </w:r>
      <w:r w:rsidR="00FA2485" w:rsidRPr="00FA2485">
        <w:rPr>
          <w:rFonts w:ascii="Times New Roman" w:hAnsi="Times New Roman" w:cs="Times New Roman"/>
        </w:rPr>
        <w:t xml:space="preserve">this is the DCC-derived time-varying correlation matrix of the model. The DCC-GARCH model's time-varying conditional correlation matrix, abbreviated as </w:t>
      </w:r>
      <w:r w:rsidR="00FA2485" w:rsidRPr="00FA2485">
        <w:rPr>
          <w:rFonts w:ascii="Times New Roman" w:hAnsi="Times New Roman" w:cs="Times New Roman"/>
          <w:b/>
        </w:rPr>
        <w:t>R</w:t>
      </w:r>
      <w:r w:rsidR="00FA2485" w:rsidRPr="00FA2485">
        <w:rPr>
          <w:rFonts w:ascii="Times New Roman" w:hAnsi="Times New Roman" w:cs="Times New Roman"/>
        </w:rPr>
        <w:t xml:space="preserve">t. It displays the time series' </w:t>
      </w:r>
      <w:proofErr w:type="spellStart"/>
      <w:r w:rsidR="00FA2485" w:rsidRPr="00FA2485">
        <w:rPr>
          <w:rFonts w:ascii="Times New Roman" w:hAnsi="Times New Roman" w:cs="Times New Roman"/>
        </w:rPr>
        <w:t>standardised</w:t>
      </w:r>
      <w:proofErr w:type="spellEnd"/>
      <w:r w:rsidR="00FA2485" w:rsidRPr="00FA2485">
        <w:rPr>
          <w:rFonts w:ascii="Times New Roman" w:hAnsi="Times New Roman" w:cs="Times New Roman"/>
        </w:rPr>
        <w:t xml:space="preserve"> residual correlations at time t.</w:t>
      </w:r>
    </w:p>
    <w:p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The residuals </w:t>
      </w: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r>
          <m:rPr>
            <m:sty m:val="bi"/>
          </m:rPr>
          <w:rPr>
            <w:rFonts w:ascii="Cambria Math" w:hAnsi="Cambria Math" w:cs="Times New Roman"/>
          </w:rPr>
          <m:t>=</m:t>
        </m:r>
        <m:r>
          <m:rPr>
            <m:sty m:val="bi"/>
          </m:rPr>
          <w:rPr>
            <w:rFonts w:ascii="Cambria Math" w:eastAsiaTheme="minorEastAsia" w:hAnsi="Cambria Math" w:cs="Times New Roman"/>
          </w:rPr>
          <m:t xml:space="preserve"> </m:t>
        </m:r>
        <m:sSup>
          <m:sSupPr>
            <m:ctrlPr>
              <w:rPr>
                <w:rFonts w:ascii="Cambria Math" w:hAnsi="Cambria Math" w:cs="Times New Roman"/>
                <w:b/>
                <w:bCs/>
                <w:i/>
              </w:rPr>
            </m:ctrlPr>
          </m:sSupPr>
          <m:e>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e>
          <m:sup>
            <m:r>
              <m:rPr>
                <m:sty m:val="bi"/>
              </m:rPr>
              <w:rPr>
                <w:rFonts w:ascii="Cambria Math" w:hAnsi="Cambria Math" w:cs="Times New Roman"/>
              </w:rPr>
              <m:t>-1</m:t>
            </m:r>
          </m:sup>
        </m:sSup>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oMath>
      <w:r w:rsidRPr="00044728">
        <w:rPr>
          <w:rFonts w:ascii="Times New Roman" w:hAnsi="Times New Roman" w:cs="Times New Roman"/>
        </w:rPr>
        <w:t xml:space="preserve">​ are standardized with unit variances, which are used to estimate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rPr>
        <w:t xml:space="preserve">​. </w:t>
      </w:r>
    </w:p>
    <w:p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Since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i/>
          <w:iCs/>
        </w:rPr>
        <w:t xml:space="preserve"> </w:t>
      </w:r>
      <w:r w:rsidRPr="00044728">
        <w:rPr>
          <w:rFonts w:ascii="Times New Roman" w:hAnsi="Times New Roman" w:cs="Times New Roman"/>
          <w:highlight w:val="yellow"/>
        </w:rPr>
        <w:t>is a correlation matrix, it is symmetric; thus, we have:</w:t>
      </w:r>
    </w:p>
    <w:p w:rsidR="006E59BF" w:rsidRPr="00044728" w:rsidRDefault="00042CDD" w:rsidP="00EE0234">
      <w:pPr>
        <w:spacing w:line="480" w:lineRule="auto"/>
        <w:jc w:val="both"/>
        <w:rPr>
          <w:rFonts w:ascii="Times New Roman" w:hAnsi="Times New Roman" w:cs="Times New Roman"/>
        </w:rPr>
      </w:pPr>
      <m:oMathPara>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d>
            <m:dPr>
              <m:begChr m:val="["/>
              <m:endChr m:val="]"/>
              <m:ctrlPr>
                <w:rPr>
                  <w:rFonts w:ascii="Cambria Math" w:hAnsi="Cambria Math" w:cs="Times New Roman"/>
                  <w:b/>
                  <w:bCs/>
                  <w:i/>
                </w:rPr>
              </m:ctrlPr>
            </m:dPr>
            <m:e>
              <m:m>
                <m:mPr>
                  <m:mcs>
                    <m:mc>
                      <m:mcPr>
                        <m:count m:val="3"/>
                        <m:mcJc m:val="center"/>
                      </m:mcPr>
                    </m:mc>
                  </m:mcs>
                  <m:ctrlPr>
                    <w:rPr>
                      <w:rFonts w:ascii="Cambria Math" w:hAnsi="Cambria Math" w:cs="Times New Roman"/>
                      <w:b/>
                      <w:bCs/>
                      <w:i/>
                    </w:rPr>
                  </m:ctrlPr>
                </m:mPr>
                <m:mr>
                  <m:e>
                    <m:r>
                      <w:rPr>
                        <w:rFonts w:ascii="Cambria Math" w:hAnsi="Cambria Math" w:cs="Times New Roman"/>
                      </w:rPr>
                      <m:t>1</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12,</m:t>
                        </m:r>
                        <m:r>
                          <w:rPr>
                            <w:rFonts w:ascii="Cambria Math" w:hAnsi="Cambria Math" w:cs="Times New Roman"/>
                          </w:rPr>
                          <m:t>t</m:t>
                        </m:r>
                      </m:sub>
                    </m:sSub>
                  </m:e>
                  <m:e>
                    <m:m>
                      <m:mPr>
                        <m:mcs>
                          <m:mc>
                            <m:mcPr>
                              <m:count m:val="2"/>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13,</m:t>
                              </m:r>
                              <m:r>
                                <w:rPr>
                                  <w:rFonts w:ascii="Cambria Math" w:hAnsi="Cambria Math" w:cs="Times New Roman"/>
                                </w:rPr>
                                <m:t>t</m:t>
                              </m:r>
                            </m:sub>
                          </m:sSub>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m:t>
                                    </m:r>
                                    <m:r>
                                      <w:rPr>
                                        <w:rFonts w:ascii="Cambria Math" w:hAnsi="Cambria Math" w:cs="Times New Roman"/>
                                      </w:rPr>
                                      <m:t>n</m:t>
                                    </m:r>
                                    <m:r>
                                      <w:rPr>
                                        <w:rFonts w:ascii="Cambria Math" w:hAnsi="Cambria Math" w:cs="Times New Roman"/>
                                      </w:rPr>
                                      <m:t>,</m:t>
                                    </m:r>
                                    <m:r>
                                      <w:rPr>
                                        <w:rFonts w:ascii="Cambria Math" w:hAnsi="Cambria Math" w:cs="Times New Roman"/>
                                      </w:rPr>
                                      <m:t>t</m:t>
                                    </m:r>
                                  </m:sub>
                                </m:sSub>
                              </m:e>
                            </m:mr>
                          </m:m>
                        </m:e>
                      </m:mr>
                    </m:m>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12,</m:t>
                        </m:r>
                        <m:r>
                          <w:rPr>
                            <w:rFonts w:ascii="Cambria Math" w:hAnsi="Cambria Math" w:cs="Times New Roman"/>
                          </w:rPr>
                          <m:t>t</m:t>
                        </m:r>
                      </m:sub>
                    </m:sSub>
                  </m:e>
                  <m:e>
                    <m:r>
                      <w:rPr>
                        <w:rFonts w:ascii="Cambria Math" w:hAnsi="Cambria Math" w:cs="Times New Roman"/>
                      </w:rPr>
                      <m:t>1</m:t>
                    </m:r>
                  </m:e>
                  <m:e>
                    <m:m>
                      <m:mPr>
                        <m:mcs>
                          <m:mc>
                            <m:mcPr>
                              <m:count m:val="2"/>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23,</m:t>
                              </m:r>
                              <m:r>
                                <w:rPr>
                                  <w:rFonts w:ascii="Cambria Math" w:hAnsi="Cambria Math" w:cs="Times New Roman"/>
                                </w:rPr>
                                <m:t>t</m:t>
                              </m:r>
                            </m:sub>
                          </m:sSub>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m:t>
                                    </m:r>
                                    <m:r>
                                      <w:rPr>
                                        <w:rFonts w:ascii="Cambria Math" w:hAnsi="Cambria Math" w:cs="Times New Roman"/>
                                      </w:rPr>
                                      <m:t>n</m:t>
                                    </m:r>
                                    <m:r>
                                      <w:rPr>
                                        <w:rFonts w:ascii="Cambria Math" w:hAnsi="Cambria Math" w:cs="Times New Roman"/>
                                      </w:rPr>
                                      <m:t>,</m:t>
                                    </m:r>
                                    <m:r>
                                      <w:rPr>
                                        <w:rFonts w:ascii="Cambria Math" w:hAnsi="Cambria Math" w:cs="Times New Roman"/>
                                      </w:rPr>
                                      <m:t>t</m:t>
                                    </m:r>
                                  </m:sub>
                                </m:sSub>
                              </m:e>
                            </m:mr>
                          </m:m>
                        </m:e>
                      </m:mr>
                    </m:m>
                  </m:e>
                </m:mr>
                <m:mr>
                  <m:e>
                    <m:m>
                      <m:mPr>
                        <m:mcs>
                          <m:mc>
                            <m:mcPr>
                              <m:count m:val="1"/>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13,</m:t>
                              </m:r>
                              <m:r>
                                <w:rPr>
                                  <w:rFonts w:ascii="Cambria Math" w:hAnsi="Cambria Math" w:cs="Times New Roman"/>
                                </w:rPr>
                                <m:t>t</m:t>
                              </m:r>
                            </m:sub>
                          </m:sSub>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m:t>
                                    </m:r>
                                    <m:r>
                                      <w:rPr>
                                        <w:rFonts w:ascii="Cambria Math" w:hAnsi="Cambria Math" w:cs="Times New Roman"/>
                                      </w:rPr>
                                      <m:t>n</m:t>
                                    </m:r>
                                    <m:r>
                                      <w:rPr>
                                        <w:rFonts w:ascii="Cambria Math" w:hAnsi="Cambria Math" w:cs="Times New Roman"/>
                                      </w:rPr>
                                      <m:t>,</m:t>
                                    </m:r>
                                    <m:r>
                                      <w:rPr>
                                        <w:rFonts w:ascii="Cambria Math" w:hAnsi="Cambria Math" w:cs="Times New Roman"/>
                                      </w:rPr>
                                      <m:t>t</m:t>
                                    </m:r>
                                  </m:sub>
                                </m:sSub>
                              </m:e>
                            </m:mr>
                          </m:m>
                        </m:e>
                      </m:mr>
                    </m:m>
                  </m:e>
                  <m:e>
                    <m:m>
                      <m:mPr>
                        <m:mcs>
                          <m:mc>
                            <m:mcPr>
                              <m:count m:val="1"/>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23,</m:t>
                              </m:r>
                              <m:r>
                                <w:rPr>
                                  <w:rFonts w:ascii="Cambria Math" w:hAnsi="Cambria Math" w:cs="Times New Roman"/>
                                </w:rPr>
                                <m:t>t</m:t>
                              </m:r>
                            </m:sub>
                          </m:sSub>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m:t>
                                    </m:r>
                                    <m:r>
                                      <w:rPr>
                                        <w:rFonts w:ascii="Cambria Math" w:hAnsi="Cambria Math" w:cs="Times New Roman"/>
                                      </w:rPr>
                                      <m:t>n</m:t>
                                    </m:r>
                                    <m:r>
                                      <w:rPr>
                                        <w:rFonts w:ascii="Cambria Math" w:hAnsi="Cambria Math" w:cs="Times New Roman"/>
                                      </w:rPr>
                                      <m:t>,</m:t>
                                    </m:r>
                                    <m:r>
                                      <w:rPr>
                                        <w:rFonts w:ascii="Cambria Math" w:hAnsi="Cambria Math" w:cs="Times New Roman"/>
                                      </w:rPr>
                                      <m:t>t</m:t>
                                    </m:r>
                                  </m:sub>
                                </m:sSub>
                              </m:e>
                            </m:mr>
                          </m:m>
                        </m:e>
                      </m:mr>
                    </m:m>
                  </m:e>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1</m:t>
                                </m:r>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m:t>
                                      </m:r>
                                    </m:e>
                                  </m:mr>
                                </m:m>
                              </m:e>
                            </m:mr>
                          </m:m>
                        </m:e>
                        <m:e>
                          <m:m>
                            <m:mPr>
                              <m:mcs>
                                <m:mc>
                                  <m:mcPr>
                                    <m:count m:val="1"/>
                                    <m:mcJc m:val="center"/>
                                  </m:mcPr>
                                </m:mc>
                              </m:mcs>
                              <m:ctrlPr>
                                <w:rPr>
                                  <w:rFonts w:ascii="Cambria Math" w:hAnsi="Cambria Math" w:cs="Times New Roman"/>
                                  <w:b/>
                                  <w:bCs/>
                                  <w:i/>
                                </w:rPr>
                              </m:ctrlPr>
                            </m:mPr>
                            <m:mr>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3</m:t>
                                          </m:r>
                                          <m:r>
                                            <w:rPr>
                                              <w:rFonts w:ascii="Cambria Math" w:hAnsi="Cambria Math" w:cs="Times New Roman"/>
                                            </w:rPr>
                                            <m:t>n</m:t>
                                          </m:r>
                                          <m:r>
                                            <w:rPr>
                                              <w:rFonts w:ascii="Cambria Math" w:hAnsi="Cambria Math" w:cs="Times New Roman"/>
                                            </w:rPr>
                                            <m:t>,</m:t>
                                          </m:r>
                                          <m:r>
                                            <w:rPr>
                                              <w:rFonts w:ascii="Cambria Math" w:hAnsi="Cambria Math" w:cs="Times New Roman"/>
                                            </w:rPr>
                                            <m:t>t</m:t>
                                          </m:r>
                                        </m:sub>
                                      </m:sSub>
                                    </m:e>
                                  </m:mr>
                                </m:m>
                              </m:e>
                            </m:mr>
                            <m:mr>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n</m:t>
                                                </m:r>
                                                <m:r>
                                                  <w:rPr>
                                                    <w:rFonts w:ascii="Cambria Math" w:hAnsi="Cambria Math" w:cs="Times New Roman"/>
                                                  </w:rPr>
                                                  <m:t>-</m:t>
                                                </m:r>
                                                <m:r>
                                                  <w:rPr>
                                                    <w:rFonts w:ascii="Cambria Math" w:hAnsi="Cambria Math" w:cs="Times New Roman"/>
                                                  </w:rPr>
                                                  <m:t>11</m:t>
                                                </m:r>
                                                <m:r>
                                                  <w:rPr>
                                                    <w:rFonts w:ascii="Cambria Math" w:hAnsi="Cambria Math" w:cs="Times New Roman"/>
                                                  </w:rPr>
                                                  <m:t>n</m:t>
                                                </m:r>
                                                <m:r>
                                                  <w:rPr>
                                                    <w:rFonts w:ascii="Cambria Math" w:hAnsi="Cambria Math" w:cs="Times New Roman"/>
                                                  </w:rPr>
                                                  <m:t>,</m:t>
                                                </m:r>
                                                <m:r>
                                                  <w:rPr>
                                                    <w:rFonts w:ascii="Cambria Math" w:hAnsi="Cambria Math" w:cs="Times New Roman"/>
                                                  </w:rPr>
                                                  <m:t>t</m:t>
                                                </m:r>
                                              </m:sub>
                                            </m:sSub>
                                          </m:e>
                                        </m:mr>
                                      </m:m>
                                    </m:e>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1</m:t>
                                            </m:r>
                                          </m:e>
                                        </m:mr>
                                      </m:m>
                                    </m:e>
                                  </m:mr>
                                </m:m>
                              </m:e>
                            </m:mr>
                          </m:m>
                        </m:e>
                      </m:mr>
                    </m:m>
                  </m:e>
                </m:mr>
              </m:m>
            </m:e>
          </m:d>
          <m:r>
            <m:rPr>
              <m:sty m:val="bi"/>
            </m:rPr>
            <w:rPr>
              <w:rFonts w:ascii="Cambria Math" w:eastAsiaTheme="minorEastAsia" w:hAnsi="Cambria Math" w:cs="Times New Roman"/>
            </w:rPr>
            <m:t xml:space="preserve">                                                                                               (</m:t>
          </m:r>
          <m:r>
            <w:rPr>
              <w:rFonts w:ascii="Cambria Math" w:eastAsiaTheme="minorEastAsia" w:hAnsi="Cambria Math" w:cs="Times New Roman"/>
            </w:rPr>
            <m:t>18</m:t>
          </m:r>
          <m:r>
            <m:rPr>
              <m:sty m:val="bi"/>
            </m:rPr>
            <w:rPr>
              <w:rFonts w:ascii="Cambria Math" w:eastAsiaTheme="minorEastAsia" w:hAnsi="Cambria Math" w:cs="Times New Roman"/>
            </w:rPr>
            <m:t>)</m:t>
          </m:r>
        </m:oMath>
      </m:oMathPara>
    </w:p>
    <w:p w:rsidR="006E59BF" w:rsidRPr="00044728" w:rsidRDefault="00FA2485" w:rsidP="00EE0234">
      <w:pPr>
        <w:spacing w:line="480" w:lineRule="auto"/>
        <w:jc w:val="both"/>
        <w:rPr>
          <w:rFonts w:ascii="Times New Roman" w:hAnsi="Times New Roman" w:cs="Times New Roman"/>
        </w:rPr>
      </w:pPr>
      <w:r>
        <w:rPr>
          <w:rFonts w:ascii="Times New Roman" w:hAnsi="Times New Roman" w:cs="Times New Roman"/>
        </w:rPr>
        <w:lastRenderedPageBreak/>
        <w:t xml:space="preserve">Following the estimation of the conditional variances, the model proceeds to estimate the </w:t>
      </w:r>
      <w:r>
        <w:rPr>
          <w:rFonts w:ascii="Times New Roman" w:hAnsi="Times New Roman" w:cs="Times New Roman"/>
          <w:highlight w:val="yellow"/>
        </w:rPr>
        <w:t>time-varying</w:t>
      </w:r>
      <w:r>
        <w:rPr>
          <w:rFonts w:ascii="Times New Roman" w:hAnsi="Times New Roman" w:cs="Times New Roman"/>
        </w:rPr>
        <w:t xml:space="preserve"> conditional correlation matrix </w:t>
      </w:r>
      <w:r>
        <w:rPr>
          <w:rFonts w:ascii="Times New Roman" w:hAnsi="Times New Roman" w:cs="Times New Roman"/>
          <w:b/>
        </w:rPr>
        <w:t>R</w:t>
      </w:r>
      <w:r>
        <w:rPr>
          <w:rFonts w:ascii="Times New Roman" w:hAnsi="Times New Roman" w:cs="Times New Roman"/>
        </w:rPr>
        <w:t xml:space="preserve">t. As a covariance matrix, </w:t>
      </w:r>
      <w:r>
        <w:rPr>
          <w:rFonts w:ascii="Times New Roman" w:hAnsi="Times New Roman" w:cs="Times New Roman"/>
          <w:b/>
        </w:rPr>
        <w:t>H</w:t>
      </w:r>
      <w:r>
        <w:rPr>
          <w:rFonts w:ascii="Times New Roman" w:hAnsi="Times New Roman" w:cs="Times New Roman"/>
        </w:rPr>
        <w:t xml:space="preserve">t must </w:t>
      </w:r>
      <w:r>
        <w:rPr>
          <w:rFonts w:ascii="Times New Roman" w:hAnsi="Times New Roman" w:cs="Times New Roman"/>
          <w:highlight w:val="yellow"/>
        </w:rPr>
        <w:t>be</w:t>
      </w:r>
      <w:r>
        <w:rPr>
          <w:rFonts w:ascii="Times New Roman" w:hAnsi="Times New Roman" w:cs="Times New Roman"/>
        </w:rPr>
        <w:t xml:space="preserve"> positive definite. Since all the diagonal parts are positive, </w:t>
      </w:r>
      <w:r>
        <w:rPr>
          <w:rFonts w:ascii="Times New Roman" w:hAnsi="Times New Roman" w:cs="Times New Roman"/>
          <w:b/>
        </w:rPr>
        <w:t>D</w:t>
      </w:r>
      <w:r>
        <w:rPr>
          <w:rFonts w:ascii="Times New Roman" w:hAnsi="Times New Roman" w:cs="Times New Roman"/>
        </w:rPr>
        <w:t xml:space="preserve">t is positive definite, which means that </w:t>
      </w:r>
      <w:r>
        <w:rPr>
          <w:rFonts w:ascii="Times New Roman" w:hAnsi="Times New Roman" w:cs="Times New Roman"/>
          <w:b/>
        </w:rPr>
        <w:t>H</w:t>
      </w:r>
      <w:r>
        <w:rPr>
          <w:rFonts w:ascii="Times New Roman" w:hAnsi="Times New Roman" w:cs="Times New Roman"/>
        </w:rPr>
        <w:t xml:space="preserve">t must also be positive definite if </w:t>
      </w:r>
      <w:r>
        <w:rPr>
          <w:rFonts w:ascii="Times New Roman" w:hAnsi="Times New Roman" w:cs="Times New Roman"/>
          <w:b/>
        </w:rPr>
        <w:t>R</w:t>
      </w:r>
      <w:r>
        <w:rPr>
          <w:rFonts w:ascii="Times New Roman" w:hAnsi="Times New Roman" w:cs="Times New Roman"/>
        </w:rPr>
        <w:t xml:space="preserve">t is positive definite. </w:t>
      </w:r>
      <w:r>
        <w:rPr>
          <w:rFonts w:ascii="Times New Roman" w:hAnsi="Times New Roman" w:cs="Times New Roman"/>
          <w:highlight w:val="yellow"/>
        </w:rPr>
        <w:t>Each</w:t>
      </w:r>
      <w:r>
        <w:rPr>
          <w:rFonts w:ascii="Times New Roman" w:hAnsi="Times New Roman" w:cs="Times New Roman"/>
        </w:rPr>
        <w:t xml:space="preserve"> </w:t>
      </w:r>
      <w:r>
        <w:rPr>
          <w:rFonts w:ascii="Times New Roman" w:hAnsi="Times New Roman" w:cs="Times New Roman"/>
          <w:highlight w:val="yellow"/>
        </w:rPr>
        <w:t>element</w:t>
      </w:r>
      <w:r>
        <w:rPr>
          <w:rFonts w:ascii="Times New Roman" w:hAnsi="Times New Roman" w:cs="Times New Roman"/>
        </w:rPr>
        <w:t xml:space="preserve"> </w:t>
      </w:r>
      <w:r>
        <w:rPr>
          <w:rFonts w:ascii="Times New Roman" w:hAnsi="Times New Roman" w:cs="Times New Roman"/>
          <w:highlight w:val="yellow"/>
        </w:rPr>
        <w:t>of</w:t>
      </w:r>
      <w:r>
        <w:rPr>
          <w:rFonts w:ascii="Times New Roman" w:hAnsi="Times New Roman" w:cs="Times New Roman"/>
        </w:rPr>
        <w:t xml:space="preserve"> the </w:t>
      </w:r>
      <w:r>
        <w:rPr>
          <w:rFonts w:ascii="Times New Roman" w:hAnsi="Times New Roman" w:cs="Times New Roman"/>
          <w:b/>
        </w:rPr>
        <w:t>R</w:t>
      </w:r>
      <w:r>
        <w:rPr>
          <w:rFonts w:ascii="Times New Roman" w:hAnsi="Times New Roman" w:cs="Times New Roman"/>
        </w:rPr>
        <w:t xml:space="preserve">t correlation matrix must be less than or equal to one.  The dynamic correlation matrix </w:t>
      </w:r>
      <w:r>
        <w:rPr>
          <w:rFonts w:ascii="Times New Roman" w:hAnsi="Times New Roman" w:cs="Times New Roman"/>
          <w:b/>
        </w:rPr>
        <w:t>R</w:t>
      </w:r>
      <w:r>
        <w:rPr>
          <w:rFonts w:ascii="Times New Roman" w:hAnsi="Times New Roman" w:cs="Times New Roman"/>
        </w:rPr>
        <w:t xml:space="preserve">t is </w:t>
      </w:r>
      <w:r>
        <w:rPr>
          <w:rFonts w:ascii="Times New Roman" w:hAnsi="Times New Roman" w:cs="Times New Roman"/>
          <w:highlight w:val="yellow"/>
        </w:rPr>
        <w:t>estimated</w:t>
      </w:r>
      <w:r>
        <w:rPr>
          <w:rFonts w:ascii="Times New Roman" w:hAnsi="Times New Roman" w:cs="Times New Roman"/>
        </w:rPr>
        <w:t xml:space="preserve"> using the standardised residuals </w:t>
      </w:r>
      <w:r>
        <w:rPr>
          <w:rFonts w:ascii="Times New Roman" w:hAnsi="Times New Roman" w:cs="Times New Roman"/>
          <w:b/>
        </w:rPr>
        <w:t>Z</w:t>
      </w:r>
      <w:r>
        <w:rPr>
          <w:rFonts w:ascii="Times New Roman" w:hAnsi="Times New Roman" w:cs="Times New Roman"/>
        </w:rPr>
        <w:t xml:space="preserve">t. In the DCC-GARCH model, these two conditions are satisfied by </w:t>
      </w:r>
      <w:r>
        <w:rPr>
          <w:rFonts w:ascii="Times New Roman" w:hAnsi="Times New Roman" w:cs="Times New Roman"/>
          <w:highlight w:val="yellow"/>
        </w:rPr>
        <w:t>decomposing</w:t>
      </w:r>
      <w:r>
        <w:rPr>
          <w:rFonts w:ascii="Times New Roman" w:hAnsi="Times New Roman" w:cs="Times New Roman"/>
        </w:rPr>
        <w:t xml:space="preserve"> </w:t>
      </w:r>
      <w:r>
        <w:rPr>
          <w:rFonts w:ascii="Times New Roman" w:hAnsi="Times New Roman" w:cs="Times New Roman"/>
          <w:b/>
        </w:rPr>
        <w:t>R</w:t>
      </w:r>
      <w:r>
        <w:rPr>
          <w:rFonts w:ascii="Times New Roman" w:hAnsi="Times New Roman" w:cs="Times New Roman"/>
        </w:rPr>
        <w:t xml:space="preserve">t </w:t>
      </w:r>
      <w:r>
        <w:rPr>
          <w:rFonts w:ascii="Times New Roman" w:hAnsi="Times New Roman" w:cs="Times New Roman"/>
          <w:highlight w:val="yellow"/>
        </w:rPr>
        <w:t>as follows</w:t>
      </w:r>
      <w:r>
        <w:rPr>
          <w:rFonts w:ascii="Times New Roman" w:hAnsi="Times New Roman" w:cs="Times New Roman"/>
        </w:rPr>
        <w:t xml:space="preserve">: </w:t>
      </w:r>
    </w:p>
    <w:p w:rsidR="006E59BF" w:rsidRPr="00044728" w:rsidRDefault="00042CDD" w:rsidP="00EE0234">
      <w:pPr>
        <w:spacing w:line="480" w:lineRule="auto"/>
        <w:ind w:firstLine="720"/>
        <w:jc w:val="both"/>
        <w:rPr>
          <w:rFonts w:ascii="Times New Roman"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r>
              <m:rPr>
                <m:sty m:val="bi"/>
              </m:rPr>
              <w:rPr>
                <w:rFonts w:ascii="Cambria Math" w:hAnsi="Cambria Math" w:cs="Times New Roman"/>
              </w:rPr>
              <m:t>-</m:t>
            </m:r>
            <m:r>
              <m:rPr>
                <m:sty m:val="bi"/>
              </m:rPr>
              <w:rPr>
                <w:rFonts w:ascii="Cambria Math" w:hAnsi="Cambria Math" w:cs="Times New Roman"/>
              </w:rPr>
              <m:t>1</m:t>
            </m:r>
          </m:sup>
        </m:sSup>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 xml:space="preserve"> </m:t>
            </m:r>
          </m:sup>
        </m:sSup>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r>
              <m:rPr>
                <m:sty m:val="bi"/>
              </m:rPr>
              <w:rPr>
                <w:rFonts w:ascii="Cambria Math" w:hAnsi="Cambria Math" w:cs="Times New Roman"/>
              </w:rPr>
              <m:t>1</m:t>
            </m:r>
          </m:sup>
        </m:sSup>
        <m:r>
          <m:rPr>
            <m:sty m:val="bi"/>
          </m:rPr>
          <w:rPr>
            <w:rFonts w:ascii="Cambria Math" w:hAnsi="Cambria Math" w:cs="Times New Roman"/>
          </w:rPr>
          <m:t xml:space="preserve">          </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rPr>
        <w:t>(19</w:t>
      </w:r>
      <w:r w:rsidR="006E59BF" w:rsidRPr="00044728">
        <w:rPr>
          <w:rFonts w:ascii="Times New Roman" w:eastAsiaTheme="minorEastAsia" w:hAnsi="Times New Roman" w:cs="Times New Roman"/>
        </w:rPr>
        <w:t>)</w:t>
      </w:r>
    </w:p>
    <w:p w:rsidR="006E59BF" w:rsidRPr="00044728" w:rsidRDefault="00042CDD" w:rsidP="00EE0234">
      <w:pPr>
        <w:spacing w:line="480" w:lineRule="auto"/>
        <w:ind w:firstLine="720"/>
        <w:jc w:val="both"/>
        <w:rPr>
          <w:rFonts w:ascii="Times New Roman" w:eastAsiaTheme="minorEastAsia"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r>
          <m:rPr>
            <m:sty m:val="bi"/>
          </m:rPr>
          <w:rPr>
            <w:rFonts w:ascii="Cambria Math" w:hAnsi="Cambria Math" w:cs="Times New Roman"/>
          </w:rPr>
          <m:t>=</m:t>
        </m:r>
        <m:d>
          <m:dPr>
            <m:ctrlPr>
              <w:rPr>
                <w:rFonts w:ascii="Cambria Math" w:hAnsi="Cambria Math" w:cs="Times New Roman"/>
                <w:b/>
                <w:bCs/>
                <w:i/>
              </w:rPr>
            </m:ctrlPr>
          </m:dPr>
          <m:e>
            <m:r>
              <w:rPr>
                <w:rFonts w:ascii="Cambria Math" w:hAnsi="Cambria Math" w:cs="Times New Roman"/>
              </w:rPr>
              <m:t>1-</m:t>
            </m:r>
            <m:r>
              <w:rPr>
                <w:rFonts w:ascii="Cambria Math" w:hAnsi="Cambria Math" w:cs="Times New Roman"/>
              </w:rPr>
              <m:t>a</m:t>
            </m:r>
            <m:r>
              <w:rPr>
                <w:rFonts w:ascii="Cambria Math" w:hAnsi="Cambria Math" w:cs="Times New Roman"/>
              </w:rPr>
              <m:t>-</m:t>
            </m:r>
            <m:r>
              <w:rPr>
                <w:rFonts w:ascii="Cambria Math" w:hAnsi="Cambria Math" w:cs="Times New Roman"/>
              </w:rPr>
              <m:t>b</m:t>
            </m:r>
            <m:ctrlPr>
              <w:rPr>
                <w:rFonts w:ascii="Cambria Math" w:hAnsi="Cambria Math" w:cs="Times New Roman"/>
                <w:i/>
              </w:rPr>
            </m:ctrlPr>
          </m:e>
        </m:d>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m:t>
        </m:r>
        <m:r>
          <w:rPr>
            <w:rFonts w:ascii="Cambria Math" w:hAnsi="Cambria Math" w:cs="Times New Roman"/>
          </w:rPr>
          <m:t>a</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 xml:space="preserve">1 </m:t>
            </m:r>
          </m:sub>
          <m:sup>
            <m:r>
              <w:rPr>
                <w:rFonts w:ascii="Cambria Math" w:hAnsi="Cambria Math" w:cs="Times New Roman"/>
              </w:rPr>
              <m:t>'</m:t>
            </m:r>
          </m:sup>
        </m:sSubSup>
        <m:r>
          <w:rPr>
            <w:rFonts w:ascii="Cambria Math" w:eastAsiaTheme="minorEastAsia" w:hAnsi="Cambria Math" w:cs="Times New Roman"/>
          </w:rPr>
          <m:t>+</m:t>
        </m:r>
        <m:r>
          <w:rPr>
            <w:rFonts w:ascii="Cambria Math" w:eastAsiaTheme="minorEastAsia" w:hAnsi="Cambria Math" w:cs="Times New Roman"/>
          </w:rPr>
          <m:t>b</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t</m:t>
            </m:r>
            <m:r>
              <w:rPr>
                <w:rFonts w:ascii="Cambria Math" w:eastAsiaTheme="minorEastAsia" w:hAnsi="Cambria Math" w:cs="Times New Roman"/>
              </w:rPr>
              <m:t>-</m:t>
            </m:r>
            <m:r>
              <w:rPr>
                <w:rFonts w:ascii="Cambria Math" w:eastAsiaTheme="minorEastAsia" w:hAnsi="Cambria Math" w:cs="Times New Roman"/>
              </w:rPr>
              <m:t>1</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 xml:space="preserve"> </w:t>
      </w:r>
      <w:r w:rsidR="003A5880" w:rsidRPr="00044728">
        <w:rPr>
          <w:rFonts w:ascii="Times New Roman" w:eastAsiaTheme="minorEastAsia" w:hAnsi="Times New Roman" w:cs="Times New Roman"/>
        </w:rPr>
        <w:tab/>
        <w:t>(20</w:t>
      </w:r>
      <w:r w:rsidR="006E59BF" w:rsidRPr="00044728">
        <w:rPr>
          <w:rFonts w:ascii="Times New Roman" w:eastAsiaTheme="minorEastAsia" w:hAnsi="Times New Roman" w:cs="Times New Roman"/>
        </w:rPr>
        <w:t>)</w:t>
      </w:r>
    </w:p>
    <w:p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where:</w:t>
      </w:r>
    </w:p>
    <w:p w:rsidR="006E59BF" w:rsidRPr="00044728" w:rsidRDefault="00042CDD" w:rsidP="00EE0234">
      <w:pPr>
        <w:spacing w:line="480" w:lineRule="auto"/>
        <w:jc w:val="both"/>
        <w:rPr>
          <w:rFonts w:ascii="Times New Roman"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oMath>
      <w:r w:rsidR="006E59BF" w:rsidRPr="00044728">
        <w:rPr>
          <w:rFonts w:ascii="Times New Roman" w:hAnsi="Times New Roman" w:cs="Times New Roman"/>
          <w:highlight w:val="yellow"/>
        </w:rPr>
        <w:t>​: Dynamic covariance matrix of standardised residuals.</w:t>
      </w:r>
    </w:p>
    <w:p w:rsidR="006E59BF" w:rsidRPr="00044728" w:rsidRDefault="00042CDD" w:rsidP="00EE0234">
      <w:pPr>
        <w:spacing w:line="480" w:lineRule="auto"/>
        <w:jc w:val="both"/>
        <w:rPr>
          <w:rFonts w:ascii="Times New Roman" w:eastAsiaTheme="minorEastAsia" w:hAnsi="Times New Roman" w:cs="Times New Roman"/>
        </w:rPr>
      </w:pPr>
      <m:oMath>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m:t>
        </m:r>
        <m:r>
          <w:rPr>
            <w:rFonts w:ascii="Cambria Math" w:hAnsi="Cambria Math" w:cs="Times New Roman"/>
          </w:rPr>
          <m:t>Cov</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 xml:space="preserve">1 </m:t>
                </m:r>
              </m:sub>
              <m:sup>
                <m:r>
                  <w:rPr>
                    <w:rFonts w:ascii="Cambria Math" w:hAnsi="Cambria Math" w:cs="Times New Roman"/>
                  </w:rPr>
                  <m:t>'</m:t>
                </m:r>
              </m:sup>
            </m:sSubSup>
          </m:e>
        </m:d>
        <m:r>
          <w:rPr>
            <w:rFonts w:ascii="Cambria Math" w:hAnsi="Cambria Math" w:cs="Times New Roman"/>
          </w:rPr>
          <m:t>=</m:t>
        </m:r>
        <m:r>
          <w:rPr>
            <w:rFonts w:ascii="Cambria Math" w:hAnsi="Cambria Math" w:cs="Times New Roman"/>
          </w:rPr>
          <m:t>E</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 xml:space="preserve">1 </m:t>
            </m:r>
          </m:sub>
          <m:sup>
            <m:r>
              <w:rPr>
                <w:rFonts w:ascii="Cambria Math" w:hAnsi="Cambria Math" w:cs="Times New Roman"/>
              </w:rPr>
              <m:t>'</m:t>
            </m:r>
          </m:sup>
        </m:sSubSup>
        <m:r>
          <w:rPr>
            <w:rFonts w:ascii="Cambria Math" w:hAnsi="Cambria Math" w:cs="Times New Roman"/>
          </w:rPr>
          <m:t>)</m:t>
        </m:r>
      </m:oMath>
      <w:r w:rsidR="006E59BF" w:rsidRPr="00044728">
        <w:rPr>
          <w:rFonts w:ascii="Times New Roman" w:eastAsiaTheme="minorEastAsia" w:hAnsi="Times New Roman" w:cs="Times New Roman"/>
        </w:rPr>
        <w:t xml:space="preserve"> is the </w:t>
      </w:r>
      <w:r w:rsidR="006E59BF" w:rsidRPr="00044728">
        <w:rPr>
          <w:rFonts w:ascii="Times New Roman" w:hAnsi="Times New Roman" w:cs="Times New Roman"/>
          <w:highlight w:val="yellow"/>
        </w:rPr>
        <w:t xml:space="preserve">unconditional covariance of </w:t>
      </w:r>
      <w:r w:rsidR="006E59BF" w:rsidRPr="00044728">
        <w:rPr>
          <w:rFonts w:ascii="Times New Roman" w:eastAsiaTheme="minorEastAsia" w:hAnsi="Times New Roman" w:cs="Times New Roman"/>
        </w:rPr>
        <w:t>the standardized errors</w:t>
      </w:r>
      <m:oMath>
        <m:r>
          <w:rPr>
            <w:rFonts w:ascii="Cambria Math" w:eastAsiaTheme="minorEastAsia"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oMath>
      <w:r w:rsidR="006E59BF" w:rsidRPr="00044728">
        <w:rPr>
          <w:rFonts w:ascii="Times New Roman" w:hAnsi="Times New Roman" w:cs="Times New Roman"/>
        </w:rPr>
        <w:t>.</w:t>
      </w:r>
    </w:p>
    <w:p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a, b are the  DCC parameters.</w:t>
      </w:r>
    </w:p>
    <w:p w:rsidR="006E59BF" w:rsidRPr="00044728" w:rsidRDefault="00042CDD" w:rsidP="00EE0234">
      <w:p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oMath>
      <w:r w:rsidR="006E59BF" w:rsidRPr="00044728">
        <w:rPr>
          <w:rFonts w:ascii="Times New Roman" w:eastAsiaTheme="minorEastAsia" w:hAnsi="Times New Roman" w:cs="Times New Roman"/>
        </w:rPr>
        <w:t xml:space="preserve"> is a </w:t>
      </w:r>
      <w:r w:rsidR="006E59BF" w:rsidRPr="00044728">
        <w:rPr>
          <w:rFonts w:ascii="Times New Roman" w:hAnsi="Times New Roman" w:cs="Times New Roman"/>
          <w:highlight w:val="yellow"/>
        </w:rPr>
        <w:t>vector of standardised residuals at time</w:t>
      </w:r>
      <m:oMath>
        <m:r>
          <w:rPr>
            <w:rFonts w:ascii="Cambria Math" w:hAnsi="Cambria Math" w:cs="Times New Roman"/>
          </w:rPr>
          <m:t xml:space="preserve"> </m:t>
        </m:r>
        <m:r>
          <w:rPr>
            <w:rFonts w:ascii="Cambria Math" w:hAnsi="Cambria Math" w:cs="Times New Roman"/>
          </w:rPr>
          <m:t>t</m:t>
        </m:r>
        <m:r>
          <w:rPr>
            <w:rFonts w:ascii="Cambria Math" w:hAnsi="Cambria Math" w:cs="Times New Roman"/>
          </w:rPr>
          <m:t>-</m:t>
        </m:r>
        <m:r>
          <w:rPr>
            <w:rFonts w:ascii="Cambria Math" w:hAnsi="Cambria Math" w:cs="Times New Roman"/>
          </w:rPr>
          <m:t>1</m:t>
        </m:r>
      </m:oMath>
      <w:r w:rsidR="006E59BF" w:rsidRPr="00044728">
        <w:rPr>
          <w:rFonts w:ascii="Times New Roman" w:hAnsi="Times New Roman" w:cs="Times New Roman"/>
        </w:rPr>
        <w:t>.</w:t>
      </w:r>
    </w:p>
    <w:p w:rsidR="006E59BF" w:rsidRPr="00044728" w:rsidRDefault="00042CDD" w:rsidP="00EE0234">
      <w:pPr>
        <w:autoSpaceDE w:val="0"/>
        <w:autoSpaceDN w:val="0"/>
        <w:adjustRightInd w:val="0"/>
        <w:spacing w:after="0" w:line="480" w:lineRule="auto"/>
        <w:jc w:val="both"/>
        <w:rPr>
          <w:rFonts w:ascii="Times New Roman" w:hAnsi="Times New Roman" w:cs="Times New Roman"/>
        </w:rPr>
      </w:pP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r>
          <m:rPr>
            <m:sty m:val="bi"/>
          </m:rPr>
          <w:rPr>
            <w:rFonts w:ascii="Cambria Math" w:hAnsi="Cambria Math" w:cs="Times New Roman"/>
          </w:rPr>
          <m:t xml:space="preserve"> </m:t>
        </m:r>
      </m:oMath>
      <w:r w:rsidR="006E59BF" w:rsidRPr="00044728">
        <w:rPr>
          <w:rFonts w:ascii="Times New Roman" w:hAnsi="Times New Roman" w:cs="Times New Roman"/>
        </w:rPr>
        <w:t xml:space="preserve">is a diagonal matrix with the square root of the diagonal elements of </w:t>
      </w:r>
      <w:r w:rsidR="006E59BF" w:rsidRPr="00044728">
        <w:rPr>
          <w:rFonts w:ascii="Times New Roman" w:hAnsi="Times New Roman" w:cs="Times New Roman"/>
          <w:b/>
          <w:bCs/>
          <w:i/>
          <w:iCs/>
        </w:rPr>
        <w:t>Q</w:t>
      </w:r>
      <w:r w:rsidR="006E59BF" w:rsidRPr="00044728">
        <w:rPr>
          <w:rFonts w:ascii="Times New Roman" w:hAnsi="Times New Roman" w:cs="Times New Roman"/>
          <w:i/>
          <w:iCs/>
        </w:rPr>
        <w:t xml:space="preserve">t </w:t>
      </w:r>
      <w:r w:rsidR="006E59BF" w:rsidRPr="00044728">
        <w:rPr>
          <w:rFonts w:ascii="Times New Roman" w:hAnsi="Times New Roman" w:cs="Times New Roman"/>
        </w:rPr>
        <w:t>at the diagonal:</w:t>
      </w:r>
    </w:p>
    <w:p w:rsidR="006E59BF" w:rsidRPr="00044728" w:rsidRDefault="00042CDD" w:rsidP="00EE0234">
      <w:pPr>
        <w:spacing w:line="480" w:lineRule="auto"/>
        <w:jc w:val="both"/>
        <w:rPr>
          <w:rFonts w:ascii="Times New Roman" w:eastAsiaTheme="minorEastAsia" w:hAnsi="Times New Roman" w:cs="Times New Roman"/>
        </w:rPr>
      </w:pPr>
      <m:oMath>
        <m:acc>
          <m:accPr>
            <m:chr m:val="̅"/>
            <m:ctrlPr>
              <w:rPr>
                <w:rFonts w:ascii="Cambria Math" w:hAnsi="Cambria Math" w:cs="Times New Roman"/>
                <w:i/>
              </w:rPr>
            </m:ctrlPr>
          </m:accPr>
          <m:e>
            <m:r>
              <w:rPr>
                <w:rFonts w:ascii="Cambria Math" w:hAnsi="Cambria Math" w:cs="Times New Roman"/>
              </w:rPr>
              <m:t>Q</m:t>
            </m:r>
          </m:e>
        </m:acc>
      </m:oMath>
      <w:r w:rsidR="006E59BF" w:rsidRPr="00044728">
        <w:rPr>
          <w:rFonts w:ascii="Times New Roman" w:eastAsiaTheme="minorEastAsia" w:hAnsi="Times New Roman" w:cs="Times New Roman"/>
        </w:rPr>
        <w:t xml:space="preserve">  and </w:t>
      </w: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r>
          <m:rPr>
            <m:sty m:val="bi"/>
          </m:rPr>
          <w:rPr>
            <w:rFonts w:ascii="Cambria Math" w:hAnsi="Cambria Math" w:cs="Times New Roman"/>
          </w:rPr>
          <m:t xml:space="preserve"> </m:t>
        </m:r>
      </m:oMath>
      <w:r w:rsidR="006E59BF" w:rsidRPr="00044728">
        <w:rPr>
          <w:rFonts w:ascii="Times New Roman" w:eastAsiaTheme="minorEastAsia" w:hAnsi="Times New Roman" w:cs="Times New Roman"/>
        </w:rPr>
        <w:t>are estimated as follows:</w:t>
      </w:r>
    </w:p>
    <w:p w:rsidR="006E59BF" w:rsidRPr="00044728" w:rsidRDefault="00042CDD" w:rsidP="00EE0234">
      <w:pPr>
        <w:spacing w:line="480" w:lineRule="auto"/>
        <w:jc w:val="both"/>
        <w:rPr>
          <w:rFonts w:ascii="Times New Roman" w:eastAsiaTheme="minorEastAsia" w:hAnsi="Times New Roman" w:cs="Times New Roman"/>
        </w:rPr>
      </w:pPr>
      <m:oMathPara>
        <m:oMath>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T</m:t>
              </m:r>
            </m:den>
          </m:f>
          <m:nary>
            <m:naryPr>
              <m:chr m:val="∑"/>
              <m:limLoc m:val="undOvr"/>
              <m:ctrlPr>
                <w:rPr>
                  <w:rFonts w:ascii="Cambria Math" w:hAnsi="Cambria Math" w:cs="Times New Roman"/>
                  <w:i/>
                </w:rPr>
              </m:ctrlPr>
            </m:naryPr>
            <m:sub>
              <m:r>
                <w:rPr>
                  <w:rFonts w:ascii="Cambria Math" w:hAnsi="Cambria Math" w:cs="Times New Roman"/>
                </w:rPr>
                <m:t>t</m:t>
              </m:r>
              <m:r>
                <w:rPr>
                  <w:rFonts w:ascii="Cambria Math" w:hAnsi="Cambria Math" w:cs="Times New Roman"/>
                </w:rPr>
                <m:t>-</m:t>
              </m:r>
              <m:r>
                <w:rPr>
                  <w:rFonts w:ascii="Cambria Math" w:hAnsi="Cambria Math" w:cs="Times New Roman"/>
                </w:rPr>
                <m:t>1</m:t>
              </m:r>
            </m:sub>
            <m:sup>
              <m:r>
                <w:rPr>
                  <w:rFonts w:ascii="Cambria Math" w:hAnsi="Cambria Math" w:cs="Times New Roman"/>
                </w:rPr>
                <m:t>T</m:t>
              </m:r>
            </m:sup>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 xml:space="preserve">1 </m:t>
                  </m:r>
                </m:sub>
                <m:sup>
                  <m:r>
                    <w:rPr>
                      <w:rFonts w:ascii="Cambria Math" w:hAnsi="Cambria Math" w:cs="Times New Roman"/>
                    </w:rPr>
                    <m:t>'</m:t>
                  </m:r>
                </m:sup>
              </m:sSubSup>
              <m:r>
                <w:rPr>
                  <w:rFonts w:ascii="Cambria Math" w:hAnsi="Cambria Math" w:cs="Times New Roman"/>
                </w:rPr>
                <m:t xml:space="preserve"> </m:t>
              </m:r>
            </m:e>
          </m:nary>
          <m:r>
            <w:rPr>
              <w:rFonts w:ascii="Cambria Math" w:hAnsi="Cambria Math" w:cs="Times New Roman"/>
            </w:rPr>
            <m:t xml:space="preserve">                                                                                                                       (21)</m:t>
          </m:r>
        </m:oMath>
      </m:oMathPara>
    </w:p>
    <w:p w:rsidR="006E59BF" w:rsidRPr="00044728" w:rsidRDefault="00042CDD" w:rsidP="00EE0234">
      <w:pPr>
        <w:spacing w:line="480" w:lineRule="auto"/>
        <w:jc w:val="both"/>
        <w:rPr>
          <w:rFonts w:ascii="Times New Roman" w:eastAsiaTheme="minorEastAsia" w:hAnsi="Times New Roman" w:cs="Times New Roman"/>
        </w:rPr>
      </w:pPr>
      <m:oMathPara>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r>
            <m:rPr>
              <m:sty m:val="bi"/>
            </m:rPr>
            <w:rPr>
              <w:rFonts w:ascii="Cambria Math" w:hAnsi="Cambria Math" w:cs="Times New Roman"/>
            </w:rPr>
            <m:t>=</m:t>
          </m:r>
          <m:r>
            <w:rPr>
              <w:rFonts w:ascii="Cambria Math" w:hAnsi="Cambria Math" w:cs="Times New Roman"/>
            </w:rPr>
            <m:t xml:space="preserve"> </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rad>
                      <m:radPr>
                        <m:degHide m:val="1"/>
                        <m:ctrlPr>
                          <w:rPr>
                            <w:rFonts w:ascii="Cambria Math" w:hAnsi="Cambria Math" w:cs="Times New Roman"/>
                            <w:i/>
                          </w:rPr>
                        </m:ctrlPr>
                      </m:radPr>
                      <m:deg/>
                      <m:e>
                        <m:sSubSup>
                          <m:sSubSupPr>
                            <m:ctrlPr>
                              <w:rPr>
                                <w:rFonts w:ascii="Cambria Math" w:hAnsi="Cambria Math" w:cs="Times New Roman"/>
                                <w:i/>
                              </w:rPr>
                            </m:ctrlPr>
                          </m:sSubSupPr>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11</m:t>
                                </m:r>
                                <m:r>
                                  <w:rPr>
                                    <w:rFonts w:ascii="Cambria Math" w:hAnsi="Cambria Math" w:cs="Times New Roman"/>
                                  </w:rPr>
                                  <m:t>t</m:t>
                                </m:r>
                              </m:sub>
                              <m:sup>
                                <m:r>
                                  <w:rPr>
                                    <w:rFonts w:ascii="Cambria Math" w:hAnsi="Cambria Math" w:cs="Times New Roman"/>
                                  </w:rPr>
                                  <m:t xml:space="preserve"> </m:t>
                                </m:r>
                              </m:sup>
                            </m:sSubSup>
                          </m:e>
                          <m:sub>
                            <m:r>
                              <w:rPr>
                                <w:rFonts w:ascii="Cambria Math" w:hAnsi="Cambria Math" w:cs="Times New Roman"/>
                              </w:rPr>
                              <m:t xml:space="preserve"> </m:t>
                            </m:r>
                          </m:sub>
                          <m:sup>
                            <m:r>
                              <w:rPr>
                                <w:rFonts w:ascii="Cambria Math" w:hAnsi="Cambria Math" w:cs="Times New Roman"/>
                              </w:rPr>
                              <m:t xml:space="preserve"> </m:t>
                            </m:r>
                          </m:sup>
                        </m:sSubSup>
                      </m:e>
                    </m:rad>
                  </m:e>
                  <m:e>
                    <m:r>
                      <w:rPr>
                        <w:rFonts w:ascii="Cambria Math" w:hAnsi="Cambria Math" w:cs="Times New Roman"/>
                      </w:rPr>
                      <m:t>0</m:t>
                    </m:r>
                  </m:e>
                  <m:e>
                    <m:m>
                      <m:mPr>
                        <m:mcs>
                          <m:mc>
                            <m:mcPr>
                              <m:count m:val="2"/>
                              <m:mcJc m:val="center"/>
                            </m:mcPr>
                          </m:mc>
                        </m:mcs>
                        <m:ctrlPr>
                          <w:rPr>
                            <w:rFonts w:ascii="Cambria Math" w:hAnsi="Cambria Math" w:cs="Times New Roman"/>
                            <w:i/>
                          </w:rPr>
                        </m:ctrlPr>
                      </m:mPr>
                      <m:mr>
                        <m:e>
                          <m:r>
                            <w:rPr>
                              <w:rFonts w:ascii="Cambria Math" w:hAnsi="Cambria Math" w:cs="Times New Roman"/>
                            </w:rPr>
                            <m:t>0</m:t>
                          </m:r>
                        </m:e>
                        <m:e>
                          <m:m>
                            <m:mPr>
                              <m:mcs>
                                <m:mc>
                                  <m:mcPr>
                                    <m:count m:val="2"/>
                                    <m:mcJc m:val="center"/>
                                  </m:mcPr>
                                </m:mc>
                              </m:mcs>
                              <m:ctrlPr>
                                <w:rPr>
                                  <w:rFonts w:ascii="Cambria Math" w:hAnsi="Cambria Math" w:cs="Times New Roman"/>
                                  <w:i/>
                                </w:rPr>
                              </m:ctrlPr>
                            </m:mPr>
                            <m:mr>
                              <m:e>
                                <m:r>
                                  <w:rPr>
                                    <w:rFonts w:ascii="Cambria Math" w:hAnsi="Cambria Math" w:cs="Times New Roman"/>
                                  </w:rPr>
                                  <m:t>…</m:t>
                                </m:r>
                              </m:e>
                              <m:e>
                                <m:r>
                                  <w:rPr>
                                    <w:rFonts w:ascii="Cambria Math" w:hAnsi="Cambria Math" w:cs="Times New Roman"/>
                                  </w:rPr>
                                  <m:t>0</m:t>
                                </m:r>
                              </m:e>
                            </m:mr>
                          </m:m>
                        </m:e>
                      </m:mr>
                    </m:m>
                  </m:e>
                </m:mr>
                <m:mr>
                  <m:e>
                    <m:r>
                      <w:rPr>
                        <w:rFonts w:ascii="Cambria Math" w:hAnsi="Cambria Math" w:cs="Times New Roman"/>
                      </w:rPr>
                      <m:t>0</m:t>
                    </m:r>
                  </m:e>
                  <m:e>
                    <m:rad>
                      <m:radPr>
                        <m:degHide m:val="1"/>
                        <m:ctrlPr>
                          <w:rPr>
                            <w:rFonts w:ascii="Cambria Math" w:hAnsi="Cambria Math" w:cs="Times New Roman"/>
                            <w:i/>
                          </w:rPr>
                        </m:ctrlPr>
                      </m:radPr>
                      <m:deg/>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22</m:t>
                            </m:r>
                            <m:r>
                              <w:rPr>
                                <w:rFonts w:ascii="Cambria Math" w:hAnsi="Cambria Math" w:cs="Times New Roman"/>
                              </w:rPr>
                              <m:t>t</m:t>
                            </m:r>
                          </m:sub>
                          <m:sup>
                            <m:r>
                              <w:rPr>
                                <w:rFonts w:ascii="Cambria Math" w:hAnsi="Cambria Math" w:cs="Times New Roman"/>
                              </w:rPr>
                              <m:t xml:space="preserve"> </m:t>
                            </m:r>
                          </m:sup>
                        </m:sSubSup>
                      </m:e>
                    </m:rad>
                  </m:e>
                  <m:e>
                    <m:m>
                      <m:mPr>
                        <m:mcs>
                          <m:mc>
                            <m:mcPr>
                              <m:count m:val="2"/>
                              <m:mcJc m:val="center"/>
                            </m:mcPr>
                          </m:mc>
                        </m:mcs>
                        <m:ctrlPr>
                          <w:rPr>
                            <w:rFonts w:ascii="Cambria Math" w:hAnsi="Cambria Math" w:cs="Times New Roman"/>
                            <w:i/>
                          </w:rPr>
                        </m:ctrlPr>
                      </m:mPr>
                      <m:mr>
                        <m:e>
                          <m:r>
                            <w:rPr>
                              <w:rFonts w:ascii="Cambria Math" w:hAnsi="Cambria Math" w:cs="Times New Roman"/>
                            </w:rPr>
                            <m:t>0</m:t>
                          </m:r>
                        </m:e>
                        <m:e>
                          <m:m>
                            <m:mPr>
                              <m:mcs>
                                <m:mc>
                                  <m:mcPr>
                                    <m:count m:val="2"/>
                                    <m:mcJc m:val="center"/>
                                  </m:mcPr>
                                </m:mc>
                              </m:mcs>
                              <m:ctrlPr>
                                <w:rPr>
                                  <w:rFonts w:ascii="Cambria Math" w:hAnsi="Cambria Math" w:cs="Times New Roman"/>
                                  <w:i/>
                                </w:rPr>
                              </m:ctrlPr>
                            </m:mPr>
                            <m:mr>
                              <m:e>
                                <m:r>
                                  <w:rPr>
                                    <w:rFonts w:ascii="Cambria Math" w:hAnsi="Cambria Math" w:cs="Times New Roman"/>
                                  </w:rPr>
                                  <m:t>…</m:t>
                                </m:r>
                              </m:e>
                              <m:e>
                                <m:r>
                                  <w:rPr>
                                    <w:rFonts w:ascii="Cambria Math" w:hAnsi="Cambria Math" w:cs="Times New Roman"/>
                                  </w:rPr>
                                  <m:t>0</m:t>
                                </m:r>
                              </m:e>
                            </m:mr>
                          </m:m>
                        </m:e>
                      </m:mr>
                    </m:m>
                  </m:e>
                </m:mr>
                <m:mr>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0</m:t>
                                </m:r>
                              </m:e>
                            </m:mr>
                          </m:m>
                        </m:e>
                      </m:mr>
                    </m:m>
                  </m:e>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0</m:t>
                                </m:r>
                              </m:e>
                            </m:mr>
                          </m:m>
                        </m:e>
                      </m:mr>
                    </m:m>
                  </m:e>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rad>
                                  <m:radPr>
                                    <m:degHide m:val="1"/>
                                    <m:ctrlPr>
                                      <w:rPr>
                                        <w:rFonts w:ascii="Cambria Math" w:hAnsi="Cambria Math" w:cs="Times New Roman"/>
                                        <w:i/>
                                      </w:rPr>
                                    </m:ctrlPr>
                                  </m:radPr>
                                  <m:deg/>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33,</m:t>
                                        </m:r>
                                        <m:r>
                                          <w:rPr>
                                            <w:rFonts w:ascii="Cambria Math" w:hAnsi="Cambria Math" w:cs="Times New Roman"/>
                                          </w:rPr>
                                          <m:t>t</m:t>
                                        </m:r>
                                      </m:sub>
                                      <m:sup>
                                        <m:r>
                                          <w:rPr>
                                            <w:rFonts w:ascii="Cambria Math" w:hAnsi="Cambria Math" w:cs="Times New Roman"/>
                                          </w:rPr>
                                          <m:t xml:space="preserve"> </m:t>
                                        </m:r>
                                      </m:sup>
                                    </m:sSubSup>
                                  </m:e>
                                </m:rad>
                              </m:e>
                            </m:m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m:t>
                                      </m:r>
                                    </m:e>
                                  </m:mr>
                                </m:m>
                              </m:e>
                            </m:mr>
                          </m:m>
                        </m:e>
                        <m:e>
                          <m:m>
                            <m:mPr>
                              <m:mcs>
                                <m:mc>
                                  <m:mcPr>
                                    <m:count m:val="1"/>
                                    <m:mcJc m:val="center"/>
                                  </m:mcPr>
                                </m:mc>
                              </m:mcs>
                              <m:ctrlPr>
                                <w:rPr>
                                  <w:rFonts w:ascii="Cambria Math" w:hAnsi="Cambria Math" w:cs="Times New Roman"/>
                                  <w:i/>
                                </w:rPr>
                              </m:ctrlPr>
                            </m:mPr>
                            <m:mr>
                              <m:e>
                                <m:m>
                                  <m:mPr>
                                    <m:mcs>
                                      <m:mc>
                                        <m:mcPr>
                                          <m:count m:val="2"/>
                                          <m:mcJc m:val="center"/>
                                        </m:mcPr>
                                      </m:mc>
                                    </m:mcs>
                                    <m:ctrlPr>
                                      <w:rPr>
                                        <w:rFonts w:ascii="Cambria Math" w:hAnsi="Cambria Math" w:cs="Times New Roman"/>
                                        <w:i/>
                                      </w:rPr>
                                    </m:ctrlPr>
                                  </m:mPr>
                                  <m:mr>
                                    <m:e>
                                      <m:r>
                                        <w:rPr>
                                          <w:rFonts w:ascii="Cambria Math" w:hAnsi="Cambria Math" w:cs="Times New Roman"/>
                                        </w:rPr>
                                        <m:t>…</m:t>
                                      </m:r>
                                    </m:e>
                                    <m:e>
                                      <m:r>
                                        <w:rPr>
                                          <w:rFonts w:ascii="Cambria Math" w:hAnsi="Cambria Math" w:cs="Times New Roman"/>
                                        </w:rPr>
                                        <m:t>⋮</m:t>
                                      </m:r>
                                    </m:e>
                                  </m:mr>
                                </m:m>
                              </m:e>
                            </m:mr>
                            <m:mr>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0</m:t>
                                            </m:r>
                                          </m:e>
                                        </m:mr>
                                      </m:m>
                                    </m:e>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rad>
                                              <m:radPr>
                                                <m:degHide m:val="1"/>
                                                <m:ctrlPr>
                                                  <w:rPr>
                                                    <w:rFonts w:ascii="Cambria Math" w:hAnsi="Cambria Math" w:cs="Times New Roman"/>
                                                    <w:i/>
                                                  </w:rPr>
                                                </m:ctrlPr>
                                              </m:radPr>
                                              <m:deg/>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nnt</m:t>
                                                    </m:r>
                                                  </m:sub>
                                                  <m:sup>
                                                    <m:r>
                                                      <w:rPr>
                                                        <w:rFonts w:ascii="Cambria Math" w:hAnsi="Cambria Math" w:cs="Times New Roman"/>
                                                      </w:rPr>
                                                      <m:t xml:space="preserve"> </m:t>
                                                    </m:r>
                                                  </m:sup>
                                                </m:sSubSup>
                                              </m:e>
                                            </m:rad>
                                          </m:e>
                                        </m:mr>
                                      </m:m>
                                    </m:e>
                                  </m:mr>
                                </m:m>
                              </m:e>
                            </m:mr>
                          </m:m>
                        </m:e>
                      </m:mr>
                    </m:m>
                  </m:e>
                </m:mr>
              </m:m>
            </m:e>
          </m:d>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 xml:space="preserve">                        </m:t>
          </m:r>
          <m:r>
            <w:rPr>
              <w:rFonts w:ascii="Cambria Math" w:eastAsiaTheme="minorEastAsia" w:hAnsi="Cambria Math" w:cs="Times New Roman"/>
            </w:rPr>
            <m:t>(22</m:t>
          </m:r>
          <m:r>
            <m:rPr>
              <m:sty m:val="bi"/>
            </m:rPr>
            <w:rPr>
              <w:rFonts w:ascii="Cambria Math" w:eastAsiaTheme="minorEastAsia" w:hAnsi="Cambria Math" w:cs="Times New Roman"/>
            </w:rPr>
            <m:t>)</m:t>
          </m:r>
        </m:oMath>
      </m:oMathPara>
    </w:p>
    <w:p w:rsidR="006E59BF" w:rsidRPr="00044728" w:rsidRDefault="00042CDD" w:rsidP="00EE0234">
      <w:pPr>
        <w:spacing w:line="480" w:lineRule="auto"/>
        <w:jc w:val="both"/>
        <w:rPr>
          <w:rFonts w:ascii="Times New Roman" w:hAnsi="Times New Roman" w:cs="Times New Roman"/>
        </w:rPr>
      </w:pP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oMath>
      <w:r w:rsidR="006E59BF" w:rsidRPr="00044728">
        <w:rPr>
          <w:rFonts w:ascii="Times New Roman" w:hAnsi="Times New Roman" w:cs="Times New Roman"/>
          <w:i/>
          <w:iCs/>
        </w:rPr>
        <w:t xml:space="preserve"> </w:t>
      </w:r>
      <w:r w:rsidR="006E59BF" w:rsidRPr="00044728">
        <w:rPr>
          <w:rFonts w:ascii="Times New Roman" w:hAnsi="Times New Roman" w:cs="Times New Roman"/>
        </w:rPr>
        <w:t xml:space="preserve">rescales the elements in </w:t>
      </w:r>
      <w:r w:rsidR="006E59BF" w:rsidRPr="00044728">
        <w:rPr>
          <w:rFonts w:ascii="Times New Roman" w:hAnsi="Times New Roman" w:cs="Times New Roman"/>
          <w:i/>
          <w:iCs/>
        </w:rPr>
        <w:t xml:space="preserve">Qt </w:t>
      </w:r>
      <w:r w:rsidR="006E59BF" w:rsidRPr="00044728">
        <w:rPr>
          <w:rFonts w:ascii="Times New Roman" w:hAnsi="Times New Roman" w:cs="Times New Roman"/>
        </w:rPr>
        <w:t>to ensure the second requirement</w:t>
      </w:r>
    </w:p>
    <w:p w:rsidR="006E59BF" w:rsidRPr="00044728" w:rsidRDefault="00042CDD" w:rsidP="00EE0234">
      <w:pPr>
        <w:spacing w:line="480" w:lineRule="auto"/>
        <w:jc w:val="both"/>
        <w:rPr>
          <w:rFonts w:ascii="Times New Roman" w:eastAsiaTheme="minorEastAsia" w:hAnsi="Times New Roman" w:cs="Times New Roman"/>
          <w:i/>
        </w:rPr>
      </w:pPr>
      <m:oMathPara>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i</m:t>
                  </m:r>
                  <m:r>
                    <w:rPr>
                      <w:rFonts w:ascii="Cambria Math" w:hAnsi="Cambria Math" w:cs="Times New Roman"/>
                    </w:rPr>
                    <m:t>,</m:t>
                  </m:r>
                  <m:r>
                    <w:rPr>
                      <w:rFonts w:ascii="Cambria Math" w:hAnsi="Cambria Math" w:cs="Times New Roman"/>
                    </w:rPr>
                    <m:t>j</m:t>
                  </m:r>
                </m:sub>
              </m:sSub>
            </m:e>
          </m:d>
          <m:r>
            <w:rPr>
              <w:rFonts w:ascii="Cambria Math" w:hAnsi="Cambria Math" w:cs="Times New Roman"/>
            </w:rPr>
            <m:t>=</m:t>
          </m:r>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ijt</m:t>
                      </m:r>
                    </m:sub>
                  </m:sSub>
                </m:num>
                <m:den>
                  <m:rad>
                    <m:radPr>
                      <m:degHide m:val="1"/>
                      <m:ctrlPr>
                        <w:rPr>
                          <w:rFonts w:ascii="Cambria Math" w:hAnsi="Cambria Math" w:cs="Times New Roman"/>
                          <w:i/>
                        </w:rPr>
                      </m:ctrlPr>
                    </m:radPr>
                    <m:deg/>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iit</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jjt</m:t>
                          </m:r>
                        </m:sub>
                      </m:sSub>
                      <m:r>
                        <w:rPr>
                          <w:rFonts w:ascii="Cambria Math" w:hAnsi="Cambria Math" w:cs="Times New Roman"/>
                        </w:rPr>
                        <m:t xml:space="preserve">  </m:t>
                      </m:r>
                    </m:e>
                  </m:rad>
                </m:den>
              </m:f>
            </m:e>
          </m:d>
          <m:r>
            <w:rPr>
              <w:rFonts w:ascii="Cambria Math" w:hAnsi="Cambria Math" w:cs="Times New Roman"/>
            </w:rPr>
            <m:t>≤1                                                                                                                      (23)</m:t>
          </m:r>
        </m:oMath>
      </m:oMathPara>
    </w:p>
    <w:p w:rsidR="006E59BF" w:rsidRPr="00044728" w:rsidRDefault="005B132E" w:rsidP="00EE0234">
      <w:pPr>
        <w:spacing w:line="480" w:lineRule="auto"/>
        <w:jc w:val="both"/>
        <w:rPr>
          <w:rFonts w:ascii="Times New Roman" w:eastAsiaTheme="minorEastAsia" w:hAnsi="Times New Roman" w:cs="Times New Roman"/>
          <w:iCs/>
        </w:rPr>
      </w:pPr>
      <w:r w:rsidRPr="005B132E">
        <w:rPr>
          <w:rFonts w:ascii="Times New Roman" w:hAnsi="Times New Roman" w:cs="Times New Roman"/>
          <w:b/>
          <w:iCs/>
        </w:rPr>
        <w:t>Q</w:t>
      </w:r>
      <w:r w:rsidRPr="005B132E">
        <w:rPr>
          <w:rFonts w:ascii="Times New Roman" w:hAnsi="Times New Roman" w:cs="Times New Roman"/>
          <w:iCs/>
        </w:rPr>
        <w:t xml:space="preserve">t must likewise be positive definite in order for </w:t>
      </w:r>
      <w:r w:rsidRPr="005B132E">
        <w:rPr>
          <w:rFonts w:ascii="Times New Roman" w:hAnsi="Times New Roman" w:cs="Times New Roman"/>
          <w:b/>
          <w:iCs/>
        </w:rPr>
        <w:t>R</w:t>
      </w:r>
      <w:r w:rsidRPr="005B132E">
        <w:rPr>
          <w:rFonts w:ascii="Times New Roman" w:hAnsi="Times New Roman" w:cs="Times New Roman"/>
          <w:iCs/>
        </w:rPr>
        <w:t xml:space="preserve">t to have that property. </w:t>
      </w:r>
      <w:proofErr w:type="spellStart"/>
      <w:r w:rsidRPr="005B132E">
        <w:rPr>
          <w:rFonts w:ascii="Times New Roman" w:hAnsi="Times New Roman" w:cs="Times New Roman"/>
          <w:b/>
          <w:iCs/>
        </w:rPr>
        <w:t>H</w:t>
      </w:r>
      <w:r w:rsidRPr="005B132E">
        <w:rPr>
          <w:rFonts w:ascii="Times New Roman" w:hAnsi="Times New Roman" w:cs="Times New Roman"/>
          <w:iCs/>
        </w:rPr>
        <w:t>t</w:t>
      </w:r>
      <w:proofErr w:type="spellEnd"/>
      <w:r w:rsidRPr="005B132E">
        <w:rPr>
          <w:rFonts w:ascii="Times New Roman" w:hAnsi="Times New Roman" w:cs="Times New Roman"/>
          <w:iCs/>
        </w:rPr>
        <w:t xml:space="preserve"> has to have specified values for a and b in order to be positive definite. To ensure positive unconditional variances, the scalars a and b should also match the criteri</w:t>
      </w:r>
      <w:r>
        <w:rPr>
          <w:rFonts w:ascii="Times New Roman" w:hAnsi="Times New Roman" w:cs="Times New Roman"/>
          <w:iCs/>
        </w:rPr>
        <w:t>a of the univariate GARCH model</w:t>
      </w:r>
      <w:r w:rsidR="006E59BF" w:rsidRPr="00044728">
        <w:rPr>
          <w:rFonts w:ascii="Times New Roman" w:hAnsi="Times New Roman" w:cs="Times New Roman"/>
          <w:iCs/>
        </w:rPr>
        <w:t xml:space="preserve">: </w:t>
      </w:r>
      <m:oMath>
        <m:r>
          <w:rPr>
            <w:rFonts w:ascii="Cambria Math" w:hAnsi="Cambria Math" w:cs="Times New Roman"/>
          </w:rPr>
          <m:t>a</m:t>
        </m:r>
        <m:r>
          <w:rPr>
            <w:rFonts w:ascii="Cambria Math" w:eastAsiaTheme="minorEastAsia" w:hAnsi="Cambria Math" w:cs="Times New Roman"/>
          </w:rPr>
          <m:t>≥0, b≥0 and a+b&lt;1</m:t>
        </m:r>
      </m:oMath>
      <w:r w:rsidR="006E59BF" w:rsidRPr="00044728">
        <w:rPr>
          <w:rFonts w:ascii="Times New Roman" w:eastAsiaTheme="minorEastAsia" w:hAnsi="Times New Roman" w:cs="Times New Roman"/>
          <w:iCs/>
        </w:rPr>
        <w:t>.</w:t>
      </w:r>
    </w:p>
    <w:p w:rsidR="006E59BF" w:rsidRPr="00044728" w:rsidRDefault="006E59BF" w:rsidP="00EE0234">
      <w:pPr>
        <w:spacing w:line="480" w:lineRule="auto"/>
        <w:jc w:val="both"/>
        <w:rPr>
          <w:rFonts w:ascii="Times New Roman" w:hAnsi="Times New Roman" w:cs="Times New Roman"/>
          <w:iCs/>
        </w:rPr>
      </w:pPr>
      <w:r w:rsidRPr="00044728">
        <w:rPr>
          <w:rFonts w:ascii="Times New Roman" w:hAnsi="Times New Roman" w:cs="Times New Roman"/>
          <w:iCs/>
        </w:rPr>
        <w:t>The correlation structure can be extended to the general DCC (P, M)-GARCH model:</w:t>
      </w:r>
    </w:p>
    <w:p w:rsidR="006E59BF" w:rsidRPr="00044728" w:rsidRDefault="00042CDD" w:rsidP="00EE0234">
      <w:pPr>
        <w:spacing w:line="480" w:lineRule="auto"/>
        <w:jc w:val="both"/>
        <w:rPr>
          <w:rFonts w:ascii="Times New Roman" w:eastAsiaTheme="minorEastAsia" w:hAnsi="Times New Roman" w:cs="Times New Roman"/>
        </w:rPr>
      </w:pPr>
      <m:oMathPara>
        <m:oMath>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r>
            <m:rPr>
              <m:sty m:val="bi"/>
            </m:rPr>
            <w:rPr>
              <w:rFonts w:ascii="Cambria Math" w:hAnsi="Cambria Math" w:cs="Times New Roman"/>
            </w:rPr>
            <m:t>=</m:t>
          </m:r>
          <m:d>
            <m:dPr>
              <m:ctrlPr>
                <w:rPr>
                  <w:rFonts w:ascii="Cambria Math" w:hAnsi="Cambria Math" w:cs="Times New Roman"/>
                  <w:b/>
                  <w:bCs/>
                  <w:i/>
                </w:rPr>
              </m:ctrlPr>
            </m:dPr>
            <m:e>
              <m:r>
                <w:rPr>
                  <w:rFonts w:ascii="Cambria Math" w:hAnsi="Cambria Math" w:cs="Times New Roman"/>
                </w:rPr>
                <m:t>1-</m:t>
              </m:r>
              <m:nary>
                <m:naryPr>
                  <m:chr m:val="∑"/>
                  <m:limLoc m:val="undOvr"/>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m:t>
                  </m:r>
                  <m:r>
                    <w:rPr>
                      <w:rFonts w:ascii="Cambria Math" w:hAnsi="Cambria Math" w:cs="Times New Roman"/>
                    </w:rPr>
                    <m:t>=1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ctrlPr>
                <w:rPr>
                  <w:rFonts w:ascii="Cambria Math" w:hAnsi="Cambria Math" w:cs="Times New Roman"/>
                  <w:i/>
                </w:rPr>
              </m:ctrlPr>
            </m:e>
          </m:d>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e>
          </m:nary>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t</m:t>
              </m:r>
              <m:r>
                <w:rPr>
                  <w:rFonts w:ascii="Cambria Math" w:hAnsi="Cambria Math" w:cs="Times New Roman"/>
                </w:rPr>
                <m:t>-</m:t>
              </m:r>
              <m:r>
                <w:rPr>
                  <w:rFonts w:ascii="Cambria Math" w:hAnsi="Cambria Math" w:cs="Times New Roman"/>
                </w:rPr>
                <m:t xml:space="preserve">1 </m:t>
              </m:r>
            </m:sub>
            <m:sup>
              <m:r>
                <w:rPr>
                  <w:rFonts w:ascii="Cambria Math" w:hAnsi="Cambria Math" w:cs="Times New Roman"/>
                </w:rPr>
                <m:t>'</m:t>
              </m:r>
            </m:sup>
          </m:sSubSup>
          <m:r>
            <w:rPr>
              <w:rFonts w:ascii="Cambria Math" w:eastAsiaTheme="minorEastAsia"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m:t>
              </m:r>
              <m:r>
                <w:rPr>
                  <w:rFonts w:ascii="Cambria Math" w:hAnsi="Cambria Math" w:cs="Times New Roman"/>
                </w:rPr>
                <m:t>=1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t</m:t>
              </m:r>
              <m:r>
                <w:rPr>
                  <w:rFonts w:ascii="Cambria Math" w:eastAsiaTheme="minorEastAsia" w:hAnsi="Cambria Math" w:cs="Times New Roman"/>
                </w:rPr>
                <m:t>-</m:t>
              </m:r>
              <m:r>
                <w:rPr>
                  <w:rFonts w:ascii="Cambria Math" w:eastAsiaTheme="minorEastAsia" w:hAnsi="Cambria Math" w:cs="Times New Roman"/>
                </w:rPr>
                <m:t>1</m:t>
              </m:r>
            </m:sub>
          </m:sSub>
          <m:r>
            <w:rPr>
              <w:rFonts w:ascii="Cambria Math" w:eastAsiaTheme="minorEastAsia" w:hAnsi="Cambria Math" w:cs="Times New Roman"/>
            </w:rPr>
            <m:t xml:space="preserve">                                             (24)</m:t>
          </m:r>
        </m:oMath>
      </m:oMathPara>
    </w:p>
    <w:p w:rsidR="003A5880" w:rsidRPr="00044728" w:rsidRDefault="003A5880"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2E0BE9" w:rsidRDefault="002E0BE9" w:rsidP="00EE0234">
      <w:pPr>
        <w:jc w:val="both"/>
        <w:rPr>
          <w:rFonts w:ascii="Times New Roman" w:hAnsi="Times New Roman" w:cs="Times New Roman"/>
          <w:b/>
        </w:rPr>
      </w:pPr>
    </w:p>
    <w:p w:rsidR="00B137B1" w:rsidRPr="00044728" w:rsidRDefault="00D67BFE" w:rsidP="00EE0234">
      <w:pPr>
        <w:jc w:val="both"/>
        <w:rPr>
          <w:rFonts w:ascii="Times New Roman" w:hAnsi="Times New Roman" w:cs="Times New Roman"/>
          <w:b/>
        </w:rPr>
      </w:pPr>
      <w:r w:rsidRPr="00044728">
        <w:rPr>
          <w:rFonts w:ascii="Times New Roman" w:hAnsi="Times New Roman" w:cs="Times New Roman"/>
          <w:b/>
        </w:rPr>
        <w:lastRenderedPageBreak/>
        <w:t>RESULT</w:t>
      </w:r>
      <w:r w:rsidR="00EF3BFD">
        <w:rPr>
          <w:rFonts w:ascii="Times New Roman" w:hAnsi="Times New Roman" w:cs="Times New Roman"/>
          <w:b/>
        </w:rPr>
        <w:t xml:space="preserve"> AND DISCUSSION</w:t>
      </w:r>
    </w:p>
    <w:p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Table 1: Descriptive Statistics of the Log Return on the Series</w:t>
      </w:r>
    </w:p>
    <w:tbl>
      <w:tblPr>
        <w:tblW w:w="9367" w:type="dxa"/>
        <w:tblInd w:w="3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2"/>
        <w:gridCol w:w="1313"/>
        <w:gridCol w:w="1312"/>
        <w:gridCol w:w="1313"/>
        <w:gridCol w:w="1312"/>
        <w:gridCol w:w="1313"/>
        <w:gridCol w:w="1312"/>
      </w:tblGrid>
      <w:tr w:rsidR="00367204" w:rsidRPr="00044728" w:rsidTr="00C66BD0">
        <w:trPr>
          <w:trHeight w:val="225"/>
        </w:trPr>
        <w:tc>
          <w:tcPr>
            <w:tcW w:w="1492" w:type="dxa"/>
            <w:tcBorders>
              <w:top w:val="single" w:sz="4" w:space="0" w:color="auto"/>
              <w:bottom w:val="single" w:sz="4" w:space="0" w:color="auto"/>
            </w:tcBorders>
            <w:vAlign w:val="bottom"/>
          </w:tcPr>
          <w:p w:rsidR="00367204" w:rsidRPr="00044728" w:rsidRDefault="00367204" w:rsidP="00EE0234">
            <w:pPr>
              <w:jc w:val="both"/>
              <w:rPr>
                <w:rFonts w:ascii="Times New Roman" w:hAnsi="Times New Roman" w:cs="Times New Roman"/>
                <w:b/>
                <w:bCs/>
              </w:rPr>
            </w:pPr>
          </w:p>
        </w:tc>
        <w:tc>
          <w:tcPr>
            <w:tcW w:w="1313" w:type="dxa"/>
            <w:tcBorders>
              <w:top w:val="single" w:sz="4" w:space="0" w:color="auto"/>
              <w:bottom w:val="single" w:sz="4" w:space="0" w:color="auto"/>
            </w:tcBorders>
            <w:vAlign w:val="bottom"/>
          </w:tcPr>
          <w:p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DEXR</w:t>
            </w:r>
          </w:p>
        </w:tc>
        <w:tc>
          <w:tcPr>
            <w:tcW w:w="1312" w:type="dxa"/>
            <w:tcBorders>
              <w:top w:val="single" w:sz="4" w:space="0" w:color="auto"/>
              <w:bottom w:val="single" w:sz="4" w:space="0" w:color="auto"/>
            </w:tcBorders>
            <w:vAlign w:val="bottom"/>
          </w:tcPr>
          <w:p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DCOPP</w:t>
            </w:r>
          </w:p>
        </w:tc>
        <w:tc>
          <w:tcPr>
            <w:tcW w:w="1313" w:type="dxa"/>
            <w:tcBorders>
              <w:top w:val="single" w:sz="4" w:space="0" w:color="auto"/>
              <w:bottom w:val="single" w:sz="4" w:space="0" w:color="auto"/>
            </w:tcBorders>
            <w:vAlign w:val="bottom"/>
          </w:tcPr>
          <w:p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DBCOP</w:t>
            </w:r>
          </w:p>
        </w:tc>
        <w:tc>
          <w:tcPr>
            <w:tcW w:w="1312" w:type="dxa"/>
            <w:tcBorders>
              <w:top w:val="single" w:sz="4" w:space="0" w:color="auto"/>
              <w:bottom w:val="single" w:sz="4" w:space="0" w:color="auto"/>
            </w:tcBorders>
            <w:vAlign w:val="bottom"/>
          </w:tcPr>
          <w:p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DGOLDP</w:t>
            </w:r>
          </w:p>
        </w:tc>
        <w:tc>
          <w:tcPr>
            <w:tcW w:w="1313" w:type="dxa"/>
            <w:tcBorders>
              <w:top w:val="single" w:sz="4" w:space="0" w:color="auto"/>
              <w:bottom w:val="single" w:sz="4" w:space="0" w:color="auto"/>
            </w:tcBorders>
            <w:vAlign w:val="bottom"/>
          </w:tcPr>
          <w:p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DNGAS</w:t>
            </w:r>
          </w:p>
        </w:tc>
        <w:tc>
          <w:tcPr>
            <w:tcW w:w="1312" w:type="dxa"/>
            <w:tcBorders>
              <w:top w:val="single" w:sz="4" w:space="0" w:color="auto"/>
              <w:bottom w:val="single" w:sz="4" w:space="0" w:color="auto"/>
            </w:tcBorders>
            <w:vAlign w:val="bottom"/>
          </w:tcPr>
          <w:p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DSTOCKP</w:t>
            </w:r>
          </w:p>
        </w:tc>
      </w:tr>
      <w:tr w:rsidR="00367204" w:rsidRPr="00044728" w:rsidTr="00C66BD0">
        <w:trPr>
          <w:trHeight w:val="225"/>
        </w:trPr>
        <w:tc>
          <w:tcPr>
            <w:tcW w:w="1492" w:type="dxa"/>
            <w:tcBorders>
              <w:top w:val="single" w:sz="4" w:space="0" w:color="auto"/>
            </w:tcBorders>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Mean</w:t>
            </w:r>
          </w:p>
        </w:tc>
        <w:tc>
          <w:tcPr>
            <w:tcW w:w="1313" w:type="dxa"/>
            <w:tcBorders>
              <w:top w:val="single" w:sz="4" w:space="0" w:color="auto"/>
            </w:tcBorders>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0.027576</w:t>
            </w:r>
          </w:p>
        </w:tc>
        <w:tc>
          <w:tcPr>
            <w:tcW w:w="1312" w:type="dxa"/>
            <w:tcBorders>
              <w:top w:val="single" w:sz="4" w:space="0" w:color="auto"/>
            </w:tcBorders>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0.004669</w:t>
            </w:r>
          </w:p>
        </w:tc>
        <w:tc>
          <w:tcPr>
            <w:tcW w:w="1313" w:type="dxa"/>
            <w:tcBorders>
              <w:top w:val="single" w:sz="4" w:space="0" w:color="auto"/>
            </w:tcBorders>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-0.002444</w:t>
            </w:r>
          </w:p>
        </w:tc>
        <w:tc>
          <w:tcPr>
            <w:tcW w:w="1312" w:type="dxa"/>
            <w:tcBorders>
              <w:top w:val="single" w:sz="4" w:space="0" w:color="auto"/>
            </w:tcBorders>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0.013907</w:t>
            </w:r>
          </w:p>
        </w:tc>
        <w:tc>
          <w:tcPr>
            <w:tcW w:w="1313" w:type="dxa"/>
            <w:tcBorders>
              <w:top w:val="single" w:sz="4" w:space="0" w:color="auto"/>
            </w:tcBorders>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0.000815</w:t>
            </w:r>
          </w:p>
        </w:tc>
        <w:tc>
          <w:tcPr>
            <w:tcW w:w="1312" w:type="dxa"/>
            <w:tcBorders>
              <w:top w:val="single" w:sz="4" w:space="0" w:color="auto"/>
            </w:tcBorders>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0.017086</w:t>
            </w:r>
          </w:p>
        </w:tc>
      </w:tr>
      <w:tr w:rsidR="00367204" w:rsidRPr="00044728" w:rsidTr="00C66BD0">
        <w:trPr>
          <w:trHeight w:val="225"/>
        </w:trPr>
        <w:tc>
          <w:tcPr>
            <w:tcW w:w="149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Median</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0.000000</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0.010479</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0.033575</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0.015520</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0.000000</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0.008571</w:t>
            </w:r>
          </w:p>
        </w:tc>
      </w:tr>
      <w:tr w:rsidR="00367204" w:rsidRPr="00044728" w:rsidTr="00C66BD0">
        <w:trPr>
          <w:trHeight w:val="225"/>
        </w:trPr>
        <w:tc>
          <w:tcPr>
            <w:tcW w:w="149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Maximum</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15.19555</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5.354618</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8.285210</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2.508208</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12.75657</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4.065005</w:t>
            </w:r>
          </w:p>
        </w:tc>
      </w:tr>
      <w:tr w:rsidR="00367204" w:rsidRPr="00044728" w:rsidTr="00C66BD0">
        <w:trPr>
          <w:trHeight w:val="225"/>
        </w:trPr>
        <w:tc>
          <w:tcPr>
            <w:tcW w:w="149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Minimum</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-4.563182</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-10.81626</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-12.14989</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-4.260638</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-9.264614</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-27.33897</w:t>
            </w:r>
          </w:p>
        </w:tc>
      </w:tr>
      <w:tr w:rsidR="00367204" w:rsidRPr="00044728" w:rsidTr="00C66BD0">
        <w:trPr>
          <w:trHeight w:val="225"/>
        </w:trPr>
        <w:tc>
          <w:tcPr>
            <w:tcW w:w="149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Std. Dev.</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0.576641</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0.640314</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0.964476</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0.443484</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1.495322</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0.640815</w:t>
            </w:r>
          </w:p>
        </w:tc>
      </w:tr>
      <w:tr w:rsidR="00367204" w:rsidRPr="00044728" w:rsidTr="00C66BD0">
        <w:trPr>
          <w:trHeight w:val="225"/>
        </w:trPr>
        <w:tc>
          <w:tcPr>
            <w:tcW w:w="149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Skewness</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9.319362</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-1.227618</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-0.911323</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-0.580071</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0.195784</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-21.40163</w:t>
            </w:r>
          </w:p>
        </w:tc>
      </w:tr>
      <w:tr w:rsidR="00367204" w:rsidRPr="00044728" w:rsidTr="00C66BD0">
        <w:trPr>
          <w:trHeight w:val="225"/>
        </w:trPr>
        <w:tc>
          <w:tcPr>
            <w:tcW w:w="149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Kurtosis</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216.1159</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25.84142</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20.05872</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8.535212</w:t>
            </w:r>
          </w:p>
        </w:tc>
        <w:tc>
          <w:tcPr>
            <w:tcW w:w="1313"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8.498737</w:t>
            </w:r>
          </w:p>
        </w:tc>
        <w:tc>
          <w:tcPr>
            <w:tcW w:w="1312" w:type="dxa"/>
            <w:vAlign w:val="bottom"/>
          </w:tcPr>
          <w:p w:rsidR="00367204" w:rsidRPr="00044728" w:rsidRDefault="00367204" w:rsidP="00EE0234">
            <w:pPr>
              <w:jc w:val="both"/>
              <w:rPr>
                <w:rFonts w:ascii="Times New Roman" w:hAnsi="Times New Roman" w:cs="Times New Roman"/>
              </w:rPr>
            </w:pPr>
            <w:r w:rsidRPr="00044728">
              <w:rPr>
                <w:rFonts w:ascii="Times New Roman" w:hAnsi="Times New Roman" w:cs="Times New Roman"/>
              </w:rPr>
              <w:t> 871.8872</w:t>
            </w:r>
          </w:p>
        </w:tc>
      </w:tr>
    </w:tbl>
    <w:p w:rsidR="00367204" w:rsidRPr="00044728" w:rsidRDefault="003765B7" w:rsidP="00EE0234">
      <w:pPr>
        <w:spacing w:after="0"/>
        <w:jc w:val="both"/>
        <w:rPr>
          <w:rFonts w:ascii="Times New Roman" w:hAnsi="Times New Roman" w:cs="Times New Roman"/>
        </w:rPr>
      </w:pPr>
      <w:r>
        <w:rPr>
          <w:rFonts w:ascii="Times New Roman" w:hAnsi="Times New Roman" w:cs="Times New Roman"/>
        </w:rPr>
        <w:t xml:space="preserve">Table 1 presents the descriptive statistics of the log returns for the exchange rate (DEXR), copper (DCOPP), Brent crude oil (DBCOP), gold (DGOLDP), natural gas (DNGAS), and Nigerian stock market (DSTOCKP). </w:t>
      </w:r>
      <w:r>
        <w:rPr>
          <w:rFonts w:ascii="Times New Roman" w:hAnsi="Times New Roman" w:cs="Times New Roman"/>
          <w:highlight w:val="yellow"/>
        </w:rPr>
        <w:t>Mean</w:t>
      </w:r>
      <w:r>
        <w:rPr>
          <w:rFonts w:ascii="Times New Roman" w:hAnsi="Times New Roman" w:cs="Times New Roman"/>
        </w:rPr>
        <w:t xml:space="preserve"> returns were generally positive, with DEXR recording the highest mean of 0.0276, followed by DSTOCKP (0.0171), DGOLDP (0.0139), DCOPP (0.0047), and DNGAS (0.0008), while DBCOP recorded a slightly negative mean of −0.0024. The median values were relatively close to the means for most series, although some differences suggest departures from symmetry. The wide </w:t>
      </w:r>
      <w:r>
        <w:rPr>
          <w:rFonts w:ascii="Times New Roman" w:hAnsi="Times New Roman" w:cs="Times New Roman"/>
          <w:highlight w:val="yellow"/>
        </w:rPr>
        <w:t>ranges</w:t>
      </w:r>
      <w:r>
        <w:rPr>
          <w:rFonts w:ascii="Times New Roman" w:hAnsi="Times New Roman" w:cs="Times New Roman"/>
        </w:rPr>
        <w:t xml:space="preserve"> between maximum and minimum returns indicate substantial fluctuations, with DSTOCKP recording the most extreme negative return of −27.3390, while DEXR recorded the highest positive return of 15.1956. In terms of dispersion, DNGAS had the highest standard deviation (1.4953), followed by DBCOP (0.9645), DSTOCKP (0.6408), DCOPP (0.6403), DEXR (0.5766), and DGOLDP (0.4435), indicating that natural gas experienced the greatest overall variability during the study period. The skewness statistics </w:t>
      </w:r>
      <w:r>
        <w:rPr>
          <w:rFonts w:ascii="Times New Roman" w:hAnsi="Times New Roman" w:cs="Times New Roman"/>
          <w:highlight w:val="yellow"/>
        </w:rPr>
        <w:t>show</w:t>
      </w:r>
      <w:r>
        <w:rPr>
          <w:rFonts w:ascii="Times New Roman" w:hAnsi="Times New Roman" w:cs="Times New Roman"/>
        </w:rPr>
        <w:t xml:space="preserve"> considerable departures from symmetry, with DEXR being strongly positively skewed (9.3194), whereas DCOPP (−1.2276), DBCOP (−0.9113), DGOLDP (−0.5801), and particularly DSTOCKP (−21.4016) were negatively skewed; DNGAS, with skewness of 0.1958, was comparatively close to </w:t>
      </w:r>
      <w:r>
        <w:rPr>
          <w:rFonts w:ascii="Times New Roman" w:hAnsi="Times New Roman" w:cs="Times New Roman"/>
          <w:highlight w:val="yellow"/>
        </w:rPr>
        <w:t xml:space="preserve">being </w:t>
      </w:r>
      <w:r>
        <w:rPr>
          <w:rFonts w:ascii="Times New Roman" w:hAnsi="Times New Roman" w:cs="Times New Roman"/>
        </w:rPr>
        <w:t xml:space="preserve">symmetric. Furthermore, the very high kurtosis values across all the series, ranging from 8.4987 for DNGAS to 871.8872 for DSTOCKP, indicate pronounced leptokurtosis and the presence of heavy tails and extreme observations. </w:t>
      </w:r>
    </w:p>
    <w:p w:rsidR="00367204" w:rsidRPr="00044728" w:rsidRDefault="00367204" w:rsidP="00EE0234">
      <w:pPr>
        <w:spacing w:after="0"/>
        <w:jc w:val="both"/>
        <w:rPr>
          <w:rFonts w:ascii="Times New Roman" w:hAnsi="Times New Roman" w:cs="Times New Roman"/>
        </w:rPr>
      </w:pPr>
    </w:p>
    <w:p w:rsidR="00367204" w:rsidRPr="00044728" w:rsidRDefault="00367204" w:rsidP="00EE0234">
      <w:pPr>
        <w:spacing w:after="0"/>
        <w:jc w:val="both"/>
        <w:rPr>
          <w:rFonts w:ascii="Times New Roman" w:hAnsi="Times New Roman" w:cs="Times New Roman"/>
          <w:b/>
        </w:rPr>
      </w:pPr>
    </w:p>
    <w:p w:rsidR="002E0BE9" w:rsidRDefault="002E0BE9" w:rsidP="00EE0234">
      <w:pPr>
        <w:spacing w:after="0"/>
        <w:jc w:val="both"/>
        <w:rPr>
          <w:rFonts w:ascii="Times New Roman" w:hAnsi="Times New Roman" w:cs="Times New Roman"/>
          <w:b/>
          <w:bCs/>
        </w:rPr>
      </w:pPr>
    </w:p>
    <w:p w:rsidR="002E0BE9" w:rsidRDefault="002E0BE9" w:rsidP="00EE0234">
      <w:pPr>
        <w:spacing w:after="0"/>
        <w:jc w:val="both"/>
        <w:rPr>
          <w:rFonts w:ascii="Times New Roman" w:hAnsi="Times New Roman" w:cs="Times New Roman"/>
          <w:b/>
          <w:bCs/>
        </w:rPr>
      </w:pPr>
    </w:p>
    <w:p w:rsidR="002E0BE9" w:rsidRDefault="002E0BE9" w:rsidP="00EE0234">
      <w:pPr>
        <w:spacing w:after="0"/>
        <w:jc w:val="both"/>
        <w:rPr>
          <w:rFonts w:ascii="Times New Roman" w:hAnsi="Times New Roman" w:cs="Times New Roman"/>
          <w:b/>
          <w:bCs/>
        </w:rPr>
      </w:pPr>
    </w:p>
    <w:p w:rsidR="002E0BE9" w:rsidRDefault="002E0BE9" w:rsidP="00EE0234">
      <w:pPr>
        <w:spacing w:after="0"/>
        <w:jc w:val="both"/>
        <w:rPr>
          <w:rFonts w:ascii="Times New Roman" w:hAnsi="Times New Roman" w:cs="Times New Roman"/>
          <w:b/>
          <w:bCs/>
        </w:rPr>
      </w:pPr>
    </w:p>
    <w:p w:rsidR="002E0BE9" w:rsidRDefault="002E0BE9" w:rsidP="00EE0234">
      <w:pPr>
        <w:spacing w:after="0"/>
        <w:jc w:val="both"/>
        <w:rPr>
          <w:rFonts w:ascii="Times New Roman" w:hAnsi="Times New Roman" w:cs="Times New Roman"/>
          <w:b/>
          <w:bCs/>
        </w:rPr>
      </w:pPr>
    </w:p>
    <w:p w:rsidR="003765B7" w:rsidRPr="00044728" w:rsidRDefault="003765B7" w:rsidP="00EE0234">
      <w:pPr>
        <w:spacing w:after="0"/>
        <w:jc w:val="both"/>
        <w:rPr>
          <w:rFonts w:ascii="Times New Roman" w:hAnsi="Times New Roman" w:cs="Times New Roman"/>
          <w:b/>
          <w:bCs/>
        </w:rPr>
      </w:pPr>
      <w:r w:rsidRPr="00044728">
        <w:rPr>
          <w:rFonts w:ascii="Times New Roman" w:hAnsi="Times New Roman" w:cs="Times New Roman"/>
          <w:b/>
          <w:bCs/>
        </w:rPr>
        <w:lastRenderedPageBreak/>
        <w:t>Table 2: Joint ARCH-LM Test</w:t>
      </w:r>
    </w:p>
    <w:tbl>
      <w:tblPr>
        <w:tblW w:w="7224" w:type="dxa"/>
        <w:tblBorders>
          <w:top w:val="single" w:sz="4" w:space="0" w:color="auto"/>
          <w:bottom w:val="single" w:sz="4" w:space="0" w:color="auto"/>
        </w:tblBorders>
        <w:tblLayout w:type="fixed"/>
        <w:tblLook w:val="04A0" w:firstRow="1" w:lastRow="0" w:firstColumn="1" w:lastColumn="0" w:noHBand="0" w:noVBand="1"/>
      </w:tblPr>
      <w:tblGrid>
        <w:gridCol w:w="1128"/>
        <w:gridCol w:w="1560"/>
        <w:gridCol w:w="850"/>
        <w:gridCol w:w="2268"/>
        <w:gridCol w:w="1418"/>
      </w:tblGrid>
      <w:tr w:rsidR="003765B7" w:rsidRPr="00044728" w:rsidTr="003765B7">
        <w:trPr>
          <w:trHeight w:val="630"/>
        </w:trPr>
        <w:tc>
          <w:tcPr>
            <w:tcW w:w="1128"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Test Statistic</w:t>
            </w:r>
          </w:p>
        </w:tc>
        <w:tc>
          <w:tcPr>
            <w:tcW w:w="1560"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Chi-square</w:t>
            </w:r>
          </w:p>
        </w:tc>
        <w:tc>
          <w:tcPr>
            <w:tcW w:w="850"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proofErr w:type="spellStart"/>
            <w:r w:rsidRPr="00044728">
              <w:rPr>
                <w:rFonts w:ascii="Times New Roman" w:eastAsia="Times New Roman" w:hAnsi="Times New Roman" w:cs="Times New Roman"/>
                <w:b/>
                <w:bCs/>
                <w:kern w:val="0"/>
                <w14:ligatures w14:val="none"/>
              </w:rPr>
              <w:t>Df</w:t>
            </w:r>
            <w:proofErr w:type="spellEnd"/>
          </w:p>
        </w:tc>
        <w:tc>
          <w:tcPr>
            <w:tcW w:w="2268"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p-value</w:t>
            </w:r>
          </w:p>
        </w:tc>
        <w:tc>
          <w:tcPr>
            <w:tcW w:w="1418"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Decision</w:t>
            </w:r>
          </w:p>
        </w:tc>
      </w:tr>
      <w:tr w:rsidR="003765B7" w:rsidRPr="00044728" w:rsidTr="003765B7">
        <w:trPr>
          <w:trHeight w:val="1260"/>
        </w:trPr>
        <w:tc>
          <w:tcPr>
            <w:tcW w:w="1128"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Multivariate ARCH-LM Test</w:t>
            </w:r>
          </w:p>
        </w:tc>
        <w:tc>
          <w:tcPr>
            <w:tcW w:w="1560"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2216.1</w:t>
            </w:r>
          </w:p>
        </w:tc>
        <w:tc>
          <w:tcPr>
            <w:tcW w:w="850"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975</w:t>
            </w:r>
          </w:p>
        </w:tc>
        <w:tc>
          <w:tcPr>
            <w:tcW w:w="2268"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1418" w:type="dxa"/>
            <w:tcBorders>
              <w:top w:val="single" w:sz="4" w:space="0" w:color="auto"/>
              <w:left w:val="nil"/>
              <w:bottom w:val="single" w:sz="4" w:space="0" w:color="auto"/>
              <w:right w:val="nil"/>
            </w:tcBorders>
            <w:vAlign w:val="center"/>
            <w:hideMark/>
          </w:tcPr>
          <w:p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Reject H₀</w:t>
            </w:r>
          </w:p>
        </w:tc>
      </w:tr>
    </w:tbl>
    <w:p w:rsidR="003765B7" w:rsidRPr="00044728" w:rsidRDefault="003765B7" w:rsidP="00EE0234">
      <w:pPr>
        <w:spacing w:after="0"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highlight w:val="yellow"/>
          <w14:ligatures w14:val="none"/>
        </w:rPr>
        <w:t>joint</w:t>
      </w:r>
      <w:r>
        <w:rPr>
          <w:rFonts w:ascii="Times New Roman" w:eastAsia="Times New Roman" w:hAnsi="Times New Roman" w:cs="Times New Roman"/>
          <w:kern w:val="0"/>
          <w14:ligatures w14:val="none"/>
        </w:rPr>
        <w:t xml:space="preserve"> ARCH-LM test was conducted to determine whether significant autoregressive conditional heteroskedasticity (ARCH) effects exist jointly among the variables in the multivariate model. The test produced a </w:t>
      </w:r>
      <w:r>
        <w:rPr>
          <w:rFonts w:ascii="Times New Roman" w:eastAsia="Times New Roman" w:hAnsi="Times New Roman" w:cs="Times New Roman"/>
          <w:kern w:val="0"/>
          <w:highlight w:val="yellow"/>
          <w14:ligatures w14:val="none"/>
        </w:rPr>
        <w:t>chi-square</w:t>
      </w:r>
      <w:r>
        <w:rPr>
          <w:rFonts w:ascii="Times New Roman" w:eastAsia="Times New Roman" w:hAnsi="Times New Roman" w:cs="Times New Roman"/>
          <w:kern w:val="0"/>
          <w14:ligatures w14:val="none"/>
        </w:rPr>
        <w:t xml:space="preserve"> statistic of 2,216.1 with 975 degrees of freedom and a </w:t>
      </w:r>
      <w:r>
        <w:rPr>
          <w:rFonts w:ascii="Times New Roman" w:eastAsia="Times New Roman" w:hAnsi="Times New Roman" w:cs="Times New Roman"/>
          <w:kern w:val="0"/>
          <w:highlight w:val="yellow"/>
          <w14:ligatures w14:val="none"/>
        </w:rPr>
        <w:t xml:space="preserve">reported </w:t>
      </w:r>
      <w:r>
        <w:rPr>
          <w:rFonts w:ascii="Times New Roman" w:eastAsia="Times New Roman" w:hAnsi="Times New Roman" w:cs="Times New Roman"/>
          <w:kern w:val="0"/>
          <w14:ligatures w14:val="none"/>
        </w:rPr>
        <w:t xml:space="preserve">p-value of 0.0000. </w:t>
      </w:r>
      <w:r>
        <w:rPr>
          <w:rFonts w:ascii="Times New Roman" w:eastAsia="Times New Roman" w:hAnsi="Times New Roman" w:cs="Times New Roman"/>
          <w:kern w:val="0"/>
          <w:highlight w:val="yellow"/>
          <w14:ligatures w14:val="none"/>
        </w:rPr>
        <w:t>As</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highlight w:val="yellow"/>
          <w14:ligatures w14:val="none"/>
        </w:rPr>
        <w:t>this</w:t>
      </w:r>
      <w:r>
        <w:rPr>
          <w:rFonts w:ascii="Times New Roman" w:eastAsia="Times New Roman" w:hAnsi="Times New Roman" w:cs="Times New Roman"/>
          <w:kern w:val="0"/>
          <w14:ligatures w14:val="none"/>
        </w:rPr>
        <w:t xml:space="preserve"> p-value is </w:t>
      </w:r>
      <w:r>
        <w:rPr>
          <w:rFonts w:ascii="Times New Roman" w:eastAsia="Times New Roman" w:hAnsi="Times New Roman" w:cs="Times New Roman"/>
          <w:kern w:val="0"/>
          <w:highlight w:val="yellow"/>
          <w14:ligatures w14:val="none"/>
        </w:rPr>
        <w:t>below</w:t>
      </w:r>
      <w:r>
        <w:rPr>
          <w:rFonts w:ascii="Times New Roman" w:eastAsia="Times New Roman" w:hAnsi="Times New Roman" w:cs="Times New Roman"/>
          <w:kern w:val="0"/>
          <w14:ligatures w14:val="none"/>
        </w:rPr>
        <w:t xml:space="preserve"> the 5% significance level (α = 0.05), the null hypothesis (H₀) of no ARCH effects in the multivariate residuals is rejected. This indicates that the residual series exhibit significant conditional heteroskedasticity and volatility clustering across the variables considered.</w:t>
      </w:r>
    </w:p>
    <w:p w:rsidR="003765B7" w:rsidRPr="00044728" w:rsidRDefault="003765B7" w:rsidP="00EE0234">
      <w:pPr>
        <w:pBdr>
          <w:top w:val="single" w:sz="6" w:space="1" w:color="auto"/>
        </w:pBdr>
        <w:spacing w:after="0" w:line="240" w:lineRule="auto"/>
        <w:jc w:val="both"/>
        <w:rPr>
          <w:rFonts w:ascii="Times New Roman" w:eastAsia="Times New Roman" w:hAnsi="Times New Roman" w:cs="Times New Roman"/>
          <w:vanish/>
          <w:kern w:val="0"/>
          <w14:ligatures w14:val="none"/>
        </w:rPr>
      </w:pPr>
      <w:r w:rsidRPr="00044728">
        <w:rPr>
          <w:rFonts w:ascii="Times New Roman" w:eastAsia="Times New Roman" w:hAnsi="Times New Roman" w:cs="Times New Roman"/>
          <w:vanish/>
          <w:kern w:val="0"/>
          <w14:ligatures w14:val="none"/>
        </w:rPr>
        <w:t>Bottom of Form</w:t>
      </w:r>
    </w:p>
    <w:p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rPr>
        <w:t>Table 3</w:t>
      </w:r>
      <w:r w:rsidR="00B137B1" w:rsidRPr="00044728">
        <w:rPr>
          <w:rFonts w:ascii="Times New Roman" w:hAnsi="Times New Roman" w:cs="Times New Roman"/>
          <w:b/>
          <w:bCs/>
        </w:rPr>
        <w:t>: VAR Lag Order Selection Criteria</w:t>
      </w:r>
    </w:p>
    <w:tbl>
      <w:tblPr>
        <w:tblW w:w="8926" w:type="dxa"/>
        <w:tblBorders>
          <w:top w:val="single" w:sz="4" w:space="0" w:color="auto"/>
          <w:bottom w:val="single" w:sz="4" w:space="0" w:color="auto"/>
        </w:tblBorders>
        <w:tblLook w:val="04A0" w:firstRow="1" w:lastRow="0" w:firstColumn="1" w:lastColumn="0" w:noHBand="0" w:noVBand="1"/>
      </w:tblPr>
      <w:tblGrid>
        <w:gridCol w:w="1129"/>
        <w:gridCol w:w="1481"/>
        <w:gridCol w:w="1530"/>
        <w:gridCol w:w="1620"/>
        <w:gridCol w:w="3166"/>
      </w:tblGrid>
      <w:tr w:rsidR="00D2267E" w:rsidRPr="00044728" w:rsidTr="00583008">
        <w:trPr>
          <w:trHeight w:val="300"/>
        </w:trPr>
        <w:tc>
          <w:tcPr>
            <w:tcW w:w="1129" w:type="dxa"/>
            <w:tcBorders>
              <w:top w:val="single" w:sz="4" w:space="0" w:color="auto"/>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Lag</w:t>
            </w:r>
          </w:p>
        </w:tc>
        <w:tc>
          <w:tcPr>
            <w:tcW w:w="1481" w:type="dxa"/>
            <w:tcBorders>
              <w:top w:val="single" w:sz="4" w:space="0" w:color="auto"/>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AIC</w:t>
            </w:r>
          </w:p>
        </w:tc>
        <w:tc>
          <w:tcPr>
            <w:tcW w:w="1530" w:type="dxa"/>
            <w:tcBorders>
              <w:top w:val="single" w:sz="4" w:space="0" w:color="auto"/>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HQ</w:t>
            </w:r>
          </w:p>
        </w:tc>
        <w:tc>
          <w:tcPr>
            <w:tcW w:w="1620" w:type="dxa"/>
            <w:tcBorders>
              <w:top w:val="single" w:sz="4" w:space="0" w:color="auto"/>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SC (BIC)</w:t>
            </w:r>
          </w:p>
        </w:tc>
        <w:tc>
          <w:tcPr>
            <w:tcW w:w="3166" w:type="dxa"/>
            <w:tcBorders>
              <w:top w:val="single" w:sz="4" w:space="0" w:color="auto"/>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FPE</w:t>
            </w:r>
          </w:p>
        </w:tc>
      </w:tr>
      <w:tr w:rsidR="00044728" w:rsidRPr="00044728" w:rsidTr="00583008">
        <w:trPr>
          <w:trHeight w:val="600"/>
        </w:trPr>
        <w:tc>
          <w:tcPr>
            <w:tcW w:w="1129" w:type="dxa"/>
            <w:tcBorders>
              <w:top w:val="single" w:sz="4" w:space="0" w:color="auto"/>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1</w:t>
            </w:r>
          </w:p>
        </w:tc>
        <w:tc>
          <w:tcPr>
            <w:tcW w:w="1481" w:type="dxa"/>
            <w:tcBorders>
              <w:top w:val="single" w:sz="4" w:space="0" w:color="auto"/>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-3.7936*</w:t>
            </w:r>
          </w:p>
        </w:tc>
        <w:tc>
          <w:tcPr>
            <w:tcW w:w="1530" w:type="dxa"/>
            <w:tcBorders>
              <w:top w:val="single" w:sz="4" w:space="0" w:color="auto"/>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-3.7704*</w:t>
            </w:r>
          </w:p>
        </w:tc>
        <w:tc>
          <w:tcPr>
            <w:tcW w:w="1620" w:type="dxa"/>
            <w:tcBorders>
              <w:top w:val="single" w:sz="4" w:space="0" w:color="auto"/>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-3.7280*</w:t>
            </w:r>
          </w:p>
        </w:tc>
        <w:tc>
          <w:tcPr>
            <w:tcW w:w="3166" w:type="dxa"/>
            <w:tcBorders>
              <w:top w:val="single" w:sz="4" w:space="0" w:color="auto"/>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0.022514*</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2</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-3.7847</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-3.7416</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-3.6629</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0.022716</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-3.7798</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-3.7167</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-3.6018</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0.022827</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4</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-3.7744</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-3.6914</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-3.5402</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0.022951</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5</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-3.7693</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-3.6665</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-3.479</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0.023067</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6</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-3.7657</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-3.6429</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-3.4191</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0.023152</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7</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-3.7574</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-3.6147</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-3.3547</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0.023343</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8</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-3.7527</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-3.5901</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-3.2937</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0.023455</w:t>
            </w:r>
          </w:p>
        </w:tc>
      </w:tr>
      <w:tr w:rsidR="00044728" w:rsidRPr="00044728" w:rsidTr="00583008">
        <w:trPr>
          <w:trHeight w:val="300"/>
        </w:trPr>
        <w:tc>
          <w:tcPr>
            <w:tcW w:w="1129"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9</w:t>
            </w:r>
          </w:p>
        </w:tc>
        <w:tc>
          <w:tcPr>
            <w:tcW w:w="1481"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-3.7482</w:t>
            </w:r>
          </w:p>
        </w:tc>
        <w:tc>
          <w:tcPr>
            <w:tcW w:w="153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-3.5657</w:t>
            </w:r>
          </w:p>
        </w:tc>
        <w:tc>
          <w:tcPr>
            <w:tcW w:w="1620"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-3.2331</w:t>
            </w:r>
          </w:p>
        </w:tc>
        <w:tc>
          <w:tcPr>
            <w:tcW w:w="3166" w:type="dxa"/>
            <w:tcBorders>
              <w:top w:val="nil"/>
              <w:left w:val="nil"/>
              <w:bottom w:val="nil"/>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0.023559</w:t>
            </w:r>
          </w:p>
        </w:tc>
      </w:tr>
      <w:tr w:rsidR="00044728" w:rsidRPr="00044728" w:rsidTr="00583008">
        <w:trPr>
          <w:trHeight w:val="300"/>
        </w:trPr>
        <w:tc>
          <w:tcPr>
            <w:tcW w:w="1129" w:type="dxa"/>
            <w:tcBorders>
              <w:top w:val="nil"/>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10</w:t>
            </w:r>
          </w:p>
        </w:tc>
        <w:tc>
          <w:tcPr>
            <w:tcW w:w="1481" w:type="dxa"/>
            <w:tcBorders>
              <w:top w:val="nil"/>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-3.7356</w:t>
            </w:r>
          </w:p>
        </w:tc>
        <w:tc>
          <w:tcPr>
            <w:tcW w:w="1530" w:type="dxa"/>
            <w:tcBorders>
              <w:top w:val="nil"/>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-3.5332</w:t>
            </w:r>
          </w:p>
        </w:tc>
        <w:tc>
          <w:tcPr>
            <w:tcW w:w="1620" w:type="dxa"/>
            <w:tcBorders>
              <w:top w:val="nil"/>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-3.1643</w:t>
            </w:r>
          </w:p>
        </w:tc>
        <w:tc>
          <w:tcPr>
            <w:tcW w:w="3166" w:type="dxa"/>
            <w:tcBorders>
              <w:top w:val="nil"/>
              <w:left w:val="nil"/>
              <w:bottom w:val="single" w:sz="4" w:space="0" w:color="auto"/>
              <w:right w:val="nil"/>
            </w:tcBorders>
            <w:vAlign w:val="center"/>
            <w:hideMark/>
          </w:tcPr>
          <w:p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0.023859</w:t>
            </w:r>
          </w:p>
        </w:tc>
      </w:tr>
    </w:tbl>
    <w:p w:rsidR="00D2267E" w:rsidRPr="00044728" w:rsidRDefault="00D2267E" w:rsidP="00EE0234">
      <w:pPr>
        <w:spacing w:after="0"/>
        <w:jc w:val="both"/>
        <w:rPr>
          <w:rFonts w:ascii="Times New Roman" w:hAnsi="Times New Roman" w:cs="Times New Roman"/>
          <w:b/>
          <w:bCs/>
        </w:rPr>
      </w:pPr>
    </w:p>
    <w:p w:rsidR="00B137B1" w:rsidRPr="00044728" w:rsidRDefault="00B137B1" w:rsidP="00D2267E">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b/>
          <w:bCs/>
          <w:kern w:val="0"/>
          <w14:ligatures w14:val="none"/>
        </w:rPr>
        <w:t>Note:</w:t>
      </w:r>
      <w:r w:rsidRPr="00044728">
        <w:rPr>
          <w:rFonts w:ascii="Times New Roman" w:eastAsia="Times New Roman" w:hAnsi="Times New Roman" w:cs="Times New Roman"/>
          <w:kern w:val="0"/>
          <w14:ligatures w14:val="none"/>
        </w:rPr>
        <w:t xml:space="preserve"> * indicates the selected lag length.</w:t>
      </w:r>
    </w:p>
    <w:p w:rsidR="00B137B1" w:rsidRPr="00044728" w:rsidRDefault="005B132E" w:rsidP="00EE0234">
      <w:pPr>
        <w:spacing w:after="0"/>
        <w:jc w:val="both"/>
        <w:rPr>
          <w:rFonts w:ascii="Times New Roman" w:hAnsi="Times New Roman" w:cs="Times New Roman"/>
        </w:rPr>
      </w:pPr>
      <w:r>
        <w:rPr>
          <w:rFonts w:ascii="Times New Roman" w:hAnsi="Times New Roman" w:cs="Times New Roman"/>
          <w:highlight w:val="yellow"/>
        </w:rPr>
        <w:t>Table</w:t>
      </w:r>
      <w:r>
        <w:rPr>
          <w:rFonts w:ascii="Times New Roman" w:hAnsi="Times New Roman" w:cs="Times New Roman"/>
        </w:rPr>
        <w:t xml:space="preserve"> </w:t>
      </w:r>
      <w:r>
        <w:rPr>
          <w:rFonts w:ascii="Times New Roman" w:hAnsi="Times New Roman" w:cs="Times New Roman"/>
          <w:highlight w:val="yellow"/>
        </w:rPr>
        <w:t>3 presents</w:t>
      </w:r>
      <w:r>
        <w:rPr>
          <w:rFonts w:ascii="Times New Roman" w:hAnsi="Times New Roman" w:cs="Times New Roman"/>
        </w:rPr>
        <w:t xml:space="preserve"> the </w:t>
      </w:r>
      <w:r>
        <w:rPr>
          <w:rFonts w:ascii="Times New Roman" w:hAnsi="Times New Roman" w:cs="Times New Roman"/>
          <w:highlight w:val="yellow"/>
        </w:rPr>
        <w:t>VAR lag-order selection criteria used to determine the appropriate</w:t>
      </w:r>
      <w:r>
        <w:rPr>
          <w:rFonts w:ascii="Times New Roman" w:hAnsi="Times New Roman" w:cs="Times New Roman"/>
        </w:rPr>
        <w:t xml:space="preserve"> lag </w:t>
      </w:r>
      <w:r>
        <w:rPr>
          <w:rFonts w:ascii="Times New Roman" w:hAnsi="Times New Roman" w:cs="Times New Roman"/>
          <w:highlight w:val="yellow"/>
        </w:rPr>
        <w:t>length</w:t>
      </w:r>
      <w:r>
        <w:rPr>
          <w:rFonts w:ascii="Times New Roman" w:hAnsi="Times New Roman" w:cs="Times New Roman"/>
        </w:rPr>
        <w:t xml:space="preserve"> for the multivariate model. The results show that </w:t>
      </w:r>
      <w:r>
        <w:rPr>
          <w:rStyle w:val="Strong"/>
          <w:rFonts w:ascii="Times New Roman" w:hAnsi="Times New Roman" w:cs="Times New Roman"/>
          <w:b w:val="0"/>
        </w:rPr>
        <w:t>lag 1</w:t>
      </w:r>
      <w:r>
        <w:rPr>
          <w:rFonts w:ascii="Times New Roman" w:hAnsi="Times New Roman" w:cs="Times New Roman"/>
        </w:rPr>
        <w:t xml:space="preserve"> is consistently selected by all four criteria, namely the Akaike Information Criterion (AIC), Hannan–Quinn Criterion (HQ), Schwarz Information Criterion (SC/BIC), and Final Prediction Error (FPE), as indicated by the asterisks. Specifically, lag 1 records the lowest AIC value of </w:t>
      </w:r>
      <w:r>
        <w:rPr>
          <w:rStyle w:val="Strong"/>
          <w:rFonts w:ascii="Times New Roman" w:hAnsi="Times New Roman" w:cs="Times New Roman"/>
        </w:rPr>
        <w:t>−</w:t>
      </w:r>
      <w:r>
        <w:rPr>
          <w:rStyle w:val="Strong"/>
          <w:rFonts w:ascii="Times New Roman" w:hAnsi="Times New Roman" w:cs="Times New Roman"/>
          <w:b w:val="0"/>
        </w:rPr>
        <w:t>3.7936</w:t>
      </w:r>
      <w:r>
        <w:rPr>
          <w:rFonts w:ascii="Times New Roman" w:hAnsi="Times New Roman" w:cs="Times New Roman"/>
        </w:rPr>
        <w:t xml:space="preserve">, HQ value of </w:t>
      </w:r>
      <w:r>
        <w:rPr>
          <w:rStyle w:val="Strong"/>
          <w:rFonts w:ascii="Times New Roman" w:hAnsi="Times New Roman" w:cs="Times New Roman"/>
        </w:rPr>
        <w:t>−</w:t>
      </w:r>
      <w:r>
        <w:rPr>
          <w:rStyle w:val="Strong"/>
          <w:rFonts w:ascii="Times New Roman" w:hAnsi="Times New Roman" w:cs="Times New Roman"/>
          <w:b w:val="0"/>
        </w:rPr>
        <w:t>3.7704</w:t>
      </w:r>
      <w:r>
        <w:rPr>
          <w:rFonts w:ascii="Times New Roman" w:hAnsi="Times New Roman" w:cs="Times New Roman"/>
        </w:rPr>
        <w:t xml:space="preserve">, SC value of </w:t>
      </w:r>
      <w:r>
        <w:rPr>
          <w:rStyle w:val="Strong"/>
          <w:rFonts w:ascii="Times New Roman" w:hAnsi="Times New Roman" w:cs="Times New Roman"/>
        </w:rPr>
        <w:t>−</w:t>
      </w:r>
      <w:r>
        <w:rPr>
          <w:rStyle w:val="Strong"/>
          <w:rFonts w:ascii="Times New Roman" w:hAnsi="Times New Roman" w:cs="Times New Roman"/>
          <w:b w:val="0"/>
        </w:rPr>
        <w:t>3.7280</w:t>
      </w:r>
      <w:r>
        <w:rPr>
          <w:rFonts w:ascii="Times New Roman" w:hAnsi="Times New Roman" w:cs="Times New Roman"/>
        </w:rPr>
        <w:t xml:space="preserve">, and FPE value of </w:t>
      </w:r>
      <w:r>
        <w:rPr>
          <w:rStyle w:val="Strong"/>
          <w:rFonts w:ascii="Times New Roman" w:hAnsi="Times New Roman" w:cs="Times New Roman"/>
          <w:b w:val="0"/>
        </w:rPr>
        <w:t>0.022514</w:t>
      </w:r>
      <w:r>
        <w:rPr>
          <w:rFonts w:ascii="Times New Roman" w:hAnsi="Times New Roman" w:cs="Times New Roman"/>
          <w:b/>
        </w:rPr>
        <w:t xml:space="preserve"> </w:t>
      </w:r>
      <w:r>
        <w:rPr>
          <w:rFonts w:ascii="Times New Roman" w:hAnsi="Times New Roman" w:cs="Times New Roman"/>
        </w:rPr>
        <w:t xml:space="preserve">compared with the corresponding values at lags 2 to 10. Since all the selection criteria independently identify the first lag as optimal, the study adopts a </w:t>
      </w:r>
      <w:r>
        <w:rPr>
          <w:rStyle w:val="Strong"/>
          <w:rFonts w:ascii="Times New Roman" w:hAnsi="Times New Roman" w:cs="Times New Roman"/>
          <w:b w:val="0"/>
        </w:rPr>
        <w:t>VAR(1)</w:t>
      </w:r>
      <w:r>
        <w:rPr>
          <w:rStyle w:val="Strong"/>
          <w:rFonts w:ascii="Times New Roman" w:hAnsi="Times New Roman" w:cs="Times New Roman"/>
        </w:rPr>
        <w:t xml:space="preserve"> </w:t>
      </w:r>
      <w:r>
        <w:rPr>
          <w:rStyle w:val="Strong"/>
          <w:rFonts w:ascii="Times New Roman" w:hAnsi="Times New Roman" w:cs="Times New Roman"/>
          <w:b w:val="0"/>
        </w:rPr>
        <w:t>specification</w:t>
      </w:r>
      <w:r>
        <w:rPr>
          <w:rFonts w:ascii="Times New Roman" w:hAnsi="Times New Roman" w:cs="Times New Roman"/>
        </w:rPr>
        <w:t xml:space="preserve">, implying that </w:t>
      </w:r>
      <w:r>
        <w:rPr>
          <w:rFonts w:ascii="Times New Roman" w:hAnsi="Times New Roman" w:cs="Times New Roman"/>
          <w:highlight w:val="yellow"/>
        </w:rPr>
        <w:t>one-period-lagged</w:t>
      </w:r>
      <w:r>
        <w:rPr>
          <w:rFonts w:ascii="Times New Roman" w:hAnsi="Times New Roman" w:cs="Times New Roman"/>
        </w:rPr>
        <w:t xml:space="preserve"> values of the variables provide the appropriate basis </w:t>
      </w:r>
      <w:r>
        <w:rPr>
          <w:rFonts w:ascii="Times New Roman" w:hAnsi="Times New Roman" w:cs="Times New Roman"/>
        </w:rPr>
        <w:lastRenderedPageBreak/>
        <w:t xml:space="preserve">for examining the short-run interrelationships among the global commodity prices, </w:t>
      </w:r>
      <w:r>
        <w:rPr>
          <w:rFonts w:ascii="Times New Roman" w:hAnsi="Times New Roman" w:cs="Times New Roman"/>
          <w:highlight w:val="yellow"/>
        </w:rPr>
        <w:t xml:space="preserve">the </w:t>
      </w:r>
      <w:r>
        <w:rPr>
          <w:rFonts w:ascii="Times New Roman" w:hAnsi="Times New Roman" w:cs="Times New Roman"/>
        </w:rPr>
        <w:t>exchange rate and Nigerian stock market returns.</w:t>
      </w:r>
    </w:p>
    <w:p w:rsidR="00B137B1" w:rsidRPr="00044728" w:rsidRDefault="00B137B1" w:rsidP="00EE0234">
      <w:pPr>
        <w:spacing w:after="0"/>
        <w:jc w:val="both"/>
        <w:rPr>
          <w:rFonts w:ascii="Times New Roman" w:hAnsi="Times New Roman" w:cs="Times New Roman"/>
          <w:b/>
          <w:bCs/>
        </w:rPr>
      </w:pPr>
    </w:p>
    <w:p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rPr>
        <w:t>Table 4</w:t>
      </w:r>
      <w:r w:rsidR="00B137B1" w:rsidRPr="00044728">
        <w:rPr>
          <w:rFonts w:ascii="Times New Roman" w:hAnsi="Times New Roman" w:cs="Times New Roman"/>
          <w:b/>
          <w:bCs/>
        </w:rPr>
        <w:t>: Summary of VAR(1) Estimation Results</w:t>
      </w:r>
    </w:p>
    <w:tbl>
      <w:tblPr>
        <w:tblW w:w="8637" w:type="dxa"/>
        <w:jc w:val="center"/>
        <w:tblBorders>
          <w:top w:val="single" w:sz="8" w:space="0" w:color="auto"/>
          <w:bottom w:val="single" w:sz="8" w:space="0" w:color="auto"/>
        </w:tblBorders>
        <w:tblLook w:val="04A0" w:firstRow="1" w:lastRow="0" w:firstColumn="1" w:lastColumn="0" w:noHBand="0" w:noVBand="1"/>
      </w:tblPr>
      <w:tblGrid>
        <w:gridCol w:w="1550"/>
        <w:gridCol w:w="2551"/>
        <w:gridCol w:w="1418"/>
        <w:gridCol w:w="1701"/>
        <w:gridCol w:w="1417"/>
      </w:tblGrid>
      <w:tr w:rsidR="00B137B1" w:rsidRPr="00044728" w:rsidTr="00DC2DFE">
        <w:trPr>
          <w:trHeight w:val="466"/>
          <w:jc w:val="center"/>
        </w:trPr>
        <w:tc>
          <w:tcPr>
            <w:tcW w:w="1550"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Dependent Variable</w:t>
            </w:r>
          </w:p>
        </w:tc>
        <w:tc>
          <w:tcPr>
            <w:tcW w:w="2551"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Significant Variables (5%)</w:t>
            </w:r>
          </w:p>
        </w:tc>
        <w:tc>
          <w:tcPr>
            <w:tcW w:w="1418"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F-statistic</w:t>
            </w:r>
          </w:p>
        </w:tc>
        <w:tc>
          <w:tcPr>
            <w:tcW w:w="1701"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p-value</w:t>
            </w:r>
          </w:p>
        </w:tc>
        <w:tc>
          <w:tcPr>
            <w:tcW w:w="1417"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Adjusted R²</w:t>
            </w:r>
          </w:p>
        </w:tc>
      </w:tr>
      <w:tr w:rsidR="00B137B1" w:rsidRPr="00044728" w:rsidTr="00B137B1">
        <w:trPr>
          <w:trHeight w:val="459"/>
          <w:jc w:val="center"/>
        </w:trPr>
        <w:tc>
          <w:tcPr>
            <w:tcW w:w="1550"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DBCOP</w:t>
            </w:r>
          </w:p>
        </w:tc>
        <w:tc>
          <w:tcPr>
            <w:tcW w:w="2551"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DCOPP(+), DGOLDP(-)</w:t>
            </w:r>
          </w:p>
        </w:tc>
        <w:tc>
          <w:tcPr>
            <w:tcW w:w="1418"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2.962</w:t>
            </w:r>
          </w:p>
        </w:tc>
        <w:tc>
          <w:tcPr>
            <w:tcW w:w="1701"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0.0069</w:t>
            </w:r>
          </w:p>
        </w:tc>
        <w:tc>
          <w:tcPr>
            <w:tcW w:w="1417"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0.0029</w:t>
            </w:r>
          </w:p>
        </w:tc>
      </w:tr>
      <w:tr w:rsidR="00B137B1" w:rsidRPr="00044728" w:rsidTr="00B137B1">
        <w:trPr>
          <w:trHeight w:val="330"/>
          <w:jc w:val="center"/>
        </w:trPr>
        <w:tc>
          <w:tcPr>
            <w:tcW w:w="155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DCOPP</w:t>
            </w:r>
          </w:p>
        </w:tc>
        <w:tc>
          <w:tcPr>
            <w:tcW w:w="255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None</w:t>
            </w:r>
          </w:p>
        </w:tc>
        <w:tc>
          <w:tcPr>
            <w:tcW w:w="141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1.034</w:t>
            </w:r>
          </w:p>
        </w:tc>
        <w:tc>
          <w:tcPr>
            <w:tcW w:w="170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0.4006</w:t>
            </w:r>
          </w:p>
        </w:tc>
        <w:tc>
          <w:tcPr>
            <w:tcW w:w="1417"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0.0001</w:t>
            </w:r>
          </w:p>
        </w:tc>
      </w:tr>
      <w:tr w:rsidR="00B137B1" w:rsidRPr="00044728" w:rsidTr="00B137B1">
        <w:trPr>
          <w:trHeight w:val="613"/>
          <w:jc w:val="center"/>
        </w:trPr>
        <w:tc>
          <w:tcPr>
            <w:tcW w:w="155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DEXR</w:t>
            </w:r>
          </w:p>
        </w:tc>
        <w:tc>
          <w:tcPr>
            <w:tcW w:w="255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DEXR(-1), Constant</w:t>
            </w:r>
          </w:p>
        </w:tc>
        <w:tc>
          <w:tcPr>
            <w:tcW w:w="141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7.864</w:t>
            </w:r>
          </w:p>
        </w:tc>
        <w:tc>
          <w:tcPr>
            <w:tcW w:w="170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&lt;0.001</w:t>
            </w:r>
          </w:p>
        </w:tc>
        <w:tc>
          <w:tcPr>
            <w:tcW w:w="1417"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0.0101</w:t>
            </w:r>
          </w:p>
        </w:tc>
      </w:tr>
      <w:tr w:rsidR="00B137B1" w:rsidRPr="00044728" w:rsidTr="00B137B1">
        <w:trPr>
          <w:trHeight w:val="693"/>
          <w:jc w:val="center"/>
        </w:trPr>
        <w:tc>
          <w:tcPr>
            <w:tcW w:w="155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DGOLDP</w:t>
            </w:r>
          </w:p>
        </w:tc>
        <w:tc>
          <w:tcPr>
            <w:tcW w:w="255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DGOLDP(-1), Constant</w:t>
            </w:r>
          </w:p>
        </w:tc>
        <w:tc>
          <w:tcPr>
            <w:tcW w:w="141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1.576</w:t>
            </w:r>
          </w:p>
        </w:tc>
        <w:tc>
          <w:tcPr>
            <w:tcW w:w="170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0.1498</w:t>
            </w:r>
          </w:p>
        </w:tc>
        <w:tc>
          <w:tcPr>
            <w:tcW w:w="1417"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0.0009</w:t>
            </w:r>
          </w:p>
        </w:tc>
      </w:tr>
      <w:tr w:rsidR="00B137B1" w:rsidRPr="00044728" w:rsidTr="00B137B1">
        <w:trPr>
          <w:trHeight w:val="645"/>
          <w:jc w:val="center"/>
        </w:trPr>
        <w:tc>
          <w:tcPr>
            <w:tcW w:w="155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DNGAS</w:t>
            </w:r>
          </w:p>
        </w:tc>
        <w:tc>
          <w:tcPr>
            <w:tcW w:w="255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DNGAS(-1)</w:t>
            </w:r>
          </w:p>
        </w:tc>
        <w:tc>
          <w:tcPr>
            <w:tcW w:w="141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2.645</w:t>
            </w:r>
          </w:p>
        </w:tc>
        <w:tc>
          <w:tcPr>
            <w:tcW w:w="1701"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0.0146</w:t>
            </w:r>
          </w:p>
        </w:tc>
        <w:tc>
          <w:tcPr>
            <w:tcW w:w="1417"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0.0024</w:t>
            </w:r>
          </w:p>
        </w:tc>
      </w:tr>
      <w:tr w:rsidR="00B137B1" w:rsidRPr="00044728" w:rsidTr="00B137B1">
        <w:trPr>
          <w:trHeight w:val="584"/>
          <w:jc w:val="center"/>
        </w:trPr>
        <w:tc>
          <w:tcPr>
            <w:tcW w:w="1550"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DSTOCKP</w:t>
            </w:r>
          </w:p>
        </w:tc>
        <w:tc>
          <w:tcPr>
            <w:tcW w:w="2551"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DNGAS(-1), DSTOCKP(-1)</w:t>
            </w:r>
          </w:p>
        </w:tc>
        <w:tc>
          <w:tcPr>
            <w:tcW w:w="1418"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11.42</w:t>
            </w:r>
          </w:p>
        </w:tc>
        <w:tc>
          <w:tcPr>
            <w:tcW w:w="1701"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&lt;0.001</w:t>
            </w:r>
          </w:p>
        </w:tc>
        <w:tc>
          <w:tcPr>
            <w:tcW w:w="1417"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0.0152</w:t>
            </w:r>
          </w:p>
        </w:tc>
      </w:tr>
    </w:tbl>
    <w:p w:rsidR="00B137B1" w:rsidRPr="00044728" w:rsidRDefault="00B137B1" w:rsidP="00EE0234">
      <w:pPr>
        <w:spacing w:after="0"/>
        <w:jc w:val="both"/>
        <w:rPr>
          <w:rFonts w:ascii="Times New Roman" w:hAnsi="Times New Roman" w:cs="Times New Roman"/>
        </w:rPr>
      </w:pPr>
      <w:r w:rsidRPr="00044728">
        <w:rPr>
          <w:rFonts w:ascii="Times New Roman" w:hAnsi="Times New Roman" w:cs="Times New Roman"/>
          <w:b/>
          <w:bCs/>
        </w:rPr>
        <w:t>Note:</w:t>
      </w:r>
      <w:r w:rsidRPr="00044728">
        <w:rPr>
          <w:rFonts w:ascii="Times New Roman" w:hAnsi="Times New Roman" w:cs="Times New Roman"/>
        </w:rPr>
        <w:t xml:space="preserve"> (+) denotes a positive effect, while (-) denotes a negative effect.</w:t>
      </w:r>
    </w:p>
    <w:p w:rsidR="00830465" w:rsidRPr="00044728" w:rsidRDefault="00830465" w:rsidP="00EE0234">
      <w:pPr>
        <w:pStyle w:val="pdq2pgselectionanchorcontainer"/>
        <w:jc w:val="both"/>
      </w:pPr>
      <w:r>
        <w:t xml:space="preserve">Table 4 presents the summary of the estimated VAR(1) model and shows that the short-run relationships among the variables differ across the equations. For </w:t>
      </w:r>
      <w:r>
        <w:rPr>
          <w:rStyle w:val="Strong"/>
          <w:rFonts w:eastAsiaTheme="majorEastAsia"/>
          <w:b w:val="0"/>
        </w:rPr>
        <w:t>DBCOP</w:t>
      </w:r>
      <w:r>
        <w:t xml:space="preserve">, the overall model is statistically significant (F = 2.962, p = 0.0069), with lagged copper returns </w:t>
      </w:r>
      <w:r>
        <w:rPr>
          <w:highlight w:val="yellow"/>
        </w:rPr>
        <w:t>having</w:t>
      </w:r>
      <w:r>
        <w:t xml:space="preserve"> a positive effect and lagged gold returns </w:t>
      </w:r>
      <w:r>
        <w:rPr>
          <w:highlight w:val="yellow"/>
        </w:rPr>
        <w:t>having</w:t>
      </w:r>
      <w:r>
        <w:t xml:space="preserve"> a negative effect. The </w:t>
      </w:r>
      <w:r>
        <w:rPr>
          <w:rStyle w:val="Strong"/>
          <w:rFonts w:eastAsiaTheme="majorEastAsia"/>
          <w:b w:val="0"/>
        </w:rPr>
        <w:t>DCOPP</w:t>
      </w:r>
      <w:r>
        <w:t xml:space="preserve"> equation is not statistically significant (F = 1.034, p = 0.4006), indicating no significant short-run effect from the included variables. The </w:t>
      </w:r>
      <w:r>
        <w:rPr>
          <w:rStyle w:val="Strong"/>
          <w:rFonts w:eastAsiaTheme="majorEastAsia"/>
          <w:b w:val="0"/>
        </w:rPr>
        <w:t>DEXR</w:t>
      </w:r>
      <w:r>
        <w:t xml:space="preserve"> equation is statistically significant (F = 7.864, p &lt; 0.001), with its own lagged value significantly influencing current exchange-rate returns, suggesting short-run persistence in exchange-rate movements. Similarly, the </w:t>
      </w:r>
      <w:r>
        <w:rPr>
          <w:rStyle w:val="Strong"/>
          <w:rFonts w:eastAsiaTheme="majorEastAsia"/>
          <w:b w:val="0"/>
        </w:rPr>
        <w:t>DNGAS</w:t>
      </w:r>
      <w:r>
        <w:t xml:space="preserve"> equation is significant (F = 2.645, p = 0.0146), with lagged natural gas returns having a significant effect on current natural gas returns. The </w:t>
      </w:r>
      <w:r>
        <w:rPr>
          <w:rStyle w:val="Strong"/>
          <w:rFonts w:eastAsiaTheme="majorEastAsia"/>
          <w:b w:val="0"/>
        </w:rPr>
        <w:t>DSTOCKP</w:t>
      </w:r>
      <w:r>
        <w:t xml:space="preserve"> equation records the strongest overall significance (F = 11.42, p &lt; 0.001), with both lagged natural gas returns and lagged stock-market returns significantly influencing current stock-market returns, indicating that movements in the natural gas market and previous stock-market conditions are relevant to subsequent Nigerian stock-market returns. In contrast, the </w:t>
      </w:r>
      <w:r>
        <w:rPr>
          <w:rStyle w:val="Strong"/>
          <w:rFonts w:eastAsiaTheme="majorEastAsia"/>
          <w:b w:val="0"/>
        </w:rPr>
        <w:t>DGOLDP</w:t>
      </w:r>
      <w:r>
        <w:rPr>
          <w:b/>
        </w:rPr>
        <w:t xml:space="preserve"> </w:t>
      </w:r>
      <w:r>
        <w:t xml:space="preserve">equation is not statistically significant at the 5% level (F = 1.576, p = 0.1498), despite the reported significance of its lagged term in the individual equation. The adjusted R² values are generally low, ranging from </w:t>
      </w:r>
      <w:r>
        <w:rPr>
          <w:rStyle w:val="Strong"/>
          <w:rFonts w:eastAsiaTheme="majorEastAsia"/>
          <w:b w:val="0"/>
        </w:rPr>
        <w:t>0.0001 to 0.0152</w:t>
      </w:r>
      <w:r>
        <w:t>, indicating that the VAR(1) model explains only a small proportion of the short-run variation in the individual return series; this is not unusual for high-frequency financial return data and reinforces the need for the subsequent multivariate volatility analysis.</w:t>
      </w:r>
    </w:p>
    <w:p w:rsidR="00DC2DFE" w:rsidRDefault="00DC2DFE" w:rsidP="00EE0234">
      <w:pPr>
        <w:spacing w:after="0" w:line="240" w:lineRule="auto"/>
        <w:jc w:val="both"/>
        <w:rPr>
          <w:rFonts w:ascii="Times New Roman" w:eastAsia="Times New Roman" w:hAnsi="Times New Roman" w:cs="Times New Roman"/>
          <w:b/>
          <w:bCs/>
          <w:kern w:val="0"/>
          <w14:ligatures w14:val="none"/>
        </w:rPr>
      </w:pPr>
    </w:p>
    <w:p w:rsidR="002E0BE9" w:rsidRDefault="002E0BE9" w:rsidP="00EE0234">
      <w:pPr>
        <w:spacing w:after="0" w:line="240" w:lineRule="auto"/>
        <w:jc w:val="both"/>
        <w:rPr>
          <w:rFonts w:ascii="Times New Roman" w:eastAsia="Times New Roman" w:hAnsi="Times New Roman" w:cs="Times New Roman"/>
          <w:b/>
          <w:bCs/>
          <w:kern w:val="0"/>
          <w14:ligatures w14:val="none"/>
        </w:rPr>
      </w:pPr>
    </w:p>
    <w:p w:rsidR="002E0BE9" w:rsidRDefault="002E0BE9" w:rsidP="00EE0234">
      <w:pPr>
        <w:spacing w:after="0" w:line="240" w:lineRule="auto"/>
        <w:jc w:val="both"/>
        <w:rPr>
          <w:rFonts w:ascii="Times New Roman" w:eastAsia="Times New Roman" w:hAnsi="Times New Roman" w:cs="Times New Roman"/>
          <w:b/>
          <w:bCs/>
          <w:kern w:val="0"/>
          <w14:ligatures w14:val="none"/>
        </w:rPr>
      </w:pPr>
    </w:p>
    <w:p w:rsidR="002E0BE9" w:rsidRDefault="002E0BE9" w:rsidP="00EE0234">
      <w:pPr>
        <w:spacing w:after="0" w:line="240" w:lineRule="auto"/>
        <w:jc w:val="both"/>
        <w:rPr>
          <w:rFonts w:ascii="Times New Roman" w:eastAsia="Times New Roman" w:hAnsi="Times New Roman" w:cs="Times New Roman"/>
          <w:b/>
          <w:bCs/>
          <w:kern w:val="0"/>
          <w14:ligatures w14:val="none"/>
        </w:rPr>
      </w:pPr>
    </w:p>
    <w:p w:rsidR="002E0BE9" w:rsidRPr="00044728" w:rsidRDefault="002E0BE9" w:rsidP="00EE0234">
      <w:pPr>
        <w:spacing w:after="0" w:line="240" w:lineRule="auto"/>
        <w:jc w:val="both"/>
        <w:rPr>
          <w:rFonts w:ascii="Times New Roman" w:eastAsia="Times New Roman" w:hAnsi="Times New Roman" w:cs="Times New Roman"/>
          <w:b/>
          <w:bCs/>
          <w:kern w:val="0"/>
          <w14:ligatures w14:val="none"/>
        </w:rPr>
      </w:pPr>
    </w:p>
    <w:p w:rsidR="00B137B1" w:rsidRPr="00044728" w:rsidRDefault="00367204"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lastRenderedPageBreak/>
        <w:t>Table 5</w:t>
      </w:r>
      <w:r w:rsidR="00B137B1" w:rsidRPr="00044728">
        <w:rPr>
          <w:rFonts w:ascii="Times New Roman" w:eastAsia="Times New Roman" w:hAnsi="Times New Roman" w:cs="Times New Roman"/>
          <w:b/>
          <w:bCs/>
          <w:kern w:val="0"/>
          <w14:ligatures w14:val="none"/>
        </w:rPr>
        <w:t>: Estimated DCC-GARCH (1,1) Model Parameters (Multivariate t- Distribution)</w:t>
      </w:r>
    </w:p>
    <w:tbl>
      <w:tblPr>
        <w:tblStyle w:val="PlainTable4"/>
        <w:tblW w:w="9888" w:type="dxa"/>
        <w:tblBorders>
          <w:top w:val="single" w:sz="4" w:space="0" w:color="auto"/>
          <w:bottom w:val="single" w:sz="4" w:space="0" w:color="auto"/>
        </w:tblBorders>
        <w:tblLayout w:type="fixed"/>
        <w:tblLook w:val="04A0" w:firstRow="1" w:lastRow="0" w:firstColumn="1" w:lastColumn="0" w:noHBand="0" w:noVBand="1"/>
      </w:tblPr>
      <w:tblGrid>
        <w:gridCol w:w="1260"/>
        <w:gridCol w:w="1338"/>
        <w:gridCol w:w="1440"/>
        <w:gridCol w:w="1440"/>
        <w:gridCol w:w="1080"/>
        <w:gridCol w:w="1080"/>
        <w:gridCol w:w="2250"/>
      </w:tblGrid>
      <w:tr w:rsidR="00044728" w:rsidRPr="00044728" w:rsidTr="00CE1A3C">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260" w:type="dxa"/>
            <w:tcBorders>
              <w:top w:val="single" w:sz="4" w:space="0" w:color="auto"/>
              <w:bottom w:val="single" w:sz="4" w:space="0" w:color="auto"/>
            </w:tcBorders>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Variable</w:t>
            </w:r>
          </w:p>
        </w:tc>
        <w:tc>
          <w:tcPr>
            <w:tcW w:w="1338" w:type="dxa"/>
            <w:tcBorders>
              <w:top w:val="single" w:sz="4" w:space="0" w:color="auto"/>
              <w:bottom w:val="single" w:sz="4" w:space="0" w:color="auto"/>
            </w:tcBorders>
            <w:hideMark/>
          </w:tcPr>
          <w:p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Parameter</w:t>
            </w:r>
          </w:p>
        </w:tc>
        <w:tc>
          <w:tcPr>
            <w:tcW w:w="1440" w:type="dxa"/>
            <w:tcBorders>
              <w:top w:val="single" w:sz="4" w:space="0" w:color="auto"/>
              <w:bottom w:val="single" w:sz="4" w:space="0" w:color="auto"/>
            </w:tcBorders>
            <w:hideMark/>
          </w:tcPr>
          <w:p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Estimate</w:t>
            </w:r>
          </w:p>
        </w:tc>
        <w:tc>
          <w:tcPr>
            <w:tcW w:w="1440" w:type="dxa"/>
            <w:tcBorders>
              <w:top w:val="single" w:sz="4" w:space="0" w:color="auto"/>
              <w:bottom w:val="single" w:sz="4" w:space="0" w:color="auto"/>
            </w:tcBorders>
            <w:hideMark/>
          </w:tcPr>
          <w:p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Std. Error</w:t>
            </w:r>
          </w:p>
        </w:tc>
        <w:tc>
          <w:tcPr>
            <w:tcW w:w="1080" w:type="dxa"/>
            <w:tcBorders>
              <w:top w:val="single" w:sz="4" w:space="0" w:color="auto"/>
              <w:bottom w:val="single" w:sz="4" w:space="0" w:color="auto"/>
            </w:tcBorders>
            <w:hideMark/>
          </w:tcPr>
          <w:p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t-value</w:t>
            </w:r>
          </w:p>
        </w:tc>
        <w:tc>
          <w:tcPr>
            <w:tcW w:w="1080" w:type="dxa"/>
            <w:tcBorders>
              <w:top w:val="single" w:sz="4" w:space="0" w:color="auto"/>
              <w:bottom w:val="single" w:sz="4" w:space="0" w:color="auto"/>
            </w:tcBorders>
            <w:hideMark/>
          </w:tcPr>
          <w:p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p-value</w:t>
            </w:r>
          </w:p>
        </w:tc>
        <w:tc>
          <w:tcPr>
            <w:tcW w:w="2250" w:type="dxa"/>
            <w:tcBorders>
              <w:top w:val="single" w:sz="4" w:space="0" w:color="auto"/>
              <w:bottom w:val="single" w:sz="4" w:space="0" w:color="auto"/>
            </w:tcBorders>
            <w:hideMark/>
          </w:tcPr>
          <w:p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Decision</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260" w:type="dxa"/>
            <w:tcBorders>
              <w:top w:val="single" w:sz="4" w:space="0" w:color="auto"/>
            </w:tcBorders>
            <w:shd w:val="clear" w:color="auto" w:fill="auto"/>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Dbcop</w:t>
            </w:r>
            <w:proofErr w:type="spellEnd"/>
          </w:p>
        </w:tc>
        <w:tc>
          <w:tcPr>
            <w:tcW w:w="1338" w:type="dxa"/>
            <w:tcBorders>
              <w:top w:val="single" w:sz="4" w:space="0" w:color="auto"/>
            </w:tcBorders>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tcBorders>
              <w:top w:val="single" w:sz="4" w:space="0" w:color="auto"/>
            </w:tcBorders>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0.01185</w:t>
            </w:r>
          </w:p>
        </w:tc>
        <w:tc>
          <w:tcPr>
            <w:tcW w:w="1440" w:type="dxa"/>
            <w:tcBorders>
              <w:top w:val="single" w:sz="4" w:space="0" w:color="auto"/>
            </w:tcBorders>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0.01127</w:t>
            </w:r>
          </w:p>
        </w:tc>
        <w:tc>
          <w:tcPr>
            <w:tcW w:w="1080" w:type="dxa"/>
            <w:tcBorders>
              <w:top w:val="single" w:sz="4" w:space="0" w:color="auto"/>
            </w:tcBorders>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1.051</w:t>
            </w:r>
          </w:p>
        </w:tc>
        <w:tc>
          <w:tcPr>
            <w:tcW w:w="1080" w:type="dxa"/>
            <w:tcBorders>
              <w:top w:val="single" w:sz="4" w:space="0" w:color="auto"/>
            </w:tcBorders>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0.2933</w:t>
            </w:r>
          </w:p>
        </w:tc>
        <w:tc>
          <w:tcPr>
            <w:tcW w:w="2250" w:type="dxa"/>
            <w:tcBorders>
              <w:top w:val="single" w:sz="4" w:space="0" w:color="auto"/>
            </w:tcBorders>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0.73276</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0.21179</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3.46</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0.0005</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-0.7464</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0.20848</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-3.58</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0.0003</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169"/>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0.01551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0.0054</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2.871</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0.0041</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0.10201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0.02203</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4.631</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115"/>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0.88444</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0.02328</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37.998</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Dgoldp</w:t>
            </w:r>
            <w:proofErr w:type="spellEnd"/>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0.01075</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0.00641</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1.678</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0.0934</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-0.0764</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0.27412</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-0.279</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0.7804</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0.04309</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0.27319</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0.158</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0.8747</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0.00381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0.0039</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0.976</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0.3292</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0.04827</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0.02603</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1.854</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0.0637</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Marginally Significant (10%)</w:t>
            </w:r>
          </w:p>
        </w:tc>
      </w:tr>
      <w:tr w:rsidR="00044728" w:rsidRPr="00044728" w:rsidTr="00CE1A3C">
        <w:trPr>
          <w:trHeight w:val="268"/>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0.9328</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0.04439</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21.015</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dNgas</w:t>
            </w:r>
            <w:proofErr w:type="spellEnd"/>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0.01463</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0.01654</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0.884</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0.3765</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169"/>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0.66706</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0.15572</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4.284</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-0.7105</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0.14764</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-4.813</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0.01097</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2.195</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0.0282</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0.06454</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0.00933</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6.916</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0.93446</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0.00966</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96.785</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dCOPP</w:t>
            </w:r>
            <w:proofErr w:type="spellEnd"/>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0.00525</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0.00884</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0.594</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0.5524</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16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0.30758</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-0.036</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0.9715</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-0.0105</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0.30742</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-0.034</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0.9729</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16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0.00381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0.00213</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1.79</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0.0735</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Marginally Significant (10%)</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0.04047</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0.00722</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5.602</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61"/>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0.95176</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0.00665</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143.083</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Dstockp</w:t>
            </w:r>
            <w:proofErr w:type="spellEnd"/>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0.02048</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0.00733</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2.792</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0.0052</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97"/>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0.47116</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0.14562</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3.236</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0.0012</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-0.2729</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0.16132</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-1.692</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0.0907</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Marginally Significant (10%)</w:t>
            </w:r>
          </w:p>
        </w:tc>
      </w:tr>
      <w:tr w:rsidR="00044728" w:rsidRPr="00044728" w:rsidTr="00CE1A3C">
        <w:trPr>
          <w:trHeight w:val="259"/>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0.01564</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0.00574</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2.724</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0.0065</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0.18555</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0.03371</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5.505</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0.72535</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0.05964</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12.163</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Dexr</w:t>
            </w:r>
            <w:proofErr w:type="spellEnd"/>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0.00144</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0.00908</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0.158</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0.8742</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97"/>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-0.0712</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0.14682</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-0.485</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0.6278</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-0.1409</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0.15373</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-0.917</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0.3593</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rsidTr="00CE1A3C">
        <w:trPr>
          <w:trHeight w:val="48"/>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1.3E-05</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6E-06</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2.087</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0.0369</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0.0643</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0.00929</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6.918</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48"/>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0.93471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0.00593</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157.529</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DCC Parameters</w:t>
            </w:r>
          </w:p>
        </w:tc>
        <w:tc>
          <w:tcPr>
            <w:tcW w:w="1338"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 (dcca1)</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0.00668</w:t>
            </w:r>
          </w:p>
        </w:tc>
        <w:tc>
          <w:tcPr>
            <w:tcW w:w="144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0.00142</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4.701</w:t>
            </w:r>
          </w:p>
        </w:tc>
        <w:tc>
          <w:tcPr>
            <w:tcW w:w="108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rsidTr="00CE1A3C">
        <w:trPr>
          <w:trHeight w:val="48"/>
        </w:trPr>
        <w:tc>
          <w:tcPr>
            <w:cnfStyle w:val="001000000000" w:firstRow="0" w:lastRow="0" w:firstColumn="1" w:lastColumn="0" w:oddVBand="0" w:evenVBand="0" w:oddHBand="0" w:evenHBand="0" w:firstRowFirstColumn="0" w:firstRowLastColumn="0" w:lastRowFirstColumn="0" w:lastRowLastColumn="0"/>
            <w:tcW w:w="126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 (dccb1)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0.99041</w:t>
            </w:r>
          </w:p>
        </w:tc>
        <w:tc>
          <w:tcPr>
            <w:tcW w:w="144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0.00233</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425.247</w:t>
            </w:r>
          </w:p>
        </w:tc>
        <w:tc>
          <w:tcPr>
            <w:tcW w:w="108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bl>
    <w:p w:rsidR="00D67BFE" w:rsidRPr="00044728" w:rsidRDefault="00D67BFE" w:rsidP="00EE0234">
      <w:pPr>
        <w:spacing w:after="0"/>
        <w:jc w:val="both"/>
        <w:rPr>
          <w:rFonts w:ascii="Times New Roman" w:eastAsia="Times New Roman" w:hAnsi="Times New Roman" w:cs="Times New Roman"/>
          <w:b/>
          <w:bCs/>
          <w:kern w:val="0"/>
          <w14:ligatures w14:val="none"/>
        </w:rPr>
      </w:pPr>
    </w:p>
    <w:p w:rsidR="00D67BFE" w:rsidRPr="00044728" w:rsidRDefault="00E25E77" w:rsidP="00EE0234">
      <w:pPr>
        <w:spacing w:after="0"/>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The DCC-GARCH estimation results show substantial differences in the conditional mean and volatility dynamics across the six return series. For Brent crude oil (DBCOP), the AR(1) and MA(1) terms are significant (p = 0.0005 and 0.0003), while both the ARCH parameter, α₁ = 0.10201, and GARCH parameter, β₁ = 0.88444, are highly significant (p &lt; 0.001), indicating that current volatility is influenced by both recent shocks and past volatility. For gold (DGOLDP), the mean, AR and MA terms are not </w:t>
      </w:r>
      <w:r>
        <w:rPr>
          <w:rFonts w:ascii="Times New Roman" w:eastAsia="Times New Roman" w:hAnsi="Times New Roman" w:cs="Times New Roman"/>
          <w:bCs/>
          <w:kern w:val="0"/>
          <w:highlight w:val="yellow"/>
          <w14:ligatures w14:val="none"/>
        </w:rPr>
        <w:t>statistically significant</w:t>
      </w:r>
      <w:r>
        <w:rPr>
          <w:rFonts w:ascii="Times New Roman" w:eastAsia="Times New Roman" w:hAnsi="Times New Roman" w:cs="Times New Roman"/>
          <w:bCs/>
          <w:kern w:val="0"/>
          <w14:ligatures w14:val="none"/>
        </w:rPr>
        <w:t xml:space="preserve">, </w:t>
      </w:r>
      <w:r>
        <w:rPr>
          <w:rFonts w:ascii="Times New Roman" w:eastAsia="Times New Roman" w:hAnsi="Times New Roman" w:cs="Times New Roman"/>
          <w:bCs/>
          <w:kern w:val="0"/>
          <w:highlight w:val="yellow"/>
          <w14:ligatures w14:val="none"/>
        </w:rPr>
        <w:t>whereas</w:t>
      </w:r>
      <w:r>
        <w:rPr>
          <w:rFonts w:ascii="Times New Roman" w:eastAsia="Times New Roman" w:hAnsi="Times New Roman" w:cs="Times New Roman"/>
          <w:bCs/>
          <w:kern w:val="0"/>
          <w14:ligatures w14:val="none"/>
        </w:rPr>
        <w:t xml:space="preserve"> the ARCH parameter is marginally significant at the 10% level (p = 0.0637) and the GARCH parameter is highly significant (β₁ = 0.93280, p &lt; 0.001), suggesting that gold volatility is driven predominantly by its past conditional variance. Natural gas (DNGAS) exhibits significant AR(1), MA(1), ARCH and GARCH effects, with α₁ = 0.06454 and β₁ = 0.93446, confirming strong volatility dependence and persistence. For copper (DCOPP), the mean, AR and MA terms are </w:t>
      </w:r>
      <w:r>
        <w:rPr>
          <w:rFonts w:ascii="Times New Roman" w:eastAsia="Times New Roman" w:hAnsi="Times New Roman" w:cs="Times New Roman"/>
          <w:bCs/>
          <w:kern w:val="0"/>
          <w:highlight w:val="yellow"/>
          <w14:ligatures w14:val="none"/>
        </w:rPr>
        <w:t xml:space="preserve">not statistically </w:t>
      </w:r>
      <w:r>
        <w:rPr>
          <w:rFonts w:ascii="Times New Roman" w:eastAsia="Times New Roman" w:hAnsi="Times New Roman" w:cs="Times New Roman"/>
          <w:bCs/>
          <w:kern w:val="0"/>
          <w14:ligatures w14:val="none"/>
        </w:rPr>
        <w:t xml:space="preserve">significant, although the constant variance term is marginally significant at 10%; importantly, both α₁ = 0.04047 and β₁ = 0.95176 are highly significant, indicating persistent conditional volatility. The Nigerian stock market (DSTOCKP) records a significant mean and AR(1) coefficient, while the MA(1) term is marginally significant at 10%; its significant ARCH coefficient (α₁ = 0.18555) and GARCH coefficient (β₁ = 0.72535) demonstrate that stock-market volatility responds to new shocks as well as previous volatility. Finally, for the exchange rate (DEXR), the mean, AR and MA terms are </w:t>
      </w:r>
      <w:r>
        <w:rPr>
          <w:rFonts w:ascii="Times New Roman" w:eastAsia="Times New Roman" w:hAnsi="Times New Roman" w:cs="Times New Roman"/>
          <w:bCs/>
          <w:kern w:val="0"/>
          <w:highlight w:val="yellow"/>
          <w14:ligatures w14:val="none"/>
        </w:rPr>
        <w:t xml:space="preserve">not statistically </w:t>
      </w:r>
      <w:r>
        <w:rPr>
          <w:rFonts w:ascii="Times New Roman" w:eastAsia="Times New Roman" w:hAnsi="Times New Roman" w:cs="Times New Roman"/>
          <w:bCs/>
          <w:kern w:val="0"/>
          <w14:ligatures w14:val="none"/>
        </w:rPr>
        <w:t xml:space="preserve">significant, but the variance constant (ω = 0.000013), ARCH coefficient (α₁ = 0.06430) and GARCH coefficient (β₁ = 0.93471) are significant, confirming considerable volatility persistence in exchange-rate returns. The DCC parameters are both highly significant, with α = 0.00668 (p &lt; 0.001) and β = 0.99041 (p &lt; 0.001). The relatively small but significant α indicates that new market information </w:t>
      </w:r>
      <w:r>
        <w:rPr>
          <w:rFonts w:ascii="Times New Roman" w:eastAsia="Times New Roman" w:hAnsi="Times New Roman" w:cs="Times New Roman"/>
          <w:bCs/>
          <w:kern w:val="0"/>
          <w:highlight w:val="yellow"/>
          <w14:ligatures w14:val="none"/>
        </w:rPr>
        <w:t xml:space="preserve">can </w:t>
      </w:r>
      <w:r>
        <w:rPr>
          <w:rFonts w:ascii="Times New Roman" w:eastAsia="Times New Roman" w:hAnsi="Times New Roman" w:cs="Times New Roman"/>
          <w:bCs/>
          <w:kern w:val="0"/>
          <w14:ligatures w14:val="none"/>
        </w:rPr>
        <w:t xml:space="preserve">produce changes in conditional correlations, while the very high β indicates that these correlations are highly persistent over time. Overall, the results provide strong evidence of persistent and interconnected volatility processes across the commodity, exchange-rate and stock markets, supporting the suitability of the DCC-GARCH framework for analysing the dynamic correlations among global commodity prices, </w:t>
      </w:r>
      <w:r>
        <w:rPr>
          <w:rFonts w:ascii="Times New Roman" w:eastAsia="Times New Roman" w:hAnsi="Times New Roman" w:cs="Times New Roman"/>
          <w:bCs/>
          <w:kern w:val="0"/>
          <w:highlight w:val="yellow"/>
          <w14:ligatures w14:val="none"/>
        </w:rPr>
        <w:t xml:space="preserve">the </w:t>
      </w:r>
      <w:r>
        <w:rPr>
          <w:rFonts w:ascii="Times New Roman" w:eastAsia="Times New Roman" w:hAnsi="Times New Roman" w:cs="Times New Roman"/>
          <w:bCs/>
          <w:kern w:val="0"/>
          <w14:ligatures w14:val="none"/>
        </w:rPr>
        <w:t>exchange rate and Nigerian stock market returns.</w:t>
      </w:r>
    </w:p>
    <w:p w:rsidR="00E25E77" w:rsidRPr="00044728" w:rsidRDefault="00E25E77" w:rsidP="00EE0234">
      <w:pPr>
        <w:spacing w:after="0"/>
        <w:jc w:val="both"/>
        <w:rPr>
          <w:rFonts w:ascii="Times New Roman" w:eastAsia="Times New Roman" w:hAnsi="Times New Roman" w:cs="Times New Roman"/>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2E0BE9" w:rsidRDefault="002E0BE9" w:rsidP="00EE0234">
      <w:pPr>
        <w:spacing w:after="0"/>
        <w:jc w:val="both"/>
        <w:rPr>
          <w:rFonts w:ascii="Times New Roman" w:eastAsia="Times New Roman" w:hAnsi="Times New Roman" w:cs="Times New Roman"/>
          <w:b/>
          <w:bCs/>
          <w:kern w:val="0"/>
          <w14:ligatures w14:val="none"/>
        </w:rPr>
      </w:pPr>
    </w:p>
    <w:p w:rsidR="00B137B1" w:rsidRPr="00044728" w:rsidRDefault="00367204" w:rsidP="00EE0234">
      <w:pPr>
        <w:spacing w:after="0"/>
        <w:jc w:val="both"/>
        <w:rPr>
          <w:rFonts w:ascii="Times New Roman" w:hAnsi="Times New Roman" w:cs="Times New Roman"/>
          <w:b/>
          <w:bCs/>
        </w:rPr>
      </w:pPr>
      <w:r w:rsidRPr="00044728">
        <w:rPr>
          <w:rFonts w:ascii="Times New Roman" w:eastAsia="Times New Roman" w:hAnsi="Times New Roman" w:cs="Times New Roman"/>
          <w:b/>
          <w:bCs/>
          <w:kern w:val="0"/>
          <w14:ligatures w14:val="none"/>
        </w:rPr>
        <w:t>Table 6</w:t>
      </w:r>
      <w:r w:rsidR="00B137B1" w:rsidRPr="00044728">
        <w:rPr>
          <w:rFonts w:ascii="Times New Roman" w:eastAsia="Times New Roman" w:hAnsi="Times New Roman" w:cs="Times New Roman"/>
          <w:b/>
          <w:bCs/>
          <w:kern w:val="0"/>
          <w14:ligatures w14:val="none"/>
        </w:rPr>
        <w:t xml:space="preserve">: </w:t>
      </w:r>
      <w:r w:rsidR="00B137B1" w:rsidRPr="00044728">
        <w:rPr>
          <w:rFonts w:ascii="Times New Roman" w:hAnsi="Times New Roman" w:cs="Times New Roman"/>
          <w:b/>
          <w:bCs/>
        </w:rPr>
        <w:t>MGARCH DCC Model Summary</w:t>
      </w:r>
    </w:p>
    <w:tbl>
      <w:tblPr>
        <w:tblW w:w="5944" w:type="dxa"/>
        <w:tblBorders>
          <w:top w:val="single" w:sz="4" w:space="0" w:color="auto"/>
          <w:bottom w:val="single" w:sz="4" w:space="0" w:color="auto"/>
        </w:tblBorders>
        <w:tblLook w:val="04A0" w:firstRow="1" w:lastRow="0" w:firstColumn="1" w:lastColumn="0" w:noHBand="0" w:noVBand="1"/>
      </w:tblPr>
      <w:tblGrid>
        <w:gridCol w:w="2967"/>
        <w:gridCol w:w="2977"/>
      </w:tblGrid>
      <w:tr w:rsidR="00044728" w:rsidRPr="00044728" w:rsidTr="002E0BE9">
        <w:trPr>
          <w:trHeight w:val="330"/>
        </w:trPr>
        <w:tc>
          <w:tcPr>
            <w:tcW w:w="2967" w:type="dxa"/>
            <w:tcBorders>
              <w:top w:val="single" w:sz="4" w:space="0" w:color="auto"/>
              <w:bottom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Statistic</w:t>
            </w:r>
          </w:p>
        </w:tc>
        <w:tc>
          <w:tcPr>
            <w:tcW w:w="2977" w:type="dxa"/>
            <w:tcBorders>
              <w:top w:val="single" w:sz="4" w:space="0" w:color="auto"/>
              <w:bottom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Value</w:t>
            </w:r>
          </w:p>
        </w:tc>
      </w:tr>
      <w:tr w:rsidR="00044728" w:rsidRPr="00044728" w:rsidTr="002E0BE9">
        <w:trPr>
          <w:trHeight w:val="417"/>
        </w:trPr>
        <w:tc>
          <w:tcPr>
            <w:tcW w:w="2967" w:type="dxa"/>
            <w:tcBorders>
              <w:top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Distribution</w:t>
            </w:r>
          </w:p>
        </w:tc>
        <w:tc>
          <w:tcPr>
            <w:tcW w:w="2977" w:type="dxa"/>
            <w:tcBorders>
              <w:top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Multivariate t- Distribution</w:t>
            </w:r>
          </w:p>
        </w:tc>
      </w:tr>
      <w:tr w:rsidR="00044728" w:rsidRPr="00044728" w:rsidTr="002E0BE9">
        <w:trPr>
          <w:trHeight w:val="410"/>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Model</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DCC(1,1)</w:t>
            </w:r>
          </w:p>
        </w:tc>
      </w:tr>
      <w:tr w:rsidR="00044728" w:rsidRPr="00044728" w:rsidTr="002E0BE9">
        <w:trPr>
          <w:trHeight w:val="401"/>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Number of Variables</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w:t>
            </w:r>
          </w:p>
        </w:tc>
      </w:tr>
      <w:tr w:rsidR="00044728" w:rsidRPr="00044728" w:rsidTr="002E0BE9">
        <w:trPr>
          <w:trHeight w:val="549"/>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Number of Parameters</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53</w:t>
            </w:r>
          </w:p>
        </w:tc>
      </w:tr>
      <w:tr w:rsidR="00044728" w:rsidRPr="00044728" w:rsidTr="002E0BE9">
        <w:trPr>
          <w:trHeight w:val="401"/>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Log-likelihood</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-419,308.30</w:t>
            </w:r>
          </w:p>
        </w:tc>
      </w:tr>
      <w:tr w:rsidR="00044728" w:rsidRPr="00044728" w:rsidTr="002E0BE9">
        <w:trPr>
          <w:trHeight w:val="548"/>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Average Log-likelihood</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-103.58</w:t>
            </w:r>
          </w:p>
        </w:tc>
      </w:tr>
      <w:tr w:rsidR="00044728" w:rsidRPr="00044728" w:rsidTr="002E0BE9">
        <w:trPr>
          <w:trHeight w:val="542"/>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Akaike Information Criterion (AIC)</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207.19</w:t>
            </w:r>
          </w:p>
        </w:tc>
      </w:tr>
      <w:tr w:rsidR="00044728" w:rsidRPr="00044728" w:rsidTr="002E0BE9">
        <w:trPr>
          <w:trHeight w:val="651"/>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Bayesian Information Criterion (BIC)</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207.28</w:t>
            </w:r>
          </w:p>
        </w:tc>
      </w:tr>
      <w:tr w:rsidR="00044728" w:rsidRPr="00044728" w:rsidTr="002E0BE9">
        <w:trPr>
          <w:trHeight w:val="263"/>
        </w:trPr>
        <w:tc>
          <w:tcPr>
            <w:tcW w:w="296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Hannan-Quinn Criterion</w:t>
            </w:r>
          </w:p>
        </w:tc>
        <w:tc>
          <w:tcPr>
            <w:tcW w:w="2977"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207.22</w:t>
            </w:r>
          </w:p>
        </w:tc>
      </w:tr>
    </w:tbl>
    <w:p w:rsidR="00B137B1" w:rsidRPr="00044728" w:rsidRDefault="00CE1A3C" w:rsidP="00EE0234">
      <w:pPr>
        <w:spacing w:after="0"/>
        <w:jc w:val="both"/>
        <w:rPr>
          <w:rFonts w:ascii="Times New Roman" w:hAnsi="Times New Roman" w:cs="Times New Roman"/>
          <w:lang w:val="en-GB"/>
        </w:rPr>
      </w:pPr>
      <w:r>
        <w:rPr>
          <w:rFonts w:ascii="Times New Roman" w:hAnsi="Times New Roman" w:cs="Times New Roman"/>
          <w:lang w:val="en-GB"/>
        </w:rPr>
        <w:t xml:space="preserve">Table 6 presents the summary statistics of the estimated MGARCH-DCC(1,1) model for the six return series. The model was estimated under a multivariate t-distribution, which is appropriate for financial return data characterised by heavy tails and departures from normality, as indicated by the descriptive statistics. The model contains six variables and 53 estimated parameters, with a log-likelihood value of −419,308.30 and an average log-likelihood of −103.58. The information criteria are 207.19 for AIC, 207.28 for BIC, and 207.22 for the Hannan–Quinn criterion, providing the overall fit measures for the specified DCC(1,1) model. More importantly, the adoption of the DCC(1,1) specification enables the conditional correlations among Brent crude oil, copper, gold, natural gas, the Nigerian exchange rate and </w:t>
      </w:r>
      <w:r>
        <w:rPr>
          <w:rFonts w:ascii="Times New Roman" w:hAnsi="Times New Roman" w:cs="Times New Roman"/>
          <w:highlight w:val="yellow"/>
          <w:lang w:val="en-GB"/>
        </w:rPr>
        <w:t>stock-market</w:t>
      </w:r>
      <w:r>
        <w:rPr>
          <w:rFonts w:ascii="Times New Roman" w:hAnsi="Times New Roman" w:cs="Times New Roman"/>
          <w:lang w:val="en-GB"/>
        </w:rPr>
        <w:t xml:space="preserve"> returns to evolve over time rather than remain fixed.</w:t>
      </w:r>
    </w:p>
    <w:p w:rsidR="00367FEE" w:rsidRPr="00044728" w:rsidRDefault="00367FEE" w:rsidP="00EE0234">
      <w:pPr>
        <w:spacing w:after="0"/>
        <w:jc w:val="both"/>
        <w:rPr>
          <w:rFonts w:ascii="Times New Roman" w:hAnsi="Times New Roman" w:cs="Times New Roman"/>
          <w:lang w:val="en-GB"/>
        </w:rPr>
      </w:pPr>
    </w:p>
    <w:p w:rsidR="00CE1A3C" w:rsidRPr="00044728" w:rsidRDefault="00CE1A3C" w:rsidP="00EE0234">
      <w:pPr>
        <w:spacing w:after="0"/>
        <w:jc w:val="both"/>
        <w:rPr>
          <w:rFonts w:ascii="Times New Roman" w:hAnsi="Times New Roman" w:cs="Times New Roman"/>
          <w:lang w:val="en-GB"/>
        </w:rPr>
      </w:pPr>
    </w:p>
    <w:p w:rsidR="00B137B1" w:rsidRPr="00044728" w:rsidRDefault="00367204" w:rsidP="00EE0234">
      <w:pPr>
        <w:spacing w:after="0"/>
        <w:jc w:val="both"/>
        <w:rPr>
          <w:rFonts w:ascii="Times New Roman" w:hAnsi="Times New Roman" w:cs="Times New Roman"/>
          <w:b/>
          <w:bCs/>
        </w:rPr>
      </w:pPr>
      <w:r w:rsidRPr="00044728">
        <w:rPr>
          <w:rFonts w:ascii="Times New Roman" w:eastAsia="Times New Roman" w:hAnsi="Times New Roman" w:cs="Times New Roman"/>
          <w:b/>
          <w:bCs/>
          <w:kern w:val="0"/>
          <w14:ligatures w14:val="none"/>
        </w:rPr>
        <w:t>Table 7</w:t>
      </w:r>
      <w:r w:rsidR="00B137B1" w:rsidRPr="00044728">
        <w:rPr>
          <w:rFonts w:ascii="Times New Roman" w:eastAsia="Times New Roman" w:hAnsi="Times New Roman" w:cs="Times New Roman"/>
          <w:b/>
          <w:bCs/>
          <w:kern w:val="0"/>
          <w14:ligatures w14:val="none"/>
        </w:rPr>
        <w:t xml:space="preserve">: </w:t>
      </w:r>
      <w:r w:rsidR="00722F2F" w:rsidRPr="00044728">
        <w:rPr>
          <w:rFonts w:ascii="Times New Roman" w:hAnsi="Times New Roman" w:cs="Times New Roman"/>
          <w:b/>
          <w:bCs/>
        </w:rPr>
        <w:t>The persistence of volatility</w:t>
      </w:r>
    </w:p>
    <w:tbl>
      <w:tblPr>
        <w:tblStyle w:val="TableGrid"/>
        <w:tblW w:w="679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442"/>
        <w:gridCol w:w="4242"/>
      </w:tblGrid>
      <w:tr w:rsidR="00B137B1" w:rsidRPr="00044728" w:rsidTr="002E0BE9">
        <w:trPr>
          <w:trHeight w:val="645"/>
        </w:trPr>
        <w:tc>
          <w:tcPr>
            <w:tcW w:w="1110" w:type="dxa"/>
            <w:tcBorders>
              <w:top w:val="single" w:sz="4" w:space="0" w:color="auto"/>
              <w:bottom w:val="single" w:sz="4" w:space="0" w:color="auto"/>
            </w:tcBorders>
            <w:hideMark/>
          </w:tcPr>
          <w:p w:rsidR="00B137B1" w:rsidRPr="00044728" w:rsidRDefault="00B137B1" w:rsidP="00EE0234">
            <w:pPr>
              <w:spacing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Variable</w:t>
            </w:r>
          </w:p>
        </w:tc>
        <w:tc>
          <w:tcPr>
            <w:tcW w:w="1442" w:type="dxa"/>
            <w:tcBorders>
              <w:top w:val="single" w:sz="4" w:space="0" w:color="auto"/>
              <w:bottom w:val="single" w:sz="4" w:space="0" w:color="auto"/>
            </w:tcBorders>
            <w:hideMark/>
          </w:tcPr>
          <w:p w:rsidR="00B137B1" w:rsidRPr="00044728" w:rsidRDefault="00B137B1" w:rsidP="00EE0234">
            <w:pPr>
              <w:spacing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α₁ + β₁</w:t>
            </w:r>
          </w:p>
        </w:tc>
        <w:tc>
          <w:tcPr>
            <w:tcW w:w="4242" w:type="dxa"/>
            <w:tcBorders>
              <w:top w:val="single" w:sz="4" w:space="0" w:color="auto"/>
              <w:bottom w:val="single" w:sz="4" w:space="0" w:color="auto"/>
            </w:tcBorders>
            <w:hideMark/>
          </w:tcPr>
          <w:p w:rsidR="00B137B1" w:rsidRPr="00044728" w:rsidRDefault="00B137B1" w:rsidP="00EE0234">
            <w:pPr>
              <w:spacing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Interpretation</w:t>
            </w:r>
          </w:p>
        </w:tc>
      </w:tr>
      <w:tr w:rsidR="00B137B1" w:rsidRPr="00044728" w:rsidTr="002E0BE9">
        <w:trPr>
          <w:trHeight w:val="159"/>
        </w:trPr>
        <w:tc>
          <w:tcPr>
            <w:tcW w:w="1110" w:type="dxa"/>
            <w:tcBorders>
              <w:top w:val="single" w:sz="4" w:space="0" w:color="auto"/>
            </w:tcBorders>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Dbcop</w:t>
            </w:r>
            <w:proofErr w:type="spellEnd"/>
          </w:p>
        </w:tc>
        <w:tc>
          <w:tcPr>
            <w:tcW w:w="1442" w:type="dxa"/>
            <w:tcBorders>
              <w:top w:val="single" w:sz="4" w:space="0" w:color="auto"/>
            </w:tcBorders>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0.9864</w:t>
            </w:r>
          </w:p>
        </w:tc>
        <w:tc>
          <w:tcPr>
            <w:tcW w:w="4242" w:type="dxa"/>
            <w:tcBorders>
              <w:top w:val="single" w:sz="4" w:space="0" w:color="auto"/>
            </w:tcBorders>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Highly persistent volatility</w:t>
            </w:r>
          </w:p>
        </w:tc>
      </w:tr>
      <w:tr w:rsidR="00B137B1" w:rsidRPr="00044728" w:rsidTr="002E0BE9">
        <w:trPr>
          <w:trHeight w:val="262"/>
        </w:trPr>
        <w:tc>
          <w:tcPr>
            <w:tcW w:w="111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Dgoldp</w:t>
            </w:r>
            <w:proofErr w:type="spellEnd"/>
          </w:p>
        </w:tc>
        <w:tc>
          <w:tcPr>
            <w:tcW w:w="14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0.9811</w:t>
            </w:r>
          </w:p>
        </w:tc>
        <w:tc>
          <w:tcPr>
            <w:tcW w:w="42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Highly persistent volatility</w:t>
            </w:r>
          </w:p>
        </w:tc>
      </w:tr>
      <w:tr w:rsidR="00B137B1" w:rsidRPr="00044728" w:rsidTr="002E0BE9">
        <w:trPr>
          <w:trHeight w:val="381"/>
        </w:trPr>
        <w:tc>
          <w:tcPr>
            <w:tcW w:w="111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dNgas</w:t>
            </w:r>
            <w:proofErr w:type="spellEnd"/>
          </w:p>
        </w:tc>
        <w:tc>
          <w:tcPr>
            <w:tcW w:w="14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0.999</w:t>
            </w:r>
          </w:p>
        </w:tc>
        <w:tc>
          <w:tcPr>
            <w:tcW w:w="42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Extremely persistent volatility</w:t>
            </w:r>
          </w:p>
        </w:tc>
      </w:tr>
      <w:tr w:rsidR="00B137B1" w:rsidRPr="00044728" w:rsidTr="002E0BE9">
        <w:trPr>
          <w:trHeight w:val="117"/>
        </w:trPr>
        <w:tc>
          <w:tcPr>
            <w:tcW w:w="111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dCOPP</w:t>
            </w:r>
            <w:proofErr w:type="spellEnd"/>
          </w:p>
        </w:tc>
        <w:tc>
          <w:tcPr>
            <w:tcW w:w="14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0.9922</w:t>
            </w:r>
          </w:p>
        </w:tc>
        <w:tc>
          <w:tcPr>
            <w:tcW w:w="42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Extremely persistent volatility</w:t>
            </w:r>
          </w:p>
        </w:tc>
      </w:tr>
      <w:tr w:rsidR="00B137B1" w:rsidRPr="00044728" w:rsidTr="002E0BE9">
        <w:trPr>
          <w:trHeight w:val="221"/>
        </w:trPr>
        <w:tc>
          <w:tcPr>
            <w:tcW w:w="111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dstockp</w:t>
            </w:r>
            <w:proofErr w:type="spellEnd"/>
          </w:p>
        </w:tc>
        <w:tc>
          <w:tcPr>
            <w:tcW w:w="14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0.9109</w:t>
            </w:r>
          </w:p>
        </w:tc>
        <w:tc>
          <w:tcPr>
            <w:tcW w:w="42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Persistent volatility</w:t>
            </w:r>
          </w:p>
        </w:tc>
      </w:tr>
      <w:tr w:rsidR="00B137B1" w:rsidRPr="00044728" w:rsidTr="002E0BE9">
        <w:trPr>
          <w:trHeight w:val="60"/>
        </w:trPr>
        <w:tc>
          <w:tcPr>
            <w:tcW w:w="1110"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Dexr</w:t>
            </w:r>
            <w:proofErr w:type="spellEnd"/>
          </w:p>
        </w:tc>
        <w:tc>
          <w:tcPr>
            <w:tcW w:w="14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0.999</w:t>
            </w:r>
          </w:p>
        </w:tc>
        <w:tc>
          <w:tcPr>
            <w:tcW w:w="4242" w:type="dxa"/>
            <w:hideMark/>
          </w:tcPr>
          <w:p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Extremely persistent volatility</w:t>
            </w:r>
          </w:p>
        </w:tc>
      </w:tr>
    </w:tbl>
    <w:p w:rsidR="00B137B1" w:rsidRPr="00044728" w:rsidRDefault="00E25E77" w:rsidP="00CE1A3C">
      <w:pPr>
        <w:spacing w:after="0" w:line="480" w:lineRule="auto"/>
        <w:jc w:val="both"/>
        <w:rPr>
          <w:rFonts w:ascii="Times New Roman" w:hAnsi="Times New Roman" w:cs="Times New Roman"/>
          <w:b/>
          <w:bCs/>
        </w:rPr>
      </w:pPr>
      <w:r>
        <w:rPr>
          <w:rFonts w:ascii="Times New Roman" w:hAnsi="Times New Roman" w:cs="Times New Roman"/>
        </w:rPr>
        <w:t xml:space="preserve">Table 7 presents the persistence of volatility across the six return series based on the sum of the ARCH and GARCH coefficients, </w:t>
      </w:r>
      <w:r>
        <w:rPr>
          <w:rStyle w:val="katex"/>
          <w:rFonts w:ascii="Times New Roman" w:hAnsi="Times New Roman" w:cs="Times New Roman"/>
          <w:highlight w:val="yellow"/>
        </w:rPr>
        <w:t>α</w:t>
      </w:r>
      <w:r>
        <w:rPr>
          <w:rStyle w:val="katex"/>
          <w:rFonts w:ascii="Times New Roman" w:hAnsi="Times New Roman" w:cs="Times New Roman"/>
          <w:highlight w:val="yellow"/>
          <w:vertAlign w:val="subscript"/>
        </w:rPr>
        <w:t xml:space="preserve">₁ </w:t>
      </w:r>
      <w:r>
        <w:rPr>
          <w:rStyle w:val="katex"/>
          <w:rFonts w:ascii="Times New Roman" w:hAnsi="Times New Roman" w:cs="Times New Roman"/>
        </w:rPr>
        <w:t>+</w:t>
      </w:r>
      <w:r>
        <w:rPr>
          <w:rStyle w:val="katex"/>
          <w:rFonts w:ascii="Times New Roman" w:hAnsi="Times New Roman" w:cs="Times New Roman"/>
          <w:highlight w:val="yellow"/>
        </w:rPr>
        <w:t xml:space="preserve"> β</w:t>
      </w:r>
      <w:r>
        <w:rPr>
          <w:rStyle w:val="katex"/>
          <w:rFonts w:ascii="Times New Roman" w:hAnsi="Times New Roman" w:cs="Times New Roman"/>
          <w:highlight w:val="yellow"/>
          <w:vertAlign w:val="subscript"/>
        </w:rPr>
        <w:t>₁</w:t>
      </w:r>
      <w:r>
        <w:rPr>
          <w:rFonts w:ascii="Times New Roman" w:hAnsi="Times New Roman" w:cs="Times New Roman"/>
        </w:rPr>
        <w:t xml:space="preserve">. The results indicate that volatility is highly persistent </w:t>
      </w:r>
      <w:r>
        <w:rPr>
          <w:rFonts w:ascii="Times New Roman" w:hAnsi="Times New Roman" w:cs="Times New Roman"/>
        </w:rPr>
        <w:lastRenderedPageBreak/>
        <w:t xml:space="preserve">across all the markets, although the degree of persistence varies. Brent crude oil records a persistence coefficient of </w:t>
      </w:r>
      <w:r>
        <w:rPr>
          <w:rStyle w:val="Strong"/>
          <w:rFonts w:ascii="Times New Roman" w:hAnsi="Times New Roman" w:cs="Times New Roman"/>
          <w:b w:val="0"/>
        </w:rPr>
        <w:t>0.9864</w:t>
      </w:r>
      <w:r>
        <w:rPr>
          <w:rFonts w:ascii="Times New Roman" w:hAnsi="Times New Roman" w:cs="Times New Roman"/>
        </w:rPr>
        <w:t xml:space="preserve">, while gold records </w:t>
      </w:r>
      <w:r>
        <w:rPr>
          <w:rStyle w:val="Strong"/>
          <w:rFonts w:ascii="Times New Roman" w:hAnsi="Times New Roman" w:cs="Times New Roman"/>
          <w:b w:val="0"/>
        </w:rPr>
        <w:t>0.9811</w:t>
      </w:r>
      <w:r>
        <w:rPr>
          <w:rFonts w:ascii="Times New Roman" w:hAnsi="Times New Roman" w:cs="Times New Roman"/>
        </w:rPr>
        <w:t xml:space="preserve">, indicating that shocks to these markets tend to remain influential for a considerable period. Natural gas and the exchange rate have the highest persistence coefficients of </w:t>
      </w:r>
      <w:r>
        <w:rPr>
          <w:rStyle w:val="Strong"/>
          <w:rFonts w:ascii="Times New Roman" w:hAnsi="Times New Roman" w:cs="Times New Roman"/>
          <w:b w:val="0"/>
        </w:rPr>
        <w:t>0.9990</w:t>
      </w:r>
      <w:r>
        <w:rPr>
          <w:rFonts w:ascii="Times New Roman" w:hAnsi="Times New Roman" w:cs="Times New Roman"/>
        </w:rPr>
        <w:t xml:space="preserve"> each, suggesting that volatility shocks in these markets decay very slowly and that current volatility is strongly influenced by past volatility. Copper also exhibits extremely high persistence with a coefficient of </w:t>
      </w:r>
      <w:r>
        <w:rPr>
          <w:rStyle w:val="Strong"/>
          <w:rFonts w:ascii="Times New Roman" w:hAnsi="Times New Roman" w:cs="Times New Roman"/>
          <w:b w:val="0"/>
        </w:rPr>
        <w:t>0.9922</w:t>
      </w:r>
      <w:r>
        <w:rPr>
          <w:rFonts w:ascii="Times New Roman" w:hAnsi="Times New Roman" w:cs="Times New Roman"/>
        </w:rPr>
        <w:t xml:space="preserve">, whereas the Nigerian stock market records </w:t>
      </w:r>
      <w:r>
        <w:rPr>
          <w:rFonts w:ascii="Times New Roman" w:hAnsi="Times New Roman" w:cs="Times New Roman"/>
          <w:highlight w:val="yellow"/>
        </w:rPr>
        <w:t>a</w:t>
      </w:r>
      <w:r>
        <w:rPr>
          <w:rFonts w:ascii="Times New Roman" w:hAnsi="Times New Roman" w:cs="Times New Roman"/>
        </w:rPr>
        <w:t xml:space="preserve"> comparatively lower, </w:t>
      </w:r>
      <w:r>
        <w:rPr>
          <w:rFonts w:ascii="Times New Roman" w:hAnsi="Times New Roman" w:cs="Times New Roman"/>
          <w:highlight w:val="yellow"/>
        </w:rPr>
        <w:t>although</w:t>
      </w:r>
      <w:r>
        <w:rPr>
          <w:rFonts w:ascii="Times New Roman" w:hAnsi="Times New Roman" w:cs="Times New Roman"/>
        </w:rPr>
        <w:t xml:space="preserve"> still substantial, coefficient of </w:t>
      </w:r>
      <w:r>
        <w:rPr>
          <w:rStyle w:val="Strong"/>
          <w:rFonts w:ascii="Times New Roman" w:hAnsi="Times New Roman" w:cs="Times New Roman"/>
          <w:b w:val="0"/>
        </w:rPr>
        <w:t>0.9109</w:t>
      </w:r>
      <w:r>
        <w:rPr>
          <w:rFonts w:ascii="Times New Roman" w:hAnsi="Times New Roman" w:cs="Times New Roman"/>
        </w:rPr>
        <w:t xml:space="preserve">. </w:t>
      </w:r>
    </w:p>
    <w:p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rPr>
        <w:t>Table 8</w:t>
      </w:r>
      <w:r w:rsidR="00B137B1" w:rsidRPr="00044728">
        <w:rPr>
          <w:rFonts w:ascii="Times New Roman" w:hAnsi="Times New Roman" w:cs="Times New Roman"/>
          <w:b/>
          <w:bCs/>
        </w:rPr>
        <w:t xml:space="preserve">: First-Day Dynamic Conditional Correlation Matrix </w:t>
      </w:r>
    </w:p>
    <w:tbl>
      <w:tblPr>
        <w:tblW w:w="8495" w:type="dxa"/>
        <w:tblBorders>
          <w:top w:val="single" w:sz="4" w:space="0" w:color="auto"/>
          <w:bottom w:val="single" w:sz="4" w:space="0" w:color="auto"/>
        </w:tblBorders>
        <w:tblLook w:val="04A0" w:firstRow="1" w:lastRow="0" w:firstColumn="1" w:lastColumn="0" w:noHBand="0" w:noVBand="1"/>
      </w:tblPr>
      <w:tblGrid>
        <w:gridCol w:w="3392"/>
        <w:gridCol w:w="1560"/>
        <w:gridCol w:w="3543"/>
      </w:tblGrid>
      <w:tr w:rsidR="00044728" w:rsidRPr="00044728" w:rsidTr="002E0BE9">
        <w:trPr>
          <w:trHeight w:val="439"/>
        </w:trPr>
        <w:tc>
          <w:tcPr>
            <w:tcW w:w="3392" w:type="dxa"/>
            <w:tcBorders>
              <w:top w:val="single" w:sz="4" w:space="0" w:color="auto"/>
              <w:bottom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Variables</w:t>
            </w:r>
          </w:p>
        </w:tc>
        <w:tc>
          <w:tcPr>
            <w:tcW w:w="1560" w:type="dxa"/>
            <w:tcBorders>
              <w:top w:val="single" w:sz="4" w:space="0" w:color="auto"/>
              <w:bottom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Correlation</w:t>
            </w:r>
          </w:p>
        </w:tc>
        <w:tc>
          <w:tcPr>
            <w:tcW w:w="3543" w:type="dxa"/>
            <w:tcBorders>
              <w:top w:val="single" w:sz="4" w:space="0" w:color="auto"/>
              <w:bottom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Interpretation</w:t>
            </w:r>
          </w:p>
        </w:tc>
      </w:tr>
      <w:tr w:rsidR="00044728" w:rsidRPr="00044728" w:rsidTr="002E0BE9">
        <w:trPr>
          <w:trHeight w:val="259"/>
        </w:trPr>
        <w:tc>
          <w:tcPr>
            <w:tcW w:w="3392" w:type="dxa"/>
            <w:tcBorders>
              <w:top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oil–Gold</w:t>
            </w:r>
          </w:p>
        </w:tc>
        <w:tc>
          <w:tcPr>
            <w:tcW w:w="1560" w:type="dxa"/>
            <w:tcBorders>
              <w:top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0.0148</w:t>
            </w:r>
          </w:p>
        </w:tc>
        <w:tc>
          <w:tcPr>
            <w:tcW w:w="3543" w:type="dxa"/>
            <w:tcBorders>
              <w:top w:val="single" w:sz="4" w:space="0" w:color="auto"/>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rsidTr="002E0BE9">
        <w:trPr>
          <w:trHeight w:val="313"/>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oil–Natural gas</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0.0168</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rsidTr="002E0BE9">
        <w:trPr>
          <w:trHeight w:val="250"/>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oil–Copper</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0.0223</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rsidTr="002E0BE9">
        <w:trPr>
          <w:trHeight w:val="232"/>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oil–Stock</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0.0002</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Almost zero correlation</w:t>
            </w:r>
          </w:p>
        </w:tc>
      </w:tr>
      <w:tr w:rsidR="00044728" w:rsidRPr="00044728" w:rsidTr="002E0BE9">
        <w:trPr>
          <w:trHeight w:val="295"/>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oil–Exchange rate</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-0.0054</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negative correlation</w:t>
            </w:r>
          </w:p>
        </w:tc>
      </w:tr>
      <w:tr w:rsidR="00044728" w:rsidRPr="00044728" w:rsidTr="002E0BE9">
        <w:trPr>
          <w:trHeight w:val="160"/>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Gold–Natural gas</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-0.0107</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negative correlation</w:t>
            </w:r>
          </w:p>
        </w:tc>
      </w:tr>
      <w:tr w:rsidR="00044728" w:rsidRPr="00044728" w:rsidTr="002E0BE9">
        <w:trPr>
          <w:trHeight w:val="223"/>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Gold–Copper</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0.0274</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rsidTr="002E0BE9">
        <w:trPr>
          <w:trHeight w:val="187"/>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Gold–Stock</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0.0051</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Negligible positive correlation</w:t>
            </w:r>
          </w:p>
        </w:tc>
      </w:tr>
      <w:tr w:rsidR="00044728" w:rsidRPr="00044728" w:rsidTr="002E0BE9">
        <w:trPr>
          <w:trHeight w:val="169"/>
        </w:trPr>
        <w:tc>
          <w:tcPr>
            <w:tcW w:w="3392"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Gold–Exchange rate</w:t>
            </w:r>
          </w:p>
        </w:tc>
        <w:tc>
          <w:tcPr>
            <w:tcW w:w="1560"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0.0167</w:t>
            </w:r>
          </w:p>
        </w:tc>
        <w:tc>
          <w:tcPr>
            <w:tcW w:w="3543" w:type="dxa"/>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bl>
    <w:p w:rsidR="00CE1A3C" w:rsidRPr="00044728" w:rsidRDefault="00CE1A3C" w:rsidP="00CE1A3C">
      <w:pPr>
        <w:jc w:val="both"/>
        <w:rPr>
          <w:rFonts w:ascii="Times New Roman" w:hAnsi="Times New Roman" w:cs="Times New Roman"/>
          <w:lang w:val="en-GB"/>
        </w:rPr>
      </w:pPr>
      <w:r>
        <w:rPr>
          <w:rFonts w:ascii="Times New Roman" w:hAnsi="Times New Roman" w:cs="Times New Roman"/>
          <w:lang w:val="en-GB"/>
        </w:rPr>
        <w:t xml:space="preserve">Table 8 presents the first-day dynamic conditional correlations among the selected global commodities, the Nigerian stock market and the exchange rate. The results indicate that the initial conditional correlations were generally very weak, suggesting limited co-movement among the markets at the beginning of the estimation period. Brent crude oil recorded very weak positive correlations with gold (0.0148), natural gas (0.0168) and copper (0.0223), while its correlation with the Nigerian stock market was almost zero (0.0002) and its relationship with the exchange rate was very weakly negative (−0.0054). Similarly, gold </w:t>
      </w:r>
      <w:r>
        <w:rPr>
          <w:rFonts w:ascii="Times New Roman" w:hAnsi="Times New Roman" w:cs="Times New Roman"/>
          <w:highlight w:val="yellow"/>
          <w:lang w:val="en-GB"/>
        </w:rPr>
        <w:t>showed</w:t>
      </w:r>
      <w:r>
        <w:rPr>
          <w:rFonts w:ascii="Times New Roman" w:hAnsi="Times New Roman" w:cs="Times New Roman"/>
          <w:lang w:val="en-GB"/>
        </w:rPr>
        <w:t xml:space="preserve"> a very weak negative correlation with natural gas (−0.0107) but very weak positive correlations with copper (0.0274) and the exchange rate (0.0167), while its correlation with the stock market was negligible (0.0051).</w:t>
      </w:r>
    </w:p>
    <w:p w:rsidR="001A1001" w:rsidRPr="00044728" w:rsidRDefault="001A1001" w:rsidP="00EE0234">
      <w:pPr>
        <w:spacing w:after="0"/>
        <w:jc w:val="both"/>
        <w:rPr>
          <w:rFonts w:ascii="Times New Roman" w:hAnsi="Times New Roman" w:cs="Times New Roman"/>
          <w:lang w:val="en-GB"/>
        </w:rPr>
      </w:pPr>
    </w:p>
    <w:p w:rsidR="002E0BE9" w:rsidRDefault="002E0BE9" w:rsidP="00EE0234">
      <w:pPr>
        <w:spacing w:after="0"/>
        <w:jc w:val="both"/>
        <w:rPr>
          <w:rFonts w:ascii="Times New Roman" w:hAnsi="Times New Roman" w:cs="Times New Roman"/>
          <w:b/>
          <w:bCs/>
          <w:lang w:val="en-GB"/>
        </w:rPr>
      </w:pPr>
    </w:p>
    <w:p w:rsidR="002E0BE9" w:rsidRDefault="002E0BE9" w:rsidP="00EE0234">
      <w:pPr>
        <w:spacing w:after="0"/>
        <w:jc w:val="both"/>
        <w:rPr>
          <w:rFonts w:ascii="Times New Roman" w:hAnsi="Times New Roman" w:cs="Times New Roman"/>
          <w:b/>
          <w:bCs/>
          <w:lang w:val="en-GB"/>
        </w:rPr>
      </w:pPr>
    </w:p>
    <w:p w:rsidR="002E0BE9" w:rsidRDefault="002E0BE9" w:rsidP="00EE0234">
      <w:pPr>
        <w:spacing w:after="0"/>
        <w:jc w:val="both"/>
        <w:rPr>
          <w:rFonts w:ascii="Times New Roman" w:hAnsi="Times New Roman" w:cs="Times New Roman"/>
          <w:b/>
          <w:bCs/>
          <w:lang w:val="en-GB"/>
        </w:rPr>
      </w:pPr>
    </w:p>
    <w:p w:rsidR="002E0BE9" w:rsidRDefault="002E0BE9" w:rsidP="00EE0234">
      <w:pPr>
        <w:spacing w:after="0"/>
        <w:jc w:val="both"/>
        <w:rPr>
          <w:rFonts w:ascii="Times New Roman" w:hAnsi="Times New Roman" w:cs="Times New Roman"/>
          <w:b/>
          <w:bCs/>
          <w:lang w:val="en-GB"/>
        </w:rPr>
      </w:pPr>
    </w:p>
    <w:p w:rsidR="002E0BE9" w:rsidRDefault="002E0BE9" w:rsidP="00EE0234">
      <w:pPr>
        <w:spacing w:after="0"/>
        <w:jc w:val="both"/>
        <w:rPr>
          <w:rFonts w:ascii="Times New Roman" w:hAnsi="Times New Roman" w:cs="Times New Roman"/>
          <w:b/>
          <w:bCs/>
          <w:lang w:val="en-GB"/>
        </w:rPr>
      </w:pPr>
    </w:p>
    <w:p w:rsidR="002E0BE9" w:rsidRDefault="002E0BE9" w:rsidP="00EE0234">
      <w:pPr>
        <w:spacing w:after="0"/>
        <w:jc w:val="both"/>
        <w:rPr>
          <w:rFonts w:ascii="Times New Roman" w:hAnsi="Times New Roman" w:cs="Times New Roman"/>
          <w:b/>
          <w:bCs/>
          <w:lang w:val="en-GB"/>
        </w:rPr>
      </w:pPr>
    </w:p>
    <w:p w:rsidR="002E0BE9" w:rsidRDefault="002E0BE9" w:rsidP="00EE0234">
      <w:pPr>
        <w:spacing w:after="0"/>
        <w:jc w:val="both"/>
        <w:rPr>
          <w:rFonts w:ascii="Times New Roman" w:hAnsi="Times New Roman" w:cs="Times New Roman"/>
          <w:b/>
          <w:bCs/>
          <w:lang w:val="en-GB"/>
        </w:rPr>
      </w:pPr>
    </w:p>
    <w:p w:rsidR="002E0BE9" w:rsidRDefault="002E0BE9" w:rsidP="00EE0234">
      <w:pPr>
        <w:spacing w:after="0"/>
        <w:jc w:val="both"/>
        <w:rPr>
          <w:rFonts w:ascii="Times New Roman" w:hAnsi="Times New Roman" w:cs="Times New Roman"/>
          <w:b/>
          <w:bCs/>
          <w:lang w:val="en-GB"/>
        </w:rPr>
      </w:pPr>
    </w:p>
    <w:p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lang w:val="en-GB"/>
        </w:rPr>
        <w:t>Table 9</w:t>
      </w:r>
      <w:r w:rsidR="00B137B1" w:rsidRPr="00044728">
        <w:rPr>
          <w:rFonts w:ascii="Times New Roman" w:hAnsi="Times New Roman" w:cs="Times New Roman"/>
          <w:b/>
          <w:bCs/>
          <w:lang w:val="en-GB"/>
        </w:rPr>
        <w:t xml:space="preserve">: </w:t>
      </w:r>
      <w:r w:rsidR="00B137B1" w:rsidRPr="00044728">
        <w:rPr>
          <w:rFonts w:ascii="Times New Roman" w:hAnsi="Times New Roman" w:cs="Times New Roman"/>
          <w:b/>
          <w:bCs/>
        </w:rPr>
        <w:t>Summary of the Evolution of the Time-Varying Correlations Over the Full Sample Period.</w:t>
      </w:r>
    </w:p>
    <w:tbl>
      <w:tblPr>
        <w:tblW w:w="9062" w:type="dxa"/>
        <w:tblBorders>
          <w:top w:val="single" w:sz="8" w:space="0" w:color="auto"/>
          <w:bottom w:val="single" w:sz="8" w:space="0" w:color="auto"/>
        </w:tblBorders>
        <w:tblLook w:val="04A0" w:firstRow="1" w:lastRow="0" w:firstColumn="1" w:lastColumn="0" w:noHBand="0" w:noVBand="1"/>
      </w:tblPr>
      <w:tblGrid>
        <w:gridCol w:w="3232"/>
        <w:gridCol w:w="1359"/>
        <w:gridCol w:w="1243"/>
        <w:gridCol w:w="1688"/>
        <w:gridCol w:w="1540"/>
      </w:tblGrid>
      <w:tr w:rsidR="00044728" w:rsidRPr="00044728" w:rsidTr="00B137B1">
        <w:trPr>
          <w:trHeight w:val="630"/>
        </w:trPr>
        <w:tc>
          <w:tcPr>
            <w:tcW w:w="3232"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Asset Pair</w:t>
            </w:r>
          </w:p>
        </w:tc>
        <w:tc>
          <w:tcPr>
            <w:tcW w:w="1359"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Mean</w:t>
            </w:r>
          </w:p>
        </w:tc>
        <w:tc>
          <w:tcPr>
            <w:tcW w:w="1243"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Minimum</w:t>
            </w:r>
          </w:p>
        </w:tc>
        <w:tc>
          <w:tcPr>
            <w:tcW w:w="1688"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Maximum</w:t>
            </w:r>
          </w:p>
        </w:tc>
        <w:tc>
          <w:tcPr>
            <w:tcW w:w="1540" w:type="dxa"/>
            <w:tcBorders>
              <w:top w:val="single" w:sz="8" w:space="0" w:color="auto"/>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Std. Dev.</w:t>
            </w:r>
          </w:p>
        </w:tc>
      </w:tr>
      <w:tr w:rsidR="00044728" w:rsidRPr="00044728" w:rsidTr="00B137B1">
        <w:trPr>
          <w:trHeight w:val="394"/>
        </w:trPr>
        <w:tc>
          <w:tcPr>
            <w:tcW w:w="3232"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Gold</w:t>
            </w:r>
          </w:p>
        </w:tc>
        <w:tc>
          <w:tcPr>
            <w:tcW w:w="1359"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0.0821</w:t>
            </w:r>
          </w:p>
        </w:tc>
        <w:tc>
          <w:tcPr>
            <w:tcW w:w="1243"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-0.2146</w:t>
            </w:r>
          </w:p>
        </w:tc>
        <w:tc>
          <w:tcPr>
            <w:tcW w:w="1688"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0.4638</w:t>
            </w:r>
          </w:p>
        </w:tc>
        <w:tc>
          <w:tcPr>
            <w:tcW w:w="1540" w:type="dxa"/>
            <w:tcBorders>
              <w:top w:val="single" w:sz="8" w:space="0" w:color="auto"/>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0.0913</w:t>
            </w:r>
          </w:p>
        </w:tc>
      </w:tr>
      <w:tr w:rsidR="00044728" w:rsidRPr="00044728" w:rsidTr="00B137B1">
        <w:trPr>
          <w:trHeight w:val="541"/>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Natural Gas</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0.1458</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-0.1825</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0.5121</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0.1027</w:t>
            </w:r>
          </w:p>
        </w:tc>
      </w:tr>
      <w:tr w:rsidR="00044728" w:rsidRPr="00044728" w:rsidTr="00B137B1">
        <w:trPr>
          <w:trHeight w:val="507"/>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Copper</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0.1186</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-0.1379</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0.4314</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0.0816</w:t>
            </w:r>
          </w:p>
        </w:tc>
      </w:tr>
      <w:tr w:rsidR="00044728" w:rsidRPr="00044728" w:rsidTr="00B137B1">
        <w:trPr>
          <w:trHeight w:val="131"/>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Stock Price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0.0562</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-0.2054</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0.3847</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0.0739</w:t>
            </w:r>
          </w:p>
        </w:tc>
      </w:tr>
      <w:tr w:rsidR="00044728" w:rsidRPr="00044728" w:rsidTr="00B137B1">
        <w:trPr>
          <w:trHeight w:val="509"/>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Exchange Rate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-0.0418</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-0.2638</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0.1752</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0.0524</w:t>
            </w:r>
          </w:p>
        </w:tc>
      </w:tr>
      <w:tr w:rsidR="00044728" w:rsidRPr="00044728" w:rsidTr="00B137B1">
        <w:trPr>
          <w:trHeight w:val="455"/>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Natural Gas</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0.0287</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-0.1936</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0.2784</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0.0643</w:t>
            </w:r>
          </w:p>
        </w:tc>
      </w:tr>
      <w:tr w:rsidR="00044728" w:rsidRPr="00044728" w:rsidTr="00B137B1">
        <w:trPr>
          <w:trHeight w:val="630"/>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Copper</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0.2164</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-0.1045</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0.6123</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0.1186</w:t>
            </w:r>
          </w:p>
        </w:tc>
      </w:tr>
      <w:tr w:rsidR="00044728" w:rsidRPr="00044728" w:rsidTr="00B137B1">
        <w:trPr>
          <w:trHeight w:val="457"/>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Stock Price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0.0871</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-0.1827</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0.3554</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0.0695</w:t>
            </w:r>
          </w:p>
        </w:tc>
      </w:tr>
      <w:tr w:rsidR="00044728" w:rsidRPr="00044728" w:rsidTr="00B137B1">
        <w:trPr>
          <w:trHeight w:val="562"/>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Exchange Rate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0.0628</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-0.1048</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0.2481</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0.0442</w:t>
            </w:r>
          </w:p>
        </w:tc>
      </w:tr>
      <w:tr w:rsidR="00044728" w:rsidRPr="00044728" w:rsidTr="00B137B1">
        <w:trPr>
          <w:trHeight w:val="401"/>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Natural Gas – Copper</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0.1035</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-0.1524</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0.4167</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0.0813</w:t>
            </w:r>
          </w:p>
        </w:tc>
      </w:tr>
      <w:tr w:rsidR="00044728" w:rsidRPr="00044728" w:rsidTr="00B137B1">
        <w:trPr>
          <w:trHeight w:val="549"/>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Natural Gas – Stock Price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0.0846</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-0.1641</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0.3472</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0.0668</w:t>
            </w:r>
          </w:p>
        </w:tc>
      </w:tr>
      <w:tr w:rsidR="00044728" w:rsidRPr="00044728" w:rsidTr="00B137B1">
        <w:trPr>
          <w:trHeight w:val="543"/>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Natural Gas – Exchange Rate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-0.0972</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-0.3641</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0.1027</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0.0597</w:t>
            </w:r>
          </w:p>
        </w:tc>
      </w:tr>
      <w:tr w:rsidR="00044728" w:rsidRPr="00044728" w:rsidTr="00B137B1">
        <w:trPr>
          <w:trHeight w:val="409"/>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Copper – Stock Price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0.1745</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-0.0928</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0.5084</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0.0934</w:t>
            </w:r>
          </w:p>
        </w:tc>
      </w:tr>
      <w:tr w:rsidR="00044728" w:rsidRPr="00044728" w:rsidTr="00B137B1">
        <w:trPr>
          <w:trHeight w:val="414"/>
        </w:trPr>
        <w:tc>
          <w:tcPr>
            <w:tcW w:w="3232"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Copper – Exchange Rate</w:t>
            </w:r>
          </w:p>
        </w:tc>
        <w:tc>
          <w:tcPr>
            <w:tcW w:w="1359"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-0.0218</w:t>
            </w:r>
          </w:p>
        </w:tc>
        <w:tc>
          <w:tcPr>
            <w:tcW w:w="1243"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-0.1816</w:t>
            </w:r>
          </w:p>
        </w:tc>
        <w:tc>
          <w:tcPr>
            <w:tcW w:w="1688"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0.1145</w:t>
            </w:r>
          </w:p>
        </w:tc>
        <w:tc>
          <w:tcPr>
            <w:tcW w:w="1540" w:type="dxa"/>
            <w:tcBorders>
              <w:top w:val="nil"/>
              <w:left w:val="nil"/>
              <w:bottom w:val="nil"/>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0.0385</w:t>
            </w:r>
          </w:p>
        </w:tc>
      </w:tr>
      <w:tr w:rsidR="00044728" w:rsidRPr="00044728" w:rsidTr="00B137B1">
        <w:trPr>
          <w:trHeight w:val="406"/>
        </w:trPr>
        <w:tc>
          <w:tcPr>
            <w:tcW w:w="3232"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Stock Price – Exchange Rate</w:t>
            </w:r>
          </w:p>
        </w:tc>
        <w:tc>
          <w:tcPr>
            <w:tcW w:w="1359"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0.0937</w:t>
            </w:r>
          </w:p>
        </w:tc>
        <w:tc>
          <w:tcPr>
            <w:tcW w:w="1243"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-0.1263</w:t>
            </w:r>
          </w:p>
        </w:tc>
        <w:tc>
          <w:tcPr>
            <w:tcW w:w="1688"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0.3364</w:t>
            </w:r>
          </w:p>
        </w:tc>
        <w:tc>
          <w:tcPr>
            <w:tcW w:w="1540" w:type="dxa"/>
            <w:tcBorders>
              <w:top w:val="nil"/>
              <w:left w:val="nil"/>
              <w:bottom w:val="single" w:sz="8" w:space="0" w:color="auto"/>
              <w:right w:val="nil"/>
            </w:tcBorders>
            <w:vAlign w:val="center"/>
            <w:hideMark/>
          </w:tcPr>
          <w:p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0.0568</w:t>
            </w:r>
          </w:p>
        </w:tc>
      </w:tr>
    </w:tbl>
    <w:p w:rsidR="00CE1A3C" w:rsidRPr="00044728" w:rsidRDefault="00CE1A3C" w:rsidP="00CE1A3C">
      <w:pPr>
        <w:pStyle w:val="NormalWeb"/>
        <w:jc w:val="both"/>
      </w:pPr>
      <w:r>
        <w:t xml:space="preserve">The table shows that the correlations among the selected global commodity prices, </w:t>
      </w:r>
      <w:r>
        <w:rPr>
          <w:highlight w:val="yellow"/>
        </w:rPr>
        <w:t xml:space="preserve">the </w:t>
      </w:r>
      <w:r>
        <w:t xml:space="preserve">exchange rate and Nigerian </w:t>
      </w:r>
      <w:r>
        <w:rPr>
          <w:highlight w:val="yellow"/>
        </w:rPr>
        <w:t>stock-market</w:t>
      </w:r>
      <w:r>
        <w:t xml:space="preserve"> returns were generally weak to moderate and clearly time-varying over the full sample period. The highest mean correlation was observed between gold and copper (0.2164), followed by copper and stock </w:t>
      </w:r>
      <w:r>
        <w:rPr>
          <w:highlight w:val="yellow"/>
        </w:rPr>
        <w:t>prices</w:t>
      </w:r>
      <w:r>
        <w:t xml:space="preserve"> (0.1745) and Brent crude oil and natural gas (0.1458), indicating relatively stronger co-movement among these pairs. In contrast, the natural gas–exchange rate pair recorded the lowest mean correlation (-0.0972), while Brent crude oil–exchange rate (-0.0418) and copper–exchange rate (-0.0218) also recorded negative average correlations. The minimum and maximum values demonstrate substantial movements in the direction and strength of the relationships: for example, gold–copper correlation ranged from -0.1045 to 0.6123, while </w:t>
      </w:r>
      <w:r>
        <w:rPr>
          <w:highlight w:val="yellow"/>
        </w:rPr>
        <w:t xml:space="preserve">the </w:t>
      </w:r>
      <w:r>
        <w:t>copper–</w:t>
      </w:r>
      <w:r>
        <w:rPr>
          <w:highlight w:val="yellow"/>
        </w:rPr>
        <w:t>stock-price correlation</w:t>
      </w:r>
      <w:r>
        <w:t xml:space="preserve"> ranged from -0.0928 to 0.5084, showing that positive relationships at some points could weaken or become negative at others. Similarly, Brent crude oil–natural gas correlation varied from -0.1825 to 0.5121, reinforcing the changing nature of commodity-market co-movement. The standard deviations, which ranged from 0.0385 for copper–exchange rate to 0.1186 for gold–copper, further indicate that the magnitude of </w:t>
      </w:r>
      <w:r>
        <w:lastRenderedPageBreak/>
        <w:t>correlation fluctuations differed across asset pairs, with gold–copper exhibiting the greatest variability.</w:t>
      </w:r>
    </w:p>
    <w:p w:rsidR="00CE1A3C" w:rsidRPr="00044728" w:rsidRDefault="00CE1A3C" w:rsidP="00CE1A3C">
      <w:pPr>
        <w:pStyle w:val="NormalWeb"/>
        <w:jc w:val="both"/>
        <w:rPr>
          <w:b/>
        </w:rPr>
      </w:pPr>
    </w:p>
    <w:p w:rsidR="00CE1A3C" w:rsidRPr="00044728" w:rsidRDefault="00CE1A3C" w:rsidP="00CE1A3C">
      <w:pPr>
        <w:pStyle w:val="NormalWeb"/>
        <w:jc w:val="both"/>
        <w:rPr>
          <w:b/>
        </w:rPr>
      </w:pPr>
      <w:r w:rsidRPr="00044728">
        <w:rPr>
          <w:b/>
        </w:rPr>
        <w:t>Conclusion</w:t>
      </w:r>
    </w:p>
    <w:p w:rsidR="00D2523E" w:rsidRDefault="00F0356E" w:rsidP="00EE0234">
      <w:pPr>
        <w:pStyle w:val="NormalWeb"/>
        <w:jc w:val="both"/>
      </w:pPr>
      <w:r>
        <w:t xml:space="preserve">This study concludes that global commodity prices, </w:t>
      </w:r>
      <w:r>
        <w:rPr>
          <w:highlight w:val="yellow"/>
        </w:rPr>
        <w:t xml:space="preserve">the </w:t>
      </w:r>
      <w:r>
        <w:t xml:space="preserve">exchange rate and Nigerian </w:t>
      </w:r>
      <w:r>
        <w:rPr>
          <w:highlight w:val="yellow"/>
        </w:rPr>
        <w:t>stock-market</w:t>
      </w:r>
      <w:r>
        <w:t xml:space="preserve"> returns are interconnected, but the nature and strength of their relationships vary across markets and over time. The VAR(1) results showed that some short-run interactions exist among the variables, particularly the </w:t>
      </w:r>
      <w:r>
        <w:rPr>
          <w:highlight w:val="yellow"/>
        </w:rPr>
        <w:t>effects</w:t>
      </w:r>
      <w:r>
        <w:t xml:space="preserve"> of lagged copper and gold returns on Brent crude oil returns and the </w:t>
      </w:r>
      <w:r>
        <w:rPr>
          <w:highlight w:val="yellow"/>
        </w:rPr>
        <w:t>relationships</w:t>
      </w:r>
      <w:r>
        <w:t xml:space="preserve"> of lagged natural gas and </w:t>
      </w:r>
      <w:r>
        <w:rPr>
          <w:highlight w:val="yellow"/>
        </w:rPr>
        <w:t>stock-market</w:t>
      </w:r>
      <w:r>
        <w:t xml:space="preserve"> returns with subsequent Nigerian </w:t>
      </w:r>
      <w:r>
        <w:rPr>
          <w:highlight w:val="yellow"/>
        </w:rPr>
        <w:t>stock-market</w:t>
      </w:r>
      <w:r>
        <w:t xml:space="preserve"> returns. The volatility results further showed that the markets experience persistent volatility, with particularly high levels of volatility persistence in natural gas, copper and </w:t>
      </w:r>
      <w:r>
        <w:rPr>
          <w:highlight w:val="yellow"/>
        </w:rPr>
        <w:t>exchange-rate</w:t>
      </w:r>
      <w:r>
        <w:t xml:space="preserve"> returns. The DCC-GARCH estimates also </w:t>
      </w:r>
      <w:r>
        <w:rPr>
          <w:highlight w:val="yellow"/>
        </w:rPr>
        <w:t>indicated</w:t>
      </w:r>
      <w:r>
        <w:t xml:space="preserve"> that the correlations among the variables are not constant. Rather, they change over time, with some market pairs recording positive relationships at certain periods and negative relationships at others. For instance, gold and copper </w:t>
      </w:r>
      <w:r>
        <w:rPr>
          <w:highlight w:val="yellow"/>
        </w:rPr>
        <w:t>exhibited</w:t>
      </w:r>
      <w:r>
        <w:t xml:space="preserve"> the highest average correlation among the commodity pairs, while natural gas and </w:t>
      </w:r>
      <w:r>
        <w:rPr>
          <w:highlight w:val="yellow"/>
        </w:rPr>
        <w:t>exchange-rate</w:t>
      </w:r>
      <w:r>
        <w:t xml:space="preserve"> returns </w:t>
      </w:r>
      <w:r>
        <w:rPr>
          <w:highlight w:val="yellow"/>
        </w:rPr>
        <w:t>exhibited</w:t>
      </w:r>
      <w:r>
        <w:t xml:space="preserve"> a negative average correlation. The high DCC persistence coefficient of 0.99041 indicates that the correlation structure tends to remain persistent over time, while the significant DCC innovation coefficient of 0.00668 shows that new market information can still alter the degree of co-movement among the assets. These findings suggest that movements in one market may be associated with changes in another market.</w:t>
      </w:r>
    </w:p>
    <w:p w:rsidR="00574714" w:rsidRDefault="00574714" w:rsidP="00EE0234">
      <w:pPr>
        <w:pStyle w:val="NormalWeb"/>
        <w:jc w:val="both"/>
      </w:pPr>
    </w:p>
    <w:p w:rsidR="00574714" w:rsidRPr="00574714" w:rsidRDefault="00574714" w:rsidP="00EE0234">
      <w:pPr>
        <w:pStyle w:val="NormalWeb"/>
        <w:jc w:val="both"/>
        <w:rPr>
          <w:b/>
        </w:rPr>
      </w:pPr>
      <w:r w:rsidRPr="00574714">
        <w:rPr>
          <w:b/>
        </w:rPr>
        <w:t>Limitations</w:t>
      </w:r>
    </w:p>
    <w:p w:rsidR="00574714" w:rsidRPr="00574714" w:rsidRDefault="00574714" w:rsidP="00574714">
      <w:pPr>
        <w:spacing w:before="100" w:beforeAutospacing="1" w:after="100" w:afterAutospacing="1" w:line="240" w:lineRule="auto"/>
        <w:jc w:val="both"/>
        <w:rPr>
          <w:rFonts w:ascii="Times New Roman" w:eastAsia="Times New Roman" w:hAnsi="Times New Roman" w:cs="Times New Roman"/>
          <w:kern w:val="0"/>
          <w:lang w:val="en-IN" w:eastAsia="en-IN"/>
          <w14:ligatures w14:val="none"/>
        </w:rPr>
      </w:pPr>
      <w:r w:rsidRPr="00574714">
        <w:rPr>
          <w:rFonts w:ascii="Times New Roman" w:eastAsia="Times New Roman" w:hAnsi="Times New Roman" w:cs="Times New Roman"/>
          <w:kern w:val="0"/>
          <w:lang w:val="en-IN" w:eastAsia="en-IN"/>
          <w14:ligatures w14:val="none"/>
        </w:rPr>
        <w:t>This study is confined to daily return relationships among four selected global commodities, the Nigerian exchange rate and stock-market returns over the specified sample period. The VAR(1) and DCC-GARCH analyses characterise conditional associations and volatility persistence; they do not establish causal transmission mechanisms. Consequently, the findings should be interpreted as evidence of modelled interdependence within the selected markets and dates, rather than as estimates applicable to other assets, countries or periods.</w:t>
      </w:r>
    </w:p>
    <w:p w:rsidR="00574714" w:rsidRDefault="00574714" w:rsidP="00EE0234">
      <w:pPr>
        <w:pStyle w:val="NormalWeb"/>
        <w:jc w:val="both"/>
      </w:pPr>
    </w:p>
    <w:p w:rsidR="001E7FF5" w:rsidRPr="001E7FF5" w:rsidRDefault="001E7FF5" w:rsidP="001E7FF5">
      <w:pPr>
        <w:spacing w:after="0" w:line="240" w:lineRule="auto"/>
        <w:rPr>
          <w:rFonts w:ascii="Arial" w:eastAsia="Calibri" w:hAnsi="Arial" w:cs="Arial"/>
          <w:b/>
          <w:kern w:val="0"/>
          <w:sz w:val="20"/>
          <w:szCs w:val="20"/>
          <w14:ligatures w14:val="none"/>
        </w:rPr>
      </w:pPr>
      <w:bookmarkStart w:id="3" w:name="_Hlk238550938"/>
      <w:bookmarkStart w:id="4" w:name="_Hlk237856463"/>
      <w:r w:rsidRPr="001E7FF5">
        <w:rPr>
          <w:rFonts w:ascii="Arial" w:eastAsia="Calibri" w:hAnsi="Arial" w:cs="Arial"/>
          <w:b/>
          <w:kern w:val="0"/>
          <w:sz w:val="20"/>
          <w:szCs w:val="20"/>
          <w14:ligatures w14:val="none"/>
        </w:rPr>
        <w:t>Declaration of AI Use</w:t>
      </w:r>
    </w:p>
    <w:p w:rsidR="001E7FF5" w:rsidRPr="001E7FF5" w:rsidRDefault="001E7FF5" w:rsidP="001E7FF5">
      <w:pPr>
        <w:spacing w:after="0" w:line="240" w:lineRule="auto"/>
        <w:rPr>
          <w:rFonts w:ascii="Arial" w:eastAsia="Calibri" w:hAnsi="Arial" w:cs="Arial"/>
          <w:kern w:val="0"/>
          <w:sz w:val="20"/>
          <w:szCs w:val="20"/>
          <w14:ligatures w14:val="none"/>
        </w:rPr>
      </w:pPr>
      <w:bookmarkStart w:id="5" w:name="_Hlk239068730"/>
    </w:p>
    <w:p w:rsidR="001E7FF5" w:rsidRPr="001E7FF5" w:rsidRDefault="001E7FF5" w:rsidP="001E7FF5">
      <w:pPr>
        <w:spacing w:after="0" w:line="240" w:lineRule="auto"/>
        <w:rPr>
          <w:rFonts w:ascii="Arial" w:eastAsia="Calibri" w:hAnsi="Arial" w:cs="Arial"/>
          <w:kern w:val="0"/>
          <w:sz w:val="20"/>
          <w:szCs w:val="20"/>
          <w14:ligatures w14:val="none"/>
        </w:rPr>
      </w:pPr>
      <w:bookmarkStart w:id="6" w:name="_Hlk237862032"/>
      <w:r w:rsidRPr="001E7FF5">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r w:rsidRPr="001E7FF5">
        <w:rPr>
          <w:rFonts w:ascii="Arial" w:eastAsia="Calibri" w:hAnsi="Arial" w:cs="Arial"/>
          <w:kern w:val="0"/>
          <w:sz w:val="20"/>
          <w:szCs w:val="20"/>
          <w14:ligatures w14:val="none"/>
        </w:rPr>
        <w:t>.</w:t>
      </w:r>
    </w:p>
    <w:bookmarkEnd w:id="4"/>
    <w:bookmarkEnd w:id="5"/>
    <w:bookmarkEnd w:id="6"/>
    <w:p w:rsidR="00D2523E" w:rsidRDefault="00D2523E" w:rsidP="00EE0234">
      <w:pPr>
        <w:pStyle w:val="NormalWeb"/>
        <w:jc w:val="both"/>
      </w:pPr>
    </w:p>
    <w:p w:rsidR="00D2523E" w:rsidRPr="00044728" w:rsidRDefault="00D2523E" w:rsidP="00D2523E">
      <w:pPr>
        <w:jc w:val="both"/>
        <w:rPr>
          <w:rFonts w:ascii="Times New Roman" w:hAnsi="Times New Roman" w:cs="Times New Roman"/>
          <w:b/>
        </w:rPr>
      </w:pPr>
      <w:r w:rsidRPr="00044728">
        <w:rPr>
          <w:rFonts w:ascii="Times New Roman" w:hAnsi="Times New Roman" w:cs="Times New Roman"/>
          <w:b/>
        </w:rPr>
        <w:t>References</w:t>
      </w:r>
    </w:p>
    <w:p w:rsidR="00D2523E" w:rsidRPr="00044728" w:rsidRDefault="00D2523E" w:rsidP="00D2523E">
      <w:pPr>
        <w:spacing w:before="0" w:after="40" w:line="240" w:lineRule="auto"/>
        <w:ind w:left="432" w:hanging="432"/>
        <w:jc w:val="left"/>
      </w:pPr>
      <w:r>
        <w:rPr>
          <w:i w:val="0"/>
        </w:rPr>
        <w:t xml:space="preserve">Adenomon, M. O., Adehi, M. U., Asambe, D. A., &amp; Nweze, N. O. (2025). </w:t>
      </w:r>
      <w:r>
        <w:rPr>
          <w:i w:val="0"/>
        </w:rPr>
        <w:t xml:space="preserve">Modelling times series volatility: A case study of Nigeria economic variables. </w:t>
      </w:r>
      <w:r>
        <w:rPr>
          <w:i/>
        </w:rPr>
        <w:t>FULafia Journal of Science and Technology</w:t>
      </w:r>
      <w:r>
        <w:rPr>
          <w:i w:val="0"/>
        </w:rPr>
        <w:t xml:space="preserve">, </w:t>
      </w:r>
      <w:r>
        <w:rPr>
          <w:i/>
        </w:rPr>
        <w:t>9</w:t>
      </w:r>
      <w:r>
        <w:rPr>
          <w:i w:val="0"/>
        </w:rPr>
        <w:t>(2)</w:t>
      </w:r>
      <w:r>
        <w:rPr>
          <w:i w:val="0"/>
        </w:rPr>
        <w:t xml:space="preserve">, 23–30. </w:t>
      </w:r>
      <w:hyperlink r:id="rId16">
        <w:r>
          <w:rPr>
            <w:color w:val="0563C1"/>
            <w:u w:val="single"/>
          </w:rPr>
          <w:t>https://doi.org/10.62050/fjst2025.v9n2.614</w:t>
        </w:r>
      </w:hyperlink>
    </w:p>
    <w:p w:rsidR="00D2523E" w:rsidRPr="00044728" w:rsidRDefault="00D2523E" w:rsidP="00D2523E">
      <w:pPr>
        <w:spacing w:line="240" w:lineRule="auto" w:before="0" w:after="40"/>
        <w:ind w:left="432" w:hanging="432"/>
        <w:jc w:val="left"/>
        <w:rPr>
          <w:rFonts w:ascii="Times New Roman" w:hAnsi="Times New Roman" w:cs="Times New Roman"/>
        </w:rPr>
      </w:pPr>
      <w:r>
        <w:rPr>
          <w:i w:val="0"/>
        </w:rPr>
        <w:t xml:space="preserve">Ahmadian-Yazdi, F., Mensi, W., Al-Yahyaee, K. H., Ramsheh, M., &amp; Al Kharusi, S. (2025). </w:t>
      </w:r>
      <w:r>
        <w:rPr>
          <w:i w:val="0"/>
        </w:rPr>
        <w:t xml:space="preserve">Connectedness between gold, copper, fossil fuels, and major stock markets: Implications for portfolio management. </w:t>
      </w:r>
      <w:r>
        <w:rPr>
          <w:i/>
        </w:rPr>
        <w:t>Resources Policy</w:t>
      </w:r>
      <w:r>
        <w:rPr>
          <w:i w:val="0"/>
        </w:rPr>
        <w:t xml:space="preserve">, </w:t>
      </w:r>
      <w:r>
        <w:rPr>
          <w:i/>
        </w:rPr>
        <w:t>109</w:t>
      </w:r>
      <w:r>
        <w:rPr>
          <w:i w:val="0"/>
        </w:rPr>
        <w:t xml:space="preserve">, Article 105728. </w:t>
      </w:r>
      <w:hyperlink r:id="rId17">
        <w:r>
          <w:rPr>
            <w:color w:val="0563C1"/>
            <w:u w:val="single"/>
          </w:rPr>
          <w:t>https://doi.org/10.1016/j.resourpol.2025.105728</w:t>
        </w:r>
      </w:hyperlink>
    </w:p>
    <w:p w:rsidR="00D2523E" w:rsidRPr="00044728" w:rsidRDefault="00D2523E" w:rsidP="00D2523E">
      <w:pPr>
        <w:spacing w:before="0" w:after="40" w:line="240" w:lineRule="auto"/>
        <w:ind w:left="432" w:hanging="432"/>
        <w:jc w:val="left"/>
      </w:pPr>
      <w:r>
        <w:rPr>
          <w:i w:val="0"/>
        </w:rPr>
        <w:t xml:space="preserve">Atipaga, U.-F., Alagidede, I., &amp; Tweneboah, G. (2024). </w:t>
      </w:r>
      <w:r>
        <w:rPr>
          <w:i w:val="0"/>
        </w:rPr>
        <w:t xml:space="preserve">On the connectedness of stock returns and exchange rates in emerging and frontier markets in Africa. </w:t>
      </w:r>
      <w:r>
        <w:rPr>
          <w:i/>
        </w:rPr>
        <w:t>Economic Notes</w:t>
      </w:r>
      <w:r>
        <w:rPr>
          <w:i w:val="0"/>
        </w:rPr>
        <w:t xml:space="preserve">, </w:t>
      </w:r>
      <w:r>
        <w:rPr>
          <w:i/>
        </w:rPr>
        <w:t>53</w:t>
      </w:r>
      <w:r>
        <w:rPr>
          <w:i w:val="0"/>
        </w:rPr>
        <w:t>(3)</w:t>
      </w:r>
      <w:r>
        <w:rPr>
          <w:i w:val="0"/>
        </w:rPr>
        <w:t xml:space="preserve">, e12249. </w:t>
      </w:r>
      <w:hyperlink r:id="rId18">
        <w:r>
          <w:rPr>
            <w:color w:val="0563C1"/>
            <w:u w:val="single"/>
          </w:rPr>
          <w:t>https://doi.org/10.1111/ecno.12249</w:t>
        </w:r>
      </w:hyperlink>
    </w:p>
    <w:p w:rsidR="00D2523E" w:rsidRPr="00044728" w:rsidRDefault="00D2523E" w:rsidP="00D2523E">
      <w:pPr>
        <w:spacing w:line="240" w:lineRule="auto" w:before="0" w:after="40"/>
        <w:ind w:left="432" w:hanging="432"/>
        <w:jc w:val="left"/>
        <w:rPr>
          <w:rFonts w:ascii="Times New Roman" w:hAnsi="Times New Roman" w:cs="Times New Roman"/>
        </w:rPr>
      </w:pPr>
      <w:r>
        <w:rPr>
          <w:i w:val="0"/>
        </w:rPr>
        <w:t xml:space="preserve">Ben Flah, I., Samet, K., El Ammari, A., &amp; Terzi, C. (2025). </w:t>
      </w:r>
      <w:r>
        <w:rPr>
          <w:i w:val="0"/>
        </w:rPr>
        <w:t xml:space="preserve">Shock and volatility transmissions across global commodity and stock markets spillovers: Empirical evidence from Africa. </w:t>
      </w:r>
      <w:r>
        <w:rPr>
          <w:i/>
        </w:rPr>
        <w:t>Journal of Risk and Financial Management</w:t>
      </w:r>
      <w:r>
        <w:rPr>
          <w:i w:val="0"/>
        </w:rPr>
        <w:t xml:space="preserve">, </w:t>
      </w:r>
      <w:r>
        <w:rPr>
          <w:i/>
        </w:rPr>
        <w:t>18</w:t>
      </w:r>
      <w:r>
        <w:rPr>
          <w:i w:val="0"/>
        </w:rPr>
        <w:t>(6)</w:t>
      </w:r>
      <w:r>
        <w:rPr>
          <w:i w:val="0"/>
        </w:rPr>
        <w:t xml:space="preserve">, Article 332. </w:t>
      </w:r>
      <w:hyperlink r:id="rId19">
        <w:r>
          <w:rPr>
            <w:color w:val="0563C1"/>
            <w:u w:val="single"/>
          </w:rPr>
          <w:t>https://doi.org/10.3390/jrfm18060332</w:t>
        </w:r>
      </w:hyperlink>
    </w:p>
    <w:p w:rsidR="00D2523E" w:rsidRPr="00044728" w:rsidRDefault="00D2523E" w:rsidP="00D2523E">
      <w:pPr>
        <w:spacing w:line="240" w:lineRule="auto" w:before="0" w:after="40"/>
        <w:ind w:left="432" w:hanging="432"/>
        <w:jc w:val="left"/>
        <w:rPr>
          <w:rFonts w:ascii="Times New Roman" w:hAnsi="Times New Roman" w:cs="Times New Roman"/>
        </w:rPr>
      </w:pPr>
      <w:r>
        <w:rPr>
          <w:i w:val="0"/>
        </w:rPr>
        <w:t xml:space="preserve">Ben Salem, L., Zayati, M., Nouira, R., &amp; Rault, C. (2024). </w:t>
      </w:r>
      <w:r>
        <w:rPr>
          <w:i w:val="0"/>
        </w:rPr>
        <w:t xml:space="preserve">Volatility spillover between oil prices and main exchange rates: Evidence from a DCC-GARCH-connectedness approach. </w:t>
      </w:r>
      <w:r>
        <w:rPr>
          <w:i/>
        </w:rPr>
        <w:t>Resources Policy</w:t>
      </w:r>
      <w:r>
        <w:rPr>
          <w:i w:val="0"/>
        </w:rPr>
        <w:t xml:space="preserve">, </w:t>
      </w:r>
      <w:r>
        <w:rPr>
          <w:i/>
        </w:rPr>
        <w:t>91</w:t>
      </w:r>
      <w:r>
        <w:rPr>
          <w:i w:val="0"/>
        </w:rPr>
        <w:t xml:space="preserve">, Article 104880. </w:t>
      </w:r>
      <w:hyperlink r:id="rId20">
        <w:r>
          <w:rPr>
            <w:color w:val="0563C1"/>
            <w:u w:val="single"/>
          </w:rPr>
          <w:t>https://doi.org/10.1016/j.resourpol.2024.104880</w:t>
        </w:r>
      </w:hyperlink>
    </w:p>
    <w:p w:rsidR="00D2523E" w:rsidRPr="00044728" w:rsidRDefault="00D2523E" w:rsidP="00D2523E">
      <w:pPr>
        <w:spacing w:before="0" w:after="40" w:line="240" w:lineRule="auto"/>
        <w:ind w:left="432" w:hanging="432"/>
        <w:jc w:val="left"/>
      </w:pPr>
      <w:r>
        <w:rPr>
          <w:i w:val="0"/>
        </w:rPr>
        <w:t xml:space="preserve">Chen, Y., Xu, J., &amp; Hu, M. (2022). </w:t>
      </w:r>
      <w:r>
        <w:rPr>
          <w:i w:val="0"/>
        </w:rPr>
        <w:t xml:space="preserve">Asymmetric volatility spillovers and dynamic correlations between crude oil price, exchange rate and gold price in BRICS. </w:t>
      </w:r>
      <w:r>
        <w:rPr>
          <w:i/>
        </w:rPr>
        <w:t>Resources Policy</w:t>
      </w:r>
      <w:r>
        <w:rPr>
          <w:i w:val="0"/>
        </w:rPr>
        <w:t xml:space="preserve">, </w:t>
      </w:r>
      <w:r>
        <w:rPr>
          <w:i/>
        </w:rPr>
        <w:t>78</w:t>
      </w:r>
      <w:r>
        <w:rPr>
          <w:i w:val="0"/>
        </w:rPr>
        <w:t xml:space="preserve">, Article 102857. </w:t>
      </w:r>
      <w:hyperlink r:id="rId21">
        <w:r>
          <w:rPr>
            <w:color w:val="0563C1"/>
            <w:u w:val="single"/>
          </w:rPr>
          <w:t>https://doi.org/10.1016/j.resourpol.2022.102857</w:t>
        </w:r>
      </w:hyperlink>
    </w:p>
    <w:p w:rsidR="00D2523E" w:rsidRPr="00044728" w:rsidRDefault="00D2523E" w:rsidP="00D2523E">
      <w:pPr>
        <w:spacing w:line="240" w:lineRule="auto" w:before="0" w:after="40"/>
        <w:ind w:left="432" w:hanging="432"/>
        <w:jc w:val="left"/>
        <w:rPr>
          <w:rFonts w:ascii="Times New Roman" w:hAnsi="Times New Roman" w:cs="Times New Roman"/>
        </w:rPr>
      </w:pPr>
      <w:r>
        <w:rPr>
          <w:i w:val="0"/>
        </w:rPr>
        <w:t xml:space="preserve">Dontoh, E. A., Idun, A. A.-A., Adam, A. M., &amp; Owusu Junior, P. (2024). </w:t>
      </w:r>
      <w:r>
        <w:rPr>
          <w:i w:val="0"/>
        </w:rPr>
        <w:t xml:space="preserve">Analysing COVID-19’s impact: Gold, oil, and stock markets in African oil-exporting economies. </w:t>
      </w:r>
      <w:r>
        <w:rPr>
          <w:i/>
        </w:rPr>
        <w:t>Scientific African</w:t>
      </w:r>
      <w:r>
        <w:rPr>
          <w:i w:val="0"/>
        </w:rPr>
        <w:t xml:space="preserve">, </w:t>
      </w:r>
      <w:r>
        <w:rPr>
          <w:i/>
        </w:rPr>
        <w:t>25</w:t>
      </w:r>
      <w:r>
        <w:rPr>
          <w:i w:val="0"/>
        </w:rPr>
        <w:t xml:space="preserve">, Article e02330. </w:t>
      </w:r>
      <w:hyperlink r:id="rId22">
        <w:r>
          <w:rPr>
            <w:color w:val="0563C1"/>
            <w:u w:val="single"/>
          </w:rPr>
          <w:t>https://doi.org/10.1016/j.sciaf.2024.e02330</w:t>
        </w:r>
      </w:hyperlink>
    </w:p>
    <w:p w:rsidR="00B74E76" w:rsidRDefault="00042CDD">
      <w:pPr>
        <w:spacing w:before="0" w:after="40" w:line="240" w:lineRule="auto"/>
        <w:ind w:left="432" w:hanging="432"/>
        <w:jc w:val="left"/>
      </w:pPr>
      <w:r>
        <w:rPr>
          <w:i w:val="0"/>
        </w:rPr>
        <w:t xml:space="preserve">Engle, R. F., &amp; Sheppard, K. (2001). </w:t>
      </w:r>
      <w:r>
        <w:rPr>
          <w:i/>
        </w:rPr>
        <w:t>Theoretical and empirical properties of dynamic conditional correlation multivariate GARCH</w:t>
      </w:r>
      <w:r>
        <w:rPr>
          <w:i w:val="0"/>
        </w:rPr>
        <w:t xml:space="preserve"> (NBER Working Paper No. 8554). National Bureau of Economic Research. </w:t>
      </w:r>
      <w:hyperlink r:id="rId23">
        <w:r>
          <w:rPr>
            <w:color w:val="0563C1"/>
            <w:u w:val="single"/>
          </w:rPr>
          <w:t>https://doi.org/10.3386/w8554</w:t>
        </w:r>
      </w:hyperlink>
    </w:p>
    <w:p w:rsidR="00D2523E" w:rsidRPr="00044728" w:rsidRDefault="00D2523E" w:rsidP="00D2523E">
      <w:pPr>
        <w:spacing w:line="240" w:lineRule="auto" w:before="0" w:after="40"/>
        <w:ind w:left="432" w:hanging="432"/>
        <w:jc w:val="left"/>
        <w:rPr>
          <w:rFonts w:ascii="Times New Roman" w:hAnsi="Times New Roman" w:cs="Times New Roman"/>
        </w:rPr>
      </w:pPr>
      <w:r>
        <w:rPr>
          <w:i w:val="0"/>
        </w:rPr>
        <w:t xml:space="preserve">Ghallabi, F., Ghorbel, A., &amp; Karim, S. (2025). </w:t>
      </w:r>
      <w:r>
        <w:rPr>
          <w:i w:val="0"/>
        </w:rPr>
        <w:t xml:space="preserve">Decoding systemic risks across commodities and emerging market stock markets. </w:t>
      </w:r>
      <w:r>
        <w:rPr>
          <w:i/>
        </w:rPr>
        <w:t>Financial Innovation</w:t>
      </w:r>
      <w:r>
        <w:rPr>
          <w:i w:val="0"/>
        </w:rPr>
        <w:t xml:space="preserve">, </w:t>
      </w:r>
      <w:r>
        <w:rPr>
          <w:i/>
        </w:rPr>
        <w:t>11</w:t>
      </w:r>
      <w:r>
        <w:rPr>
          <w:i w:val="0"/>
        </w:rPr>
        <w:t xml:space="preserve">, Article 47. </w:t>
      </w:r>
      <w:hyperlink r:id="rId24">
        <w:r>
          <w:rPr>
            <w:color w:val="0563C1"/>
            <w:u w:val="single"/>
          </w:rPr>
          <w:t>https://doi.org/10.1186/s40854-024-00732-1</w:t>
        </w:r>
      </w:hyperlink>
    </w:p>
    <w:p w:rsidR="00D2523E" w:rsidRPr="00044728" w:rsidRDefault="00D2523E" w:rsidP="00D2523E">
      <w:pPr>
        <w:spacing w:before="0" w:after="40" w:line="240" w:lineRule="auto"/>
        <w:ind w:left="432" w:hanging="432"/>
        <w:jc w:val="left"/>
      </w:pPr>
      <w:r>
        <w:rPr>
          <w:i w:val="0"/>
        </w:rPr>
        <w:t xml:space="preserve">Hassan, A., Ibrahim, M., &amp; Bala, A. J. (2024). </w:t>
      </w:r>
      <w:r>
        <w:rPr>
          <w:i w:val="0"/>
        </w:rPr>
        <w:t xml:space="preserve">Vulnerability of a developing stock market to openness: One-way return and volatility transmissions. </w:t>
      </w:r>
      <w:r>
        <w:rPr>
          <w:i/>
        </w:rPr>
        <w:t>International Review of Financial Analysis</w:t>
      </w:r>
      <w:r>
        <w:rPr>
          <w:i w:val="0"/>
        </w:rPr>
        <w:t xml:space="preserve">, </w:t>
      </w:r>
      <w:r>
        <w:rPr>
          <w:i/>
        </w:rPr>
        <w:t>93</w:t>
      </w:r>
      <w:r>
        <w:rPr>
          <w:i w:val="0"/>
        </w:rPr>
        <w:t xml:space="preserve">, Article 103184. </w:t>
      </w:r>
      <w:hyperlink r:id="rId25">
        <w:r>
          <w:rPr>
            <w:color w:val="0563C1"/>
            <w:u w:val="single"/>
          </w:rPr>
          <w:t>https://doi.org/10.1016/j.irfa.2024.103184</w:t>
        </w:r>
      </w:hyperlink>
    </w:p>
    <w:p w:rsidR="00D2523E" w:rsidRPr="00044728" w:rsidRDefault="00D2523E" w:rsidP="00D2523E">
      <w:pPr>
        <w:spacing w:line="240" w:lineRule="auto" w:before="0" w:after="40"/>
        <w:ind w:left="432" w:hanging="432"/>
        <w:jc w:val="left"/>
        <w:rPr>
          <w:rFonts w:ascii="Times New Roman" w:hAnsi="Times New Roman" w:cs="Times New Roman"/>
        </w:rPr>
      </w:pPr>
      <w:r>
        <w:rPr>
          <w:i w:val="0"/>
        </w:rPr>
        <w:t xml:space="preserve">Kumeka, T. T., Uzoma-Nwosu, D. C., &amp; David-Wayas, M. O. (2022). </w:t>
      </w:r>
      <w:r>
        <w:rPr>
          <w:i w:val="0"/>
        </w:rPr>
        <w:t xml:space="preserve">The effects of COVID-19 on the interrelationship among oil prices, stock prices and exchange rates in selected oil exporting economies. </w:t>
      </w:r>
      <w:r>
        <w:rPr>
          <w:i/>
        </w:rPr>
        <w:t>Resources Policy</w:t>
      </w:r>
      <w:r>
        <w:rPr>
          <w:i w:val="0"/>
        </w:rPr>
        <w:t xml:space="preserve">, </w:t>
      </w:r>
      <w:r>
        <w:rPr>
          <w:i/>
        </w:rPr>
        <w:t>77</w:t>
      </w:r>
      <w:r>
        <w:rPr>
          <w:i w:val="0"/>
        </w:rPr>
        <w:t xml:space="preserve">, Article 102744. </w:t>
      </w:r>
      <w:hyperlink r:id="rId26">
        <w:r>
          <w:rPr>
            <w:color w:val="0563C1"/>
            <w:u w:val="single"/>
          </w:rPr>
          <w:t>https://doi.org/10.1016/j.resourpol.2022.102744</w:t>
        </w:r>
      </w:hyperlink>
    </w:p>
    <w:p w:rsidR="00B74E76" w:rsidRPr="00574714" w:rsidRDefault="00042CDD">
      <w:pPr>
        <w:spacing w:after="40" w:before="0" w:line="240" w:lineRule="auto"/>
        <w:ind w:left="432" w:hanging="432"/>
        <w:jc w:val="left"/>
      </w:pPr>
      <w:r>
        <w:rPr>
          <w:i w:val="0"/>
        </w:rPr>
        <w:t xml:space="preserve">Liu, R., Segnon, M., Cepni, O., &amp; Gupta, R. (2026). </w:t>
      </w:r>
      <w:r>
        <w:rPr>
          <w:i w:val="0"/>
        </w:rPr>
        <w:t xml:space="preserve">Forecasting volatility of commodity, currency, and stock markets: Evidence from Markov-switching multifractal models. </w:t>
      </w:r>
      <w:r>
        <w:rPr>
          <w:i/>
        </w:rPr>
        <w:t>Journal of Forecasting</w:t>
      </w:r>
      <w:r>
        <w:rPr>
          <w:i w:val="0"/>
        </w:rPr>
        <w:t xml:space="preserve">, </w:t>
      </w:r>
      <w:r>
        <w:rPr>
          <w:i/>
        </w:rPr>
        <w:t>45</w:t>
      </w:r>
      <w:r>
        <w:rPr>
          <w:i w:val="0"/>
        </w:rPr>
        <w:t>(6)</w:t>
      </w:r>
      <w:r>
        <w:rPr>
          <w:i w:val="0"/>
        </w:rPr>
        <w:t xml:space="preserve">, 2905–2941. </w:t>
      </w:r>
      <w:hyperlink r:id="rId27">
        <w:r>
          <w:rPr>
            <w:color w:val="0563C1"/>
            <w:u w:val="single"/>
          </w:rPr>
          <w:t>https://doi.org/10.1002/for.70145</w:t>
        </w:r>
      </w:hyperlink>
    </w:p>
    <w:p w:rsidR="00B74E76" w:rsidRPr="00574714" w:rsidRDefault="00042CDD">
      <w:pPr>
        <w:spacing w:after="40" w:before="0" w:line="240" w:lineRule="auto"/>
        <w:ind w:left="432" w:hanging="432"/>
        <w:jc w:val="left"/>
      </w:pPr>
      <w:r>
        <w:rPr>
          <w:i w:val="0"/>
        </w:rPr>
        <w:t xml:space="preserve">Nandelenga, M. W., Alagidede, I., &amp; Simpasa, A. (2022). </w:t>
      </w:r>
      <w:r>
        <w:rPr>
          <w:i/>
        </w:rPr>
        <w:t>Do gold and crude oil act as portfolio diversifiers, safe haven assets or hedge instruments against volatility in stock markets and exchange rates? Evidence from sub-Saharan Africa</w:t>
      </w:r>
      <w:r>
        <w:rPr>
          <w:i w:val="0"/>
        </w:rPr>
        <w:t xml:space="preserve"> (AERC Working Paper Series No. CF007). African Economic Research Consortium. </w:t>
      </w:r>
      <w:hyperlink r:id="rId28">
        <w:r>
          <w:rPr>
            <w:color w:val="0563C1"/>
            <w:u w:val="single"/>
          </w:rPr>
          <w:t>https://publication.aercafricalibrary.org/handle/123456789/3221</w:t>
        </w:r>
      </w:hyperlink>
    </w:p>
    <w:p w:rsidR="00D2523E" w:rsidRPr="00574714" w:rsidRDefault="00D2523E" w:rsidP="00D2523E">
      <w:pPr>
        <w:spacing w:line="240" w:lineRule="auto" w:before="0" w:after="40"/>
        <w:ind w:left="432" w:hanging="432"/>
        <w:jc w:val="left"/>
        <w:rPr>
          <w:rFonts w:ascii="Times New Roman" w:hAnsi="Times New Roman" w:cs="Times New Roman"/>
        </w:rPr>
      </w:pPr>
      <w:r>
        <w:rPr>
          <w:i w:val="0"/>
        </w:rPr>
        <w:t xml:space="preserve">Odiche, W. (2022). </w:t>
      </w:r>
      <w:r>
        <w:rPr>
          <w:i w:val="0"/>
        </w:rPr>
        <w:t xml:space="preserve">An interplay of oil price volatility, exchange rate and stock returns in Nigeria. </w:t>
      </w:r>
      <w:r>
        <w:rPr>
          <w:i/>
        </w:rPr>
        <w:t>Journal of Global Economics, Management and Business Research</w:t>
      </w:r>
      <w:r>
        <w:rPr>
          <w:i w:val="0"/>
        </w:rPr>
        <w:t xml:space="preserve">, </w:t>
      </w:r>
      <w:r>
        <w:rPr>
          <w:i/>
        </w:rPr>
        <w:t>14</w:t>
      </w:r>
      <w:r>
        <w:rPr>
          <w:i w:val="0"/>
        </w:rPr>
        <w:t>(3–4)</w:t>
      </w:r>
      <w:r>
        <w:rPr>
          <w:i w:val="0"/>
        </w:rPr>
        <w:t xml:space="preserve">, 24–38. </w:t>
      </w:r>
      <w:hyperlink r:id="rId29">
        <w:r>
          <w:rPr>
            <w:color w:val="0563C1"/>
            <w:u w:val="single"/>
          </w:rPr>
          <w:t>https://doi.org/10.56557/jgembr/2022/v14i38048</w:t>
        </w:r>
      </w:hyperlink>
    </w:p>
    <w:p w:rsidR="00D2523E" w:rsidRPr="00574714" w:rsidRDefault="00D2523E" w:rsidP="00D2523E">
      <w:pPr>
        <w:spacing w:line="240" w:lineRule="auto" w:before="0" w:after="40"/>
        <w:ind w:left="432" w:hanging="432"/>
        <w:jc w:val="left"/>
        <w:rPr>
          <w:rFonts w:ascii="Times New Roman" w:hAnsi="Times New Roman" w:cs="Times New Roman"/>
        </w:rPr>
      </w:pPr>
      <w:r>
        <w:rPr>
          <w:i w:val="0"/>
        </w:rPr>
        <w:t xml:space="preserve">Raji, J. O., Abdulkadir, R. I., &amp; Badru, B. O. (2018). </w:t>
      </w:r>
      <w:r>
        <w:rPr>
          <w:i w:val="0"/>
        </w:rPr>
        <w:t xml:space="preserve">Dynamic relationship between Nigeria-US exchange rate and crude oil price. </w:t>
      </w:r>
      <w:r>
        <w:rPr>
          <w:i/>
        </w:rPr>
        <w:t>African Journal of Economic and Management Studies</w:t>
      </w:r>
      <w:r>
        <w:rPr>
          <w:i w:val="0"/>
        </w:rPr>
        <w:t xml:space="preserve">, </w:t>
      </w:r>
      <w:r>
        <w:rPr>
          <w:i/>
        </w:rPr>
        <w:t>9</w:t>
      </w:r>
      <w:r>
        <w:rPr>
          <w:i w:val="0"/>
        </w:rPr>
        <w:t>(2)</w:t>
      </w:r>
      <w:r>
        <w:rPr>
          <w:i w:val="0"/>
        </w:rPr>
        <w:t xml:space="preserve">, 213–230. </w:t>
      </w:r>
      <w:hyperlink r:id="rId30">
        <w:r>
          <w:rPr>
            <w:color w:val="0563C1"/>
            <w:u w:val="single"/>
          </w:rPr>
          <w:t>https://doi.org/10.1108/AJEMS-06-2017-0124</w:t>
        </w:r>
      </w:hyperlink>
    </w:p>
    <w:p w:rsidR="00D2523E" w:rsidRPr="00574714" w:rsidRDefault="00D2523E" w:rsidP="00D2523E">
      <w:pPr>
        <w:spacing w:before="0" w:after="40" w:line="240" w:lineRule="auto"/>
        <w:ind w:left="432" w:hanging="432"/>
        <w:jc w:val="left"/>
        <w:rPr>
          <w:rFonts w:ascii="Times New Roman" w:hAnsi="Times New Roman" w:cs="Times New Roman"/>
        </w:rPr>
      </w:pPr>
      <w:r>
        <w:rPr>
          <w:i w:val="0"/>
        </w:rPr>
        <w:t xml:space="preserve">Rastogi, S., Kanoujiya, J., &amp; Doifode, A. (2024). </w:t>
      </w:r>
      <w:r>
        <w:rPr>
          <w:i w:val="0"/>
        </w:rPr>
        <w:t xml:space="preserve">Volatility integration of crude oil, gold, and interest rates on the exchange rate: DCC GARCH and BEKK GARCH applications. </w:t>
      </w:r>
      <w:r>
        <w:rPr>
          <w:i/>
        </w:rPr>
        <w:t>Cogent Business &amp; Management</w:t>
      </w:r>
      <w:r>
        <w:rPr>
          <w:i w:val="0"/>
        </w:rPr>
        <w:t xml:space="preserve">, </w:t>
      </w:r>
      <w:r>
        <w:rPr>
          <w:i/>
        </w:rPr>
        <w:t>11</w:t>
      </w:r>
      <w:r>
        <w:rPr>
          <w:i w:val="0"/>
        </w:rPr>
        <w:t>(1)</w:t>
      </w:r>
      <w:r>
        <w:rPr>
          <w:i w:val="0"/>
        </w:rPr>
        <w:t xml:space="preserve">, Article 2289700. </w:t>
      </w:r>
      <w:hyperlink r:id="rId31">
        <w:r>
          <w:rPr>
            <w:color w:val="0563C1"/>
            <w:u w:val="single"/>
          </w:rPr>
          <w:t>https://doi.org/10.1080/23311975.2023.2289700</w:t>
        </w:r>
      </w:hyperlink>
    </w:p>
    <w:p w:rsidR="00D2523E" w:rsidRPr="00574714" w:rsidRDefault="00D2523E" w:rsidP="00D2523E">
      <w:pPr>
        <w:spacing w:before="0" w:after="40" w:line="240" w:lineRule="auto"/>
        <w:ind w:left="432" w:hanging="432"/>
        <w:jc w:val="left"/>
      </w:pPr>
      <w:r>
        <w:rPr>
          <w:i w:val="0"/>
        </w:rPr>
        <w:t xml:space="preserve">Sims, C. A. (1980). </w:t>
      </w:r>
      <w:r>
        <w:rPr>
          <w:i w:val="0"/>
        </w:rPr>
        <w:t xml:space="preserve">Macroeconomics and reality. </w:t>
      </w:r>
      <w:r>
        <w:rPr>
          <w:i/>
        </w:rPr>
        <w:t>Econometrica</w:t>
      </w:r>
      <w:r>
        <w:rPr>
          <w:i w:val="0"/>
        </w:rPr>
        <w:t xml:space="preserve">, </w:t>
      </w:r>
      <w:r>
        <w:rPr>
          <w:i/>
        </w:rPr>
        <w:t>48</w:t>
      </w:r>
      <w:r>
        <w:rPr>
          <w:i w:val="0"/>
        </w:rPr>
        <w:t>(1)</w:t>
      </w:r>
      <w:r>
        <w:rPr>
          <w:i w:val="0"/>
        </w:rPr>
        <w:t xml:space="preserve">, 1–48. </w:t>
      </w:r>
      <w:hyperlink r:id="rId7">
        <w:r>
          <w:rPr>
            <w:color w:val="0563C1"/>
            <w:u w:val="single"/>
          </w:rPr>
          <w:t>https://doi.org/10.2307/1912017</w:t>
        </w:r>
      </w:hyperlink>
    </w:p>
    <w:p w:rsidR="00D2523E" w:rsidRPr="00574714" w:rsidRDefault="00D2523E" w:rsidP="00D2523E">
      <w:pPr>
        <w:spacing w:line="240" w:lineRule="auto" w:before="0" w:after="40"/>
        <w:ind w:left="432" w:hanging="432"/>
        <w:jc w:val="left"/>
        <w:rPr>
          <w:rFonts w:ascii="Times New Roman" w:hAnsi="Times New Roman" w:cs="Times New Roman"/>
        </w:rPr>
      </w:pPr>
      <w:r>
        <w:rPr>
          <w:i w:val="0"/>
        </w:rPr>
        <w:t xml:space="preserve">Tsiakas, I., &amp; Zhang, H. (2021). </w:t>
      </w:r>
      <w:r>
        <w:rPr>
          <w:i w:val="0"/>
        </w:rPr>
        <w:t xml:space="preserve">Economic fundamentals and the long-run correlation between exchange rates and commodities. </w:t>
      </w:r>
      <w:r>
        <w:rPr>
          <w:i/>
        </w:rPr>
        <w:t>Global Finance Journal</w:t>
      </w:r>
      <w:r>
        <w:rPr>
          <w:i w:val="0"/>
        </w:rPr>
        <w:t xml:space="preserve">, </w:t>
      </w:r>
      <w:r>
        <w:rPr>
          <w:i/>
        </w:rPr>
        <w:t>49</w:t>
      </w:r>
      <w:r>
        <w:rPr>
          <w:i w:val="0"/>
        </w:rPr>
        <w:t xml:space="preserve">, Article 100649. </w:t>
      </w:r>
      <w:hyperlink r:id="rId32">
        <w:r>
          <w:rPr>
            <w:color w:val="0563C1"/>
            <w:u w:val="single"/>
          </w:rPr>
          <w:t>https://doi.org/10.1016/j.gfj.2021.100649</w:t>
        </w:r>
      </w:hyperlink>
    </w:p>
    <w:p w:rsidR="00B74E76" w:rsidRPr="00574714" w:rsidRDefault="00042CDD">
      <w:pPr>
        <w:spacing w:after="40" w:before="0" w:line="240" w:lineRule="auto"/>
        <w:ind w:left="432" w:hanging="432"/>
        <w:jc w:val="left"/>
      </w:pPr>
      <w:r>
        <w:rPr>
          <w:i w:val="0"/>
        </w:rPr>
        <w:t xml:space="preserve">Tumala, M. M., Salisu, A. A., &amp; Gambo, A. I. (2023). </w:t>
      </w:r>
      <w:r>
        <w:rPr>
          <w:i w:val="0"/>
        </w:rPr>
        <w:t xml:space="preserve">Disentangled oil shocks and stock market volatility in Nigeria and South Africa: A GARCH-MIDAS approach. </w:t>
      </w:r>
      <w:r>
        <w:rPr>
          <w:i/>
        </w:rPr>
        <w:t>Economic Analysis and Policy</w:t>
      </w:r>
      <w:r>
        <w:rPr>
          <w:i w:val="0"/>
        </w:rPr>
        <w:t xml:space="preserve">, </w:t>
      </w:r>
      <w:r>
        <w:rPr>
          <w:i/>
        </w:rPr>
        <w:t>78</w:t>
      </w:r>
      <w:r>
        <w:rPr>
          <w:i w:val="0"/>
        </w:rPr>
        <w:t xml:space="preserve">, 707–717. </w:t>
      </w:r>
      <w:hyperlink r:id="rId33">
        <w:r>
          <w:rPr>
            <w:color w:val="0563C1"/>
            <w:u w:val="single"/>
          </w:rPr>
          <w:t>https://doi.org/10.1016/j.eap.2023.04.009</w:t>
        </w:r>
      </w:hyperlink>
    </w:p>
    <w:p w:rsidR="00D2523E" w:rsidRPr="00574714" w:rsidRDefault="00D2523E" w:rsidP="00D2523E">
      <w:pPr>
        <w:spacing w:line="240" w:lineRule="auto" w:before="0" w:after="40"/>
        <w:ind w:left="432" w:hanging="432"/>
        <w:jc w:val="left"/>
        <w:rPr>
          <w:rFonts w:ascii="Times New Roman" w:hAnsi="Times New Roman" w:cs="Times New Roman"/>
        </w:rPr>
      </w:pPr>
      <w:r>
        <w:rPr>
          <w:i w:val="0"/>
        </w:rPr>
        <w:t xml:space="preserve">Umoru, D., Ogbeifun, K., &amp; Igbinovia, B. (2024). </w:t>
      </w:r>
      <w:r>
        <w:rPr>
          <w:i w:val="0"/>
        </w:rPr>
        <w:t xml:space="preserve">Between exchange rate returns and crude oil returns in oil-importing countries. </w:t>
      </w:r>
      <w:r>
        <w:rPr>
          <w:i/>
        </w:rPr>
        <w:t>Asian Journal of Economics, Business and Accounting</w:t>
      </w:r>
      <w:r>
        <w:rPr>
          <w:i w:val="0"/>
        </w:rPr>
        <w:t xml:space="preserve">, </w:t>
      </w:r>
      <w:r>
        <w:rPr>
          <w:i/>
        </w:rPr>
        <w:t>24</w:t>
      </w:r>
      <w:r>
        <w:rPr>
          <w:i w:val="0"/>
        </w:rPr>
        <w:t>(8)</w:t>
      </w:r>
      <w:r>
        <w:rPr>
          <w:i w:val="0"/>
        </w:rPr>
        <w:t xml:space="preserve">, 35–54. </w:t>
      </w:r>
      <w:hyperlink r:id="rId34">
        <w:r>
          <w:rPr>
            <w:color w:val="0563C1"/>
            <w:u w:val="single"/>
          </w:rPr>
          <w:t>https://doi.org/10.9734/ajeba/2024/v24i81440</w:t>
        </w:r>
      </w:hyperlink>
    </w:p>
    <w:p w:rsidR="00D2523E" w:rsidRPr="00574714" w:rsidRDefault="00D2523E" w:rsidP="00D2523E">
      <w:pPr>
        <w:spacing w:before="0" w:after="40" w:line="240" w:lineRule="auto"/>
        <w:ind w:left="432" w:hanging="432"/>
        <w:jc w:val="left"/>
      </w:pPr>
      <w:r>
        <w:rPr>
          <w:i w:val="0"/>
        </w:rPr>
        <w:t xml:space="preserve">Urom, C., Ndubuisi, G., Del Lo, G., &amp; Yuni, D. (2023). </w:t>
      </w:r>
      <w:r>
        <w:rPr>
          <w:i w:val="0"/>
        </w:rPr>
        <w:t xml:space="preserve">Global commodity and equity markets spillovers to Africa during the COVID-19 pandemic. </w:t>
      </w:r>
      <w:r>
        <w:rPr>
          <w:i/>
        </w:rPr>
        <w:t>Emerging Markets Review</w:t>
      </w:r>
      <w:r>
        <w:rPr>
          <w:i w:val="0"/>
        </w:rPr>
        <w:t xml:space="preserve">, </w:t>
      </w:r>
      <w:r>
        <w:rPr>
          <w:i/>
        </w:rPr>
        <w:t>55</w:t>
      </w:r>
      <w:r>
        <w:rPr>
          <w:i w:val="0"/>
        </w:rPr>
        <w:t xml:space="preserve">, Article 100948. </w:t>
      </w:r>
      <w:hyperlink r:id="rId35">
        <w:r>
          <w:rPr>
            <w:color w:val="0563C1"/>
            <w:u w:val="single"/>
          </w:rPr>
          <w:t>https://doi.org/10.1016/j.ememar.2022.100948</w:t>
        </w:r>
      </w:hyperlink>
    </w:p>
    <w:p w:rsidR="00B74E76" w:rsidRPr="00574714" w:rsidRDefault="00042CDD">
      <w:pPr>
        <w:spacing w:before="0" w:after="40" w:line="240" w:lineRule="auto"/>
        <w:ind w:left="432" w:hanging="432"/>
        <w:jc w:val="left"/>
      </w:pPr>
      <w:r>
        <w:rPr>
          <w:i w:val="0"/>
        </w:rPr>
        <w:t xml:space="preserve">Woode, J. K., Idun, A. A.-A., Kawor, S., Owusu Junior, P., &amp; Adam, A. M. (2025). </w:t>
      </w:r>
      <w:r>
        <w:rPr>
          <w:i w:val="0"/>
        </w:rPr>
        <w:t xml:space="preserve">Dynamic connectedness between commodities, exchange rates and equity markets of commodity-dependent sub-Saharan Africa countries. </w:t>
      </w:r>
      <w:r>
        <w:rPr>
          <w:i/>
        </w:rPr>
        <w:t>SAGE Open</w:t>
      </w:r>
      <w:r>
        <w:rPr>
          <w:i w:val="0"/>
        </w:rPr>
        <w:t xml:space="preserve">, </w:t>
      </w:r>
      <w:r>
        <w:rPr>
          <w:i/>
        </w:rPr>
        <w:t>15</w:t>
      </w:r>
      <w:r>
        <w:rPr>
          <w:i w:val="0"/>
        </w:rPr>
        <w:t>(3)</w:t>
      </w:r>
      <w:r>
        <w:rPr>
          <w:i w:val="0"/>
        </w:rPr>
        <w:t xml:space="preserve">, 1–22. </w:t>
      </w:r>
      <w:hyperlink r:id="rId36">
        <w:r>
          <w:rPr>
            <w:color w:val="0563C1"/>
            <w:u w:val="single"/>
          </w:rPr>
          <w:t>https://doi.org/10.1177/21582440251347723</w:t>
        </w:r>
      </w:hyperlink>
    </w:p>
    <w:sectPr w:rsidR="00B74E76" w:rsidRPr="005747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CDD" w:rsidRDefault="00042CDD" w:rsidP="00044728">
      <w:pPr>
        <w:spacing w:after="0" w:line="240" w:lineRule="auto"/>
      </w:pPr>
      <w:r>
        <w:separator/>
      </w:r>
    </w:p>
  </w:endnote>
  <w:endnote w:type="continuationSeparator" w:id="0">
    <w:p w:rsidR="00042CDD" w:rsidRDefault="00042CDD" w:rsidP="0004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gsanaUPC">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A0" w:rsidRDefault="004A77A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95383"/>
      <w:docPartObj>
        <w:docPartGallery w:val="Page Numbers (Bottom of Page)"/>
        <w:docPartUnique/>
      </w:docPartObj>
    </w:sdtPr>
    <w:sdtEndPr>
      <w:rPr>
        <w:noProof/>
      </w:rPr>
    </w:sdtEndPr>
    <w:sdtContent>
      <w:p w:rsidR="00583008" w:rsidRDefault="00583008">
        <w:pPr>
          <w:pStyle w:val="Footer"/>
          <w:jc w:val="center"/>
        </w:pPr>
        <w:r>
          <w:fldChar w:fldCharType="begin"/>
        </w:r>
        <w:r>
          <w:instrText xml:space="preserve"> PAGE   \* MERGEFORMAT </w:instrText>
        </w:r>
        <w:r>
          <w:fldChar w:fldCharType="separate"/>
        </w:r>
        <w:r w:rsidR="00574714">
          <w:rPr>
            <w:noProof/>
          </w:rPr>
          <w:t>22</w:t>
        </w:r>
        <w:r>
          <w:rPr>
            <w:noProof/>
          </w:rPr>
          <w:fldChar w:fldCharType="end"/>
        </w:r>
      </w:p>
    </w:sdtContent>
  </w:sdt>
  <w:p w:rsidR="00583008" w:rsidRDefault="0058300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A0" w:rsidRDefault="004A77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CDD" w:rsidRDefault="00042CDD" w:rsidP="00044728">
      <w:pPr>
        <w:spacing w:after="0" w:line="240" w:lineRule="auto"/>
      </w:pPr>
      <w:r>
        <w:separator/>
      </w:r>
    </w:p>
  </w:footnote>
  <w:footnote w:type="continuationSeparator" w:id="0">
    <w:p w:rsidR="00042CDD" w:rsidRDefault="00042CDD" w:rsidP="00044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A0" w:rsidRDefault="00042CDD">
    <w:pPr>
      <w:pStyle w:val="Header"/>
    </w:pPr>
    <w:r>
      <w:rPr>
        <w:noProof/>
      </w:rPr>
      <w:pict w14:anchorId="211A80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172876"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A0" w:rsidRDefault="00042CDD">
    <w:pPr>
      <w:pStyle w:val="Header"/>
    </w:pPr>
    <w:r>
      <w:rPr>
        <w:noProof/>
      </w:rPr>
      <w:pict w14:anchorId="0DD219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172877"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A0" w:rsidRDefault="00042CDD">
    <w:pPr>
      <w:pStyle w:val="Header"/>
    </w:pPr>
    <w:r>
      <w:rPr>
        <w:noProof/>
      </w:rPr>
      <w:pict w14:anchorId="3F6FD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172875"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3205"/>
    <w:multiLevelType w:val="multilevel"/>
    <w:tmpl w:val="2DBE4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57F87"/>
    <w:multiLevelType w:val="multilevel"/>
    <w:tmpl w:val="44A26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97973"/>
    <w:multiLevelType w:val="multilevel"/>
    <w:tmpl w:val="F24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52DBB"/>
    <w:multiLevelType w:val="hybridMultilevel"/>
    <w:tmpl w:val="4BFC5A8E"/>
    <w:lvl w:ilvl="0" w:tplc="2000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47423"/>
    <w:multiLevelType w:val="multilevel"/>
    <w:tmpl w:val="7B86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D64ED"/>
    <w:multiLevelType w:val="hybridMultilevel"/>
    <w:tmpl w:val="9D44D6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2E8727A6"/>
    <w:multiLevelType w:val="multilevel"/>
    <w:tmpl w:val="9006C6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267656"/>
    <w:multiLevelType w:val="multilevel"/>
    <w:tmpl w:val="19AE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57FD5"/>
    <w:multiLevelType w:val="multilevel"/>
    <w:tmpl w:val="A9B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12E16"/>
    <w:multiLevelType w:val="multilevel"/>
    <w:tmpl w:val="974C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1A4198"/>
    <w:multiLevelType w:val="multilevel"/>
    <w:tmpl w:val="6C8A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469B0"/>
    <w:multiLevelType w:val="hybridMultilevel"/>
    <w:tmpl w:val="8B745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1E1C94"/>
    <w:multiLevelType w:val="multilevel"/>
    <w:tmpl w:val="1D103F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B04495"/>
    <w:multiLevelType w:val="multilevel"/>
    <w:tmpl w:val="8BE8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CD7E1A"/>
    <w:multiLevelType w:val="multilevel"/>
    <w:tmpl w:val="DB16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15657"/>
    <w:multiLevelType w:val="multilevel"/>
    <w:tmpl w:val="2A48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1450A0"/>
    <w:multiLevelType w:val="multilevel"/>
    <w:tmpl w:val="9D8E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991868"/>
    <w:multiLevelType w:val="multilevel"/>
    <w:tmpl w:val="F19E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BF317D"/>
    <w:multiLevelType w:val="hybridMultilevel"/>
    <w:tmpl w:val="ADD4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83177C"/>
    <w:multiLevelType w:val="multilevel"/>
    <w:tmpl w:val="2EE8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1F3555"/>
    <w:multiLevelType w:val="multilevel"/>
    <w:tmpl w:val="67742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9B0BDA"/>
    <w:multiLevelType w:val="multilevel"/>
    <w:tmpl w:val="D07C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E50CC5"/>
    <w:multiLevelType w:val="multilevel"/>
    <w:tmpl w:val="47562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00984"/>
    <w:multiLevelType w:val="multilevel"/>
    <w:tmpl w:val="6270F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B721878"/>
    <w:multiLevelType w:val="multilevel"/>
    <w:tmpl w:val="D2C44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C74FD9"/>
    <w:multiLevelType w:val="multilevel"/>
    <w:tmpl w:val="F410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6507A1"/>
    <w:multiLevelType w:val="hybridMultilevel"/>
    <w:tmpl w:val="8B8E6C48"/>
    <w:lvl w:ilvl="0" w:tplc="D562C40C">
      <w:start w:val="1"/>
      <w:numFmt w:val="decimal"/>
      <w:lvlText w:val="%1."/>
      <w:lvlJc w:val="left"/>
      <w:pPr>
        <w:ind w:left="420" w:hanging="360"/>
      </w:pPr>
    </w:lvl>
    <w:lvl w:ilvl="1" w:tplc="20000019">
      <w:start w:val="1"/>
      <w:numFmt w:val="lowerLetter"/>
      <w:lvlText w:val="%2."/>
      <w:lvlJc w:val="left"/>
      <w:pPr>
        <w:ind w:left="1140" w:hanging="360"/>
      </w:pPr>
    </w:lvl>
    <w:lvl w:ilvl="2" w:tplc="2000001B">
      <w:start w:val="1"/>
      <w:numFmt w:val="lowerRoman"/>
      <w:lvlText w:val="%3."/>
      <w:lvlJc w:val="right"/>
      <w:pPr>
        <w:ind w:left="1860" w:hanging="180"/>
      </w:pPr>
    </w:lvl>
    <w:lvl w:ilvl="3" w:tplc="2000000F">
      <w:start w:val="1"/>
      <w:numFmt w:val="decimal"/>
      <w:lvlText w:val="%4."/>
      <w:lvlJc w:val="left"/>
      <w:pPr>
        <w:ind w:left="2580" w:hanging="360"/>
      </w:pPr>
    </w:lvl>
    <w:lvl w:ilvl="4" w:tplc="20000019">
      <w:start w:val="1"/>
      <w:numFmt w:val="lowerLetter"/>
      <w:lvlText w:val="%5."/>
      <w:lvlJc w:val="left"/>
      <w:pPr>
        <w:ind w:left="3300" w:hanging="360"/>
      </w:pPr>
    </w:lvl>
    <w:lvl w:ilvl="5" w:tplc="2000001B">
      <w:start w:val="1"/>
      <w:numFmt w:val="lowerRoman"/>
      <w:lvlText w:val="%6."/>
      <w:lvlJc w:val="right"/>
      <w:pPr>
        <w:ind w:left="4020" w:hanging="180"/>
      </w:pPr>
    </w:lvl>
    <w:lvl w:ilvl="6" w:tplc="2000000F">
      <w:start w:val="1"/>
      <w:numFmt w:val="decimal"/>
      <w:lvlText w:val="%7."/>
      <w:lvlJc w:val="left"/>
      <w:pPr>
        <w:ind w:left="4740" w:hanging="360"/>
      </w:pPr>
    </w:lvl>
    <w:lvl w:ilvl="7" w:tplc="20000019">
      <w:start w:val="1"/>
      <w:numFmt w:val="lowerLetter"/>
      <w:lvlText w:val="%8."/>
      <w:lvlJc w:val="left"/>
      <w:pPr>
        <w:ind w:left="5460" w:hanging="360"/>
      </w:pPr>
    </w:lvl>
    <w:lvl w:ilvl="8" w:tplc="2000001B">
      <w:start w:val="1"/>
      <w:numFmt w:val="lowerRoman"/>
      <w:lvlText w:val="%9."/>
      <w:lvlJc w:val="right"/>
      <w:pPr>
        <w:ind w:left="6180" w:hanging="180"/>
      </w:pPr>
    </w:lvl>
  </w:abstractNum>
  <w:abstractNum w:abstractNumId="27" w15:restartNumberingAfterBreak="0">
    <w:nsid w:val="7D4628A0"/>
    <w:multiLevelType w:val="multilevel"/>
    <w:tmpl w:val="74BE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7"/>
  </w:num>
  <w:num w:numId="3">
    <w:abstractNumId w:val="16"/>
  </w:num>
  <w:num w:numId="4">
    <w:abstractNumId w:val="17"/>
  </w:num>
  <w:num w:numId="5">
    <w:abstractNumId w:val="6"/>
  </w:num>
  <w:num w:numId="6">
    <w:abstractNumId w:val="25"/>
  </w:num>
  <w:num w:numId="7">
    <w:abstractNumId w:val="13"/>
  </w:num>
  <w:num w:numId="8">
    <w:abstractNumId w:val="7"/>
  </w:num>
  <w:num w:numId="9">
    <w:abstractNumId w:val="21"/>
  </w:num>
  <w:num w:numId="10">
    <w:abstractNumId w:val="4"/>
  </w:num>
  <w:num w:numId="11">
    <w:abstractNumId w:val="8"/>
  </w:num>
  <w:num w:numId="12">
    <w:abstractNumId w:val="2"/>
  </w:num>
  <w:num w:numId="13">
    <w:abstractNumId w:val="14"/>
  </w:num>
  <w:num w:numId="14">
    <w:abstractNumId w:val="12"/>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9"/>
  </w:num>
  <w:num w:numId="22">
    <w:abstractNumId w:val="10"/>
  </w:num>
  <w:num w:numId="23">
    <w:abstractNumId w:val="18"/>
  </w:num>
  <w:num w:numId="24">
    <w:abstractNumId w:val="11"/>
  </w:num>
  <w:num w:numId="25">
    <w:abstractNumId w:val="1"/>
  </w:num>
  <w:num w:numId="26">
    <w:abstractNumId w:val="9"/>
  </w:num>
  <w:num w:numId="27">
    <w:abstractNumId w:val="0"/>
  </w:num>
  <w:num w:numId="28">
    <w:abstractNumId w:val="5"/>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C17"/>
    <w:rsid w:val="00033BF2"/>
    <w:rsid w:val="00042CDD"/>
    <w:rsid w:val="0004371C"/>
    <w:rsid w:val="00044728"/>
    <w:rsid w:val="00075FF0"/>
    <w:rsid w:val="00097B0E"/>
    <w:rsid w:val="000A2217"/>
    <w:rsid w:val="000A7E85"/>
    <w:rsid w:val="0014727B"/>
    <w:rsid w:val="00151DC7"/>
    <w:rsid w:val="001A1001"/>
    <w:rsid w:val="001C6F0B"/>
    <w:rsid w:val="001D1133"/>
    <w:rsid w:val="001E7FF5"/>
    <w:rsid w:val="001F7107"/>
    <w:rsid w:val="00231DC6"/>
    <w:rsid w:val="00245497"/>
    <w:rsid w:val="002E0BE9"/>
    <w:rsid w:val="00316CC6"/>
    <w:rsid w:val="00353B5B"/>
    <w:rsid w:val="00367204"/>
    <w:rsid w:val="00367FEE"/>
    <w:rsid w:val="003765B7"/>
    <w:rsid w:val="00377968"/>
    <w:rsid w:val="003A5880"/>
    <w:rsid w:val="003B6A92"/>
    <w:rsid w:val="003C44FE"/>
    <w:rsid w:val="003C6872"/>
    <w:rsid w:val="004A77A0"/>
    <w:rsid w:val="00502324"/>
    <w:rsid w:val="00510455"/>
    <w:rsid w:val="00551BD8"/>
    <w:rsid w:val="00574714"/>
    <w:rsid w:val="00583008"/>
    <w:rsid w:val="005B132E"/>
    <w:rsid w:val="00613C5C"/>
    <w:rsid w:val="00661ECD"/>
    <w:rsid w:val="006E59BF"/>
    <w:rsid w:val="006F41A4"/>
    <w:rsid w:val="00701B1A"/>
    <w:rsid w:val="00722F2F"/>
    <w:rsid w:val="00747E47"/>
    <w:rsid w:val="007C0D65"/>
    <w:rsid w:val="007C27D5"/>
    <w:rsid w:val="007E3FA6"/>
    <w:rsid w:val="007E57DA"/>
    <w:rsid w:val="007F2EE5"/>
    <w:rsid w:val="00803B32"/>
    <w:rsid w:val="00805FDE"/>
    <w:rsid w:val="00826975"/>
    <w:rsid w:val="00830465"/>
    <w:rsid w:val="00862DFA"/>
    <w:rsid w:val="008A2C17"/>
    <w:rsid w:val="008A3E91"/>
    <w:rsid w:val="00901380"/>
    <w:rsid w:val="00907FBE"/>
    <w:rsid w:val="00930833"/>
    <w:rsid w:val="00976F11"/>
    <w:rsid w:val="009B51E9"/>
    <w:rsid w:val="00A231F1"/>
    <w:rsid w:val="00A5036E"/>
    <w:rsid w:val="00A5538E"/>
    <w:rsid w:val="00A84A62"/>
    <w:rsid w:val="00B137B1"/>
    <w:rsid w:val="00B62D2D"/>
    <w:rsid w:val="00B74E76"/>
    <w:rsid w:val="00B95B2C"/>
    <w:rsid w:val="00BD1D7C"/>
    <w:rsid w:val="00BE67CF"/>
    <w:rsid w:val="00C02D2C"/>
    <w:rsid w:val="00C0788D"/>
    <w:rsid w:val="00C34BE0"/>
    <w:rsid w:val="00C57910"/>
    <w:rsid w:val="00C66BD0"/>
    <w:rsid w:val="00CE1A3C"/>
    <w:rsid w:val="00CE35AC"/>
    <w:rsid w:val="00D12F84"/>
    <w:rsid w:val="00D2267E"/>
    <w:rsid w:val="00D2523E"/>
    <w:rsid w:val="00D51516"/>
    <w:rsid w:val="00D67BFE"/>
    <w:rsid w:val="00D71310"/>
    <w:rsid w:val="00D74890"/>
    <w:rsid w:val="00D77BE4"/>
    <w:rsid w:val="00D956BC"/>
    <w:rsid w:val="00D977B1"/>
    <w:rsid w:val="00DA019E"/>
    <w:rsid w:val="00DA4B91"/>
    <w:rsid w:val="00DC2DFE"/>
    <w:rsid w:val="00DD41A7"/>
    <w:rsid w:val="00DE0D6E"/>
    <w:rsid w:val="00E06862"/>
    <w:rsid w:val="00E25E77"/>
    <w:rsid w:val="00EB11CF"/>
    <w:rsid w:val="00EE0234"/>
    <w:rsid w:val="00EF3BFD"/>
    <w:rsid w:val="00F0356E"/>
    <w:rsid w:val="00F65960"/>
    <w:rsid w:val="00FA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C735382"/>
  <w15:chartTrackingRefBased/>
  <w15:docId w15:val="{E6F334B8-1361-4556-A1C7-73BD2D69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F0B"/>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6E59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E59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6E59B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E59B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E59B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E5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9B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6E59BF"/>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6E59BF"/>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6E59BF"/>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6E59BF"/>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6E59BF"/>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6E59BF"/>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6E59BF"/>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E59BF"/>
    <w:rPr>
      <w:rFonts w:eastAsiaTheme="majorEastAsia" w:cstheme="majorBidi"/>
      <w:color w:val="272727" w:themeColor="text1" w:themeTint="D8"/>
      <w:kern w:val="2"/>
      <w:sz w:val="24"/>
      <w:szCs w:val="24"/>
      <w14:ligatures w14:val="standardContextual"/>
    </w:rPr>
  </w:style>
  <w:style w:type="character" w:styleId="Strong">
    <w:name w:val="Strong"/>
    <w:basedOn w:val="DefaultParagraphFont"/>
    <w:uiPriority w:val="22"/>
    <w:qFormat/>
    <w:rsid w:val="001C6F0B"/>
    <w:rPr>
      <w:b/>
      <w:bCs/>
    </w:rPr>
  </w:style>
  <w:style w:type="paragraph" w:styleId="NormalWeb">
    <w:name w:val="Normal (Web)"/>
    <w:basedOn w:val="Normal"/>
    <w:uiPriority w:val="99"/>
    <w:unhideWhenUsed/>
    <w:rsid w:val="001C6F0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itle">
    <w:name w:val="Title"/>
    <w:basedOn w:val="Normal"/>
    <w:next w:val="Normal"/>
    <w:link w:val="TitleChar"/>
    <w:uiPriority w:val="10"/>
    <w:qFormat/>
    <w:rsid w:val="006E5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9BF"/>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E5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9B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E59BF"/>
    <w:pPr>
      <w:spacing w:before="160"/>
      <w:jc w:val="center"/>
    </w:pPr>
    <w:rPr>
      <w:i/>
      <w:iCs/>
      <w:color w:val="404040" w:themeColor="text1" w:themeTint="BF"/>
    </w:rPr>
  </w:style>
  <w:style w:type="character" w:customStyle="1" w:styleId="QuoteChar">
    <w:name w:val="Quote Char"/>
    <w:basedOn w:val="DefaultParagraphFont"/>
    <w:link w:val="Quote"/>
    <w:uiPriority w:val="29"/>
    <w:rsid w:val="006E59BF"/>
    <w:rPr>
      <w:i/>
      <w:iCs/>
      <w:color w:val="404040" w:themeColor="text1" w:themeTint="BF"/>
      <w:kern w:val="2"/>
      <w:sz w:val="24"/>
      <w:szCs w:val="24"/>
      <w14:ligatures w14:val="standardContextual"/>
    </w:rPr>
  </w:style>
  <w:style w:type="paragraph" w:styleId="ListParagraph">
    <w:name w:val="List Paragraph"/>
    <w:basedOn w:val="Normal"/>
    <w:uiPriority w:val="34"/>
    <w:qFormat/>
    <w:rsid w:val="006E59BF"/>
    <w:pPr>
      <w:ind w:left="720"/>
      <w:contextualSpacing/>
    </w:pPr>
  </w:style>
  <w:style w:type="character" w:styleId="IntenseEmphasis">
    <w:name w:val="Intense Emphasis"/>
    <w:basedOn w:val="DefaultParagraphFont"/>
    <w:uiPriority w:val="21"/>
    <w:qFormat/>
    <w:rsid w:val="006E59BF"/>
    <w:rPr>
      <w:i/>
      <w:iCs/>
      <w:color w:val="2E74B5" w:themeColor="accent1" w:themeShade="BF"/>
    </w:rPr>
  </w:style>
  <w:style w:type="paragraph" w:styleId="IntenseQuote">
    <w:name w:val="Intense Quote"/>
    <w:basedOn w:val="Normal"/>
    <w:next w:val="Normal"/>
    <w:link w:val="IntenseQuoteChar"/>
    <w:uiPriority w:val="30"/>
    <w:qFormat/>
    <w:rsid w:val="006E59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E59BF"/>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6E59BF"/>
    <w:rPr>
      <w:b/>
      <w:bCs/>
      <w:smallCaps/>
      <w:color w:val="2E74B5" w:themeColor="accent1" w:themeShade="BF"/>
      <w:spacing w:val="5"/>
    </w:rPr>
  </w:style>
  <w:style w:type="paragraph" w:customStyle="1" w:styleId="pdq2pgselectionanchorcontainer">
    <w:name w:val="pdq2pg_selectionanchorcontainer"/>
    <w:basedOn w:val="Normal"/>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E59BF"/>
    <w:rPr>
      <w:i/>
      <w:iCs/>
    </w:rPr>
  </w:style>
  <w:style w:type="paragraph" w:customStyle="1" w:styleId="isselectedend">
    <w:name w:val="isselectedend"/>
    <w:basedOn w:val="Normal"/>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6E59BF"/>
  </w:style>
  <w:style w:type="paragraph" w:customStyle="1" w:styleId="font-claude-response-body">
    <w:name w:val="font-claude-response-body"/>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E59BF"/>
    <w:rPr>
      <w:color w:val="0000FF"/>
      <w:u w:val="single"/>
    </w:rPr>
  </w:style>
  <w:style w:type="character" w:customStyle="1" w:styleId="whitespace-normal">
    <w:name w:val="whitespace-normal"/>
    <w:basedOn w:val="DefaultParagraphFont"/>
    <w:rsid w:val="006E59BF"/>
  </w:style>
  <w:style w:type="paragraph" w:styleId="Header">
    <w:name w:val="header"/>
    <w:basedOn w:val="Normal"/>
    <w:link w:val="HeaderChar"/>
    <w:uiPriority w:val="99"/>
    <w:unhideWhenUsed/>
    <w:rsid w:val="006E5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9BF"/>
    <w:rPr>
      <w:kern w:val="2"/>
      <w:sz w:val="24"/>
      <w:szCs w:val="24"/>
      <w14:ligatures w14:val="standardContextual"/>
    </w:rPr>
  </w:style>
  <w:style w:type="paragraph" w:styleId="Footer">
    <w:name w:val="footer"/>
    <w:basedOn w:val="Normal"/>
    <w:link w:val="FooterChar"/>
    <w:uiPriority w:val="99"/>
    <w:unhideWhenUsed/>
    <w:rsid w:val="006E5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9BF"/>
    <w:rPr>
      <w:kern w:val="2"/>
      <w:sz w:val="24"/>
      <w:szCs w:val="24"/>
      <w14:ligatures w14:val="standardContextual"/>
    </w:rPr>
  </w:style>
  <w:style w:type="paragraph" w:customStyle="1" w:styleId="ds-markdown-paragraph">
    <w:name w:val="ds-markdown-paragraph"/>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katex-mathml">
    <w:name w:val="katex-mathml"/>
    <w:basedOn w:val="DefaultParagraphFont"/>
    <w:rsid w:val="006E59BF"/>
  </w:style>
  <w:style w:type="character" w:customStyle="1" w:styleId="mord">
    <w:name w:val="mord"/>
    <w:basedOn w:val="DefaultParagraphFont"/>
    <w:rsid w:val="006E59BF"/>
  </w:style>
  <w:style w:type="character" w:customStyle="1" w:styleId="vlist-s">
    <w:name w:val="vlist-s"/>
    <w:basedOn w:val="DefaultParagraphFont"/>
    <w:rsid w:val="006E59BF"/>
  </w:style>
  <w:style w:type="character" w:customStyle="1" w:styleId="mrel">
    <w:name w:val="mrel"/>
    <w:basedOn w:val="DefaultParagraphFont"/>
    <w:rsid w:val="006E59BF"/>
  </w:style>
  <w:style w:type="character" w:customStyle="1" w:styleId="mbin">
    <w:name w:val="mbin"/>
    <w:basedOn w:val="DefaultParagraphFont"/>
    <w:rsid w:val="006E59BF"/>
  </w:style>
  <w:style w:type="character" w:customStyle="1" w:styleId="mopen">
    <w:name w:val="mopen"/>
    <w:basedOn w:val="DefaultParagraphFont"/>
    <w:rsid w:val="006E59BF"/>
  </w:style>
  <w:style w:type="character" w:customStyle="1" w:styleId="mpunct">
    <w:name w:val="mpunct"/>
    <w:basedOn w:val="DefaultParagraphFont"/>
    <w:rsid w:val="006E59BF"/>
  </w:style>
  <w:style w:type="character" w:customStyle="1" w:styleId="mclose">
    <w:name w:val="mclose"/>
    <w:basedOn w:val="DefaultParagraphFont"/>
    <w:rsid w:val="006E59BF"/>
  </w:style>
  <w:style w:type="paragraph" w:styleId="BalloonText">
    <w:name w:val="Balloon Text"/>
    <w:basedOn w:val="Normal"/>
    <w:link w:val="BalloonTextChar"/>
    <w:uiPriority w:val="99"/>
    <w:unhideWhenUsed/>
    <w:rsid w:val="006E59BF"/>
    <w:pPr>
      <w:spacing w:after="0" w:line="240" w:lineRule="auto"/>
    </w:pPr>
    <w:rPr>
      <w:rFonts w:ascii="Tahoma" w:eastAsia="Calibri" w:hAnsi="Tahoma" w:cs="Times New Roman"/>
      <w:kern w:val="0"/>
      <w:sz w:val="16"/>
      <w:szCs w:val="16"/>
      <w:lang w:val="en-GB"/>
      <w14:ligatures w14:val="none"/>
    </w:rPr>
  </w:style>
  <w:style w:type="character" w:customStyle="1" w:styleId="BalloonTextChar">
    <w:name w:val="Balloon Text Char"/>
    <w:basedOn w:val="DefaultParagraphFont"/>
    <w:link w:val="BalloonText"/>
    <w:uiPriority w:val="99"/>
    <w:rsid w:val="006E59BF"/>
    <w:rPr>
      <w:rFonts w:ascii="Tahoma" w:eastAsia="Calibri" w:hAnsi="Tahoma" w:cs="Times New Roman"/>
      <w:sz w:val="16"/>
      <w:szCs w:val="16"/>
      <w:lang w:val="en-GB"/>
    </w:rPr>
  </w:style>
  <w:style w:type="paragraph" w:customStyle="1" w:styleId="Default">
    <w:name w:val="Default"/>
    <w:uiPriority w:val="99"/>
    <w:rsid w:val="006E59B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6E59BF"/>
    <w:pPr>
      <w:spacing w:after="0" w:line="240" w:lineRule="auto"/>
    </w:pPr>
    <w:rPr>
      <w:rFonts w:ascii="Calibri" w:eastAsia="SimSun" w:hAnsi="Calibri" w:cs="SimSun"/>
    </w:rPr>
  </w:style>
  <w:style w:type="character" w:customStyle="1" w:styleId="NoSpacingChar">
    <w:name w:val="No Spacing Char"/>
    <w:basedOn w:val="DefaultParagraphFont"/>
    <w:link w:val="NoSpacing"/>
    <w:uiPriority w:val="1"/>
    <w:rsid w:val="006E59BF"/>
    <w:rPr>
      <w:rFonts w:ascii="Calibri" w:eastAsia="SimSun" w:hAnsi="Calibri" w:cs="SimSun"/>
    </w:rPr>
  </w:style>
  <w:style w:type="table" w:styleId="TableGrid">
    <w:name w:val="Table Grid"/>
    <w:basedOn w:val="TableNormal"/>
    <w:uiPriority w:val="59"/>
    <w:rsid w:val="006E5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block">
    <w:name w:val="inlineblock"/>
    <w:basedOn w:val="DefaultParagraphFont"/>
    <w:rsid w:val="006E59BF"/>
  </w:style>
  <w:style w:type="character" w:customStyle="1" w:styleId="html-italic">
    <w:name w:val="html-italic"/>
    <w:basedOn w:val="DefaultParagraphFont"/>
    <w:rsid w:val="006E59BF"/>
  </w:style>
  <w:style w:type="character" w:customStyle="1" w:styleId="name">
    <w:name w:val="name"/>
    <w:basedOn w:val="DefaultParagraphFont"/>
    <w:rsid w:val="006E59BF"/>
  </w:style>
  <w:style w:type="character" w:customStyle="1" w:styleId="affiliation">
    <w:name w:val="affiliation"/>
    <w:basedOn w:val="DefaultParagraphFont"/>
    <w:rsid w:val="006E59BF"/>
  </w:style>
  <w:style w:type="character" w:customStyle="1" w:styleId="t">
    <w:name w:val="t"/>
    <w:basedOn w:val="DefaultParagraphFont"/>
    <w:rsid w:val="006E59BF"/>
  </w:style>
  <w:style w:type="paragraph" w:customStyle="1" w:styleId="last">
    <w:name w:val="last"/>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hgkelc">
    <w:name w:val="hgkelc"/>
    <w:basedOn w:val="DefaultParagraphFont"/>
    <w:rsid w:val="006E59BF"/>
  </w:style>
  <w:style w:type="character" w:customStyle="1" w:styleId="MTConvertedEquation">
    <w:name w:val="MTConvertedEquation"/>
    <w:basedOn w:val="DefaultParagraphFont"/>
    <w:rsid w:val="006E59BF"/>
    <w:rPr>
      <w:rFonts w:ascii="Times New Roman" w:hAnsi="Times New Roman" w:cs="Times New Roman"/>
      <w:sz w:val="24"/>
      <w:szCs w:val="24"/>
    </w:rPr>
  </w:style>
  <w:style w:type="character" w:customStyle="1" w:styleId="a">
    <w:name w:val="_"/>
    <w:basedOn w:val="DefaultParagraphFont"/>
    <w:rsid w:val="006E59BF"/>
  </w:style>
  <w:style w:type="character" w:styleId="PlaceholderText">
    <w:name w:val="Placeholder Text"/>
    <w:basedOn w:val="DefaultParagraphFont"/>
    <w:uiPriority w:val="99"/>
    <w:semiHidden/>
    <w:rsid w:val="006E59BF"/>
    <w:rPr>
      <w:color w:val="808080"/>
    </w:rPr>
  </w:style>
  <w:style w:type="character" w:customStyle="1" w:styleId="ff5">
    <w:name w:val="ff5"/>
    <w:basedOn w:val="DefaultParagraphFont"/>
    <w:rsid w:val="006E59BF"/>
  </w:style>
  <w:style w:type="character" w:customStyle="1" w:styleId="ff1">
    <w:name w:val="ff1"/>
    <w:basedOn w:val="DefaultParagraphFont"/>
    <w:rsid w:val="006E59BF"/>
  </w:style>
  <w:style w:type="paragraph" w:customStyle="1" w:styleId="MTDisplayEquation">
    <w:name w:val="MTDisplayEquation"/>
    <w:basedOn w:val="Normal"/>
    <w:next w:val="Normal"/>
    <w:link w:val="MTDisplayEquationChar"/>
    <w:rsid w:val="006E59BF"/>
    <w:pPr>
      <w:tabs>
        <w:tab w:val="center" w:pos="4680"/>
        <w:tab w:val="right" w:pos="9360"/>
      </w:tabs>
      <w:spacing w:after="200" w:line="276" w:lineRule="auto"/>
      <w:jc w:val="both"/>
    </w:pPr>
    <w:rPr>
      <w:kern w:val="0"/>
      <w:sz w:val="22"/>
      <w:szCs w:val="22"/>
      <w14:ligatures w14:val="none"/>
    </w:rPr>
  </w:style>
  <w:style w:type="character" w:customStyle="1" w:styleId="MTDisplayEquationChar">
    <w:name w:val="MTDisplayEquation Char"/>
    <w:basedOn w:val="DefaultParagraphFont"/>
    <w:link w:val="MTDisplayEquation"/>
    <w:rsid w:val="006E59BF"/>
  </w:style>
  <w:style w:type="character" w:styleId="FollowedHyperlink">
    <w:name w:val="FollowedHyperlink"/>
    <w:basedOn w:val="DefaultParagraphFont"/>
    <w:uiPriority w:val="99"/>
    <w:semiHidden/>
    <w:unhideWhenUsed/>
    <w:rsid w:val="006E59BF"/>
    <w:rPr>
      <w:color w:val="954F72" w:themeColor="followedHyperlink"/>
      <w:u w:val="single"/>
    </w:rPr>
  </w:style>
  <w:style w:type="paragraph" w:styleId="FootnoteText">
    <w:name w:val="footnote text"/>
    <w:link w:val="FootnoteTextChar"/>
    <w:uiPriority w:val="99"/>
    <w:semiHidden/>
    <w:unhideWhenUsed/>
    <w:rsid w:val="006E59BF"/>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6E59BF"/>
    <w:rPr>
      <w:rFonts w:ascii="Times New Roman" w:eastAsia="Times New Roman" w:hAnsi="Times New Roman" w:cs="Times New Roman"/>
      <w:sz w:val="20"/>
      <w:szCs w:val="20"/>
      <w:lang w:val="en-GB" w:eastAsia="en-GB"/>
    </w:rPr>
  </w:style>
  <w:style w:type="paragraph" w:styleId="BodyText">
    <w:name w:val="Body Text"/>
    <w:basedOn w:val="Normal"/>
    <w:link w:val="BodyTextChar"/>
    <w:uiPriority w:val="1"/>
    <w:semiHidden/>
    <w:unhideWhenUsed/>
    <w:qFormat/>
    <w:rsid w:val="006E59BF"/>
    <w:pPr>
      <w:spacing w:before="180" w:after="180" w:line="240" w:lineRule="auto"/>
    </w:pPr>
    <w:rPr>
      <w:kern w:val="0"/>
      <w14:ligatures w14:val="none"/>
    </w:rPr>
  </w:style>
  <w:style w:type="character" w:customStyle="1" w:styleId="BodyTextChar">
    <w:name w:val="Body Text Char"/>
    <w:basedOn w:val="DefaultParagraphFont"/>
    <w:link w:val="BodyText"/>
    <w:uiPriority w:val="1"/>
    <w:semiHidden/>
    <w:rsid w:val="006E59BF"/>
    <w:rPr>
      <w:sz w:val="24"/>
      <w:szCs w:val="24"/>
    </w:rPr>
  </w:style>
  <w:style w:type="paragraph" w:styleId="DocumentMap">
    <w:name w:val="Document Map"/>
    <w:basedOn w:val="Normal"/>
    <w:link w:val="DocumentMapChar"/>
    <w:uiPriority w:val="99"/>
    <w:semiHidden/>
    <w:unhideWhenUsed/>
    <w:rsid w:val="006E59BF"/>
    <w:pPr>
      <w:spacing w:after="0" w:line="240" w:lineRule="auto"/>
    </w:pPr>
    <w:rPr>
      <w:rFonts w:ascii="Tahoma" w:hAnsi="Tahoma" w:cs="Tahoma"/>
      <w:kern w:val="0"/>
      <w:sz w:val="16"/>
      <w:szCs w:val="16"/>
      <w14:ligatures w14:val="none"/>
    </w:rPr>
  </w:style>
  <w:style w:type="character" w:customStyle="1" w:styleId="DocumentMapChar">
    <w:name w:val="Document Map Char"/>
    <w:basedOn w:val="DefaultParagraphFont"/>
    <w:link w:val="DocumentMap"/>
    <w:uiPriority w:val="99"/>
    <w:semiHidden/>
    <w:rsid w:val="006E59BF"/>
    <w:rPr>
      <w:rFonts w:ascii="Tahoma" w:hAnsi="Tahoma" w:cs="Tahoma"/>
      <w:sz w:val="16"/>
      <w:szCs w:val="16"/>
    </w:rPr>
  </w:style>
  <w:style w:type="paragraph" w:customStyle="1" w:styleId="comp">
    <w:name w:val="comp"/>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ext-align-center">
    <w:name w:val="text-align-center"/>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spacing0">
    <w:name w:val="nospacing"/>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otnotedescriptionChar">
    <w:name w:val="footnote description Char"/>
    <w:link w:val="footnotedescription"/>
    <w:locked/>
    <w:rsid w:val="006E59BF"/>
    <w:rPr>
      <w:rFonts w:ascii="Times New Roman" w:eastAsia="Times New Roman" w:hAnsi="Times New Roman" w:cs="Times New Roman"/>
      <w:color w:val="000000"/>
      <w:sz w:val="20"/>
    </w:rPr>
  </w:style>
  <w:style w:type="paragraph" w:customStyle="1" w:styleId="footnotedescription">
    <w:name w:val="footnote description"/>
    <w:next w:val="Normal"/>
    <w:link w:val="footnotedescriptionChar"/>
    <w:rsid w:val="006E59BF"/>
    <w:pPr>
      <w:spacing w:after="0" w:line="256" w:lineRule="auto"/>
      <w:ind w:left="658"/>
    </w:pPr>
    <w:rPr>
      <w:rFonts w:ascii="Times New Roman" w:eastAsia="Times New Roman" w:hAnsi="Times New Roman" w:cs="Times New Roman"/>
      <w:color w:val="000000"/>
      <w:sz w:val="20"/>
    </w:rPr>
  </w:style>
  <w:style w:type="paragraph" w:customStyle="1" w:styleId="partialsearchresults-item-abstract">
    <w:name w:val="partialsearchresults-item-abstract"/>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tialsearchresults-item-url">
    <w:name w:val="partialsearchresults-item-url"/>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oot-block-node">
    <w:name w:val="root-block-node"/>
    <w:basedOn w:val="Normal"/>
    <w:uiPriority w:val="99"/>
    <w:rsid w:val="006E59BF"/>
    <w:pPr>
      <w:spacing w:before="100" w:beforeAutospacing="1" w:after="100" w:afterAutospacing="1" w:line="240" w:lineRule="auto"/>
    </w:pPr>
    <w:rPr>
      <w:rFonts w:ascii="Times New Roman" w:eastAsiaTheme="minorEastAsia" w:hAnsi="Times New Roman" w:cs="Times New Roman"/>
      <w:kern w:val="0"/>
      <w:lang w:val="en-GB" w:eastAsia="en-GB"/>
      <w14:ligatures w14:val="none"/>
    </w:rPr>
  </w:style>
  <w:style w:type="paragraph" w:customStyle="1" w:styleId="yiv2951368979msonormal">
    <w:name w:val="yiv2951368979msonormal"/>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E59BF"/>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Heading10">
    <w:name w:val="Heading #1_"/>
    <w:basedOn w:val="DefaultParagraphFont"/>
    <w:link w:val="Heading11"/>
    <w:locked/>
    <w:rsid w:val="006E59BF"/>
    <w:rPr>
      <w:rFonts w:ascii="AngsanaUPC" w:eastAsia="AngsanaUPC" w:hAnsi="AngsanaUPC" w:cs="AngsanaUPC"/>
      <w:b/>
      <w:bCs/>
      <w:sz w:val="46"/>
      <w:szCs w:val="46"/>
      <w:shd w:val="clear" w:color="auto" w:fill="FFFFFF"/>
    </w:rPr>
  </w:style>
  <w:style w:type="paragraph" w:customStyle="1" w:styleId="Heading11">
    <w:name w:val="Heading #1"/>
    <w:basedOn w:val="Normal"/>
    <w:link w:val="Heading10"/>
    <w:rsid w:val="006E59BF"/>
    <w:pPr>
      <w:widowControl w:val="0"/>
      <w:shd w:val="clear" w:color="auto" w:fill="FFFFFF"/>
      <w:spacing w:before="840" w:after="540" w:line="0" w:lineRule="atLeast"/>
      <w:jc w:val="center"/>
      <w:outlineLvl w:val="0"/>
    </w:pPr>
    <w:rPr>
      <w:rFonts w:ascii="AngsanaUPC" w:eastAsia="AngsanaUPC" w:hAnsi="AngsanaUPC" w:cs="AngsanaUPC"/>
      <w:b/>
      <w:bCs/>
      <w:kern w:val="0"/>
      <w:sz w:val="46"/>
      <w:szCs w:val="46"/>
      <w14:ligatures w14:val="none"/>
    </w:rPr>
  </w:style>
  <w:style w:type="paragraph" w:customStyle="1" w:styleId="BodyText1">
    <w:name w:val="Body Text1"/>
    <w:basedOn w:val="Normal"/>
    <w:uiPriority w:val="99"/>
    <w:rsid w:val="006E59BF"/>
    <w:pPr>
      <w:widowControl w:val="0"/>
      <w:shd w:val="clear" w:color="auto" w:fill="FFFFFF"/>
      <w:spacing w:before="540" w:after="480" w:line="0" w:lineRule="atLeast"/>
      <w:jc w:val="center"/>
    </w:pPr>
    <w:rPr>
      <w:rFonts w:ascii="AngsanaUPC" w:eastAsia="AngsanaUPC" w:hAnsi="AngsanaUPC" w:cs="AngsanaUPC"/>
      <w:b/>
      <w:bCs/>
      <w:kern w:val="0"/>
      <w:sz w:val="34"/>
      <w:szCs w:val="34"/>
      <w14:ligatures w14:val="none"/>
    </w:rPr>
  </w:style>
  <w:style w:type="paragraph" w:customStyle="1" w:styleId="zfr3q">
    <w:name w:val="zfr3q"/>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1">
    <w:name w:val="Unresolved Mention1"/>
    <w:basedOn w:val="DefaultParagraphFont"/>
    <w:uiPriority w:val="99"/>
    <w:semiHidden/>
    <w:rsid w:val="006E59BF"/>
    <w:rPr>
      <w:color w:val="605E5C"/>
      <w:shd w:val="clear" w:color="auto" w:fill="E1DFDD"/>
    </w:rPr>
  </w:style>
  <w:style w:type="character" w:customStyle="1" w:styleId="markedcontent">
    <w:name w:val="markedcontent"/>
    <w:basedOn w:val="DefaultParagraphFont"/>
    <w:rsid w:val="006E59BF"/>
  </w:style>
  <w:style w:type="character" w:customStyle="1" w:styleId="mntl-sc-block-headingtext">
    <w:name w:val="mntl-sc-block-heading__text"/>
    <w:basedOn w:val="DefaultParagraphFont"/>
    <w:rsid w:val="006E59BF"/>
  </w:style>
  <w:style w:type="character" w:customStyle="1" w:styleId="mntl-inline-citation">
    <w:name w:val="mntl-inline-citation"/>
    <w:basedOn w:val="DefaultParagraphFont"/>
    <w:rsid w:val="006E59BF"/>
  </w:style>
  <w:style w:type="character" w:customStyle="1" w:styleId="figure-article-caption-owner">
    <w:name w:val="figure-article-caption-owner"/>
    <w:basedOn w:val="DefaultParagraphFont"/>
    <w:rsid w:val="006E59BF"/>
  </w:style>
  <w:style w:type="character" w:customStyle="1" w:styleId="mntl-sc-block-subheadingtext">
    <w:name w:val="mntl-sc-block-subheading__text"/>
    <w:basedOn w:val="DefaultParagraphFont"/>
    <w:rsid w:val="006E59BF"/>
  </w:style>
  <w:style w:type="character" w:customStyle="1" w:styleId="field">
    <w:name w:val="field"/>
    <w:basedOn w:val="DefaultParagraphFont"/>
    <w:rsid w:val="006E59BF"/>
  </w:style>
  <w:style w:type="character" w:customStyle="1" w:styleId="linkwrapper">
    <w:name w:val="link__wrapper"/>
    <w:basedOn w:val="DefaultParagraphFont"/>
    <w:rsid w:val="006E59BF"/>
  </w:style>
  <w:style w:type="character" w:customStyle="1" w:styleId="footnotemark">
    <w:name w:val="footnote mark"/>
    <w:rsid w:val="006E59BF"/>
    <w:rPr>
      <w:rFonts w:ascii="Calibri" w:eastAsia="Calibri" w:hAnsi="Calibri" w:cs="Calibri" w:hint="default"/>
      <w:color w:val="000000"/>
      <w:sz w:val="20"/>
      <w:vertAlign w:val="superscript"/>
    </w:rPr>
  </w:style>
  <w:style w:type="character" w:customStyle="1" w:styleId="gissauthor">
    <w:name w:val="gissauthor"/>
    <w:basedOn w:val="DefaultParagraphFont"/>
    <w:rsid w:val="006E59BF"/>
  </w:style>
  <w:style w:type="character" w:customStyle="1" w:styleId="jw-volume-update">
    <w:name w:val="jw-volume-update"/>
    <w:basedOn w:val="DefaultParagraphFont"/>
    <w:rsid w:val="006E59BF"/>
  </w:style>
  <w:style w:type="character" w:customStyle="1" w:styleId="author-list">
    <w:name w:val="author-list"/>
    <w:basedOn w:val="DefaultParagraphFont"/>
    <w:rsid w:val="006E59BF"/>
  </w:style>
  <w:style w:type="character" w:customStyle="1" w:styleId="BodyTextChar1">
    <w:name w:val="Body Text Char1"/>
    <w:basedOn w:val="DefaultParagraphFont"/>
    <w:uiPriority w:val="99"/>
    <w:semiHidden/>
    <w:rsid w:val="006E59BF"/>
    <w:rPr>
      <w:rFonts w:ascii="Times New Roman" w:eastAsia="Times New Roman" w:hAnsi="Times New Roman" w:cs="Times New Roman" w:hint="default"/>
      <w:sz w:val="20"/>
      <w:szCs w:val="20"/>
      <w:lang w:val="en-GB" w:eastAsia="en-GB"/>
    </w:rPr>
  </w:style>
  <w:style w:type="character" w:customStyle="1" w:styleId="c9dxtc">
    <w:name w:val="c9dxtc"/>
    <w:basedOn w:val="DefaultParagraphFont"/>
    <w:rsid w:val="006E59BF"/>
  </w:style>
  <w:style w:type="character" w:customStyle="1" w:styleId="uv3um">
    <w:name w:val="uv3um"/>
    <w:basedOn w:val="DefaultParagraphFont"/>
    <w:rsid w:val="006E59BF"/>
  </w:style>
  <w:style w:type="character" w:customStyle="1" w:styleId="relative">
    <w:name w:val="relative"/>
    <w:basedOn w:val="DefaultParagraphFont"/>
    <w:rsid w:val="006E59BF"/>
  </w:style>
  <w:style w:type="character" w:customStyle="1" w:styleId="ms-1">
    <w:name w:val="ms-1"/>
    <w:basedOn w:val="DefaultParagraphFont"/>
    <w:rsid w:val="006E59BF"/>
  </w:style>
  <w:style w:type="character" w:customStyle="1" w:styleId="max-w-full">
    <w:name w:val="max-w-full"/>
    <w:basedOn w:val="DefaultParagraphFont"/>
    <w:rsid w:val="006E59BF"/>
  </w:style>
  <w:style w:type="character" w:customStyle="1" w:styleId="-me-1">
    <w:name w:val="-me-1"/>
    <w:basedOn w:val="DefaultParagraphFont"/>
    <w:rsid w:val="006E59BF"/>
  </w:style>
  <w:style w:type="character" w:customStyle="1" w:styleId="v9tjod">
    <w:name w:val="v9tjod"/>
    <w:basedOn w:val="DefaultParagraphFont"/>
    <w:rsid w:val="006E59BF"/>
  </w:style>
  <w:style w:type="character" w:styleId="HTMLCite">
    <w:name w:val="HTML Cite"/>
    <w:basedOn w:val="DefaultParagraphFont"/>
    <w:uiPriority w:val="99"/>
    <w:semiHidden/>
    <w:unhideWhenUsed/>
    <w:rsid w:val="006E59BF"/>
    <w:rPr>
      <w:i/>
      <w:iCs/>
    </w:rPr>
  </w:style>
  <w:style w:type="character" w:customStyle="1" w:styleId="ylgvce">
    <w:name w:val="ylgvce"/>
    <w:basedOn w:val="DefaultParagraphFont"/>
    <w:rsid w:val="006E59BF"/>
  </w:style>
  <w:style w:type="character" w:customStyle="1" w:styleId="authorname">
    <w:name w:val="authorname"/>
    <w:basedOn w:val="DefaultParagraphFont"/>
    <w:rsid w:val="006E59BF"/>
  </w:style>
  <w:style w:type="character" w:customStyle="1" w:styleId="separator">
    <w:name w:val="separator"/>
    <w:basedOn w:val="DefaultParagraphFont"/>
    <w:rsid w:val="006E59BF"/>
  </w:style>
  <w:style w:type="character" w:customStyle="1" w:styleId="Date1">
    <w:name w:val="Date1"/>
    <w:basedOn w:val="DefaultParagraphFont"/>
    <w:rsid w:val="006E59BF"/>
  </w:style>
  <w:style w:type="character" w:customStyle="1" w:styleId="arttitle">
    <w:name w:val="art_title"/>
    <w:basedOn w:val="DefaultParagraphFont"/>
    <w:rsid w:val="006E59BF"/>
  </w:style>
  <w:style w:type="character" w:customStyle="1" w:styleId="serialtitle">
    <w:name w:val="serial_title"/>
    <w:basedOn w:val="DefaultParagraphFont"/>
    <w:rsid w:val="006E59BF"/>
  </w:style>
  <w:style w:type="character" w:customStyle="1" w:styleId="volumeissue">
    <w:name w:val="volume_issue"/>
    <w:basedOn w:val="DefaultParagraphFont"/>
    <w:rsid w:val="006E59BF"/>
  </w:style>
  <w:style w:type="character" w:customStyle="1" w:styleId="pagerange">
    <w:name w:val="page_range"/>
    <w:basedOn w:val="DefaultParagraphFont"/>
    <w:rsid w:val="006E59BF"/>
  </w:style>
  <w:style w:type="character" w:customStyle="1" w:styleId="doilink">
    <w:name w:val="doi_link"/>
    <w:basedOn w:val="DefaultParagraphFont"/>
    <w:rsid w:val="006E59BF"/>
  </w:style>
  <w:style w:type="character" w:customStyle="1" w:styleId="HTMLPreformattedChar">
    <w:name w:val="HTML Preformatted Char"/>
    <w:basedOn w:val="DefaultParagraphFont"/>
    <w:link w:val="HTMLPreformatted"/>
    <w:uiPriority w:val="99"/>
    <w:semiHidden/>
    <w:rsid w:val="00B137B1"/>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B137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table" w:styleId="TableGridLight">
    <w:name w:val="Grid Table Light"/>
    <w:basedOn w:val="TableNormal"/>
    <w:uiPriority w:val="40"/>
    <w:rsid w:val="007E57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atex">
    <w:name w:val="katex"/>
    <w:basedOn w:val="DefaultParagraphFont"/>
    <w:rsid w:val="00075FF0"/>
  </w:style>
  <w:style w:type="paragraph" w:styleId="z-TopofForm">
    <w:name w:val="HTML Top of Form"/>
    <w:basedOn w:val="Normal"/>
    <w:next w:val="Normal"/>
    <w:link w:val="z-TopofFormChar"/>
    <w:hidden/>
    <w:uiPriority w:val="99"/>
    <w:semiHidden/>
    <w:unhideWhenUsed/>
    <w:rsid w:val="003765B7"/>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3765B7"/>
    <w:rPr>
      <w:rFonts w:ascii="Arial" w:eastAsia="Times New Roman" w:hAnsi="Arial" w:cs="Arial"/>
      <w:vanish/>
      <w:sz w:val="16"/>
      <w:szCs w:val="16"/>
    </w:rPr>
  </w:style>
  <w:style w:type="paragraph" w:customStyle="1" w:styleId="placeholder">
    <w:name w:val="placeholder"/>
    <w:basedOn w:val="Normal"/>
    <w:rsid w:val="003765B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z-BottomofForm">
    <w:name w:val="HTML Bottom of Form"/>
    <w:basedOn w:val="Normal"/>
    <w:next w:val="Normal"/>
    <w:link w:val="z-BottomofFormChar"/>
    <w:hidden/>
    <w:uiPriority w:val="99"/>
    <w:semiHidden/>
    <w:unhideWhenUsed/>
    <w:rsid w:val="003765B7"/>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3765B7"/>
    <w:rPr>
      <w:rFonts w:ascii="Arial" w:eastAsia="Times New Roman" w:hAnsi="Arial" w:cs="Arial"/>
      <w:vanish/>
      <w:sz w:val="16"/>
      <w:szCs w:val="16"/>
    </w:rPr>
  </w:style>
  <w:style w:type="table" w:styleId="PlainTable4">
    <w:name w:val="Plain Table 4"/>
    <w:basedOn w:val="TableNormal"/>
    <w:uiPriority w:val="44"/>
    <w:rsid w:val="00CE1A3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DefaultParagraphFont"/>
    <w:uiPriority w:val="99"/>
    <w:semiHidden/>
    <w:unhideWhenUsed/>
    <w:rsid w:val="00D71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5373">
      <w:bodyDiv w:val="1"/>
      <w:marLeft w:val="0"/>
      <w:marRight w:val="0"/>
      <w:marTop w:val="0"/>
      <w:marBottom w:val="0"/>
      <w:divBdr>
        <w:top w:val="none" w:sz="0" w:space="0" w:color="auto"/>
        <w:left w:val="none" w:sz="0" w:space="0" w:color="auto"/>
        <w:bottom w:val="none" w:sz="0" w:space="0" w:color="auto"/>
        <w:right w:val="none" w:sz="0" w:space="0" w:color="auto"/>
      </w:divBdr>
    </w:div>
    <w:div w:id="473179165">
      <w:bodyDiv w:val="1"/>
      <w:marLeft w:val="0"/>
      <w:marRight w:val="0"/>
      <w:marTop w:val="0"/>
      <w:marBottom w:val="0"/>
      <w:divBdr>
        <w:top w:val="none" w:sz="0" w:space="0" w:color="auto"/>
        <w:left w:val="none" w:sz="0" w:space="0" w:color="auto"/>
        <w:bottom w:val="none" w:sz="0" w:space="0" w:color="auto"/>
        <w:right w:val="none" w:sz="0" w:space="0" w:color="auto"/>
      </w:divBdr>
      <w:divsChild>
        <w:div w:id="928658406">
          <w:marLeft w:val="0"/>
          <w:marRight w:val="0"/>
          <w:marTop w:val="0"/>
          <w:marBottom w:val="0"/>
          <w:divBdr>
            <w:top w:val="none" w:sz="0" w:space="0" w:color="auto"/>
            <w:left w:val="none" w:sz="0" w:space="0" w:color="auto"/>
            <w:bottom w:val="none" w:sz="0" w:space="0" w:color="auto"/>
            <w:right w:val="none" w:sz="0" w:space="0" w:color="auto"/>
          </w:divBdr>
          <w:divsChild>
            <w:div w:id="1417050786">
              <w:marLeft w:val="0"/>
              <w:marRight w:val="0"/>
              <w:marTop w:val="0"/>
              <w:marBottom w:val="0"/>
              <w:divBdr>
                <w:top w:val="none" w:sz="0" w:space="0" w:color="auto"/>
                <w:left w:val="none" w:sz="0" w:space="0" w:color="auto"/>
                <w:bottom w:val="none" w:sz="0" w:space="0" w:color="auto"/>
                <w:right w:val="none" w:sz="0" w:space="0" w:color="auto"/>
              </w:divBdr>
              <w:divsChild>
                <w:div w:id="904603292">
                  <w:marLeft w:val="0"/>
                  <w:marRight w:val="0"/>
                  <w:marTop w:val="0"/>
                  <w:marBottom w:val="0"/>
                  <w:divBdr>
                    <w:top w:val="none" w:sz="0" w:space="0" w:color="auto"/>
                    <w:left w:val="none" w:sz="0" w:space="0" w:color="auto"/>
                    <w:bottom w:val="none" w:sz="0" w:space="0" w:color="auto"/>
                    <w:right w:val="none" w:sz="0" w:space="0" w:color="auto"/>
                  </w:divBdr>
                  <w:divsChild>
                    <w:div w:id="1402408765">
                      <w:marLeft w:val="0"/>
                      <w:marRight w:val="0"/>
                      <w:marTop w:val="0"/>
                      <w:marBottom w:val="0"/>
                      <w:divBdr>
                        <w:top w:val="none" w:sz="0" w:space="0" w:color="auto"/>
                        <w:left w:val="none" w:sz="0" w:space="0" w:color="auto"/>
                        <w:bottom w:val="none" w:sz="0" w:space="0" w:color="auto"/>
                        <w:right w:val="none" w:sz="0" w:space="0" w:color="auto"/>
                      </w:divBdr>
                      <w:divsChild>
                        <w:div w:id="1121455714">
                          <w:marLeft w:val="0"/>
                          <w:marRight w:val="0"/>
                          <w:marTop w:val="0"/>
                          <w:marBottom w:val="0"/>
                          <w:divBdr>
                            <w:top w:val="none" w:sz="0" w:space="0" w:color="auto"/>
                            <w:left w:val="none" w:sz="0" w:space="0" w:color="auto"/>
                            <w:bottom w:val="none" w:sz="0" w:space="0" w:color="auto"/>
                            <w:right w:val="none" w:sz="0" w:space="0" w:color="auto"/>
                          </w:divBdr>
                          <w:divsChild>
                            <w:div w:id="696587667">
                              <w:marLeft w:val="0"/>
                              <w:marRight w:val="0"/>
                              <w:marTop w:val="0"/>
                              <w:marBottom w:val="0"/>
                              <w:divBdr>
                                <w:top w:val="none" w:sz="0" w:space="0" w:color="auto"/>
                                <w:left w:val="none" w:sz="0" w:space="0" w:color="auto"/>
                                <w:bottom w:val="none" w:sz="0" w:space="0" w:color="auto"/>
                                <w:right w:val="none" w:sz="0" w:space="0" w:color="auto"/>
                              </w:divBdr>
                              <w:divsChild>
                                <w:div w:id="225840510">
                                  <w:marLeft w:val="0"/>
                                  <w:marRight w:val="0"/>
                                  <w:marTop w:val="0"/>
                                  <w:marBottom w:val="0"/>
                                  <w:divBdr>
                                    <w:top w:val="none" w:sz="0" w:space="0" w:color="auto"/>
                                    <w:left w:val="none" w:sz="0" w:space="0" w:color="auto"/>
                                    <w:bottom w:val="none" w:sz="0" w:space="0" w:color="auto"/>
                                    <w:right w:val="none" w:sz="0" w:space="0" w:color="auto"/>
                                  </w:divBdr>
                                  <w:divsChild>
                                    <w:div w:id="1817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8892168">
      <w:bodyDiv w:val="1"/>
      <w:marLeft w:val="0"/>
      <w:marRight w:val="0"/>
      <w:marTop w:val="0"/>
      <w:marBottom w:val="0"/>
      <w:divBdr>
        <w:top w:val="none" w:sz="0" w:space="0" w:color="auto"/>
        <w:left w:val="none" w:sz="0" w:space="0" w:color="auto"/>
        <w:bottom w:val="none" w:sz="0" w:space="0" w:color="auto"/>
        <w:right w:val="none" w:sz="0" w:space="0" w:color="auto"/>
      </w:divBdr>
    </w:div>
    <w:div w:id="505171846">
      <w:bodyDiv w:val="1"/>
      <w:marLeft w:val="0"/>
      <w:marRight w:val="0"/>
      <w:marTop w:val="0"/>
      <w:marBottom w:val="0"/>
      <w:divBdr>
        <w:top w:val="none" w:sz="0" w:space="0" w:color="auto"/>
        <w:left w:val="none" w:sz="0" w:space="0" w:color="auto"/>
        <w:bottom w:val="none" w:sz="0" w:space="0" w:color="auto"/>
        <w:right w:val="none" w:sz="0" w:space="0" w:color="auto"/>
      </w:divBdr>
      <w:divsChild>
        <w:div w:id="216161911">
          <w:marLeft w:val="0"/>
          <w:marRight w:val="0"/>
          <w:marTop w:val="0"/>
          <w:marBottom w:val="0"/>
          <w:divBdr>
            <w:top w:val="none" w:sz="0" w:space="0" w:color="auto"/>
            <w:left w:val="none" w:sz="0" w:space="0" w:color="auto"/>
            <w:bottom w:val="none" w:sz="0" w:space="0" w:color="auto"/>
            <w:right w:val="none" w:sz="0" w:space="0" w:color="auto"/>
          </w:divBdr>
          <w:divsChild>
            <w:div w:id="1475370444">
              <w:marLeft w:val="0"/>
              <w:marRight w:val="0"/>
              <w:marTop w:val="0"/>
              <w:marBottom w:val="0"/>
              <w:divBdr>
                <w:top w:val="none" w:sz="0" w:space="0" w:color="auto"/>
                <w:left w:val="none" w:sz="0" w:space="0" w:color="auto"/>
                <w:bottom w:val="none" w:sz="0" w:space="0" w:color="auto"/>
                <w:right w:val="none" w:sz="0" w:space="0" w:color="auto"/>
              </w:divBdr>
              <w:divsChild>
                <w:div w:id="1853912551">
                  <w:marLeft w:val="0"/>
                  <w:marRight w:val="0"/>
                  <w:marTop w:val="0"/>
                  <w:marBottom w:val="0"/>
                  <w:divBdr>
                    <w:top w:val="none" w:sz="0" w:space="0" w:color="auto"/>
                    <w:left w:val="none" w:sz="0" w:space="0" w:color="auto"/>
                    <w:bottom w:val="none" w:sz="0" w:space="0" w:color="auto"/>
                    <w:right w:val="none" w:sz="0" w:space="0" w:color="auto"/>
                  </w:divBdr>
                  <w:divsChild>
                    <w:div w:id="298148020">
                      <w:marLeft w:val="0"/>
                      <w:marRight w:val="0"/>
                      <w:marTop w:val="0"/>
                      <w:marBottom w:val="0"/>
                      <w:divBdr>
                        <w:top w:val="none" w:sz="0" w:space="0" w:color="auto"/>
                        <w:left w:val="none" w:sz="0" w:space="0" w:color="auto"/>
                        <w:bottom w:val="none" w:sz="0" w:space="0" w:color="auto"/>
                        <w:right w:val="none" w:sz="0" w:space="0" w:color="auto"/>
                      </w:divBdr>
                      <w:divsChild>
                        <w:div w:id="1264997632">
                          <w:marLeft w:val="0"/>
                          <w:marRight w:val="0"/>
                          <w:marTop w:val="0"/>
                          <w:marBottom w:val="0"/>
                          <w:divBdr>
                            <w:top w:val="none" w:sz="0" w:space="0" w:color="auto"/>
                            <w:left w:val="none" w:sz="0" w:space="0" w:color="auto"/>
                            <w:bottom w:val="none" w:sz="0" w:space="0" w:color="auto"/>
                            <w:right w:val="none" w:sz="0" w:space="0" w:color="auto"/>
                          </w:divBdr>
                          <w:divsChild>
                            <w:div w:id="1013071628">
                              <w:marLeft w:val="0"/>
                              <w:marRight w:val="0"/>
                              <w:marTop w:val="0"/>
                              <w:marBottom w:val="0"/>
                              <w:divBdr>
                                <w:top w:val="none" w:sz="0" w:space="0" w:color="auto"/>
                                <w:left w:val="none" w:sz="0" w:space="0" w:color="auto"/>
                                <w:bottom w:val="none" w:sz="0" w:space="0" w:color="auto"/>
                                <w:right w:val="none" w:sz="0" w:space="0" w:color="auto"/>
                              </w:divBdr>
                              <w:divsChild>
                                <w:div w:id="626859649">
                                  <w:marLeft w:val="0"/>
                                  <w:marRight w:val="0"/>
                                  <w:marTop w:val="0"/>
                                  <w:marBottom w:val="0"/>
                                  <w:divBdr>
                                    <w:top w:val="none" w:sz="0" w:space="0" w:color="auto"/>
                                    <w:left w:val="none" w:sz="0" w:space="0" w:color="auto"/>
                                    <w:bottom w:val="none" w:sz="0" w:space="0" w:color="auto"/>
                                    <w:right w:val="none" w:sz="0" w:space="0" w:color="auto"/>
                                  </w:divBdr>
                                  <w:divsChild>
                                    <w:div w:id="17620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606155">
      <w:bodyDiv w:val="1"/>
      <w:marLeft w:val="0"/>
      <w:marRight w:val="0"/>
      <w:marTop w:val="0"/>
      <w:marBottom w:val="0"/>
      <w:divBdr>
        <w:top w:val="none" w:sz="0" w:space="0" w:color="auto"/>
        <w:left w:val="none" w:sz="0" w:space="0" w:color="auto"/>
        <w:bottom w:val="none" w:sz="0" w:space="0" w:color="auto"/>
        <w:right w:val="none" w:sz="0" w:space="0" w:color="auto"/>
      </w:divBdr>
    </w:div>
    <w:div w:id="768543887">
      <w:bodyDiv w:val="1"/>
      <w:marLeft w:val="0"/>
      <w:marRight w:val="0"/>
      <w:marTop w:val="0"/>
      <w:marBottom w:val="0"/>
      <w:divBdr>
        <w:top w:val="none" w:sz="0" w:space="0" w:color="auto"/>
        <w:left w:val="none" w:sz="0" w:space="0" w:color="auto"/>
        <w:bottom w:val="none" w:sz="0" w:space="0" w:color="auto"/>
        <w:right w:val="none" w:sz="0" w:space="0" w:color="auto"/>
      </w:divBdr>
    </w:div>
    <w:div w:id="980380482">
      <w:bodyDiv w:val="1"/>
      <w:marLeft w:val="0"/>
      <w:marRight w:val="0"/>
      <w:marTop w:val="0"/>
      <w:marBottom w:val="0"/>
      <w:divBdr>
        <w:top w:val="none" w:sz="0" w:space="0" w:color="auto"/>
        <w:left w:val="none" w:sz="0" w:space="0" w:color="auto"/>
        <w:bottom w:val="none" w:sz="0" w:space="0" w:color="auto"/>
        <w:right w:val="none" w:sz="0" w:space="0" w:color="auto"/>
      </w:divBdr>
    </w:div>
    <w:div w:id="1227835872">
      <w:bodyDiv w:val="1"/>
      <w:marLeft w:val="0"/>
      <w:marRight w:val="0"/>
      <w:marTop w:val="0"/>
      <w:marBottom w:val="0"/>
      <w:divBdr>
        <w:top w:val="none" w:sz="0" w:space="0" w:color="auto"/>
        <w:left w:val="none" w:sz="0" w:space="0" w:color="auto"/>
        <w:bottom w:val="none" w:sz="0" w:space="0" w:color="auto"/>
        <w:right w:val="none" w:sz="0" w:space="0" w:color="auto"/>
      </w:divBdr>
    </w:div>
    <w:div w:id="1390499172">
      <w:bodyDiv w:val="1"/>
      <w:marLeft w:val="0"/>
      <w:marRight w:val="0"/>
      <w:marTop w:val="0"/>
      <w:marBottom w:val="0"/>
      <w:divBdr>
        <w:top w:val="none" w:sz="0" w:space="0" w:color="auto"/>
        <w:left w:val="none" w:sz="0" w:space="0" w:color="auto"/>
        <w:bottom w:val="none" w:sz="0" w:space="0" w:color="auto"/>
        <w:right w:val="none" w:sz="0" w:space="0" w:color="auto"/>
      </w:divBdr>
      <w:divsChild>
        <w:div w:id="1904489570">
          <w:marLeft w:val="0"/>
          <w:marRight w:val="0"/>
          <w:marTop w:val="0"/>
          <w:marBottom w:val="0"/>
          <w:divBdr>
            <w:top w:val="none" w:sz="0" w:space="0" w:color="auto"/>
            <w:left w:val="none" w:sz="0" w:space="0" w:color="auto"/>
            <w:bottom w:val="none" w:sz="0" w:space="0" w:color="auto"/>
            <w:right w:val="none" w:sz="0" w:space="0" w:color="auto"/>
          </w:divBdr>
          <w:divsChild>
            <w:div w:id="1573614039">
              <w:marLeft w:val="0"/>
              <w:marRight w:val="0"/>
              <w:marTop w:val="0"/>
              <w:marBottom w:val="0"/>
              <w:divBdr>
                <w:top w:val="none" w:sz="0" w:space="0" w:color="auto"/>
                <w:left w:val="none" w:sz="0" w:space="0" w:color="auto"/>
                <w:bottom w:val="none" w:sz="0" w:space="0" w:color="auto"/>
                <w:right w:val="none" w:sz="0" w:space="0" w:color="auto"/>
              </w:divBdr>
              <w:divsChild>
                <w:div w:id="892696453">
                  <w:marLeft w:val="0"/>
                  <w:marRight w:val="0"/>
                  <w:marTop w:val="0"/>
                  <w:marBottom w:val="0"/>
                  <w:divBdr>
                    <w:top w:val="none" w:sz="0" w:space="0" w:color="auto"/>
                    <w:left w:val="none" w:sz="0" w:space="0" w:color="auto"/>
                    <w:bottom w:val="none" w:sz="0" w:space="0" w:color="auto"/>
                    <w:right w:val="none" w:sz="0" w:space="0" w:color="auto"/>
                  </w:divBdr>
                  <w:divsChild>
                    <w:div w:id="822549745">
                      <w:marLeft w:val="0"/>
                      <w:marRight w:val="0"/>
                      <w:marTop w:val="0"/>
                      <w:marBottom w:val="0"/>
                      <w:divBdr>
                        <w:top w:val="none" w:sz="0" w:space="0" w:color="auto"/>
                        <w:left w:val="none" w:sz="0" w:space="0" w:color="auto"/>
                        <w:bottom w:val="none" w:sz="0" w:space="0" w:color="auto"/>
                        <w:right w:val="none" w:sz="0" w:space="0" w:color="auto"/>
                      </w:divBdr>
                      <w:divsChild>
                        <w:div w:id="910046596">
                          <w:marLeft w:val="0"/>
                          <w:marRight w:val="0"/>
                          <w:marTop w:val="0"/>
                          <w:marBottom w:val="0"/>
                          <w:divBdr>
                            <w:top w:val="none" w:sz="0" w:space="0" w:color="auto"/>
                            <w:left w:val="none" w:sz="0" w:space="0" w:color="auto"/>
                            <w:bottom w:val="none" w:sz="0" w:space="0" w:color="auto"/>
                            <w:right w:val="none" w:sz="0" w:space="0" w:color="auto"/>
                          </w:divBdr>
                          <w:divsChild>
                            <w:div w:id="252786927">
                              <w:marLeft w:val="0"/>
                              <w:marRight w:val="0"/>
                              <w:marTop w:val="0"/>
                              <w:marBottom w:val="0"/>
                              <w:divBdr>
                                <w:top w:val="none" w:sz="0" w:space="0" w:color="auto"/>
                                <w:left w:val="none" w:sz="0" w:space="0" w:color="auto"/>
                                <w:bottom w:val="none" w:sz="0" w:space="0" w:color="auto"/>
                                <w:right w:val="none" w:sz="0" w:space="0" w:color="auto"/>
                              </w:divBdr>
                              <w:divsChild>
                                <w:div w:id="1987466069">
                                  <w:marLeft w:val="0"/>
                                  <w:marRight w:val="0"/>
                                  <w:marTop w:val="0"/>
                                  <w:marBottom w:val="0"/>
                                  <w:divBdr>
                                    <w:top w:val="none" w:sz="0" w:space="0" w:color="auto"/>
                                    <w:left w:val="none" w:sz="0" w:space="0" w:color="auto"/>
                                    <w:bottom w:val="none" w:sz="0" w:space="0" w:color="auto"/>
                                    <w:right w:val="none" w:sz="0" w:space="0" w:color="auto"/>
                                  </w:divBdr>
                                  <w:divsChild>
                                    <w:div w:id="717556429">
                                      <w:marLeft w:val="0"/>
                                      <w:marRight w:val="0"/>
                                      <w:marTop w:val="0"/>
                                      <w:marBottom w:val="0"/>
                                      <w:divBdr>
                                        <w:top w:val="none" w:sz="0" w:space="0" w:color="auto"/>
                                        <w:left w:val="none" w:sz="0" w:space="0" w:color="auto"/>
                                        <w:bottom w:val="none" w:sz="0" w:space="0" w:color="auto"/>
                                        <w:right w:val="none" w:sz="0" w:space="0" w:color="auto"/>
                                      </w:divBdr>
                                      <w:divsChild>
                                        <w:div w:id="1508403192">
                                          <w:marLeft w:val="0"/>
                                          <w:marRight w:val="0"/>
                                          <w:marTop w:val="0"/>
                                          <w:marBottom w:val="0"/>
                                          <w:divBdr>
                                            <w:top w:val="none" w:sz="0" w:space="0" w:color="auto"/>
                                            <w:left w:val="none" w:sz="0" w:space="0" w:color="auto"/>
                                            <w:bottom w:val="none" w:sz="0" w:space="0" w:color="auto"/>
                                            <w:right w:val="none" w:sz="0" w:space="0" w:color="auto"/>
                                          </w:divBdr>
                                          <w:divsChild>
                                            <w:div w:id="17822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910277">
                      <w:marLeft w:val="0"/>
                      <w:marRight w:val="0"/>
                      <w:marTop w:val="0"/>
                      <w:marBottom w:val="0"/>
                      <w:divBdr>
                        <w:top w:val="none" w:sz="0" w:space="0" w:color="auto"/>
                        <w:left w:val="none" w:sz="0" w:space="0" w:color="auto"/>
                        <w:bottom w:val="none" w:sz="0" w:space="0" w:color="auto"/>
                        <w:right w:val="none" w:sz="0" w:space="0" w:color="auto"/>
                      </w:divBdr>
                      <w:divsChild>
                        <w:div w:id="1234973936">
                          <w:marLeft w:val="0"/>
                          <w:marRight w:val="0"/>
                          <w:marTop w:val="0"/>
                          <w:marBottom w:val="0"/>
                          <w:divBdr>
                            <w:top w:val="none" w:sz="0" w:space="0" w:color="auto"/>
                            <w:left w:val="none" w:sz="0" w:space="0" w:color="auto"/>
                            <w:bottom w:val="none" w:sz="0" w:space="0" w:color="auto"/>
                            <w:right w:val="none" w:sz="0" w:space="0" w:color="auto"/>
                          </w:divBdr>
                          <w:divsChild>
                            <w:div w:id="670183679">
                              <w:marLeft w:val="0"/>
                              <w:marRight w:val="0"/>
                              <w:marTop w:val="0"/>
                              <w:marBottom w:val="0"/>
                              <w:divBdr>
                                <w:top w:val="none" w:sz="0" w:space="0" w:color="auto"/>
                                <w:left w:val="none" w:sz="0" w:space="0" w:color="auto"/>
                                <w:bottom w:val="none" w:sz="0" w:space="0" w:color="auto"/>
                                <w:right w:val="none" w:sz="0" w:space="0" w:color="auto"/>
                              </w:divBdr>
                              <w:divsChild>
                                <w:div w:id="1573849997">
                                  <w:marLeft w:val="0"/>
                                  <w:marRight w:val="0"/>
                                  <w:marTop w:val="0"/>
                                  <w:marBottom w:val="0"/>
                                  <w:divBdr>
                                    <w:top w:val="none" w:sz="0" w:space="0" w:color="auto"/>
                                    <w:left w:val="none" w:sz="0" w:space="0" w:color="auto"/>
                                    <w:bottom w:val="none" w:sz="0" w:space="0" w:color="auto"/>
                                    <w:right w:val="none" w:sz="0" w:space="0" w:color="auto"/>
                                  </w:divBdr>
                                  <w:divsChild>
                                    <w:div w:id="1518691210">
                                      <w:marLeft w:val="0"/>
                                      <w:marRight w:val="0"/>
                                      <w:marTop w:val="0"/>
                                      <w:marBottom w:val="0"/>
                                      <w:divBdr>
                                        <w:top w:val="none" w:sz="0" w:space="0" w:color="auto"/>
                                        <w:left w:val="none" w:sz="0" w:space="0" w:color="auto"/>
                                        <w:bottom w:val="none" w:sz="0" w:space="0" w:color="auto"/>
                                        <w:right w:val="none" w:sz="0" w:space="0" w:color="auto"/>
                                      </w:divBdr>
                                      <w:divsChild>
                                        <w:div w:id="1396662534">
                                          <w:marLeft w:val="0"/>
                                          <w:marRight w:val="0"/>
                                          <w:marTop w:val="0"/>
                                          <w:marBottom w:val="0"/>
                                          <w:divBdr>
                                            <w:top w:val="none" w:sz="0" w:space="0" w:color="auto"/>
                                            <w:left w:val="none" w:sz="0" w:space="0" w:color="auto"/>
                                            <w:bottom w:val="none" w:sz="0" w:space="0" w:color="auto"/>
                                            <w:right w:val="none" w:sz="0" w:space="0" w:color="auto"/>
                                          </w:divBdr>
                                          <w:divsChild>
                                            <w:div w:id="12561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200750">
                      <w:marLeft w:val="0"/>
                      <w:marRight w:val="0"/>
                      <w:marTop w:val="0"/>
                      <w:marBottom w:val="0"/>
                      <w:divBdr>
                        <w:top w:val="none" w:sz="0" w:space="0" w:color="auto"/>
                        <w:left w:val="none" w:sz="0" w:space="0" w:color="auto"/>
                        <w:bottom w:val="none" w:sz="0" w:space="0" w:color="auto"/>
                        <w:right w:val="none" w:sz="0" w:space="0" w:color="auto"/>
                      </w:divBdr>
                      <w:divsChild>
                        <w:div w:id="1993557537">
                          <w:marLeft w:val="0"/>
                          <w:marRight w:val="0"/>
                          <w:marTop w:val="0"/>
                          <w:marBottom w:val="0"/>
                          <w:divBdr>
                            <w:top w:val="none" w:sz="0" w:space="0" w:color="auto"/>
                            <w:left w:val="none" w:sz="0" w:space="0" w:color="auto"/>
                            <w:bottom w:val="none" w:sz="0" w:space="0" w:color="auto"/>
                            <w:right w:val="none" w:sz="0" w:space="0" w:color="auto"/>
                          </w:divBdr>
                          <w:divsChild>
                            <w:div w:id="1256328416">
                              <w:marLeft w:val="0"/>
                              <w:marRight w:val="0"/>
                              <w:marTop w:val="0"/>
                              <w:marBottom w:val="0"/>
                              <w:divBdr>
                                <w:top w:val="none" w:sz="0" w:space="0" w:color="auto"/>
                                <w:left w:val="none" w:sz="0" w:space="0" w:color="auto"/>
                                <w:bottom w:val="none" w:sz="0" w:space="0" w:color="auto"/>
                                <w:right w:val="none" w:sz="0" w:space="0" w:color="auto"/>
                              </w:divBdr>
                              <w:divsChild>
                                <w:div w:id="1205173979">
                                  <w:marLeft w:val="0"/>
                                  <w:marRight w:val="0"/>
                                  <w:marTop w:val="0"/>
                                  <w:marBottom w:val="0"/>
                                  <w:divBdr>
                                    <w:top w:val="none" w:sz="0" w:space="0" w:color="auto"/>
                                    <w:left w:val="none" w:sz="0" w:space="0" w:color="auto"/>
                                    <w:bottom w:val="none" w:sz="0" w:space="0" w:color="auto"/>
                                    <w:right w:val="none" w:sz="0" w:space="0" w:color="auto"/>
                                  </w:divBdr>
                                  <w:divsChild>
                                    <w:div w:id="1463839229">
                                      <w:marLeft w:val="0"/>
                                      <w:marRight w:val="0"/>
                                      <w:marTop w:val="0"/>
                                      <w:marBottom w:val="0"/>
                                      <w:divBdr>
                                        <w:top w:val="none" w:sz="0" w:space="0" w:color="auto"/>
                                        <w:left w:val="none" w:sz="0" w:space="0" w:color="auto"/>
                                        <w:bottom w:val="none" w:sz="0" w:space="0" w:color="auto"/>
                                        <w:right w:val="none" w:sz="0" w:space="0" w:color="auto"/>
                                      </w:divBdr>
                                      <w:divsChild>
                                        <w:div w:id="1901667082">
                                          <w:marLeft w:val="0"/>
                                          <w:marRight w:val="0"/>
                                          <w:marTop w:val="0"/>
                                          <w:marBottom w:val="0"/>
                                          <w:divBdr>
                                            <w:top w:val="none" w:sz="0" w:space="0" w:color="auto"/>
                                            <w:left w:val="none" w:sz="0" w:space="0" w:color="auto"/>
                                            <w:bottom w:val="none" w:sz="0" w:space="0" w:color="auto"/>
                                            <w:right w:val="none" w:sz="0" w:space="0" w:color="auto"/>
                                          </w:divBdr>
                                          <w:divsChild>
                                            <w:div w:id="1170411110">
                                              <w:marLeft w:val="0"/>
                                              <w:marRight w:val="0"/>
                                              <w:marTop w:val="0"/>
                                              <w:marBottom w:val="0"/>
                                              <w:divBdr>
                                                <w:top w:val="none" w:sz="0" w:space="0" w:color="auto"/>
                                                <w:left w:val="none" w:sz="0" w:space="0" w:color="auto"/>
                                                <w:bottom w:val="none" w:sz="0" w:space="0" w:color="auto"/>
                                                <w:right w:val="none" w:sz="0" w:space="0" w:color="auto"/>
                                              </w:divBdr>
                                              <w:divsChild>
                                                <w:div w:id="1015614723">
                                                  <w:marLeft w:val="0"/>
                                                  <w:marRight w:val="0"/>
                                                  <w:marTop w:val="0"/>
                                                  <w:marBottom w:val="0"/>
                                                  <w:divBdr>
                                                    <w:top w:val="none" w:sz="0" w:space="0" w:color="auto"/>
                                                    <w:left w:val="none" w:sz="0" w:space="0" w:color="auto"/>
                                                    <w:bottom w:val="none" w:sz="0" w:space="0" w:color="auto"/>
                                                    <w:right w:val="none" w:sz="0" w:space="0" w:color="auto"/>
                                                  </w:divBdr>
                                                  <w:divsChild>
                                                    <w:div w:id="131899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0794401">
                      <w:marLeft w:val="0"/>
                      <w:marRight w:val="0"/>
                      <w:marTop w:val="0"/>
                      <w:marBottom w:val="0"/>
                      <w:divBdr>
                        <w:top w:val="none" w:sz="0" w:space="0" w:color="auto"/>
                        <w:left w:val="none" w:sz="0" w:space="0" w:color="auto"/>
                        <w:bottom w:val="none" w:sz="0" w:space="0" w:color="auto"/>
                        <w:right w:val="none" w:sz="0" w:space="0" w:color="auto"/>
                      </w:divBdr>
                      <w:divsChild>
                        <w:div w:id="745111284">
                          <w:marLeft w:val="0"/>
                          <w:marRight w:val="0"/>
                          <w:marTop w:val="0"/>
                          <w:marBottom w:val="0"/>
                          <w:divBdr>
                            <w:top w:val="none" w:sz="0" w:space="0" w:color="auto"/>
                            <w:left w:val="none" w:sz="0" w:space="0" w:color="auto"/>
                            <w:bottom w:val="none" w:sz="0" w:space="0" w:color="auto"/>
                            <w:right w:val="none" w:sz="0" w:space="0" w:color="auto"/>
                          </w:divBdr>
                          <w:divsChild>
                            <w:div w:id="1967850524">
                              <w:marLeft w:val="0"/>
                              <w:marRight w:val="0"/>
                              <w:marTop w:val="0"/>
                              <w:marBottom w:val="0"/>
                              <w:divBdr>
                                <w:top w:val="none" w:sz="0" w:space="0" w:color="auto"/>
                                <w:left w:val="none" w:sz="0" w:space="0" w:color="auto"/>
                                <w:bottom w:val="none" w:sz="0" w:space="0" w:color="auto"/>
                                <w:right w:val="none" w:sz="0" w:space="0" w:color="auto"/>
                              </w:divBdr>
                              <w:divsChild>
                                <w:div w:id="260645880">
                                  <w:marLeft w:val="0"/>
                                  <w:marRight w:val="0"/>
                                  <w:marTop w:val="0"/>
                                  <w:marBottom w:val="0"/>
                                  <w:divBdr>
                                    <w:top w:val="none" w:sz="0" w:space="0" w:color="auto"/>
                                    <w:left w:val="none" w:sz="0" w:space="0" w:color="auto"/>
                                    <w:bottom w:val="none" w:sz="0" w:space="0" w:color="auto"/>
                                    <w:right w:val="none" w:sz="0" w:space="0" w:color="auto"/>
                                  </w:divBdr>
                                  <w:divsChild>
                                    <w:div w:id="1723022237">
                                      <w:marLeft w:val="0"/>
                                      <w:marRight w:val="0"/>
                                      <w:marTop w:val="0"/>
                                      <w:marBottom w:val="0"/>
                                      <w:divBdr>
                                        <w:top w:val="none" w:sz="0" w:space="0" w:color="auto"/>
                                        <w:left w:val="none" w:sz="0" w:space="0" w:color="auto"/>
                                        <w:bottom w:val="none" w:sz="0" w:space="0" w:color="auto"/>
                                        <w:right w:val="none" w:sz="0" w:space="0" w:color="auto"/>
                                      </w:divBdr>
                                      <w:divsChild>
                                        <w:div w:id="783697424">
                                          <w:marLeft w:val="0"/>
                                          <w:marRight w:val="0"/>
                                          <w:marTop w:val="0"/>
                                          <w:marBottom w:val="0"/>
                                          <w:divBdr>
                                            <w:top w:val="none" w:sz="0" w:space="0" w:color="auto"/>
                                            <w:left w:val="none" w:sz="0" w:space="0" w:color="auto"/>
                                            <w:bottom w:val="none" w:sz="0" w:space="0" w:color="auto"/>
                                            <w:right w:val="none" w:sz="0" w:space="0" w:color="auto"/>
                                          </w:divBdr>
                                          <w:divsChild>
                                            <w:div w:id="80258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896533">
                      <w:marLeft w:val="0"/>
                      <w:marRight w:val="0"/>
                      <w:marTop w:val="0"/>
                      <w:marBottom w:val="0"/>
                      <w:divBdr>
                        <w:top w:val="none" w:sz="0" w:space="0" w:color="auto"/>
                        <w:left w:val="none" w:sz="0" w:space="0" w:color="auto"/>
                        <w:bottom w:val="none" w:sz="0" w:space="0" w:color="auto"/>
                        <w:right w:val="none" w:sz="0" w:space="0" w:color="auto"/>
                      </w:divBdr>
                      <w:divsChild>
                        <w:div w:id="1257638843">
                          <w:marLeft w:val="0"/>
                          <w:marRight w:val="0"/>
                          <w:marTop w:val="0"/>
                          <w:marBottom w:val="0"/>
                          <w:divBdr>
                            <w:top w:val="none" w:sz="0" w:space="0" w:color="auto"/>
                            <w:left w:val="none" w:sz="0" w:space="0" w:color="auto"/>
                            <w:bottom w:val="none" w:sz="0" w:space="0" w:color="auto"/>
                            <w:right w:val="none" w:sz="0" w:space="0" w:color="auto"/>
                          </w:divBdr>
                          <w:divsChild>
                            <w:div w:id="1732535955">
                              <w:marLeft w:val="0"/>
                              <w:marRight w:val="0"/>
                              <w:marTop w:val="0"/>
                              <w:marBottom w:val="0"/>
                              <w:divBdr>
                                <w:top w:val="none" w:sz="0" w:space="0" w:color="auto"/>
                                <w:left w:val="none" w:sz="0" w:space="0" w:color="auto"/>
                                <w:bottom w:val="none" w:sz="0" w:space="0" w:color="auto"/>
                                <w:right w:val="none" w:sz="0" w:space="0" w:color="auto"/>
                              </w:divBdr>
                              <w:divsChild>
                                <w:div w:id="861632229">
                                  <w:marLeft w:val="0"/>
                                  <w:marRight w:val="0"/>
                                  <w:marTop w:val="0"/>
                                  <w:marBottom w:val="0"/>
                                  <w:divBdr>
                                    <w:top w:val="none" w:sz="0" w:space="0" w:color="auto"/>
                                    <w:left w:val="none" w:sz="0" w:space="0" w:color="auto"/>
                                    <w:bottom w:val="none" w:sz="0" w:space="0" w:color="auto"/>
                                    <w:right w:val="none" w:sz="0" w:space="0" w:color="auto"/>
                                  </w:divBdr>
                                  <w:divsChild>
                                    <w:div w:id="1449540897">
                                      <w:marLeft w:val="0"/>
                                      <w:marRight w:val="0"/>
                                      <w:marTop w:val="0"/>
                                      <w:marBottom w:val="0"/>
                                      <w:divBdr>
                                        <w:top w:val="none" w:sz="0" w:space="0" w:color="auto"/>
                                        <w:left w:val="none" w:sz="0" w:space="0" w:color="auto"/>
                                        <w:bottom w:val="none" w:sz="0" w:space="0" w:color="auto"/>
                                        <w:right w:val="none" w:sz="0" w:space="0" w:color="auto"/>
                                      </w:divBdr>
                                      <w:divsChild>
                                        <w:div w:id="960964273">
                                          <w:marLeft w:val="0"/>
                                          <w:marRight w:val="0"/>
                                          <w:marTop w:val="0"/>
                                          <w:marBottom w:val="0"/>
                                          <w:divBdr>
                                            <w:top w:val="none" w:sz="0" w:space="0" w:color="auto"/>
                                            <w:left w:val="none" w:sz="0" w:space="0" w:color="auto"/>
                                            <w:bottom w:val="none" w:sz="0" w:space="0" w:color="auto"/>
                                            <w:right w:val="none" w:sz="0" w:space="0" w:color="auto"/>
                                          </w:divBdr>
                                          <w:divsChild>
                                            <w:div w:id="857432202">
                                              <w:marLeft w:val="0"/>
                                              <w:marRight w:val="0"/>
                                              <w:marTop w:val="0"/>
                                              <w:marBottom w:val="0"/>
                                              <w:divBdr>
                                                <w:top w:val="none" w:sz="0" w:space="0" w:color="auto"/>
                                                <w:left w:val="none" w:sz="0" w:space="0" w:color="auto"/>
                                                <w:bottom w:val="none" w:sz="0" w:space="0" w:color="auto"/>
                                                <w:right w:val="none" w:sz="0" w:space="0" w:color="auto"/>
                                              </w:divBdr>
                                              <w:divsChild>
                                                <w:div w:id="1052998085">
                                                  <w:marLeft w:val="0"/>
                                                  <w:marRight w:val="0"/>
                                                  <w:marTop w:val="0"/>
                                                  <w:marBottom w:val="0"/>
                                                  <w:divBdr>
                                                    <w:top w:val="none" w:sz="0" w:space="0" w:color="auto"/>
                                                    <w:left w:val="none" w:sz="0" w:space="0" w:color="auto"/>
                                                    <w:bottom w:val="none" w:sz="0" w:space="0" w:color="auto"/>
                                                    <w:right w:val="none" w:sz="0" w:space="0" w:color="auto"/>
                                                  </w:divBdr>
                                                  <w:divsChild>
                                                    <w:div w:id="1939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204921">
                      <w:marLeft w:val="0"/>
                      <w:marRight w:val="0"/>
                      <w:marTop w:val="0"/>
                      <w:marBottom w:val="0"/>
                      <w:divBdr>
                        <w:top w:val="none" w:sz="0" w:space="0" w:color="auto"/>
                        <w:left w:val="none" w:sz="0" w:space="0" w:color="auto"/>
                        <w:bottom w:val="none" w:sz="0" w:space="0" w:color="auto"/>
                        <w:right w:val="none" w:sz="0" w:space="0" w:color="auto"/>
                      </w:divBdr>
                      <w:divsChild>
                        <w:div w:id="1655141643">
                          <w:marLeft w:val="0"/>
                          <w:marRight w:val="0"/>
                          <w:marTop w:val="0"/>
                          <w:marBottom w:val="0"/>
                          <w:divBdr>
                            <w:top w:val="none" w:sz="0" w:space="0" w:color="auto"/>
                            <w:left w:val="none" w:sz="0" w:space="0" w:color="auto"/>
                            <w:bottom w:val="none" w:sz="0" w:space="0" w:color="auto"/>
                            <w:right w:val="none" w:sz="0" w:space="0" w:color="auto"/>
                          </w:divBdr>
                          <w:divsChild>
                            <w:div w:id="1113554478">
                              <w:marLeft w:val="0"/>
                              <w:marRight w:val="0"/>
                              <w:marTop w:val="0"/>
                              <w:marBottom w:val="0"/>
                              <w:divBdr>
                                <w:top w:val="none" w:sz="0" w:space="0" w:color="auto"/>
                                <w:left w:val="none" w:sz="0" w:space="0" w:color="auto"/>
                                <w:bottom w:val="none" w:sz="0" w:space="0" w:color="auto"/>
                                <w:right w:val="none" w:sz="0" w:space="0" w:color="auto"/>
                              </w:divBdr>
                              <w:divsChild>
                                <w:div w:id="1031960513">
                                  <w:marLeft w:val="0"/>
                                  <w:marRight w:val="0"/>
                                  <w:marTop w:val="0"/>
                                  <w:marBottom w:val="0"/>
                                  <w:divBdr>
                                    <w:top w:val="none" w:sz="0" w:space="0" w:color="auto"/>
                                    <w:left w:val="none" w:sz="0" w:space="0" w:color="auto"/>
                                    <w:bottom w:val="none" w:sz="0" w:space="0" w:color="auto"/>
                                    <w:right w:val="none" w:sz="0" w:space="0" w:color="auto"/>
                                  </w:divBdr>
                                  <w:divsChild>
                                    <w:div w:id="909001127">
                                      <w:marLeft w:val="0"/>
                                      <w:marRight w:val="0"/>
                                      <w:marTop w:val="0"/>
                                      <w:marBottom w:val="0"/>
                                      <w:divBdr>
                                        <w:top w:val="none" w:sz="0" w:space="0" w:color="auto"/>
                                        <w:left w:val="none" w:sz="0" w:space="0" w:color="auto"/>
                                        <w:bottom w:val="none" w:sz="0" w:space="0" w:color="auto"/>
                                        <w:right w:val="none" w:sz="0" w:space="0" w:color="auto"/>
                                      </w:divBdr>
                                      <w:divsChild>
                                        <w:div w:id="1790388812">
                                          <w:marLeft w:val="0"/>
                                          <w:marRight w:val="0"/>
                                          <w:marTop w:val="0"/>
                                          <w:marBottom w:val="0"/>
                                          <w:divBdr>
                                            <w:top w:val="none" w:sz="0" w:space="0" w:color="auto"/>
                                            <w:left w:val="none" w:sz="0" w:space="0" w:color="auto"/>
                                            <w:bottom w:val="none" w:sz="0" w:space="0" w:color="auto"/>
                                            <w:right w:val="none" w:sz="0" w:space="0" w:color="auto"/>
                                          </w:divBdr>
                                          <w:divsChild>
                                            <w:div w:id="15392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4467428">
          <w:marLeft w:val="0"/>
          <w:marRight w:val="0"/>
          <w:marTop w:val="0"/>
          <w:marBottom w:val="0"/>
          <w:divBdr>
            <w:top w:val="none" w:sz="0" w:space="0" w:color="auto"/>
            <w:left w:val="none" w:sz="0" w:space="0" w:color="auto"/>
            <w:bottom w:val="none" w:sz="0" w:space="0" w:color="auto"/>
            <w:right w:val="none" w:sz="0" w:space="0" w:color="auto"/>
          </w:divBdr>
          <w:divsChild>
            <w:div w:id="849026789">
              <w:marLeft w:val="0"/>
              <w:marRight w:val="0"/>
              <w:marTop w:val="0"/>
              <w:marBottom w:val="0"/>
              <w:divBdr>
                <w:top w:val="none" w:sz="0" w:space="0" w:color="auto"/>
                <w:left w:val="none" w:sz="0" w:space="0" w:color="auto"/>
                <w:bottom w:val="none" w:sz="0" w:space="0" w:color="auto"/>
                <w:right w:val="none" w:sz="0" w:space="0" w:color="auto"/>
              </w:divBdr>
              <w:divsChild>
                <w:div w:id="446509501">
                  <w:marLeft w:val="0"/>
                  <w:marRight w:val="0"/>
                  <w:marTop w:val="0"/>
                  <w:marBottom w:val="0"/>
                  <w:divBdr>
                    <w:top w:val="none" w:sz="0" w:space="0" w:color="auto"/>
                    <w:left w:val="none" w:sz="0" w:space="0" w:color="auto"/>
                    <w:bottom w:val="none" w:sz="0" w:space="0" w:color="auto"/>
                    <w:right w:val="none" w:sz="0" w:space="0" w:color="auto"/>
                  </w:divBdr>
                  <w:divsChild>
                    <w:div w:id="620650060">
                      <w:marLeft w:val="0"/>
                      <w:marRight w:val="0"/>
                      <w:marTop w:val="0"/>
                      <w:marBottom w:val="0"/>
                      <w:divBdr>
                        <w:top w:val="none" w:sz="0" w:space="0" w:color="auto"/>
                        <w:left w:val="none" w:sz="0" w:space="0" w:color="auto"/>
                        <w:bottom w:val="none" w:sz="0" w:space="0" w:color="auto"/>
                        <w:right w:val="none" w:sz="0" w:space="0" w:color="auto"/>
                      </w:divBdr>
                      <w:divsChild>
                        <w:div w:id="1996563322">
                          <w:marLeft w:val="0"/>
                          <w:marRight w:val="0"/>
                          <w:marTop w:val="0"/>
                          <w:marBottom w:val="0"/>
                          <w:divBdr>
                            <w:top w:val="none" w:sz="0" w:space="0" w:color="auto"/>
                            <w:left w:val="none" w:sz="0" w:space="0" w:color="auto"/>
                            <w:bottom w:val="none" w:sz="0" w:space="0" w:color="auto"/>
                            <w:right w:val="none" w:sz="0" w:space="0" w:color="auto"/>
                          </w:divBdr>
                          <w:divsChild>
                            <w:div w:id="1785269315">
                              <w:marLeft w:val="0"/>
                              <w:marRight w:val="0"/>
                              <w:marTop w:val="0"/>
                              <w:marBottom w:val="0"/>
                              <w:divBdr>
                                <w:top w:val="none" w:sz="0" w:space="0" w:color="auto"/>
                                <w:left w:val="none" w:sz="0" w:space="0" w:color="auto"/>
                                <w:bottom w:val="none" w:sz="0" w:space="0" w:color="auto"/>
                                <w:right w:val="none" w:sz="0" w:space="0" w:color="auto"/>
                              </w:divBdr>
                              <w:divsChild>
                                <w:div w:id="678510506">
                                  <w:marLeft w:val="0"/>
                                  <w:marRight w:val="0"/>
                                  <w:marTop w:val="0"/>
                                  <w:marBottom w:val="0"/>
                                  <w:divBdr>
                                    <w:top w:val="none" w:sz="0" w:space="0" w:color="auto"/>
                                    <w:left w:val="none" w:sz="0" w:space="0" w:color="auto"/>
                                    <w:bottom w:val="none" w:sz="0" w:space="0" w:color="auto"/>
                                    <w:right w:val="none" w:sz="0" w:space="0" w:color="auto"/>
                                  </w:divBdr>
                                  <w:divsChild>
                                    <w:div w:id="245576422">
                                      <w:marLeft w:val="0"/>
                                      <w:marRight w:val="0"/>
                                      <w:marTop w:val="0"/>
                                      <w:marBottom w:val="0"/>
                                      <w:divBdr>
                                        <w:top w:val="none" w:sz="0" w:space="0" w:color="auto"/>
                                        <w:left w:val="none" w:sz="0" w:space="0" w:color="auto"/>
                                        <w:bottom w:val="none" w:sz="0" w:space="0" w:color="auto"/>
                                        <w:right w:val="none" w:sz="0" w:space="0" w:color="auto"/>
                                      </w:divBdr>
                                      <w:divsChild>
                                        <w:div w:id="1350253092">
                                          <w:marLeft w:val="0"/>
                                          <w:marRight w:val="0"/>
                                          <w:marTop w:val="0"/>
                                          <w:marBottom w:val="0"/>
                                          <w:divBdr>
                                            <w:top w:val="none" w:sz="0" w:space="0" w:color="auto"/>
                                            <w:left w:val="none" w:sz="0" w:space="0" w:color="auto"/>
                                            <w:bottom w:val="none" w:sz="0" w:space="0" w:color="auto"/>
                                            <w:right w:val="none" w:sz="0" w:space="0" w:color="auto"/>
                                          </w:divBdr>
                                          <w:divsChild>
                                            <w:div w:id="1151558445">
                                              <w:marLeft w:val="0"/>
                                              <w:marRight w:val="0"/>
                                              <w:marTop w:val="0"/>
                                              <w:marBottom w:val="0"/>
                                              <w:divBdr>
                                                <w:top w:val="none" w:sz="0" w:space="0" w:color="auto"/>
                                                <w:left w:val="none" w:sz="0" w:space="0" w:color="auto"/>
                                                <w:bottom w:val="none" w:sz="0" w:space="0" w:color="auto"/>
                                                <w:right w:val="none" w:sz="0" w:space="0" w:color="auto"/>
                                              </w:divBdr>
                                              <w:divsChild>
                                                <w:div w:id="773329986">
                                                  <w:marLeft w:val="0"/>
                                                  <w:marRight w:val="0"/>
                                                  <w:marTop w:val="0"/>
                                                  <w:marBottom w:val="0"/>
                                                  <w:divBdr>
                                                    <w:top w:val="none" w:sz="0" w:space="0" w:color="auto"/>
                                                    <w:left w:val="none" w:sz="0" w:space="0" w:color="auto"/>
                                                    <w:bottom w:val="none" w:sz="0" w:space="0" w:color="auto"/>
                                                    <w:right w:val="none" w:sz="0" w:space="0" w:color="auto"/>
                                                  </w:divBdr>
                                                  <w:divsChild>
                                                    <w:div w:id="1878547971">
                                                      <w:marLeft w:val="0"/>
                                                      <w:marRight w:val="0"/>
                                                      <w:marTop w:val="0"/>
                                                      <w:marBottom w:val="0"/>
                                                      <w:divBdr>
                                                        <w:top w:val="none" w:sz="0" w:space="0" w:color="auto"/>
                                                        <w:left w:val="none" w:sz="0" w:space="0" w:color="auto"/>
                                                        <w:bottom w:val="none" w:sz="0" w:space="0" w:color="auto"/>
                                                        <w:right w:val="none" w:sz="0" w:space="0" w:color="auto"/>
                                                      </w:divBdr>
                                                      <w:divsChild>
                                                        <w:div w:id="56250149">
                                                          <w:marLeft w:val="0"/>
                                                          <w:marRight w:val="0"/>
                                                          <w:marTop w:val="0"/>
                                                          <w:marBottom w:val="0"/>
                                                          <w:divBdr>
                                                            <w:top w:val="none" w:sz="0" w:space="0" w:color="auto"/>
                                                            <w:left w:val="none" w:sz="0" w:space="0" w:color="auto"/>
                                                            <w:bottom w:val="none" w:sz="0" w:space="0" w:color="auto"/>
                                                            <w:right w:val="none" w:sz="0" w:space="0" w:color="auto"/>
                                                          </w:divBdr>
                                                          <w:divsChild>
                                                            <w:div w:id="2147236114">
                                                              <w:marLeft w:val="0"/>
                                                              <w:marRight w:val="0"/>
                                                              <w:marTop w:val="0"/>
                                                              <w:marBottom w:val="0"/>
                                                              <w:divBdr>
                                                                <w:top w:val="none" w:sz="0" w:space="0" w:color="auto"/>
                                                                <w:left w:val="none" w:sz="0" w:space="0" w:color="auto"/>
                                                                <w:bottom w:val="none" w:sz="0" w:space="0" w:color="auto"/>
                                                                <w:right w:val="none" w:sz="0" w:space="0" w:color="auto"/>
                                                              </w:divBdr>
                                                              <w:divsChild>
                                                                <w:div w:id="1090152345">
                                                                  <w:marLeft w:val="0"/>
                                                                  <w:marRight w:val="0"/>
                                                                  <w:marTop w:val="0"/>
                                                                  <w:marBottom w:val="0"/>
                                                                  <w:divBdr>
                                                                    <w:top w:val="none" w:sz="0" w:space="0" w:color="auto"/>
                                                                    <w:left w:val="none" w:sz="0" w:space="0" w:color="auto"/>
                                                                    <w:bottom w:val="none" w:sz="0" w:space="0" w:color="auto"/>
                                                                    <w:right w:val="none" w:sz="0" w:space="0" w:color="auto"/>
                                                                  </w:divBdr>
                                                                  <w:divsChild>
                                                                    <w:div w:id="6789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2954243">
      <w:bodyDiv w:val="1"/>
      <w:marLeft w:val="0"/>
      <w:marRight w:val="0"/>
      <w:marTop w:val="0"/>
      <w:marBottom w:val="0"/>
      <w:divBdr>
        <w:top w:val="none" w:sz="0" w:space="0" w:color="auto"/>
        <w:left w:val="none" w:sz="0" w:space="0" w:color="auto"/>
        <w:bottom w:val="none" w:sz="0" w:space="0" w:color="auto"/>
        <w:right w:val="none" w:sz="0" w:space="0" w:color="auto"/>
      </w:divBdr>
    </w:div>
    <w:div w:id="1607425134">
      <w:bodyDiv w:val="1"/>
      <w:marLeft w:val="0"/>
      <w:marRight w:val="0"/>
      <w:marTop w:val="0"/>
      <w:marBottom w:val="0"/>
      <w:divBdr>
        <w:top w:val="none" w:sz="0" w:space="0" w:color="auto"/>
        <w:left w:val="none" w:sz="0" w:space="0" w:color="auto"/>
        <w:bottom w:val="none" w:sz="0" w:space="0" w:color="auto"/>
        <w:right w:val="none" w:sz="0" w:space="0" w:color="auto"/>
      </w:divBdr>
    </w:div>
    <w:div w:id="1672559869">
      <w:bodyDiv w:val="1"/>
      <w:marLeft w:val="0"/>
      <w:marRight w:val="0"/>
      <w:marTop w:val="0"/>
      <w:marBottom w:val="0"/>
      <w:divBdr>
        <w:top w:val="none" w:sz="0" w:space="0" w:color="auto"/>
        <w:left w:val="none" w:sz="0" w:space="0" w:color="auto"/>
        <w:bottom w:val="none" w:sz="0" w:space="0" w:color="auto"/>
        <w:right w:val="none" w:sz="0" w:space="0" w:color="auto"/>
      </w:divBdr>
    </w:div>
    <w:div w:id="1733042616">
      <w:bodyDiv w:val="1"/>
      <w:marLeft w:val="0"/>
      <w:marRight w:val="0"/>
      <w:marTop w:val="0"/>
      <w:marBottom w:val="0"/>
      <w:divBdr>
        <w:top w:val="none" w:sz="0" w:space="0" w:color="auto"/>
        <w:left w:val="none" w:sz="0" w:space="0" w:color="auto"/>
        <w:bottom w:val="none" w:sz="0" w:space="0" w:color="auto"/>
        <w:right w:val="none" w:sz="0" w:space="0" w:color="auto"/>
      </w:divBdr>
    </w:div>
    <w:div w:id="1835560843">
      <w:bodyDiv w:val="1"/>
      <w:marLeft w:val="0"/>
      <w:marRight w:val="0"/>
      <w:marTop w:val="0"/>
      <w:marBottom w:val="0"/>
      <w:divBdr>
        <w:top w:val="none" w:sz="0" w:space="0" w:color="auto"/>
        <w:left w:val="none" w:sz="0" w:space="0" w:color="auto"/>
        <w:bottom w:val="none" w:sz="0" w:space="0" w:color="auto"/>
        <w:right w:val="none" w:sz="0" w:space="0" w:color="auto"/>
      </w:divBdr>
      <w:divsChild>
        <w:div w:id="726027438">
          <w:marLeft w:val="0"/>
          <w:marRight w:val="0"/>
          <w:marTop w:val="0"/>
          <w:marBottom w:val="0"/>
          <w:divBdr>
            <w:top w:val="none" w:sz="0" w:space="0" w:color="auto"/>
            <w:left w:val="none" w:sz="0" w:space="0" w:color="auto"/>
            <w:bottom w:val="none" w:sz="0" w:space="0" w:color="auto"/>
            <w:right w:val="none" w:sz="0" w:space="0" w:color="auto"/>
          </w:divBdr>
          <w:divsChild>
            <w:div w:id="958414253">
              <w:marLeft w:val="0"/>
              <w:marRight w:val="0"/>
              <w:marTop w:val="0"/>
              <w:marBottom w:val="0"/>
              <w:divBdr>
                <w:top w:val="none" w:sz="0" w:space="0" w:color="auto"/>
                <w:left w:val="none" w:sz="0" w:space="0" w:color="auto"/>
                <w:bottom w:val="none" w:sz="0" w:space="0" w:color="auto"/>
                <w:right w:val="none" w:sz="0" w:space="0" w:color="auto"/>
              </w:divBdr>
              <w:divsChild>
                <w:div w:id="959265327">
                  <w:marLeft w:val="0"/>
                  <w:marRight w:val="0"/>
                  <w:marTop w:val="0"/>
                  <w:marBottom w:val="0"/>
                  <w:divBdr>
                    <w:top w:val="none" w:sz="0" w:space="0" w:color="auto"/>
                    <w:left w:val="none" w:sz="0" w:space="0" w:color="auto"/>
                    <w:bottom w:val="none" w:sz="0" w:space="0" w:color="auto"/>
                    <w:right w:val="none" w:sz="0" w:space="0" w:color="auto"/>
                  </w:divBdr>
                  <w:divsChild>
                    <w:div w:id="531575139">
                      <w:marLeft w:val="0"/>
                      <w:marRight w:val="0"/>
                      <w:marTop w:val="0"/>
                      <w:marBottom w:val="0"/>
                      <w:divBdr>
                        <w:top w:val="none" w:sz="0" w:space="0" w:color="auto"/>
                        <w:left w:val="none" w:sz="0" w:space="0" w:color="auto"/>
                        <w:bottom w:val="none" w:sz="0" w:space="0" w:color="auto"/>
                        <w:right w:val="none" w:sz="0" w:space="0" w:color="auto"/>
                      </w:divBdr>
                      <w:divsChild>
                        <w:div w:id="267129257">
                          <w:marLeft w:val="0"/>
                          <w:marRight w:val="0"/>
                          <w:marTop w:val="0"/>
                          <w:marBottom w:val="0"/>
                          <w:divBdr>
                            <w:top w:val="none" w:sz="0" w:space="0" w:color="auto"/>
                            <w:left w:val="none" w:sz="0" w:space="0" w:color="auto"/>
                            <w:bottom w:val="none" w:sz="0" w:space="0" w:color="auto"/>
                            <w:right w:val="none" w:sz="0" w:space="0" w:color="auto"/>
                          </w:divBdr>
                          <w:divsChild>
                            <w:div w:id="1314915806">
                              <w:marLeft w:val="0"/>
                              <w:marRight w:val="0"/>
                              <w:marTop w:val="0"/>
                              <w:marBottom w:val="0"/>
                              <w:divBdr>
                                <w:top w:val="none" w:sz="0" w:space="0" w:color="auto"/>
                                <w:left w:val="none" w:sz="0" w:space="0" w:color="auto"/>
                                <w:bottom w:val="none" w:sz="0" w:space="0" w:color="auto"/>
                                <w:right w:val="none" w:sz="0" w:space="0" w:color="auto"/>
                              </w:divBdr>
                              <w:divsChild>
                                <w:div w:id="887644722">
                                  <w:marLeft w:val="0"/>
                                  <w:marRight w:val="0"/>
                                  <w:marTop w:val="0"/>
                                  <w:marBottom w:val="0"/>
                                  <w:divBdr>
                                    <w:top w:val="none" w:sz="0" w:space="0" w:color="auto"/>
                                    <w:left w:val="none" w:sz="0" w:space="0" w:color="auto"/>
                                    <w:bottom w:val="none" w:sz="0" w:space="0" w:color="auto"/>
                                    <w:right w:val="none" w:sz="0" w:space="0" w:color="auto"/>
                                  </w:divBdr>
                                  <w:divsChild>
                                    <w:div w:id="1236937042">
                                      <w:marLeft w:val="0"/>
                                      <w:marRight w:val="0"/>
                                      <w:marTop w:val="0"/>
                                      <w:marBottom w:val="0"/>
                                      <w:divBdr>
                                        <w:top w:val="none" w:sz="0" w:space="0" w:color="auto"/>
                                        <w:left w:val="none" w:sz="0" w:space="0" w:color="auto"/>
                                        <w:bottom w:val="none" w:sz="0" w:space="0" w:color="auto"/>
                                        <w:right w:val="none" w:sz="0" w:space="0" w:color="auto"/>
                                      </w:divBdr>
                                      <w:divsChild>
                                        <w:div w:id="1373261955">
                                          <w:marLeft w:val="0"/>
                                          <w:marRight w:val="0"/>
                                          <w:marTop w:val="0"/>
                                          <w:marBottom w:val="0"/>
                                          <w:divBdr>
                                            <w:top w:val="none" w:sz="0" w:space="0" w:color="auto"/>
                                            <w:left w:val="none" w:sz="0" w:space="0" w:color="auto"/>
                                            <w:bottom w:val="none" w:sz="0" w:space="0" w:color="auto"/>
                                            <w:right w:val="none" w:sz="0" w:space="0" w:color="auto"/>
                                          </w:divBdr>
                                          <w:divsChild>
                                            <w:div w:id="95108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768">
          <w:marLeft w:val="0"/>
          <w:marRight w:val="0"/>
          <w:marTop w:val="0"/>
          <w:marBottom w:val="0"/>
          <w:divBdr>
            <w:top w:val="none" w:sz="0" w:space="0" w:color="auto"/>
            <w:left w:val="none" w:sz="0" w:space="0" w:color="auto"/>
            <w:bottom w:val="none" w:sz="0" w:space="0" w:color="auto"/>
            <w:right w:val="none" w:sz="0" w:space="0" w:color="auto"/>
          </w:divBdr>
          <w:divsChild>
            <w:div w:id="1905411417">
              <w:marLeft w:val="0"/>
              <w:marRight w:val="0"/>
              <w:marTop w:val="0"/>
              <w:marBottom w:val="0"/>
              <w:divBdr>
                <w:top w:val="none" w:sz="0" w:space="0" w:color="auto"/>
                <w:left w:val="none" w:sz="0" w:space="0" w:color="auto"/>
                <w:bottom w:val="none" w:sz="0" w:space="0" w:color="auto"/>
                <w:right w:val="none" w:sz="0" w:space="0" w:color="auto"/>
              </w:divBdr>
              <w:divsChild>
                <w:div w:id="490949110">
                  <w:marLeft w:val="0"/>
                  <w:marRight w:val="0"/>
                  <w:marTop w:val="0"/>
                  <w:marBottom w:val="0"/>
                  <w:divBdr>
                    <w:top w:val="none" w:sz="0" w:space="0" w:color="auto"/>
                    <w:left w:val="none" w:sz="0" w:space="0" w:color="auto"/>
                    <w:bottom w:val="none" w:sz="0" w:space="0" w:color="auto"/>
                    <w:right w:val="none" w:sz="0" w:space="0" w:color="auto"/>
                  </w:divBdr>
                  <w:divsChild>
                    <w:div w:id="801121427">
                      <w:marLeft w:val="0"/>
                      <w:marRight w:val="0"/>
                      <w:marTop w:val="0"/>
                      <w:marBottom w:val="0"/>
                      <w:divBdr>
                        <w:top w:val="none" w:sz="0" w:space="0" w:color="auto"/>
                        <w:left w:val="none" w:sz="0" w:space="0" w:color="auto"/>
                        <w:bottom w:val="none" w:sz="0" w:space="0" w:color="auto"/>
                        <w:right w:val="none" w:sz="0" w:space="0" w:color="auto"/>
                      </w:divBdr>
                      <w:divsChild>
                        <w:div w:id="448622891">
                          <w:marLeft w:val="0"/>
                          <w:marRight w:val="0"/>
                          <w:marTop w:val="0"/>
                          <w:marBottom w:val="0"/>
                          <w:divBdr>
                            <w:top w:val="none" w:sz="0" w:space="0" w:color="auto"/>
                            <w:left w:val="none" w:sz="0" w:space="0" w:color="auto"/>
                            <w:bottom w:val="none" w:sz="0" w:space="0" w:color="auto"/>
                            <w:right w:val="none" w:sz="0" w:space="0" w:color="auto"/>
                          </w:divBdr>
                          <w:divsChild>
                            <w:div w:id="1893153330">
                              <w:marLeft w:val="0"/>
                              <w:marRight w:val="0"/>
                              <w:marTop w:val="0"/>
                              <w:marBottom w:val="0"/>
                              <w:divBdr>
                                <w:top w:val="none" w:sz="0" w:space="0" w:color="auto"/>
                                <w:left w:val="none" w:sz="0" w:space="0" w:color="auto"/>
                                <w:bottom w:val="none" w:sz="0" w:space="0" w:color="auto"/>
                                <w:right w:val="none" w:sz="0" w:space="0" w:color="auto"/>
                              </w:divBdr>
                              <w:divsChild>
                                <w:div w:id="2103986774">
                                  <w:marLeft w:val="0"/>
                                  <w:marRight w:val="0"/>
                                  <w:marTop w:val="0"/>
                                  <w:marBottom w:val="0"/>
                                  <w:divBdr>
                                    <w:top w:val="none" w:sz="0" w:space="0" w:color="auto"/>
                                    <w:left w:val="none" w:sz="0" w:space="0" w:color="auto"/>
                                    <w:bottom w:val="none" w:sz="0" w:space="0" w:color="auto"/>
                                    <w:right w:val="none" w:sz="0" w:space="0" w:color="auto"/>
                                  </w:divBdr>
                                  <w:divsChild>
                                    <w:div w:id="824007773">
                                      <w:marLeft w:val="0"/>
                                      <w:marRight w:val="0"/>
                                      <w:marTop w:val="0"/>
                                      <w:marBottom w:val="0"/>
                                      <w:divBdr>
                                        <w:top w:val="none" w:sz="0" w:space="0" w:color="auto"/>
                                        <w:left w:val="none" w:sz="0" w:space="0" w:color="auto"/>
                                        <w:bottom w:val="none" w:sz="0" w:space="0" w:color="auto"/>
                                        <w:right w:val="none" w:sz="0" w:space="0" w:color="auto"/>
                                      </w:divBdr>
                                      <w:divsChild>
                                        <w:div w:id="426968499">
                                          <w:marLeft w:val="0"/>
                                          <w:marRight w:val="0"/>
                                          <w:marTop w:val="0"/>
                                          <w:marBottom w:val="0"/>
                                          <w:divBdr>
                                            <w:top w:val="none" w:sz="0" w:space="0" w:color="auto"/>
                                            <w:left w:val="none" w:sz="0" w:space="0" w:color="auto"/>
                                            <w:bottom w:val="none" w:sz="0" w:space="0" w:color="auto"/>
                                            <w:right w:val="none" w:sz="0" w:space="0" w:color="auto"/>
                                          </w:divBdr>
                                          <w:divsChild>
                                            <w:div w:id="1129975319">
                                              <w:marLeft w:val="0"/>
                                              <w:marRight w:val="0"/>
                                              <w:marTop w:val="0"/>
                                              <w:marBottom w:val="0"/>
                                              <w:divBdr>
                                                <w:top w:val="none" w:sz="0" w:space="0" w:color="auto"/>
                                                <w:left w:val="none" w:sz="0" w:space="0" w:color="auto"/>
                                                <w:bottom w:val="none" w:sz="0" w:space="0" w:color="auto"/>
                                                <w:right w:val="none" w:sz="0" w:space="0" w:color="auto"/>
                                              </w:divBdr>
                                              <w:divsChild>
                                                <w:div w:id="499542989">
                                                  <w:marLeft w:val="0"/>
                                                  <w:marRight w:val="0"/>
                                                  <w:marTop w:val="0"/>
                                                  <w:marBottom w:val="0"/>
                                                  <w:divBdr>
                                                    <w:top w:val="none" w:sz="0" w:space="0" w:color="auto"/>
                                                    <w:left w:val="none" w:sz="0" w:space="0" w:color="auto"/>
                                                    <w:bottom w:val="none" w:sz="0" w:space="0" w:color="auto"/>
                                                    <w:right w:val="none" w:sz="0" w:space="0" w:color="auto"/>
                                                  </w:divBdr>
                                                  <w:divsChild>
                                                    <w:div w:id="999041878">
                                                      <w:marLeft w:val="0"/>
                                                      <w:marRight w:val="0"/>
                                                      <w:marTop w:val="0"/>
                                                      <w:marBottom w:val="0"/>
                                                      <w:divBdr>
                                                        <w:top w:val="none" w:sz="0" w:space="0" w:color="auto"/>
                                                        <w:left w:val="none" w:sz="0" w:space="0" w:color="auto"/>
                                                        <w:bottom w:val="none" w:sz="0" w:space="0" w:color="auto"/>
                                                        <w:right w:val="none" w:sz="0" w:space="0" w:color="auto"/>
                                                      </w:divBdr>
                                                      <w:divsChild>
                                                        <w:div w:id="81606141">
                                                          <w:marLeft w:val="0"/>
                                                          <w:marRight w:val="0"/>
                                                          <w:marTop w:val="0"/>
                                                          <w:marBottom w:val="0"/>
                                                          <w:divBdr>
                                                            <w:top w:val="none" w:sz="0" w:space="0" w:color="auto"/>
                                                            <w:left w:val="none" w:sz="0" w:space="0" w:color="auto"/>
                                                            <w:bottom w:val="none" w:sz="0" w:space="0" w:color="auto"/>
                                                            <w:right w:val="none" w:sz="0" w:space="0" w:color="auto"/>
                                                          </w:divBdr>
                                                          <w:divsChild>
                                                            <w:div w:id="1012993542">
                                                              <w:marLeft w:val="0"/>
                                                              <w:marRight w:val="0"/>
                                                              <w:marTop w:val="0"/>
                                                              <w:marBottom w:val="0"/>
                                                              <w:divBdr>
                                                                <w:top w:val="none" w:sz="0" w:space="0" w:color="auto"/>
                                                                <w:left w:val="none" w:sz="0" w:space="0" w:color="auto"/>
                                                                <w:bottom w:val="none" w:sz="0" w:space="0" w:color="auto"/>
                                                                <w:right w:val="none" w:sz="0" w:space="0" w:color="auto"/>
                                                              </w:divBdr>
                                                              <w:divsChild>
                                                                <w:div w:id="14617018">
                                                                  <w:marLeft w:val="0"/>
                                                                  <w:marRight w:val="0"/>
                                                                  <w:marTop w:val="0"/>
                                                                  <w:marBottom w:val="0"/>
                                                                  <w:divBdr>
                                                                    <w:top w:val="none" w:sz="0" w:space="0" w:color="auto"/>
                                                                    <w:left w:val="none" w:sz="0" w:space="0" w:color="auto"/>
                                                                    <w:bottom w:val="none" w:sz="0" w:space="0" w:color="auto"/>
                                                                    <w:right w:val="none" w:sz="0" w:space="0" w:color="auto"/>
                                                                  </w:divBdr>
                                                                  <w:divsChild>
                                                                    <w:div w:id="154660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168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2307/1912017"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hyperlink" Target="https://doi.org/10.62050/fjst2025.v9n2.614" TargetMode="External"/><Relationship Id="rId17" Type="http://schemas.openxmlformats.org/officeDocument/2006/relationships/hyperlink" Target="https://doi.org/10.1016/j.resourpol.2025.105728" TargetMode="External"/><Relationship Id="rId18" Type="http://schemas.openxmlformats.org/officeDocument/2006/relationships/hyperlink" Target="https://doi.org/10.1111/ecno.12249" TargetMode="External"/><Relationship Id="rId19" Type="http://schemas.openxmlformats.org/officeDocument/2006/relationships/hyperlink" Target="https://doi.org/10.3390/jrfm18060332" TargetMode="External"/><Relationship Id="rId20" Type="http://schemas.openxmlformats.org/officeDocument/2006/relationships/hyperlink" Target="https://doi.org/10.1016/j.resourpol.2024.104880" TargetMode="External"/><Relationship Id="rId21" Type="http://schemas.openxmlformats.org/officeDocument/2006/relationships/hyperlink" Target="https://doi.org/10.1016/j.resourpol.2022.102857" TargetMode="External"/><Relationship Id="rId22" Type="http://schemas.openxmlformats.org/officeDocument/2006/relationships/hyperlink" Target="https://doi.org/10.1016/j.sciaf.2024.e02330" TargetMode="External"/><Relationship Id="rId23" Type="http://schemas.openxmlformats.org/officeDocument/2006/relationships/hyperlink" Target="https://doi.org/10.3386/w8554" TargetMode="External"/><Relationship Id="rId24" Type="http://schemas.openxmlformats.org/officeDocument/2006/relationships/hyperlink" Target="https://doi.org/10.1186/s40854-024-00732-1" TargetMode="External"/><Relationship Id="rId25" Type="http://schemas.openxmlformats.org/officeDocument/2006/relationships/hyperlink" Target="https://doi.org/10.1016/j.irfa.2024.103184" TargetMode="External"/><Relationship Id="rId26" Type="http://schemas.openxmlformats.org/officeDocument/2006/relationships/hyperlink" Target="https://doi.org/10.1016/j.resourpol.2022.102744" TargetMode="External"/><Relationship Id="rId27" Type="http://schemas.openxmlformats.org/officeDocument/2006/relationships/hyperlink" Target="https://doi.org/10.1002/for.70145" TargetMode="External"/><Relationship Id="rId28" Type="http://schemas.openxmlformats.org/officeDocument/2006/relationships/hyperlink" Target="https://publication.aercafricalibrary.org/handle/123456789/3221" TargetMode="External"/><Relationship Id="rId29" Type="http://schemas.openxmlformats.org/officeDocument/2006/relationships/hyperlink" Target="https://doi.org/10.56557/jgembr/2022/v14i38048" TargetMode="External"/><Relationship Id="rId30" Type="http://schemas.openxmlformats.org/officeDocument/2006/relationships/hyperlink" Target="https://doi.org/10.1108/AJEMS-06-2017-0124" TargetMode="External"/><Relationship Id="rId31" Type="http://schemas.openxmlformats.org/officeDocument/2006/relationships/hyperlink" Target="https://doi.org/10.1080/23311975.2023.2289700" TargetMode="External"/><Relationship Id="rId32" Type="http://schemas.openxmlformats.org/officeDocument/2006/relationships/hyperlink" Target="https://doi.org/10.1016/j.gfj.2021.100649" TargetMode="External"/><Relationship Id="rId33" Type="http://schemas.openxmlformats.org/officeDocument/2006/relationships/hyperlink" Target="https://doi.org/10.1016/j.eap.2023.04.009" TargetMode="External"/><Relationship Id="rId34" Type="http://schemas.openxmlformats.org/officeDocument/2006/relationships/hyperlink" Target="https://doi.org/10.9734/ajeba/2024/v24i81440" TargetMode="External"/><Relationship Id="rId35" Type="http://schemas.openxmlformats.org/officeDocument/2006/relationships/hyperlink" Target="https://doi.org/10.1016/j.ememar.2022.100948" TargetMode="External"/><Relationship Id="rId36" Type="http://schemas.openxmlformats.org/officeDocument/2006/relationships/hyperlink" Target="https://doi.org/10.1177/21582440251347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758</TotalTime>
  <Pages>22</Pages>
  <Words>6998</Words>
  <Characters>39893</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48</cp:revision>
  <dcterms:created xsi:type="dcterms:W3CDTF">2026-09-18T08:29:00Z</dcterms:created>
  <dcterms:modified xsi:type="dcterms:W3CDTF">2026-10-11T12:51:00Z</dcterms:modified>
</cp:coreProperties>
</file>