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2B30E" w14:textId="77777777" w:rsidR="00B172DA" w:rsidRDefault="00B172DA" w:rsidP="00F540BD">
      <w:pPr>
        <w:spacing w:line="360" w:lineRule="auto"/>
        <w:jc w:val="both"/>
        <w:rPr>
          <w:rFonts w:ascii="Times New Roman" w:hAnsi="Times New Roman" w:cs="Times New Roman"/>
          <w:b/>
          <w:bCs/>
          <w:sz w:val="32"/>
          <w:szCs w:val="32"/>
        </w:rPr>
      </w:pPr>
      <w:r w:rsidRPr="00B172DA">
        <w:rPr>
          <w:rFonts w:ascii="Times New Roman" w:hAnsi="Times New Roman" w:cs="Times New Roman"/>
          <w:b/>
          <w:bCs/>
          <w:sz w:val="32"/>
          <w:szCs w:val="32"/>
        </w:rPr>
        <w:t>Assessing HIV/AIDS Trends and Prevalence Patterns in Nizamabad District: A Statistical Approach</w:t>
      </w:r>
    </w:p>
    <w:p w14:paraId="2279ADA5" w14:textId="4FF1F437" w:rsidR="00F27BB4" w:rsidRPr="00F27BB4" w:rsidRDefault="00F27BB4" w:rsidP="00F540BD">
      <w:pPr>
        <w:spacing w:line="360" w:lineRule="auto"/>
        <w:jc w:val="both"/>
        <w:rPr>
          <w:rFonts w:ascii="Times New Roman" w:hAnsi="Times New Roman" w:cs="Times New Roman"/>
          <w:b/>
          <w:bCs/>
          <w:sz w:val="24"/>
          <w:szCs w:val="24"/>
        </w:rPr>
      </w:pPr>
      <w:r w:rsidRPr="00F27BB4">
        <w:rPr>
          <w:rFonts w:ascii="Times New Roman" w:hAnsi="Times New Roman" w:cs="Times New Roman"/>
          <w:b/>
          <w:bCs/>
          <w:sz w:val="24"/>
          <w:szCs w:val="24"/>
        </w:rPr>
        <w:t>Abstract</w:t>
      </w:r>
    </w:p>
    <w:p w14:paraId="5D069AA2" w14:textId="6516CA2E" w:rsidR="00F540BD" w:rsidRPr="00F540BD" w:rsidRDefault="00F540BD" w:rsidP="00F540BD">
      <w:pPr>
        <w:spacing w:line="360" w:lineRule="auto"/>
        <w:jc w:val="both"/>
        <w:rPr>
          <w:rFonts w:ascii="Times New Roman" w:hAnsi="Times New Roman" w:cs="Times New Roman"/>
          <w:b/>
          <w:bCs/>
          <w:sz w:val="24"/>
          <w:szCs w:val="24"/>
          <w:highlight w:val="yellow"/>
        </w:rPr>
      </w:pPr>
      <w:r w:rsidRPr="00F540BD">
        <w:rPr>
          <w:rFonts w:ascii="Times New Roman" w:hAnsi="Times New Roman" w:cs="Times New Roman"/>
          <w:b/>
          <w:bCs/>
          <w:sz w:val="24"/>
          <w:szCs w:val="24"/>
          <w:highlight w:val="yellow"/>
        </w:rPr>
        <w:t xml:space="preserve">Background: </w:t>
      </w:r>
      <w:r w:rsidRPr="00F540BD">
        <w:rPr>
          <w:rFonts w:ascii="Times New Roman" w:hAnsi="Times New Roman" w:cs="Times New Roman"/>
          <w:sz w:val="24"/>
          <w:szCs w:val="24"/>
          <w:highlight w:val="yellow"/>
        </w:rPr>
        <w:t>HIV/AIDS remains an important public health concern, requiring consistent surveillance and accessible testing services. District-level analysis of recorded testing outcomes can provide useful information for public health planning.</w:t>
      </w:r>
    </w:p>
    <w:p w14:paraId="4EE52CB1" w14:textId="36572CFD" w:rsidR="00F540BD" w:rsidRPr="00F540BD" w:rsidRDefault="00F540BD" w:rsidP="00F540BD">
      <w:pPr>
        <w:spacing w:line="360" w:lineRule="auto"/>
        <w:jc w:val="both"/>
        <w:rPr>
          <w:rFonts w:ascii="Times New Roman" w:hAnsi="Times New Roman" w:cs="Times New Roman"/>
          <w:b/>
          <w:bCs/>
          <w:sz w:val="24"/>
          <w:szCs w:val="24"/>
          <w:highlight w:val="yellow"/>
        </w:rPr>
      </w:pPr>
      <w:r w:rsidRPr="00F540BD">
        <w:rPr>
          <w:rFonts w:ascii="Times New Roman" w:hAnsi="Times New Roman" w:cs="Times New Roman"/>
          <w:b/>
          <w:bCs/>
          <w:sz w:val="24"/>
          <w:szCs w:val="24"/>
          <w:highlight w:val="yellow"/>
        </w:rPr>
        <w:t xml:space="preserve">Methods: </w:t>
      </w:r>
      <w:r w:rsidRPr="00F540BD">
        <w:rPr>
          <w:rFonts w:ascii="Times New Roman" w:hAnsi="Times New Roman" w:cs="Times New Roman"/>
          <w:sz w:val="24"/>
          <w:szCs w:val="24"/>
          <w:highlight w:val="yellow"/>
        </w:rPr>
        <w:t>This study examined HIV testing activity, detected positive cases and test positivity in Nizamabad District, Telangana, across five reporting periods from 2020–2021 to 2024–2025. Aggregate secondary data supplied by the District AIDS Prevention and Control Unit (DAPCU), Nizamabad, were analysed using descriptive statistics, percentage calculations and year-wise comparisons.</w:t>
      </w:r>
    </w:p>
    <w:p w14:paraId="467EF499" w14:textId="4965BD6D" w:rsidR="00F540BD" w:rsidRPr="00F540BD" w:rsidRDefault="00F540BD" w:rsidP="00F540BD">
      <w:pPr>
        <w:spacing w:line="360" w:lineRule="auto"/>
        <w:jc w:val="both"/>
        <w:rPr>
          <w:rFonts w:ascii="Times New Roman" w:hAnsi="Times New Roman" w:cs="Times New Roman"/>
          <w:b/>
          <w:bCs/>
          <w:sz w:val="24"/>
          <w:szCs w:val="24"/>
          <w:highlight w:val="yellow"/>
        </w:rPr>
      </w:pPr>
      <w:r w:rsidRPr="00F540BD">
        <w:rPr>
          <w:rFonts w:ascii="Times New Roman" w:hAnsi="Times New Roman" w:cs="Times New Roman"/>
          <w:b/>
          <w:bCs/>
          <w:sz w:val="24"/>
          <w:szCs w:val="24"/>
          <w:highlight w:val="yellow"/>
        </w:rPr>
        <w:t xml:space="preserve">Results: </w:t>
      </w:r>
      <w:r w:rsidRPr="00F540BD">
        <w:rPr>
          <w:rFonts w:ascii="Times New Roman" w:hAnsi="Times New Roman" w:cs="Times New Roman"/>
          <w:sz w:val="24"/>
          <w:szCs w:val="24"/>
          <w:highlight w:val="yellow"/>
        </w:rPr>
        <w:t>The annual number of HIV tests increased from 68,978 in 2020–2021 to 129,630 in 2023–2024, while detected positive cases increased from 352 to 538. Test positivity increased from approximately 0.51% in 2020–2021 to 0.54% in 2021–2022, declined to 0.39% in 2022–2023 and subsequently increased to 0.42% in 2023–2024. During the partial 2024–2025 reporting period, 53,245 tests and 237 positive cases were recorded, corresponding to approximately 0.45% positivity. Across all five reporting periods, 1,983 positive cases were recorded among 441,837 tests, yielding an overall positivity rate of approximately 0.45%.</w:t>
      </w:r>
    </w:p>
    <w:p w14:paraId="490DF595" w14:textId="77777777" w:rsidR="00F540BD" w:rsidRPr="00F540BD" w:rsidRDefault="00F540BD" w:rsidP="00F540BD">
      <w:pPr>
        <w:spacing w:line="360" w:lineRule="auto"/>
        <w:jc w:val="both"/>
        <w:rPr>
          <w:rFonts w:ascii="Times New Roman" w:hAnsi="Times New Roman" w:cs="Times New Roman"/>
          <w:b/>
          <w:bCs/>
          <w:sz w:val="24"/>
          <w:szCs w:val="24"/>
          <w:highlight w:val="yellow"/>
        </w:rPr>
      </w:pPr>
      <w:r w:rsidRPr="00F540BD">
        <w:rPr>
          <w:rFonts w:ascii="Times New Roman" w:hAnsi="Times New Roman" w:cs="Times New Roman"/>
          <w:b/>
          <w:bCs/>
          <w:sz w:val="24"/>
          <w:szCs w:val="24"/>
          <w:highlight w:val="yellow"/>
        </w:rPr>
        <w:t xml:space="preserve">Conclusion: </w:t>
      </w:r>
      <w:r w:rsidRPr="00F540BD">
        <w:rPr>
          <w:rFonts w:ascii="Times New Roman" w:hAnsi="Times New Roman" w:cs="Times New Roman"/>
          <w:sz w:val="24"/>
          <w:szCs w:val="24"/>
          <w:highlight w:val="yellow"/>
        </w:rPr>
        <w:t>The findings demonstrate variations in recorded testing activity and positivity across the reporting periods. These results describe testing outcomes rather than population HIV prevalence or incidence. The incomplete final reporting period requires cautious interpretation. Consistent surveillance, reliable reporting and accessible testing services remain important considerations for district-level public health planning.</w:t>
      </w:r>
      <w:r w:rsidRPr="00F540BD">
        <w:rPr>
          <w:rFonts w:ascii="Times New Roman" w:hAnsi="Times New Roman" w:cs="Times New Roman"/>
          <w:b/>
          <w:bCs/>
          <w:sz w:val="24"/>
          <w:szCs w:val="24"/>
          <w:highlight w:val="yellow"/>
        </w:rPr>
        <w:t xml:space="preserve"> </w:t>
      </w:r>
    </w:p>
    <w:p w14:paraId="2782EEFB" w14:textId="77777777" w:rsidR="00F540BD" w:rsidRPr="00F540BD" w:rsidRDefault="00F540BD" w:rsidP="00F540BD">
      <w:pPr>
        <w:spacing w:line="360" w:lineRule="auto"/>
        <w:jc w:val="both"/>
        <w:rPr>
          <w:rFonts w:ascii="Times New Roman" w:hAnsi="Times New Roman" w:cs="Times New Roman"/>
          <w:b/>
          <w:bCs/>
          <w:sz w:val="24"/>
          <w:szCs w:val="24"/>
          <w:highlight w:val="yellow"/>
        </w:rPr>
      </w:pPr>
    </w:p>
    <w:p w14:paraId="7F4D86BB" w14:textId="37934320" w:rsidR="00F27BB4" w:rsidRPr="00F27BB4" w:rsidRDefault="00F27BB4" w:rsidP="00F540BD">
      <w:pPr>
        <w:spacing w:line="360" w:lineRule="auto"/>
        <w:jc w:val="both"/>
        <w:rPr>
          <w:rFonts w:ascii="Times New Roman" w:hAnsi="Times New Roman" w:cs="Times New Roman"/>
          <w:sz w:val="24"/>
          <w:szCs w:val="24"/>
        </w:rPr>
      </w:pPr>
      <w:r w:rsidRPr="00F540BD">
        <w:rPr>
          <w:rFonts w:ascii="Times New Roman" w:hAnsi="Times New Roman" w:cs="Times New Roman"/>
          <w:b/>
          <w:bCs/>
          <w:sz w:val="24"/>
          <w:szCs w:val="24"/>
          <w:highlight w:val="yellow"/>
        </w:rPr>
        <w:t>Keywords:</w:t>
      </w:r>
      <w:r w:rsidRPr="00F540BD">
        <w:rPr>
          <w:rFonts w:ascii="Times New Roman" w:hAnsi="Times New Roman" w:cs="Times New Roman"/>
          <w:sz w:val="24"/>
          <w:szCs w:val="24"/>
          <w:highlight w:val="yellow"/>
        </w:rPr>
        <w:t xml:space="preserve"> HIV/AIDS; Nizamabad District; HIV testing; test positivity; secondary data; statistical analysis; public health surveillance.</w:t>
      </w:r>
    </w:p>
    <w:p w14:paraId="5C36A05A"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 Introduction</w:t>
      </w:r>
    </w:p>
    <w:p w14:paraId="36B2969B"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1.1 Background of HIV/AIDS</w:t>
      </w:r>
    </w:p>
    <w:p w14:paraId="0466CCA6" w14:textId="0B020804" w:rsidR="00DC6A31" w:rsidRPr="00F540BD"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lastRenderedPageBreak/>
        <w:t xml:space="preserve">Human immunodeficiency virus (HIV) is a virus that attacks the immune system, particularly CD4 cells, which play an important role in protecting the body against infections. Acquired immunodeficiency syndrome (AIDS) represents the most advanced stage of HIV infection. Without appropriate treatment, HIV can progressively weaken immune function and increase susceptibility to opportunistic infections. However, effective antiretroviral therapy (ART) enables people living </w:t>
      </w:r>
      <w:r w:rsidRPr="00F540BD">
        <w:rPr>
          <w:rFonts w:ascii="Times New Roman" w:hAnsi="Times New Roman" w:cs="Times New Roman"/>
          <w:sz w:val="24"/>
          <w:szCs w:val="24"/>
        </w:rPr>
        <w:t>with HIV to maintain their health and achieve long-term viral suppression. Early diagnosis, timely treatment, preventive interventions, and continuous monitoring are essential components of the public health response to HIV/AIDS (World Health Organization [WHO], 2024).</w:t>
      </w:r>
      <w:r w:rsidR="00F540BD" w:rsidRPr="00F540BD">
        <w:rPr>
          <w:rFonts w:ascii="Times New Roman" w:hAnsi="Times New Roman" w:cs="Times New Roman"/>
          <w:sz w:val="24"/>
          <w:szCs w:val="24"/>
        </w:rPr>
        <w:t xml:space="preserve"> </w:t>
      </w:r>
      <w:r w:rsidRPr="00F540BD">
        <w:rPr>
          <w:highlight w:val="yellow"/>
        </w:rPr>
        <w:t>A systematic review has identified inequalities in HIV-related knowledge, testing, and service coverage across social groups, underscoring the need to interpret testing outcomes in their service context (</w:t>
      </w:r>
      <w:proofErr w:type="spellStart"/>
      <w:r w:rsidRPr="00F540BD">
        <w:rPr>
          <w:highlight w:val="yellow"/>
        </w:rPr>
        <w:t>Endalamaw</w:t>
      </w:r>
      <w:proofErr w:type="spellEnd"/>
      <w:r w:rsidRPr="00F540BD">
        <w:rPr>
          <w:highlight w:val="yellow"/>
        </w:rPr>
        <w:t xml:space="preserve"> et al., 2024).</w:t>
      </w:r>
    </w:p>
    <w:p w14:paraId="76C5AB22"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1.2 HIV/AIDS: Global and Indian Context</w:t>
      </w:r>
    </w:p>
    <w:p w14:paraId="0EBA7DF0" w14:textId="39CB7D35" w:rsidR="00DC6A31" w:rsidRPr="00F540BD"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HIV/AIDS continues to be an important global public health concern, requiring coordinated efforts in prevention, diagnosis, treatment, and surveillance. International initiatives emphasise expanding access to HIV testing, reducing stigma and discrimination, and improving treatment coverage. In India, the National AIDS Control Programme (NACO, 2017) provides a framework for HIV prevention, testing, counselling, treatment, and awareness activities. National and international reports highlight the importance of accessible testing services and reliable epidemiological information for identifying service gaps and guiding public health interventions (Joint United Nations Programme on HIV/AIDS [UNAIDS], 2024a, 2024b; WHO, 2024). District-level analysis can complement these broader assessments by examining local testing outcomes.</w:t>
      </w:r>
      <w:r>
        <w:rPr>
          <w:highlight w:val="yellow"/>
        </w:rPr>
        <w:t xml:space="preserve"> The national strategic plan also provides a policy framework for the period 2017–2024 (National AIDS Control </w:t>
      </w:r>
      <w:r w:rsidRPr="00F540BD">
        <w:rPr>
          <w:highlight w:val="yellow"/>
        </w:rPr>
        <w:t>Organisation [NACO], 2017).</w:t>
      </w:r>
      <w:r w:rsidR="00F540BD" w:rsidRPr="00F540BD">
        <w:rPr>
          <w:rFonts w:ascii="Times New Roman" w:hAnsi="Times New Roman" w:cs="Times New Roman"/>
          <w:sz w:val="24"/>
          <w:szCs w:val="24"/>
        </w:rPr>
        <w:t xml:space="preserve"> </w:t>
      </w:r>
      <w:r w:rsidRPr="00F540BD">
        <w:rPr>
          <w:highlight w:val="yellow"/>
        </w:rPr>
        <w:t>A cross-sectional study among university students in Ghana identified several factors associated with voluntary HIV counselling and testing uptake; its population and setting differ from those of the present district-level analysis (</w:t>
      </w:r>
      <w:proofErr w:type="spellStart"/>
      <w:r w:rsidRPr="00F540BD">
        <w:rPr>
          <w:highlight w:val="yellow"/>
        </w:rPr>
        <w:t>Banyeh</w:t>
      </w:r>
      <w:proofErr w:type="spellEnd"/>
      <w:r w:rsidRPr="00F540BD">
        <w:rPr>
          <w:highlight w:val="yellow"/>
        </w:rPr>
        <w:t xml:space="preserve"> et al., 2022).</w:t>
      </w:r>
      <w:r w:rsidR="00F540BD" w:rsidRPr="00F540BD">
        <w:t xml:space="preserve"> </w:t>
      </w:r>
      <w:r w:rsidRPr="00F540BD">
        <w:rPr>
          <w:highlight w:val="yellow"/>
        </w:rPr>
        <w:t>Recent literature has considered HIV self-testing as an additional approach to expanding access to testing, while noting that its contribution to linkage with prevention services may differ across settings (Zhang et al., 2024).</w:t>
      </w:r>
    </w:p>
    <w:p w14:paraId="237E201A"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1.3 Importance of District-Level Analysis</w:t>
      </w:r>
    </w:p>
    <w:p w14:paraId="38A25CF6" w14:textId="77777777" w:rsidR="00BB2DD4" w:rsidRPr="00F540BD"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 xml:space="preserve">District-level statistical analysis helps identify changes in HIV testing activity, detected positive cases, and test positivity over time. Such information can support local health planning, resource allocation, and the identification of priorities for further investigation. </w:t>
      </w:r>
      <w:r w:rsidRPr="00BB2DD4">
        <w:rPr>
          <w:rFonts w:ascii="Times New Roman" w:hAnsi="Times New Roman" w:cs="Times New Roman"/>
          <w:sz w:val="24"/>
          <w:szCs w:val="24"/>
          <w:highlight w:val="yellow"/>
        </w:rPr>
        <w:lastRenderedPageBreak/>
        <w:t xml:space="preserve">However, the number of positive cases depends partly on testing volume and the characteristics of the </w:t>
      </w:r>
      <w:r w:rsidRPr="00F540BD">
        <w:rPr>
          <w:rFonts w:ascii="Times New Roman" w:hAnsi="Times New Roman" w:cs="Times New Roman"/>
          <w:sz w:val="24"/>
          <w:szCs w:val="24"/>
          <w:highlight w:val="yellow"/>
        </w:rPr>
        <w:t>individuals tested. Therefore, test positivity should not be interpreted directly as population HIV prevalence or incidence.</w:t>
      </w:r>
    </w:p>
    <w:p w14:paraId="47D52933" w14:textId="77777777" w:rsidR="00DC6A31" w:rsidRPr="00F540BD" w:rsidRDefault="00000000" w:rsidP="00F540BD">
      <w:pPr>
        <w:jc w:val="both"/>
      </w:pPr>
      <w:r w:rsidRPr="00F540BD">
        <w:rPr>
          <w:highlight w:val="yellow"/>
        </w:rPr>
        <w:t>An Indian hospital-based study also examined HIV testing and diagnosis during the COVID-19 period, illustrating the value of interpreting testing figures within the corresponding service and reporting periods (Maurya et al., 2025).</w:t>
      </w:r>
    </w:p>
    <w:p w14:paraId="579A6F94" w14:textId="77777777" w:rsidR="00DC6A31" w:rsidRPr="00F540BD" w:rsidRDefault="00000000" w:rsidP="00F540BD">
      <w:pPr>
        <w:jc w:val="both"/>
      </w:pPr>
      <w:r w:rsidRPr="00F540BD">
        <w:rPr>
          <w:highlight w:val="yellow"/>
        </w:rPr>
        <w:t>A mathematical modelling study has examined HIV screening alongside treatment adherence, but its simulated transmission dynamics are not directly comparable with the routine administrative test counts analysed in this study (</w:t>
      </w:r>
      <w:proofErr w:type="spellStart"/>
      <w:r w:rsidRPr="00F540BD">
        <w:rPr>
          <w:highlight w:val="yellow"/>
        </w:rPr>
        <w:t>Odebiyi</w:t>
      </w:r>
      <w:proofErr w:type="spellEnd"/>
      <w:r w:rsidRPr="00F540BD">
        <w:rPr>
          <w:highlight w:val="yellow"/>
        </w:rPr>
        <w:t xml:space="preserve"> et al., 2025).</w:t>
      </w:r>
    </w:p>
    <w:p w14:paraId="5AB769BD" w14:textId="77777777" w:rsidR="00DC6A31" w:rsidRPr="00F540BD" w:rsidRDefault="00000000" w:rsidP="00F540BD">
      <w:pPr>
        <w:jc w:val="both"/>
      </w:pPr>
      <w:r w:rsidRPr="00F540BD">
        <w:rPr>
          <w:highlight w:val="yellow"/>
        </w:rPr>
        <w:t>Although the available records describe testing activity in Nizamabad District, their year-wise results have not yet been consolidated within the present analysis to distinguish changes in testing volume from changes in test positivity. This specific analytical gap motivates a descriptive comparison of the supplied reporting periods, with explicit recognition that the final period is incomplete and that test positivity does not measure population prevalence.</w:t>
      </w:r>
    </w:p>
    <w:p w14:paraId="496063DB"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1.4 Aim and Objectives</w:t>
      </w:r>
    </w:p>
    <w:p w14:paraId="11E3AD7D"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The present study aims to statistically examine HIV testing and trends in positive cases in Nizamabad District, Telangana, from 2020–2021 to 2024–2025.</w:t>
      </w:r>
    </w:p>
    <w:p w14:paraId="66836196"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objectives are:</w:t>
      </w:r>
    </w:p>
    <w:p w14:paraId="594394C7" w14:textId="77777777" w:rsidR="00BB2DD4" w:rsidRPr="00BB2DD4" w:rsidRDefault="00BB2DD4" w:rsidP="00F540BD">
      <w:pPr>
        <w:numPr>
          <w:ilvl w:val="0"/>
          <w:numId w:val="1"/>
        </w:num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 xml:space="preserve">To </w:t>
      </w:r>
      <w:r w:rsidRPr="00BB2DD4">
        <w:rPr>
          <w:rFonts w:ascii="Times New Roman" w:hAnsi="Times New Roman" w:cs="Times New Roman"/>
          <w:sz w:val="24"/>
          <w:szCs w:val="24"/>
          <w:highlight w:val="yellow"/>
        </w:rPr>
        <w:t>analyse</w:t>
      </w:r>
      <w:r w:rsidRPr="00BB2DD4">
        <w:rPr>
          <w:rFonts w:ascii="Times New Roman" w:hAnsi="Times New Roman" w:cs="Times New Roman"/>
          <w:sz w:val="24"/>
          <w:szCs w:val="24"/>
        </w:rPr>
        <w:t xml:space="preserve"> year-wise HIV testing and detected positive cases.</w:t>
      </w:r>
    </w:p>
    <w:p w14:paraId="10AF759B" w14:textId="77777777" w:rsidR="00BB2DD4" w:rsidRPr="00BB2DD4" w:rsidRDefault="00BB2DD4" w:rsidP="00F540BD">
      <w:pPr>
        <w:numPr>
          <w:ilvl w:val="0"/>
          <w:numId w:val="1"/>
        </w:num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To calculate and compare annual HIV test positivity rates.</w:t>
      </w:r>
    </w:p>
    <w:p w14:paraId="363F7095" w14:textId="77777777" w:rsidR="00BB2DD4" w:rsidRPr="00BB2DD4" w:rsidRDefault="00BB2DD4" w:rsidP="00F540BD">
      <w:pPr>
        <w:numPr>
          <w:ilvl w:val="0"/>
          <w:numId w:val="1"/>
        </w:num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To discuss the implications of the observed trends for HIV surveillance, prevention, and public health planning.</w:t>
      </w:r>
    </w:p>
    <w:p w14:paraId="3ACEE397"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2. Review of Literature</w:t>
      </w:r>
    </w:p>
    <w:p w14:paraId="2DFDDB11"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2.1 Global Evidence on HIV Testing</w:t>
      </w:r>
    </w:p>
    <w:p w14:paraId="7EC9F264"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Global research emphasises HIV testing as a fundamental component of prevention, early diagnosis, and linkage to treatment. The Joint United Nations Programme on HIV/AIDS (UNAIDS, 2024a, 2024b) reported that approximately 39.9 million people were living with HIV globally in 2023, highlighting continuing challenges in treatment access and prevention. Effective testing strategies can help identify previously undiagnosed infections and facilitate timely treatment. International evidence also emphasises equitable access to health services, confidentiality, and the reduction of stigma and discrimination. Consequently, testing data are important indicators for monitoring service delivery and identifying gaps in the HIV response.</w:t>
      </w:r>
    </w:p>
    <w:p w14:paraId="2464D0A7"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lastRenderedPageBreak/>
        <w:t>2.2 HIV/AIDS in India</w:t>
      </w:r>
    </w:p>
    <w:p w14:paraId="4AA566EA" w14:textId="77777777" w:rsidR="00222641" w:rsidRPr="00553AF8" w:rsidRDefault="00BB2DD4" w:rsidP="00F540BD">
      <w:pPr>
        <w:spacing w:line="360" w:lineRule="auto"/>
        <w:jc w:val="both"/>
        <w:rPr>
          <w:rFonts w:ascii="Times New Roman" w:hAnsi="Times New Roman" w:cs="Times New Roman"/>
          <w:sz w:val="24"/>
          <w:szCs w:val="24"/>
        </w:rPr>
      </w:pPr>
      <w:r>
        <w:rPr>
          <w:highlight w:val="yellow"/>
        </w:rPr>
        <w:t>The findings demonstrate the importance of interpreting counts of positive cases alongside testing volume. National HIV estimation reports provide a framework for examining geographical differences in the epidemic and contextualizing district-level observations within broader state and national patterns (NACO, 2024).</w:t>
      </w:r>
    </w:p>
    <w:p w14:paraId="466A0D74" w14:textId="77777777" w:rsidR="00BB2DD4" w:rsidRPr="00553AF8" w:rsidRDefault="00BB2DD4" w:rsidP="00F540BD">
      <w:pPr>
        <w:spacing w:line="360" w:lineRule="auto"/>
        <w:jc w:val="both"/>
        <w:rPr>
          <w:rFonts w:ascii="Times New Roman" w:hAnsi="Times New Roman" w:cs="Times New Roman"/>
          <w:sz w:val="24"/>
          <w:szCs w:val="24"/>
        </w:rPr>
      </w:pPr>
      <w:r>
        <w:rPr>
          <w:highlight w:val="yellow"/>
        </w:rPr>
        <w:t>NACO's national and district-level HIV estimates also provide an epidemiological framework for understanding geographical variation and planning appropriate interventions (National AIDS Control Organisation &amp; ICMR–National Institute for Research in Digital Health and Data Science, 2025).</w:t>
      </w:r>
    </w:p>
    <w:p w14:paraId="6D92EAF0" w14:textId="77777777" w:rsidR="00222641" w:rsidRPr="00655555" w:rsidRDefault="00655555" w:rsidP="00F540BD">
      <w:pPr>
        <w:spacing w:line="360" w:lineRule="auto"/>
        <w:jc w:val="both"/>
        <w:rPr>
          <w:rFonts w:ascii="Times New Roman" w:hAnsi="Times New Roman" w:cs="Times New Roman"/>
          <w:sz w:val="24"/>
          <w:szCs w:val="24"/>
        </w:rPr>
      </w:pPr>
      <w:r w:rsidRPr="00655555">
        <w:rPr>
          <w:rFonts w:ascii="Times New Roman" w:hAnsi="Times New Roman" w:cs="Times New Roman"/>
          <w:sz w:val="24"/>
          <w:szCs w:val="24"/>
        </w:rPr>
        <w:t>Population-based studies in India have also demonstrated that HIV estimates derived from population surveys can differ from those based on sentinel surveillance, highlighting the importance of considering the data source and estimation method when interpreting epidemiological indicators (</w:t>
      </w:r>
      <w:proofErr w:type="spellStart"/>
      <w:r w:rsidRPr="00655555">
        <w:rPr>
          <w:rFonts w:ascii="Times New Roman" w:hAnsi="Times New Roman" w:cs="Times New Roman"/>
          <w:sz w:val="24"/>
          <w:szCs w:val="24"/>
        </w:rPr>
        <w:t>Dandona</w:t>
      </w:r>
      <w:proofErr w:type="spellEnd"/>
      <w:r w:rsidRPr="00655555">
        <w:rPr>
          <w:rFonts w:ascii="Times New Roman" w:hAnsi="Times New Roman" w:cs="Times New Roman"/>
          <w:sz w:val="24"/>
          <w:szCs w:val="24"/>
        </w:rPr>
        <w:t xml:space="preserve"> et al., 2006).</w:t>
      </w:r>
      <w:r w:rsidRPr="00553AF8">
        <w:rPr>
          <w:rFonts w:ascii="Times New Roman" w:hAnsi="Times New Roman" w:cs="Times New Roman"/>
          <w:sz w:val="24"/>
          <w:szCs w:val="24"/>
        </w:rPr>
        <w:t xml:space="preserve"> </w:t>
      </w:r>
      <w:r w:rsidRPr="00655555">
        <w:rPr>
          <w:rFonts w:ascii="Times New Roman" w:hAnsi="Times New Roman" w:cs="Times New Roman"/>
          <w:sz w:val="24"/>
          <w:szCs w:val="24"/>
        </w:rPr>
        <w:t>Integrated surveillance systems can strengthen the monitoring of HIV and related infections by supporting systematic data collection, epidemiological assessment, and evidence-based public health planning (Kumar et al., 2025).</w:t>
      </w:r>
    </w:p>
    <w:p w14:paraId="384BE430"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2.3 Evidence from Telangana and Comparable Districts</w:t>
      </w:r>
    </w:p>
    <w:p w14:paraId="527DC799" w14:textId="77777777" w:rsidR="00655555"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 xml:space="preserve">Official HIV estimation reports provide evidence of geographical variation in India's HIV epidemic, including differences between districts within Telangana. </w:t>
      </w:r>
      <w:r w:rsidR="00052D96" w:rsidRPr="00553AF8">
        <w:rPr>
          <w:rFonts w:ascii="Times New Roman" w:hAnsi="Times New Roman" w:cs="Times New Roman"/>
          <w:sz w:val="24"/>
          <w:szCs w:val="24"/>
          <w:highlight w:val="yellow"/>
        </w:rPr>
        <w:t xml:space="preserve">District-level HIV estimation research in India has demonstrated the value of geographically disaggregated analysis for understanding variations that may not be apparent from national-level estimates alone (Kumar et al., 2021; Venkatesh et al., 2026). </w:t>
      </w:r>
      <w:r w:rsidRPr="00BB2DD4">
        <w:rPr>
          <w:rFonts w:ascii="Times New Roman" w:hAnsi="Times New Roman" w:cs="Times New Roman"/>
          <w:sz w:val="24"/>
          <w:szCs w:val="24"/>
        </w:rPr>
        <w:t>NACO's district-level estimates illustrate the importance of examining local epidemiological indicators rather than relying exclusively on national averages (NACO, 2025). Government reporting also identifies Telangana among the states reporting HIV positivity above the national average in the specified testing-service dataset (Ministry of Health and Family Welfare, 2024). However, state-level estimates and routine testing records represent different indicators and should not be treated as directly interchangeable. The supplied Nizamabad data provide an opportunity to examine local changes in testing activity, detected positive cases, and annual test positivity over five academic years.</w:t>
      </w:r>
      <w:r>
        <w:rPr>
          <w:highlight w:val="yellow"/>
        </w:rPr>
        <w:t xml:space="preserve"> More recent national surveillance research also considers geographical variation in HIV indicators (Venkatesh et al., 2026).</w:t>
      </w:r>
    </w:p>
    <w:p w14:paraId="3E5F2155"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2.4 Research Gap</w:t>
      </w:r>
    </w:p>
    <w:p w14:paraId="628E912B"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lastRenderedPageBreak/>
        <w:t>National and state-level HIV reports provide important estimates of the epidemic, but these indicators do not necessarily describe routine testing outcomes in an individual district. The available Nizamabad records provide annual counts of tests and detected positive cases, allowing test positivity to be calculated consistently across the reporting periods.</w:t>
      </w:r>
    </w:p>
    <w:p w14:paraId="12640FEA"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highlight w:val="yellow"/>
        </w:rPr>
        <w:t>The analytical gap addressed here is the lack of a consolidated, year-by-year description of the supplied district-level records for 2020–2021 through 2024–2025, including testing volume, detected positive cases, test positivity, and cases per 1,000 tests. This study does not assume that no earlier district-specific analysis exists; establishing broader novelty would require a documented search of published and administrative sources.</w:t>
      </w:r>
    </w:p>
    <w:p w14:paraId="23C35010"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study contributes a transparent descriptive summary of the available local data and distinguishes changes in testing volume from changes in the proportion of positive tests. The partial 2024–2025 reporting period is identified explicitly to avoid misleading full-year comparisons.</w:t>
      </w:r>
    </w:p>
    <w:p w14:paraId="16E3374D"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 Materials and Methods</w:t>
      </w:r>
    </w:p>
    <w:p w14:paraId="25CD555F"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3.1 Research Design</w:t>
      </w:r>
    </w:p>
    <w:p w14:paraId="5150F387"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The present study uses a literature-informed descriptive statistical design based on secondary data. It examines annual HIV testing, detected positive cases, and test positivity in Nizamabad District. Relevant government reports and published literature provide the background for interpreting the observed trends.</w:t>
      </w:r>
    </w:p>
    <w:p w14:paraId="299B6FF7"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3.2 Study Area and Period</w:t>
      </w:r>
    </w:p>
    <w:p w14:paraId="4B231C1D"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The study focuses on Nizamabad District, Telangana, India. The analysis covers five academic years, from 2020–2021 to 2024–2025. The data for 2024–2025 are partial, covering the period through October, as indicated in the supplied records. This limitation is considered when comparing annual figures.</w:t>
      </w:r>
    </w:p>
    <w:p w14:paraId="1CFA6605"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3.3 Data Source and Variables</w:t>
      </w:r>
    </w:p>
    <w:p w14:paraId="4D288D5B"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 xml:space="preserve">The study uses aggregate secondary data supplied by the District AIDS Prevention and Control Unit (DAPCU), Nizamabad. The principal variables include the annual number of HIV tests conducted, the number of HIV-positive cases detected, and the corresponding positivity percentage. The figures were organised by academic year for comparison. The source records </w:t>
      </w:r>
      <w:r w:rsidRPr="00BB2DD4">
        <w:rPr>
          <w:rFonts w:ascii="Times New Roman" w:hAnsi="Times New Roman" w:cs="Times New Roman"/>
          <w:sz w:val="24"/>
          <w:szCs w:val="24"/>
          <w:highlight w:val="yellow"/>
        </w:rPr>
        <w:lastRenderedPageBreak/>
        <w:t>should be checked against the original administrative documents wherever available to ensure accuracy and consistency. No individual-level information was used in the analysis.</w:t>
      </w:r>
    </w:p>
    <w:p w14:paraId="27C3B719"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3.4 Statistical Analysis and Formulas</w:t>
      </w:r>
    </w:p>
    <w:p w14:paraId="1A540829"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Descriptive statistics were used to summarize annual HIV testing, detected positive cases, and test positivity in Nizamabad District. Calculations were based on aggregate counts supplied by DAPCU, Nizamabad. Rates were calculated from unrounded counts and rounded only for presentation.</w:t>
      </w:r>
    </w:p>
    <w:p w14:paraId="24C9CAB6" w14:textId="77777777" w:rsidR="000063CB" w:rsidRPr="000063CB" w:rsidRDefault="000063CB" w:rsidP="00F540BD">
      <w:pPr>
        <w:spacing w:line="360" w:lineRule="auto"/>
        <w:jc w:val="both"/>
        <w:rPr>
          <w:rFonts w:ascii="Times New Roman" w:hAnsi="Times New Roman" w:cs="Times New Roman"/>
          <w:sz w:val="24"/>
          <w:szCs w:val="24"/>
        </w:rPr>
      </w:pPr>
      <m:oMathPara>
        <m:oMathParaPr>
          <m:jc m:val="center"/>
        </m:oMathParaPr>
        <m:oMath>
          <m:r>
            <w:rPr>
              <w:rFonts w:ascii="Cambria Math" w:hAnsi="Cambria Math" w:cs="Times New Roman"/>
              <w:sz w:val="24"/>
              <w:szCs w:val="24"/>
            </w:rPr>
            <m:t xml:space="preserve">Annual test Positivity </m:t>
          </m:r>
          <m:d>
            <m:dPr>
              <m:ctrlPr>
                <w:rPr>
                  <w:rFonts w:ascii="Cambria Math" w:hAnsi="Cambria Math" w:cs="Times New Roman"/>
                  <w:i/>
                  <w:sz w:val="24"/>
                  <w:szCs w:val="24"/>
                </w:rPr>
              </m:ctrlPr>
            </m:dPr>
            <m:e>
              <m:r>
                <w:rPr>
                  <w:rFonts w:ascii="Cambria Math" w:hAnsi="Cambria Math" w:cs="Times New Roman"/>
                  <w:sz w:val="24"/>
                  <w:szCs w:val="24"/>
                </w:rPr>
                <m:t>%</m:t>
              </m:r>
            </m:e>
          </m:d>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m:rPr>
                      <m:sty m:val="p"/>
                    </m:rPr>
                    <w:rPr>
                      <w:rFonts w:ascii="Cambria Math" w:hAnsi="Cambria Math" w:cs="Times New Roman"/>
                      <w:sz w:val="24"/>
                      <w:szCs w:val="24"/>
                    </w:rPr>
                    <m:t xml:space="preserve">HIV-positive cases detected </m:t>
                  </m:r>
                </m:num>
                <m:den>
                  <m:r>
                    <m:rPr>
                      <m:sty m:val="p"/>
                    </m:rPr>
                    <w:rPr>
                      <w:rFonts w:ascii="Cambria Math" w:hAnsi="Cambria Math" w:cs="Times New Roman"/>
                      <w:sz w:val="24"/>
                      <w:szCs w:val="24"/>
                    </w:rPr>
                    <m:t>HIV tests conducted</m:t>
                  </m:r>
                </m:den>
              </m:f>
            </m:e>
          </m:d>
          <m:r>
            <w:rPr>
              <w:rFonts w:ascii="Cambria Math" w:hAnsi="Cambria Math" w:cs="Times New Roman"/>
              <w:sz w:val="24"/>
              <w:szCs w:val="24"/>
            </w:rPr>
            <m:t>×100</m:t>
          </m:r>
        </m:oMath>
      </m:oMathPara>
    </w:p>
    <w:p w14:paraId="6C727C56"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This is the proportion of reported tests yielding positive results; it is not a population prevalence or incidence estimate.</w:t>
      </w:r>
    </w:p>
    <w:p w14:paraId="7F18CF5F" w14:textId="77777777" w:rsidR="000063CB" w:rsidRPr="000063CB" w:rsidRDefault="000063CB" w:rsidP="00F540BD">
      <w:pPr>
        <w:spacing w:line="360" w:lineRule="auto"/>
        <w:jc w:val="both"/>
        <w:rPr>
          <w:rFonts w:ascii="Times New Roman" w:hAnsi="Times New Roman" w:cs="Times New Roman"/>
          <w:sz w:val="24"/>
          <w:szCs w:val="24"/>
        </w:rPr>
      </w:pPr>
      <m:oMathPara>
        <m:oMathParaPr>
          <m:jc m:val="center"/>
        </m:oMathParaPr>
        <m:oMath>
          <m:r>
            <m:rPr>
              <m:sty m:val="p"/>
            </m:rPr>
            <w:rPr>
              <w:rFonts w:ascii="Cambria Math" w:hAnsi="Cambria Math" w:cs="Times New Roman"/>
              <w:sz w:val="24"/>
              <w:szCs w:val="24"/>
            </w:rPr>
            <m:t>Positive cases per 1,000 tests</m:t>
          </m:r>
          <m:r>
            <m:rPr>
              <m:sty m:val="p"/>
            </m:rPr>
            <w:rPr>
              <w:rFonts w:ascii="Cambria Math" w:hAnsi="Times New Roman"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m:rPr>
                      <m:sty m:val="p"/>
                    </m:rPr>
                    <w:rPr>
                      <w:rFonts w:ascii="Cambria Math" w:hAnsi="Cambria Math" w:cs="Times New Roman"/>
                      <w:sz w:val="24"/>
                      <w:szCs w:val="24"/>
                    </w:rPr>
                    <m:t xml:space="preserve">HIV-positive cases detected </m:t>
                  </m:r>
                </m:num>
                <m:den>
                  <m:r>
                    <m:rPr>
                      <m:sty m:val="p"/>
                    </m:rPr>
                    <w:rPr>
                      <w:rFonts w:ascii="Cambria Math" w:hAnsi="Cambria Math" w:cs="Times New Roman"/>
                      <w:sz w:val="24"/>
                      <w:szCs w:val="24"/>
                    </w:rPr>
                    <m:t>HIV tests conducted</m:t>
                  </m:r>
                </m:den>
              </m:f>
            </m:e>
          </m:d>
          <m:r>
            <w:rPr>
              <w:rFonts w:ascii="Cambria Math" w:hAnsi="Cambria Math" w:cs="Times New Roman"/>
              <w:sz w:val="24"/>
              <w:szCs w:val="24"/>
            </w:rPr>
            <m:t>×1,000</m:t>
          </m:r>
        </m:oMath>
      </m:oMathPara>
    </w:p>
    <w:p w14:paraId="75D87182"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This expresses the test yield on a different scale and is not an independent measure of population risk.</w:t>
      </w:r>
    </w:p>
    <w:p w14:paraId="0B878E20" w14:textId="77777777" w:rsidR="000063CB" w:rsidRDefault="000063CB" w:rsidP="00F540BD">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 xml:space="preserve">Year on year % change </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(current year value-previous year value)</m:t>
                  </m:r>
                </m:num>
                <m:den>
                  <m:r>
                    <w:rPr>
                      <w:rFonts w:ascii="Cambria Math" w:hAnsi="Cambria Math" w:cs="Times New Roman"/>
                      <w:sz w:val="24"/>
                      <w:szCs w:val="24"/>
                    </w:rPr>
                    <m:t>previous year value</m:t>
                  </m:r>
                </m:den>
              </m:f>
            </m:e>
          </m:d>
          <m:r>
            <w:rPr>
              <w:rFonts w:ascii="Cambria Math" w:hAnsi="Cambria Math" w:cs="Times New Roman"/>
              <w:sz w:val="24"/>
              <w:szCs w:val="24"/>
            </w:rPr>
            <m:t>× 100</m:t>
          </m:r>
        </m:oMath>
      </m:oMathPara>
    </w:p>
    <w:p w14:paraId="6A642BE0"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highlight w:val="yellow"/>
        </w:rPr>
        <w:t>It was calculated for testing volume and counts of positive cases only when periods were comparable. No year-on-year change is interpreted for 2024–2025 because those data cover only the period through October.</w:t>
      </w:r>
    </w:p>
    <w:p w14:paraId="1FF430CE"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pooled positivity rate was calculated by dividing the sum of positive cases by the sum of tests, rather than by taking the unweighted mean of annual percentages. Across the five reporting periods, 1,983 positive cases among 441,837 tests yield a pooled positivity of 0.4488%, or 0.45% rounded to two decimal places.</w:t>
      </w:r>
    </w:p>
    <w:p w14:paraId="76010F0C" w14:textId="77777777" w:rsidR="00AB2B44" w:rsidRDefault="00000000" w:rsidP="00F540BD">
      <w:pPr>
        <w:spacing w:line="360" w:lineRule="auto"/>
        <w:jc w:val="both"/>
      </w:pPr>
      <w:r w:rsidRPr="000063CB">
        <w:rPr>
          <w:rFonts w:ascii="Times New Roman" w:hAnsi="Times New Roman" w:cs="Times New Roman"/>
          <w:sz w:val="24"/>
          <w:szCs w:val="24"/>
        </w:rPr>
        <w:t>Results are presented in tables and three figures: annual testing volume, annual detected positive cases, and annual test positivity. The incomplete final reporting period is included for descriptive context but is not treated as a full-year observation.</w:t>
      </w:r>
    </w:p>
    <w:p w14:paraId="21AB32C0"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3.5 Ethical Considerations and Data Protection</w:t>
      </w:r>
    </w:p>
    <w:p w14:paraId="3FC6BF19"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 xml:space="preserve">The analysis uses aggregate data without personal identifiers. The applicable requirements for institutional ethical approval, administrative permission, and data access should be verified </w:t>
      </w:r>
      <w:r w:rsidRPr="00BB2DD4">
        <w:rPr>
          <w:rFonts w:ascii="Times New Roman" w:hAnsi="Times New Roman" w:cs="Times New Roman"/>
          <w:sz w:val="24"/>
          <w:szCs w:val="24"/>
        </w:rPr>
        <w:lastRenderedPageBreak/>
        <w:t>before publication. Any approval or exemption statement will reflect the actual institutional decision and documented permissions. Confidentiality and responsible use of the administrative data are maintained throughout the study.</w:t>
      </w:r>
    </w:p>
    <w:p w14:paraId="469E09A2"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4. Results</w:t>
      </w:r>
    </w:p>
    <w:p w14:paraId="37E466BE"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4.1 Year-Wise HIV Testing</w:t>
      </w:r>
    </w:p>
    <w:p w14:paraId="50464729"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The annual HIV testing data indicate variations in testing activity in Nizamabad District during the study period. A total of 68,978 tests were conducted in 2020–2021, increasing to 75,171 in 2021–2022. Testing increased substantially to 114,813 in 2022–2023 and reached its highest recorded level of 129,630 in 2023–2024. In 2024–2025, 53,245 tests were recorded through October. Because this figure represents a partial year, it should not be directly compared with the preceding complete academic years. The observed changes describe testing activity rather than population-level HIV prevalence.</w:t>
      </w:r>
    </w:p>
    <w:p w14:paraId="3324DC51"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4.2 Year-Wise HIV-Positive Cases</w:t>
      </w:r>
    </w:p>
    <w:p w14:paraId="2824E2E6"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The number of HIV-positive cases detected increased from 352 in 2020–2021 to 405 in 2021–2022. The recorded count rose to 451 in 2022–2023 and reached a maximum of 538 in 2023–2024. During the partial 2024–2025 reporting period, 237 positive cases were recorded. These figures describe positive cases identified through the reported testing activity. The increase observed through 2023–2024 cannot, by itself, establish an increase in HIV transmission because the number and characteristics of the individuals tested may influence case detection.</w:t>
      </w:r>
    </w:p>
    <w:p w14:paraId="2A21525F"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4.3 Changes in HIV Test Positivity</w:t>
      </w:r>
    </w:p>
    <w:p w14:paraId="5B61BE8F"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Calculated from the supplied testing and counts of positive cases, the positivity rate was approximately 0.51% in 2020–2021 and increased to 0.54% in 2021–2022. It subsequently declined to 0.39% in 2022–2023 before rising to 0.42% in 2023–2024. The partial 2024–2025 data indicate a positivity rate of approximately 0.45%. These results demonstrate fluctuations in the proportion of tests yielding positive results. The observed pattern should be interpreted cautiously because differences in testing coverage, population characteristics, and reporting periods may influence annual positivity.</w:t>
      </w:r>
    </w:p>
    <w:p w14:paraId="4FD848B1"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4.4 Overall Statistical Summary</w:t>
      </w:r>
    </w:p>
    <w:p w14:paraId="376998DA" w14:textId="77777777" w:rsidR="00BB2DD4" w:rsidRPr="00DF0DEB" w:rsidRDefault="00BB2DD4" w:rsidP="00F540BD">
      <w:pPr>
        <w:spacing w:line="360" w:lineRule="auto"/>
        <w:jc w:val="both"/>
        <w:rPr>
          <w:rFonts w:ascii="Times New Roman" w:hAnsi="Times New Roman" w:cs="Times New Roman"/>
          <w:sz w:val="24"/>
          <w:szCs w:val="24"/>
        </w:rPr>
      </w:pPr>
      <w:r w:rsidRPr="00DF0DEB">
        <w:rPr>
          <w:rFonts w:ascii="Times New Roman" w:hAnsi="Times New Roman" w:cs="Times New Roman"/>
          <w:sz w:val="24"/>
          <w:szCs w:val="24"/>
        </w:rPr>
        <w:t xml:space="preserve">The overall positivity rate, calculated by dividing total positive cases by total tests, was 0.4488% (approximately 0.45%). The mean number of tests across the five reported periods </w:t>
      </w:r>
      <w:r w:rsidRPr="00DF0DEB">
        <w:rPr>
          <w:rFonts w:ascii="Times New Roman" w:hAnsi="Times New Roman" w:cs="Times New Roman"/>
          <w:sz w:val="24"/>
          <w:szCs w:val="24"/>
        </w:rPr>
        <w:lastRenderedPageBreak/>
        <w:t>was 88,367.4, while the mean number of detected positive cases was 396.6. These averages include the partial 2024–2025 figures and do not represent average complete-year activity.</w:t>
      </w:r>
    </w:p>
    <w:p w14:paraId="6919A1E8" w14:textId="77777777" w:rsidR="00BB2DD4" w:rsidRPr="00553AF8"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Table 1. Year-wise HIV testing, positive cases, and test positivity</w:t>
      </w:r>
    </w:p>
    <w:tbl>
      <w:tblPr>
        <w:tblStyle w:val="TableGrid"/>
        <w:tblW w:w="0" w:type="auto"/>
        <w:jc w:val="center"/>
        <w:tblLook w:val="0000" w:firstRow="0" w:lastRow="0" w:firstColumn="0" w:lastColumn="0" w:noHBand="0" w:noVBand="0"/>
      </w:tblPr>
      <w:tblGrid>
        <w:gridCol w:w="1743"/>
        <w:gridCol w:w="1863"/>
        <w:gridCol w:w="1596"/>
        <w:gridCol w:w="1636"/>
      </w:tblGrid>
      <w:tr w:rsidR="00401A3E" w:rsidRPr="00553AF8" w14:paraId="7585F634" w14:textId="77777777" w:rsidTr="00401A3E">
        <w:trPr>
          <w:jc w:val="center"/>
        </w:trPr>
        <w:tc>
          <w:tcPr>
            <w:tcW w:w="0" w:type="auto"/>
            <w:vAlign w:val="center"/>
          </w:tcPr>
          <w:p w14:paraId="176542C3"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Academic year</w:t>
            </w:r>
          </w:p>
        </w:tc>
        <w:tc>
          <w:tcPr>
            <w:tcW w:w="0" w:type="auto"/>
            <w:vAlign w:val="center"/>
          </w:tcPr>
          <w:p w14:paraId="22BEE186"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Tests conducted</w:t>
            </w:r>
          </w:p>
        </w:tc>
        <w:tc>
          <w:tcPr>
            <w:tcW w:w="0" w:type="auto"/>
            <w:vAlign w:val="center"/>
          </w:tcPr>
          <w:p w14:paraId="0FDE8B61"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Positive cases</w:t>
            </w:r>
          </w:p>
        </w:tc>
        <w:tc>
          <w:tcPr>
            <w:tcW w:w="0" w:type="auto"/>
            <w:vAlign w:val="center"/>
          </w:tcPr>
          <w:p w14:paraId="6795B678"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Positivity (%)</w:t>
            </w:r>
          </w:p>
        </w:tc>
      </w:tr>
      <w:tr w:rsidR="00401A3E" w:rsidRPr="00553AF8" w14:paraId="27A9D282" w14:textId="77777777" w:rsidTr="00401A3E">
        <w:trPr>
          <w:jc w:val="center"/>
        </w:trPr>
        <w:tc>
          <w:tcPr>
            <w:tcW w:w="0" w:type="auto"/>
            <w:vAlign w:val="center"/>
          </w:tcPr>
          <w:p w14:paraId="2F431636" w14:textId="77777777" w:rsidR="00401A3E" w:rsidRPr="00553AF8" w:rsidRDefault="00401A3E"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2020–21</w:t>
            </w:r>
          </w:p>
        </w:tc>
        <w:tc>
          <w:tcPr>
            <w:tcW w:w="0" w:type="auto"/>
            <w:vAlign w:val="center"/>
          </w:tcPr>
          <w:p w14:paraId="3BB7F00E" w14:textId="77777777" w:rsidR="00401A3E" w:rsidRPr="00553AF8" w:rsidRDefault="00401A3E"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68,978</w:t>
            </w:r>
          </w:p>
        </w:tc>
        <w:tc>
          <w:tcPr>
            <w:tcW w:w="0" w:type="auto"/>
            <w:vAlign w:val="center"/>
          </w:tcPr>
          <w:p w14:paraId="1A812C25" w14:textId="77777777" w:rsidR="00401A3E" w:rsidRPr="00553AF8" w:rsidRDefault="00401A3E"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352</w:t>
            </w:r>
          </w:p>
        </w:tc>
        <w:tc>
          <w:tcPr>
            <w:tcW w:w="0" w:type="auto"/>
            <w:vAlign w:val="center"/>
          </w:tcPr>
          <w:p w14:paraId="68873FDC" w14:textId="77777777" w:rsidR="00401A3E" w:rsidRPr="00553AF8" w:rsidRDefault="00401A3E"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0.51</w:t>
            </w:r>
          </w:p>
        </w:tc>
      </w:tr>
      <w:tr w:rsidR="00401A3E" w:rsidRPr="00553AF8" w14:paraId="5C5A2355" w14:textId="77777777" w:rsidTr="00401A3E">
        <w:trPr>
          <w:jc w:val="center"/>
        </w:trPr>
        <w:tc>
          <w:tcPr>
            <w:tcW w:w="0" w:type="auto"/>
            <w:vAlign w:val="center"/>
          </w:tcPr>
          <w:p w14:paraId="38FD9B2C"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2021–22</w:t>
            </w:r>
          </w:p>
        </w:tc>
        <w:tc>
          <w:tcPr>
            <w:tcW w:w="0" w:type="auto"/>
            <w:vAlign w:val="center"/>
          </w:tcPr>
          <w:p w14:paraId="7436A792"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75,171</w:t>
            </w:r>
          </w:p>
        </w:tc>
        <w:tc>
          <w:tcPr>
            <w:tcW w:w="0" w:type="auto"/>
            <w:vAlign w:val="center"/>
          </w:tcPr>
          <w:p w14:paraId="6FC77BE8"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405</w:t>
            </w:r>
          </w:p>
        </w:tc>
        <w:tc>
          <w:tcPr>
            <w:tcW w:w="0" w:type="auto"/>
            <w:vAlign w:val="center"/>
          </w:tcPr>
          <w:p w14:paraId="52E95476"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0.54</w:t>
            </w:r>
          </w:p>
        </w:tc>
      </w:tr>
      <w:tr w:rsidR="00401A3E" w:rsidRPr="00553AF8" w14:paraId="7EBD520E" w14:textId="77777777" w:rsidTr="00401A3E">
        <w:trPr>
          <w:jc w:val="center"/>
        </w:trPr>
        <w:tc>
          <w:tcPr>
            <w:tcW w:w="0" w:type="auto"/>
            <w:vAlign w:val="center"/>
          </w:tcPr>
          <w:p w14:paraId="090A665F"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2022–23</w:t>
            </w:r>
          </w:p>
        </w:tc>
        <w:tc>
          <w:tcPr>
            <w:tcW w:w="0" w:type="auto"/>
            <w:vAlign w:val="center"/>
          </w:tcPr>
          <w:p w14:paraId="6F0612F7"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1,14,813</w:t>
            </w:r>
          </w:p>
        </w:tc>
        <w:tc>
          <w:tcPr>
            <w:tcW w:w="0" w:type="auto"/>
            <w:vAlign w:val="center"/>
          </w:tcPr>
          <w:p w14:paraId="5712805F"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451</w:t>
            </w:r>
          </w:p>
        </w:tc>
        <w:tc>
          <w:tcPr>
            <w:tcW w:w="0" w:type="auto"/>
            <w:vAlign w:val="center"/>
          </w:tcPr>
          <w:p w14:paraId="7BD3930D"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0.39</w:t>
            </w:r>
          </w:p>
        </w:tc>
      </w:tr>
      <w:tr w:rsidR="00401A3E" w:rsidRPr="00553AF8" w14:paraId="6B64CF40" w14:textId="77777777" w:rsidTr="00401A3E">
        <w:trPr>
          <w:jc w:val="center"/>
        </w:trPr>
        <w:tc>
          <w:tcPr>
            <w:tcW w:w="0" w:type="auto"/>
            <w:vAlign w:val="center"/>
          </w:tcPr>
          <w:p w14:paraId="4001D880"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2023–24</w:t>
            </w:r>
          </w:p>
        </w:tc>
        <w:tc>
          <w:tcPr>
            <w:tcW w:w="0" w:type="auto"/>
            <w:vAlign w:val="center"/>
          </w:tcPr>
          <w:p w14:paraId="21DB7241"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1,29,630</w:t>
            </w:r>
          </w:p>
        </w:tc>
        <w:tc>
          <w:tcPr>
            <w:tcW w:w="0" w:type="auto"/>
            <w:vAlign w:val="center"/>
          </w:tcPr>
          <w:p w14:paraId="7ABAF396"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538</w:t>
            </w:r>
          </w:p>
        </w:tc>
        <w:tc>
          <w:tcPr>
            <w:tcW w:w="0" w:type="auto"/>
            <w:vAlign w:val="center"/>
          </w:tcPr>
          <w:p w14:paraId="711FC8BC"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0.42</w:t>
            </w:r>
          </w:p>
        </w:tc>
      </w:tr>
      <w:tr w:rsidR="00401A3E" w:rsidRPr="00553AF8" w14:paraId="02B98BA1" w14:textId="77777777" w:rsidTr="00401A3E">
        <w:trPr>
          <w:jc w:val="center"/>
        </w:trPr>
        <w:tc>
          <w:tcPr>
            <w:tcW w:w="0" w:type="auto"/>
            <w:vAlign w:val="center"/>
          </w:tcPr>
          <w:p w14:paraId="156FCD4D"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2024–25*</w:t>
            </w:r>
          </w:p>
        </w:tc>
        <w:tc>
          <w:tcPr>
            <w:tcW w:w="0" w:type="auto"/>
            <w:vAlign w:val="center"/>
          </w:tcPr>
          <w:p w14:paraId="7D23D0F8"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53,245</w:t>
            </w:r>
          </w:p>
        </w:tc>
        <w:tc>
          <w:tcPr>
            <w:tcW w:w="0" w:type="auto"/>
            <w:vAlign w:val="center"/>
          </w:tcPr>
          <w:p w14:paraId="6214BDAB"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237</w:t>
            </w:r>
          </w:p>
        </w:tc>
        <w:tc>
          <w:tcPr>
            <w:tcW w:w="0" w:type="auto"/>
            <w:vAlign w:val="center"/>
          </w:tcPr>
          <w:p w14:paraId="50BD2176"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0.45</w:t>
            </w:r>
          </w:p>
        </w:tc>
      </w:tr>
      <w:tr w:rsidR="00401A3E" w:rsidRPr="00553AF8" w14:paraId="0D534B9E" w14:textId="77777777" w:rsidTr="00401A3E">
        <w:trPr>
          <w:jc w:val="center"/>
        </w:trPr>
        <w:tc>
          <w:tcPr>
            <w:tcW w:w="0" w:type="auto"/>
            <w:vAlign w:val="center"/>
          </w:tcPr>
          <w:p w14:paraId="232E5836"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Total</w:t>
            </w:r>
          </w:p>
        </w:tc>
        <w:tc>
          <w:tcPr>
            <w:tcW w:w="0" w:type="auto"/>
            <w:vAlign w:val="center"/>
          </w:tcPr>
          <w:p w14:paraId="43FAD65A"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4,41,837</w:t>
            </w:r>
          </w:p>
        </w:tc>
        <w:tc>
          <w:tcPr>
            <w:tcW w:w="0" w:type="auto"/>
            <w:vAlign w:val="center"/>
          </w:tcPr>
          <w:p w14:paraId="08FE1729"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1,983</w:t>
            </w:r>
          </w:p>
        </w:tc>
        <w:tc>
          <w:tcPr>
            <w:tcW w:w="0" w:type="auto"/>
            <w:vAlign w:val="center"/>
          </w:tcPr>
          <w:p w14:paraId="16CB38EB" w14:textId="77777777" w:rsidR="00401A3E" w:rsidRPr="00553AF8" w:rsidRDefault="00401A3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0.45</w:t>
            </w:r>
          </w:p>
        </w:tc>
      </w:tr>
    </w:tbl>
    <w:p w14:paraId="4F88A15F"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Note. The 2024–2025 figures are partial, through October. Positivity is calculated from the supplied counts and rounded to two decimal places. Source: DAPCU, Nizamabad, records supplied for the study.</w:t>
      </w:r>
    </w:p>
    <w:p w14:paraId="47A3A376" w14:textId="77777777" w:rsidR="00BB2DD4" w:rsidRPr="00553AF8"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Table 2. Additional descriptive statistical indicators</w:t>
      </w:r>
    </w:p>
    <w:tbl>
      <w:tblPr>
        <w:tblStyle w:val="TableGrid"/>
        <w:tblW w:w="0" w:type="auto"/>
        <w:tblInd w:w="62" w:type="dxa"/>
        <w:tblLook w:val="0000" w:firstRow="0" w:lastRow="0" w:firstColumn="0" w:lastColumn="0" w:noHBand="0" w:noVBand="0"/>
      </w:tblPr>
      <w:tblGrid>
        <w:gridCol w:w="1688"/>
        <w:gridCol w:w="2164"/>
        <w:gridCol w:w="2142"/>
        <w:gridCol w:w="2960"/>
      </w:tblGrid>
      <w:tr w:rsidR="00E40D9E" w:rsidRPr="00553AF8" w14:paraId="1F0FA85D" w14:textId="77777777" w:rsidTr="00636D9B">
        <w:tc>
          <w:tcPr>
            <w:tcW w:w="0" w:type="auto"/>
            <w:vAlign w:val="center"/>
          </w:tcPr>
          <w:p w14:paraId="6BC2B98F"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Academic year</w:t>
            </w:r>
          </w:p>
        </w:tc>
        <w:tc>
          <w:tcPr>
            <w:tcW w:w="0" w:type="auto"/>
            <w:vAlign w:val="center"/>
          </w:tcPr>
          <w:p w14:paraId="28559F08"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Cases per 1,000 tests</w:t>
            </w:r>
          </w:p>
        </w:tc>
        <w:tc>
          <w:tcPr>
            <w:tcW w:w="0" w:type="auto"/>
            <w:vAlign w:val="center"/>
          </w:tcPr>
          <w:p w14:paraId="77C2C7F3"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Change in tests (%)</w:t>
            </w:r>
          </w:p>
        </w:tc>
        <w:tc>
          <w:tcPr>
            <w:tcW w:w="0" w:type="auto"/>
            <w:vAlign w:val="center"/>
          </w:tcPr>
          <w:p w14:paraId="067DB183"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b/>
                <w:bCs/>
                <w:sz w:val="24"/>
                <w:szCs w:val="24"/>
              </w:rPr>
              <w:t>Change in positive cases (%)</w:t>
            </w:r>
          </w:p>
        </w:tc>
      </w:tr>
      <w:tr w:rsidR="00E40D9E" w:rsidRPr="00553AF8" w14:paraId="53F56EE2" w14:textId="77777777" w:rsidTr="00636D9B">
        <w:tc>
          <w:tcPr>
            <w:tcW w:w="0" w:type="auto"/>
            <w:vAlign w:val="center"/>
          </w:tcPr>
          <w:p w14:paraId="36BAACFC" w14:textId="77777777" w:rsidR="00E40D9E" w:rsidRPr="00553AF8" w:rsidRDefault="00E40D9E"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2020–21</w:t>
            </w:r>
          </w:p>
        </w:tc>
        <w:tc>
          <w:tcPr>
            <w:tcW w:w="0" w:type="auto"/>
            <w:vAlign w:val="center"/>
          </w:tcPr>
          <w:p w14:paraId="328B180A" w14:textId="77777777" w:rsidR="00E40D9E" w:rsidRPr="00553AF8" w:rsidRDefault="00E40D9E"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5.10</w:t>
            </w:r>
          </w:p>
        </w:tc>
        <w:tc>
          <w:tcPr>
            <w:tcW w:w="0" w:type="auto"/>
            <w:vAlign w:val="center"/>
          </w:tcPr>
          <w:p w14:paraId="1D25FEF8" w14:textId="77777777" w:rsidR="00E40D9E" w:rsidRPr="00553AF8" w:rsidRDefault="00E40D9E"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w:t>
            </w:r>
          </w:p>
        </w:tc>
        <w:tc>
          <w:tcPr>
            <w:tcW w:w="0" w:type="auto"/>
            <w:vAlign w:val="center"/>
          </w:tcPr>
          <w:p w14:paraId="55B32092" w14:textId="77777777" w:rsidR="00E40D9E" w:rsidRPr="00553AF8" w:rsidRDefault="00E40D9E"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sz w:val="24"/>
                <w:szCs w:val="24"/>
              </w:rPr>
              <w:t>—</w:t>
            </w:r>
          </w:p>
        </w:tc>
      </w:tr>
      <w:tr w:rsidR="00E40D9E" w:rsidRPr="00553AF8" w14:paraId="2ED41B54" w14:textId="77777777" w:rsidTr="00636D9B">
        <w:tc>
          <w:tcPr>
            <w:tcW w:w="0" w:type="auto"/>
            <w:vAlign w:val="center"/>
          </w:tcPr>
          <w:p w14:paraId="09ABB8E2"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2021–22</w:t>
            </w:r>
          </w:p>
        </w:tc>
        <w:tc>
          <w:tcPr>
            <w:tcW w:w="0" w:type="auto"/>
            <w:vAlign w:val="center"/>
          </w:tcPr>
          <w:p w14:paraId="1BE07558"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5.39</w:t>
            </w:r>
          </w:p>
        </w:tc>
        <w:tc>
          <w:tcPr>
            <w:tcW w:w="0" w:type="auto"/>
            <w:vAlign w:val="center"/>
          </w:tcPr>
          <w:p w14:paraId="0D027023"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+8.98</w:t>
            </w:r>
          </w:p>
        </w:tc>
        <w:tc>
          <w:tcPr>
            <w:tcW w:w="0" w:type="auto"/>
            <w:vAlign w:val="center"/>
          </w:tcPr>
          <w:p w14:paraId="3194A6EA"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+15.06</w:t>
            </w:r>
          </w:p>
        </w:tc>
      </w:tr>
      <w:tr w:rsidR="00E40D9E" w:rsidRPr="00553AF8" w14:paraId="60AEF8C3" w14:textId="77777777" w:rsidTr="00636D9B">
        <w:tc>
          <w:tcPr>
            <w:tcW w:w="0" w:type="auto"/>
            <w:vAlign w:val="center"/>
          </w:tcPr>
          <w:p w14:paraId="1A292176"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2022–23</w:t>
            </w:r>
          </w:p>
        </w:tc>
        <w:tc>
          <w:tcPr>
            <w:tcW w:w="0" w:type="auto"/>
            <w:vAlign w:val="center"/>
          </w:tcPr>
          <w:p w14:paraId="36F56B55"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3.93</w:t>
            </w:r>
          </w:p>
        </w:tc>
        <w:tc>
          <w:tcPr>
            <w:tcW w:w="0" w:type="auto"/>
            <w:vAlign w:val="center"/>
          </w:tcPr>
          <w:p w14:paraId="00236FF4"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+52.73</w:t>
            </w:r>
          </w:p>
        </w:tc>
        <w:tc>
          <w:tcPr>
            <w:tcW w:w="0" w:type="auto"/>
            <w:vAlign w:val="center"/>
          </w:tcPr>
          <w:p w14:paraId="6A8A8F79"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+11.36</w:t>
            </w:r>
          </w:p>
        </w:tc>
      </w:tr>
      <w:tr w:rsidR="00E40D9E" w:rsidRPr="00553AF8" w14:paraId="07172146" w14:textId="77777777" w:rsidTr="00636D9B">
        <w:tc>
          <w:tcPr>
            <w:tcW w:w="0" w:type="auto"/>
            <w:vAlign w:val="center"/>
          </w:tcPr>
          <w:p w14:paraId="338A36F8"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2023–24</w:t>
            </w:r>
          </w:p>
        </w:tc>
        <w:tc>
          <w:tcPr>
            <w:tcW w:w="0" w:type="auto"/>
            <w:vAlign w:val="center"/>
          </w:tcPr>
          <w:p w14:paraId="586B91AC"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4.15</w:t>
            </w:r>
          </w:p>
        </w:tc>
        <w:tc>
          <w:tcPr>
            <w:tcW w:w="0" w:type="auto"/>
            <w:vAlign w:val="center"/>
          </w:tcPr>
          <w:p w14:paraId="31C05B90"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+12.90</w:t>
            </w:r>
          </w:p>
        </w:tc>
        <w:tc>
          <w:tcPr>
            <w:tcW w:w="0" w:type="auto"/>
            <w:vAlign w:val="center"/>
          </w:tcPr>
          <w:p w14:paraId="3B856241"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+19.29</w:t>
            </w:r>
          </w:p>
        </w:tc>
      </w:tr>
      <w:tr w:rsidR="00E40D9E" w:rsidRPr="00553AF8" w14:paraId="70B5799B" w14:textId="77777777" w:rsidTr="00636D9B">
        <w:tc>
          <w:tcPr>
            <w:tcW w:w="0" w:type="auto"/>
            <w:vAlign w:val="center"/>
          </w:tcPr>
          <w:p w14:paraId="1D641CC0"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2024–25*</w:t>
            </w:r>
          </w:p>
        </w:tc>
        <w:tc>
          <w:tcPr>
            <w:tcW w:w="0" w:type="auto"/>
            <w:vAlign w:val="center"/>
          </w:tcPr>
          <w:p w14:paraId="24AFAC92"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4.45</w:t>
            </w:r>
          </w:p>
        </w:tc>
        <w:tc>
          <w:tcPr>
            <w:tcW w:w="0" w:type="auto"/>
            <w:vAlign w:val="center"/>
          </w:tcPr>
          <w:p w14:paraId="027C2713"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Not comparable</w:t>
            </w:r>
          </w:p>
        </w:tc>
        <w:tc>
          <w:tcPr>
            <w:tcW w:w="0" w:type="auto"/>
            <w:vAlign w:val="center"/>
          </w:tcPr>
          <w:p w14:paraId="6FF3A2B2" w14:textId="77777777" w:rsidR="00E40D9E" w:rsidRPr="00553AF8" w:rsidRDefault="00E40D9E"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Not comparable</w:t>
            </w:r>
          </w:p>
        </w:tc>
      </w:tr>
    </w:tbl>
    <w:p w14:paraId="7D071249" w14:textId="77777777" w:rsidR="00BB2DD4" w:rsidRPr="00553AF8"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Note. Year-on-year changes are calculated relative to the preceding reported year. Changes for 2024–2025 are not presented because its partial reporting period is not comparable with a complete academic year.</w:t>
      </w:r>
    </w:p>
    <w:p w14:paraId="135578C7" w14:textId="77777777" w:rsidR="00E40D9E" w:rsidRPr="00553AF8" w:rsidRDefault="00E40D9E" w:rsidP="00F540BD">
      <w:pPr>
        <w:spacing w:line="360" w:lineRule="auto"/>
        <w:jc w:val="both"/>
        <w:rPr>
          <w:rFonts w:ascii="Times New Roman" w:hAnsi="Times New Roman" w:cs="Times New Roman"/>
          <w:sz w:val="24"/>
          <w:szCs w:val="24"/>
        </w:rPr>
      </w:pPr>
      <w:r w:rsidRPr="00553AF8">
        <w:rPr>
          <w:rFonts w:ascii="Times New Roman" w:hAnsi="Times New Roman" w:cs="Times New Roman"/>
          <w:noProof/>
          <w:sz w:val="24"/>
          <w:szCs w:val="24"/>
        </w:rPr>
        <w:lastRenderedPageBreak/>
        <w:drawing>
          <wp:inline distT="0" distB="0" distL="0" distR="0" wp14:anchorId="2D93B970" wp14:editId="173DC88B">
            <wp:extent cx="4572000" cy="2533650"/>
            <wp:effectExtent l="0" t="0" r="0" b="0"/>
            <wp:docPr id="1976129251" name="Chart 1">
              <a:extLst xmlns:a="http://schemas.openxmlformats.org/drawingml/2006/main">
                <a:ext uri="{FF2B5EF4-FFF2-40B4-BE49-F238E27FC236}">
                  <a16:creationId xmlns:a16="http://schemas.microsoft.com/office/drawing/2014/main" id="{2DB05E18-5FDB-D3DA-9F75-166E3DCCB2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1072051"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Figure 1. Annual HIV testing volume in Nizamabad District</w:t>
      </w:r>
    </w:p>
    <w:p w14:paraId="196F9BD8" w14:textId="77777777" w:rsidR="00BB2DD4" w:rsidRPr="00553AF8"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Caption: Annual number of HIV tests recorded during 2020–2021 to 2024–2025. *The final year includes data only through October.</w:t>
      </w:r>
    </w:p>
    <w:p w14:paraId="69BA6DD4" w14:textId="77777777" w:rsidR="00E40D9E" w:rsidRPr="00BB2DD4" w:rsidRDefault="00E40D9E" w:rsidP="00F540BD">
      <w:pPr>
        <w:spacing w:line="360" w:lineRule="auto"/>
        <w:jc w:val="both"/>
        <w:rPr>
          <w:rFonts w:ascii="Times New Roman" w:hAnsi="Times New Roman" w:cs="Times New Roman"/>
          <w:sz w:val="24"/>
          <w:szCs w:val="24"/>
        </w:rPr>
      </w:pPr>
      <w:r w:rsidRPr="00553AF8">
        <w:rPr>
          <w:rFonts w:ascii="Times New Roman" w:hAnsi="Times New Roman" w:cs="Times New Roman"/>
          <w:noProof/>
          <w:sz w:val="24"/>
          <w:szCs w:val="24"/>
        </w:rPr>
        <w:drawing>
          <wp:inline distT="0" distB="0" distL="0" distR="0" wp14:anchorId="38434195" wp14:editId="0737B6BE">
            <wp:extent cx="4572000" cy="2743200"/>
            <wp:effectExtent l="0" t="0" r="0" b="0"/>
            <wp:docPr id="1473695238" name="Chart 1">
              <a:extLst xmlns:a="http://schemas.openxmlformats.org/drawingml/2006/main">
                <a:ext uri="{FF2B5EF4-FFF2-40B4-BE49-F238E27FC236}">
                  <a16:creationId xmlns:a16="http://schemas.microsoft.com/office/drawing/2014/main" id="{8E7DC672-EE6E-9EEF-3DE8-BFBFAC828F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145F58"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Figure 2. Annual HIV-positive cases detected</w:t>
      </w:r>
    </w:p>
    <w:p w14:paraId="189A7A14" w14:textId="77777777" w:rsidR="00BB2DD4" w:rsidRPr="00553AF8"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Year-wise HIV-positive cases detected through the reported testing activity. *The final year is partial.</w:t>
      </w:r>
    </w:p>
    <w:p w14:paraId="794A1333" w14:textId="77777777" w:rsidR="00401475" w:rsidRPr="00553AF8" w:rsidRDefault="00401475" w:rsidP="00F540BD">
      <w:pPr>
        <w:spacing w:line="360" w:lineRule="auto"/>
        <w:jc w:val="both"/>
        <w:rPr>
          <w:rFonts w:ascii="Times New Roman" w:hAnsi="Times New Roman" w:cs="Times New Roman"/>
          <w:sz w:val="24"/>
          <w:szCs w:val="24"/>
        </w:rPr>
      </w:pPr>
      <w:r w:rsidRPr="00553AF8">
        <w:rPr>
          <w:rFonts w:ascii="Times New Roman" w:hAnsi="Times New Roman" w:cs="Times New Roman"/>
          <w:noProof/>
          <w:sz w:val="24"/>
          <w:szCs w:val="24"/>
        </w:rPr>
        <w:lastRenderedPageBreak/>
        <w:drawing>
          <wp:inline distT="0" distB="0" distL="0" distR="0" wp14:anchorId="7F6A40AE" wp14:editId="2A40531D">
            <wp:extent cx="4572000" cy="2743200"/>
            <wp:effectExtent l="0" t="0" r="0" b="0"/>
            <wp:docPr id="260045329" name="Chart 1">
              <a:extLst xmlns:a="http://schemas.openxmlformats.org/drawingml/2006/main">
                <a:ext uri="{FF2B5EF4-FFF2-40B4-BE49-F238E27FC236}">
                  <a16:creationId xmlns:a16="http://schemas.microsoft.com/office/drawing/2014/main" id="{BDB2A908-876B-1B4D-F7A5-0D7BE65F83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9CF85BD"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Figure 3. Annual HIV test positivity rate</w:t>
      </w:r>
    </w:p>
    <w:p w14:paraId="194A6107"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Annual HIV test positivity calculated as positive cases divided by tests conducted, multiplied by 100. *The final year is partial.</w:t>
      </w:r>
    </w:p>
    <w:p w14:paraId="55791A51"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 Discussion</w:t>
      </w:r>
    </w:p>
    <w:p w14:paraId="21F367ED"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5.1 Interpretation of Testing Trends</w:t>
      </w:r>
    </w:p>
    <w:p w14:paraId="11E6A20D"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Testing volume rose from 68,978 in 2020–2021 to 129,630 in 2023–2024, an increase of 87.9%. The largest year-on-year increase occurred between 2021–2022 and 2022–2023, when testing rose by 52.7%. These figures describe service activity; they do not establish why testing increased. Service availability, outreach, screening priorities, or changes in the population tested are possible explanations, but the variables available here cannot distinguish among them.</w:t>
      </w:r>
    </w:p>
    <w:p w14:paraId="57E393FA"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53,245 tests recorded for 2024–2025 cover only the period through October. This partial count should not be read as a decline in annual testing relative to 2023–2024, nor should it be annualized without evidence that testing was evenly distributed across months. Monthly data and a clear definition of the reporting year would support stronger comparisons.</w:t>
      </w:r>
    </w:p>
    <w:p w14:paraId="50B0D40E"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5.2 Interpretation of Detected Cases and Positivity</w:t>
      </w:r>
    </w:p>
    <w:p w14:paraId="2AC40F0E"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 xml:space="preserve">Detected positive cases increased from 352 in 2020–2021 to 538 in 2023–2024, a rise of 52.8%. Positivity did not rise in parallel: it moved from 0.510% in 2020–2021 to 0.539% in 2021–2022, fell to 0.393% in 2022–2023, and then rose to 0.415% in 2023–2024. In 2022–2023, </w:t>
      </w:r>
      <w:r w:rsidRPr="000063CB">
        <w:rPr>
          <w:rFonts w:ascii="Times New Roman" w:hAnsi="Times New Roman" w:cs="Times New Roman"/>
          <w:sz w:val="24"/>
          <w:szCs w:val="24"/>
        </w:rPr>
        <w:lastRenderedPageBreak/>
        <w:t>testing volume increased substantially while the proportion of tests yielding a positive result decreased, demonstrating why counts and rates should be interpreted together.</w:t>
      </w:r>
    </w:p>
    <w:p w14:paraId="3E824A21"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Positivity was highest in 2021–2022 (approximately 0.539%) and lowest in 2022–2023 (approximately 0.393%). In the partial 2024–2025 period, positivity was approximately 0.445%. These values are proportions among recorded tests, not estimates of HIV prevalence in the district population or incidence of new infections. The dataset does not specify repeat-testing status or whether the profile of people tested changed, and either factor could affect observed positivity.</w:t>
      </w:r>
    </w:p>
    <w:p w14:paraId="276296C0"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5.3 Comparison with Published Literature</w:t>
      </w:r>
    </w:p>
    <w:p w14:paraId="0C3E1786"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highlight w:val="yellow"/>
        </w:rPr>
        <w:t>National and international HIV reports emphasise accessible testing, timely diagnosis, treatment linkage, and consistent surveillance (UNAIDS, 2024a, 2024b; NACO, 2025). This analysis complements that context by documenting district-level routine testing outcomes. However, routine testing positivity and modelled population prevalence have different denominators, methods, and interpretations and should not be directly equated. District-level estimation research supports geographically disaggregated analysis, while local administrative testing records alone cannot provide a population prevalence estimate (Kumar et al., 2021).</w:t>
      </w:r>
    </w:p>
    <w:p w14:paraId="45192601"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findings are best interpreted as a description of recorded testing activity. They identify periods with differing test volumes and positivity, but cannot establish the effects of awareness campaigns, explain changes in service uptake, or demonstrate changes in HIV transmission. Such conclusions would require monthly activity, testing-site and referral information, demographic characteristics, repeat-testing status, confirmatory outcomes, and linkage-to-treatment indicators.</w:t>
      </w:r>
    </w:p>
    <w:p w14:paraId="70D3C249"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5.4 Public Health Interpretation</w:t>
      </w:r>
    </w:p>
    <w:p w14:paraId="06D16721" w14:textId="77777777" w:rsidR="00AB2B44" w:rsidRPr="000063CB" w:rsidRDefault="00000000" w:rsidP="00F540BD">
      <w:pPr>
        <w:spacing w:line="360" w:lineRule="auto"/>
        <w:jc w:val="both"/>
        <w:rPr>
          <w:rFonts w:ascii="Times New Roman" w:hAnsi="Times New Roman" w:cs="Times New Roman"/>
          <w:sz w:val="24"/>
          <w:szCs w:val="24"/>
        </w:rPr>
      </w:pPr>
      <w:r w:rsidRPr="000063CB">
        <w:rPr>
          <w:rFonts w:ascii="Times New Roman" w:hAnsi="Times New Roman" w:cs="Times New Roman"/>
          <w:sz w:val="24"/>
          <w:szCs w:val="24"/>
        </w:rPr>
        <w:t>The results support maintaining accessible, confidential testing and reliable follow-up for people with reactive screening results. District authorities could use these descriptive findings as a starting point for routine data-quality review and service planning, rather than as a stand-alone measure of epidemic burden. Monitoring should pair counts with rates and document the time period, population served, and testing strategy for each reporting interval.</w:t>
      </w:r>
    </w:p>
    <w:p w14:paraId="2A6E132A" w14:textId="77777777" w:rsidR="00AB2B44" w:rsidRDefault="00000000" w:rsidP="00F540BD">
      <w:pPr>
        <w:spacing w:line="360" w:lineRule="auto"/>
        <w:jc w:val="both"/>
      </w:pPr>
      <w:r w:rsidRPr="000063CB">
        <w:rPr>
          <w:rFonts w:ascii="Times New Roman" w:hAnsi="Times New Roman" w:cs="Times New Roman"/>
          <w:sz w:val="24"/>
          <w:szCs w:val="24"/>
        </w:rPr>
        <w:t xml:space="preserve">Future reporting would be strengthened by monthly or quarterly breakdowns, consistent annual cut-off dates, information on testing locations and referral routes, and appropriate aggregate demographic indicators where permitted. Linking testing records with confirmatory diagnosis </w:t>
      </w:r>
      <w:r w:rsidRPr="000063CB">
        <w:rPr>
          <w:rFonts w:ascii="Times New Roman" w:hAnsi="Times New Roman" w:cs="Times New Roman"/>
          <w:sz w:val="24"/>
          <w:szCs w:val="24"/>
        </w:rPr>
        <w:lastRenderedPageBreak/>
        <w:t>and treatment-entry indicators, under approved privacy and governance procedures, would provide a more informative picture of service performance.</w:t>
      </w:r>
    </w:p>
    <w:p w14:paraId="5BE1F23F"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 Public Health Implications and Recommendations</w:t>
      </w:r>
    </w:p>
    <w:p w14:paraId="06173960"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6.1 HIV Testing and Early Diagnosis</w:t>
      </w:r>
    </w:p>
    <w:p w14:paraId="4400CD39" w14:textId="77777777" w:rsidR="00BB2DD4" w:rsidRPr="00553AF8"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findings highlight the importance of maintaining accessible and confidential HIV testing services in Nizamabad District. Testing facilities should provide appropriate counselling, protect patient privacy, and ensure timely follow-up of reactive screening results.</w:t>
      </w:r>
      <w:r w:rsidR="00871FA4" w:rsidRPr="00553AF8">
        <w:rPr>
          <w:rFonts w:ascii="Times New Roman" w:eastAsia="Times New Roman" w:hAnsi="Times New Roman" w:cs="Times New Roman"/>
          <w:sz w:val="24"/>
          <w:szCs w:val="24"/>
          <w:lang w:eastAsia="en-IN"/>
        </w:rPr>
        <w:t xml:space="preserve"> </w:t>
      </w:r>
      <w:r w:rsidR="00871FA4" w:rsidRPr="00553AF8">
        <w:rPr>
          <w:rFonts w:ascii="Times New Roman" w:hAnsi="Times New Roman" w:cs="Times New Roman"/>
          <w:sz w:val="24"/>
          <w:szCs w:val="24"/>
          <w:highlight w:val="yellow"/>
        </w:rPr>
        <w:t>These measures are consistent with public health guidance emphasising accessible HIV testing, appropriate linkage to care, and integrated service delivery (World Health Organization [WHO], 2021).</w:t>
      </w:r>
      <w:r w:rsidRPr="00BB2DD4">
        <w:rPr>
          <w:rFonts w:ascii="Times New Roman" w:hAnsi="Times New Roman" w:cs="Times New Roman"/>
          <w:sz w:val="24"/>
          <w:szCs w:val="24"/>
        </w:rPr>
        <w:t xml:space="preserve"> Confirmatory testing should follow the applicable national testing algorithms to support accurate diagnosis and appropriate care (World Health Organization [WHO], 2024).</w:t>
      </w:r>
    </w:p>
    <w:p w14:paraId="6DCDEA22"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6.2 Prevention and Awareness</w:t>
      </w:r>
    </w:p>
    <w:p w14:paraId="0F9BFFCF"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Evidence-based awareness programmes should promote HIV prevention, early testing, and accurate information about transmission. Community engagement, stigma reduction, and non-discriminatory healthcare services can encourage individuals to seek testing and support. Prevention initiatives should be designed according to local needs and implemented through appropriate healthcare and community networks.</w:t>
      </w:r>
    </w:p>
    <w:p w14:paraId="6EB15993"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6.3 Treatment Linkage</w:t>
      </w:r>
    </w:p>
    <w:p w14:paraId="24C65125"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Individuals with a confirmed HIV diagnosis should receive timely referral to appropriate treatment services. Effective linkage to antiretroviral therapy, continued clinical monitoring, and adherence support are important for maintaining health and reducing the risk of HIV transmission. Coordination between testing facilities and treatment centres should be strengthened.</w:t>
      </w:r>
    </w:p>
    <w:p w14:paraId="6723ABEA"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6.4 Surveillance and Reporting</w:t>
      </w:r>
    </w:p>
    <w:p w14:paraId="5E87280B" w14:textId="77777777" w:rsidR="00BB2DD4" w:rsidRPr="00553AF8"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District-level HIV surveillance should maintain complete, accurate, and consistent annual records. Reported testing totals and counts of positive cases should be verified against original administrative records. Geographical coverage and reporting periods should remain clearly defined, while partial-year figures should be identified separately. Improved data quality can support more reliable trend analysis and evidence-based public health planning.</w:t>
      </w:r>
    </w:p>
    <w:p w14:paraId="02180764"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7. Limitations and Future Research</w:t>
      </w:r>
    </w:p>
    <w:p w14:paraId="6EE02F30"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lastRenderedPageBreak/>
        <w:t>7.1 Limitations</w:t>
      </w:r>
    </w:p>
    <w:p w14:paraId="297F368F"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highlight w:val="yellow"/>
        </w:rPr>
        <w:t>The present study has several limitations. First, it relies on secondary administrative data supplied by the District AIDS Prevention and Control Unit (DAPCU), Nizamabad, and its findings depend on the accuracy and completeness of the available records. Second, the five-year observation period limits the assessment of long-term trends. Third, the 2024–2025 data cover only the period through October, preventing direct comparison with complete academic years. The dataset does not provide age-, sex-, or risk-group-specific information, population denominators, repeat-testing details, testing indications, or treatment outcomes. Consequently, district-level HIV prevalence cannot be calculated from these records alone. Furthermore, the descriptive analysis cannot establish causal relationships between awareness programmes, testing activities, and observed changes in positive-case detection.</w:t>
      </w:r>
    </w:p>
    <w:p w14:paraId="105CC892"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7.2 Future Research</w:t>
      </w:r>
    </w:p>
    <w:p w14:paraId="52873A7E"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Future studies should examine longer time series and compare district-level findings with verified Telangana and national HIV indicators. Where appropriate data are available, demographic and geographical patterns should be investigated to identify differences in testing outcomes. Further research could also assess linkage between diagnosis and treatment services. Once complete 2024–2025 data become available, subsequent analyses should determine whether the observed patterns persist across comparable full-year reporting periods.</w:t>
      </w:r>
    </w:p>
    <w:p w14:paraId="28DBC91E" w14:textId="77777777" w:rsidR="00BB2DD4" w:rsidRPr="00BB2DD4"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8. Conclusion</w:t>
      </w:r>
    </w:p>
    <w:p w14:paraId="12BF5978" w14:textId="77777777" w:rsidR="00BB2DD4" w:rsidRP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The present study examined HIV testing activity, detected positive cases, and test positivity in Nizamabad District, Telangana, over five academic years, from 2020–2021 to 2024–2025. The findings indicate that annual testing increased from 68,978 tests in 2020–2021 to 129,630 in 2023–2024, while detected positive cases increased from 352 to 538 during the same period. The positivity rate fluctuated, rising from approximately 0.51% in 2020–2021 to 0.54% in 2021–2022, declining to 0.39% in 2022–2023, and subsequently increasing to 0.42% in 2023–2024. The partial 2024–2025 data recorded 237 positive cases among 53,245 tests, with a positivity rate of approximately 0.45%.</w:t>
      </w:r>
    </w:p>
    <w:p w14:paraId="51D814B4" w14:textId="77777777" w:rsidR="00BB2DD4" w:rsidRDefault="00BB2DD4" w:rsidP="00F540BD">
      <w:pPr>
        <w:spacing w:line="360" w:lineRule="auto"/>
        <w:jc w:val="both"/>
        <w:rPr>
          <w:rFonts w:ascii="Times New Roman" w:hAnsi="Times New Roman" w:cs="Times New Roman"/>
          <w:sz w:val="24"/>
          <w:szCs w:val="24"/>
        </w:rPr>
      </w:pPr>
      <w:r w:rsidRPr="00BB2DD4">
        <w:rPr>
          <w:rFonts w:ascii="Times New Roman" w:hAnsi="Times New Roman" w:cs="Times New Roman"/>
          <w:sz w:val="24"/>
          <w:szCs w:val="24"/>
        </w:rPr>
        <w:t xml:space="preserve">These findings provide a descriptive overview of recorded HIV testing outcomes rather than direct measurements of population prevalence or new infections. Accurate reporting, consistent surveillance, accessible testing, timely diagnosis, and effective linkage to treatment remain important public health priorities. Further research using complete annual records and </w:t>
      </w:r>
      <w:r w:rsidRPr="00BB2DD4">
        <w:rPr>
          <w:rFonts w:ascii="Times New Roman" w:hAnsi="Times New Roman" w:cs="Times New Roman"/>
          <w:sz w:val="24"/>
          <w:szCs w:val="24"/>
        </w:rPr>
        <w:lastRenderedPageBreak/>
        <w:t>additional epidemiological indicators could provide a more comprehensive understanding of local HIV trends and support evidence-based public health planning.</w:t>
      </w:r>
    </w:p>
    <w:p w14:paraId="699F1B80" w14:textId="77777777" w:rsidR="007A0682" w:rsidRPr="007A0682" w:rsidRDefault="007A0682" w:rsidP="00F540BD">
      <w:pPr>
        <w:spacing w:after="0" w:line="240" w:lineRule="auto"/>
        <w:jc w:val="both"/>
        <w:rPr>
          <w:rFonts w:ascii="Arial" w:eastAsia="Calibri" w:hAnsi="Arial" w:cs="Arial"/>
          <w:b/>
          <w:sz w:val="20"/>
          <w:szCs w:val="20"/>
          <w:lang w:val="en-US" w:bidi="ar-SA"/>
        </w:rPr>
      </w:pPr>
      <w:bookmarkStart w:id="0" w:name="_Hlk238550938"/>
      <w:r w:rsidRPr="007A0682">
        <w:rPr>
          <w:rFonts w:ascii="Arial" w:eastAsia="Calibri" w:hAnsi="Arial" w:cs="Arial"/>
          <w:b/>
          <w:sz w:val="20"/>
          <w:szCs w:val="20"/>
          <w:lang w:val="en-US" w:bidi="ar-SA"/>
        </w:rPr>
        <w:t>Declaration of AI Use</w:t>
      </w:r>
    </w:p>
    <w:p w14:paraId="17EEDCBD" w14:textId="77777777" w:rsidR="007A0682" w:rsidRPr="007A0682" w:rsidRDefault="007A0682" w:rsidP="00F540BD">
      <w:pPr>
        <w:spacing w:after="0" w:line="240" w:lineRule="auto"/>
        <w:jc w:val="both"/>
        <w:rPr>
          <w:rFonts w:ascii="Arial" w:eastAsia="Calibri" w:hAnsi="Arial" w:cs="Arial"/>
          <w:sz w:val="20"/>
          <w:szCs w:val="20"/>
          <w:lang w:val="en-US" w:bidi="ar-SA"/>
        </w:rPr>
      </w:pPr>
    </w:p>
    <w:p w14:paraId="4196ECF7" w14:textId="77777777" w:rsidR="007A0682" w:rsidRPr="00BB2DD4" w:rsidRDefault="007A0682" w:rsidP="00F540BD">
      <w:pPr>
        <w:spacing w:line="360" w:lineRule="auto"/>
        <w:jc w:val="both"/>
        <w:rPr>
          <w:rFonts w:ascii="Times New Roman" w:hAnsi="Times New Roman" w:cs="Times New Roman"/>
          <w:sz w:val="24"/>
          <w:szCs w:val="24"/>
        </w:rPr>
      </w:pPr>
      <w:r w:rsidRPr="007A0682">
        <w:rPr>
          <w:rFonts w:ascii="Arial" w:eastAsia="Calibri" w:hAnsi="Arial" w:cs="Arial"/>
          <w:sz w:val="20"/>
          <w:szCs w:val="20"/>
          <w:lang w:val="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p>
    <w:p w14:paraId="560DA34F" w14:textId="77777777" w:rsidR="00CD61AA" w:rsidRDefault="00BB2DD4" w:rsidP="00F540BD">
      <w:pPr>
        <w:spacing w:line="360" w:lineRule="auto"/>
        <w:jc w:val="both"/>
        <w:rPr>
          <w:rFonts w:ascii="Times New Roman" w:hAnsi="Times New Roman" w:cs="Times New Roman"/>
          <w:b/>
          <w:bCs/>
          <w:sz w:val="24"/>
          <w:szCs w:val="24"/>
        </w:rPr>
      </w:pPr>
      <w:r w:rsidRPr="00BB2DD4">
        <w:rPr>
          <w:rFonts w:ascii="Times New Roman" w:hAnsi="Times New Roman" w:cs="Times New Roman"/>
          <w:b/>
          <w:bCs/>
          <w:sz w:val="24"/>
          <w:szCs w:val="24"/>
        </w:rPr>
        <w:t xml:space="preserve">Reference </w:t>
      </w:r>
    </w:p>
    <w:p w14:paraId="2DB63725"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proofErr w:type="spellStart"/>
      <w:r w:rsidRPr="0006254E">
        <w:rPr>
          <w:rFonts w:ascii="Times New Roman" w:eastAsia="Times New Roman" w:hAnsi="Times New Roman" w:cs="Times New Roman"/>
          <w:sz w:val="24"/>
          <w:szCs w:val="24"/>
          <w:lang w:val="en-US" w:bidi="ar-SA"/>
        </w:rPr>
        <w:t>Banyeh</w:t>
      </w:r>
      <w:proofErr w:type="spellEnd"/>
      <w:r w:rsidRPr="0006254E">
        <w:rPr>
          <w:rFonts w:ascii="Times New Roman" w:eastAsia="Times New Roman" w:hAnsi="Times New Roman" w:cs="Times New Roman"/>
          <w:sz w:val="24"/>
          <w:szCs w:val="24"/>
          <w:lang w:val="en-US" w:bidi="ar-SA"/>
        </w:rPr>
        <w:t xml:space="preserve">, M., </w:t>
      </w:r>
      <w:proofErr w:type="spellStart"/>
      <w:r w:rsidRPr="0006254E">
        <w:rPr>
          <w:rFonts w:ascii="Times New Roman" w:eastAsia="Times New Roman" w:hAnsi="Times New Roman" w:cs="Times New Roman"/>
          <w:sz w:val="24"/>
          <w:szCs w:val="24"/>
          <w:lang w:val="en-US" w:bidi="ar-SA"/>
        </w:rPr>
        <w:t>Kankpi</w:t>
      </w:r>
      <w:proofErr w:type="spellEnd"/>
      <w:r w:rsidRPr="0006254E">
        <w:rPr>
          <w:rFonts w:ascii="Times New Roman" w:eastAsia="Times New Roman" w:hAnsi="Times New Roman" w:cs="Times New Roman"/>
          <w:sz w:val="24"/>
          <w:szCs w:val="24"/>
          <w:lang w:val="en-US" w:bidi="ar-SA"/>
        </w:rPr>
        <w:t xml:space="preserve">, T., </w:t>
      </w:r>
      <w:proofErr w:type="spellStart"/>
      <w:r w:rsidRPr="0006254E">
        <w:rPr>
          <w:rFonts w:ascii="Times New Roman" w:eastAsia="Times New Roman" w:hAnsi="Times New Roman" w:cs="Times New Roman"/>
          <w:sz w:val="24"/>
          <w:szCs w:val="24"/>
          <w:lang w:val="en-US" w:bidi="ar-SA"/>
        </w:rPr>
        <w:t>Zogli</w:t>
      </w:r>
      <w:proofErr w:type="spellEnd"/>
      <w:r w:rsidRPr="0006254E">
        <w:rPr>
          <w:rFonts w:ascii="Times New Roman" w:eastAsia="Times New Roman" w:hAnsi="Times New Roman" w:cs="Times New Roman"/>
          <w:sz w:val="24"/>
          <w:szCs w:val="24"/>
          <w:lang w:val="en-US" w:bidi="ar-SA"/>
        </w:rPr>
        <w:t xml:space="preserve">, K. E., &amp; Mohammed, S. (2022). Determinants of voluntary HIV/AIDS counseling and testing among university students in Ghana. </w:t>
      </w:r>
      <w:r w:rsidRPr="0006254E">
        <w:rPr>
          <w:rFonts w:ascii="Times New Roman" w:eastAsia="Times New Roman" w:hAnsi="Times New Roman" w:cs="Times New Roman"/>
          <w:i/>
          <w:iCs/>
          <w:sz w:val="24"/>
          <w:szCs w:val="24"/>
          <w:lang w:val="en-US" w:bidi="ar-SA"/>
        </w:rPr>
        <w:t>Asian Journal of Advanced Research and Reports, 16</w:t>
      </w:r>
      <w:r w:rsidRPr="0006254E">
        <w:rPr>
          <w:rFonts w:ascii="Times New Roman" w:eastAsia="Times New Roman" w:hAnsi="Times New Roman" w:cs="Times New Roman"/>
          <w:sz w:val="24"/>
          <w:szCs w:val="24"/>
          <w:lang w:val="en-US" w:bidi="ar-SA"/>
        </w:rPr>
        <w:t xml:space="preserve">(1), 46–56. </w:t>
      </w:r>
      <w:hyperlink r:id="rId10" w:history="1">
        <w:r w:rsidRPr="0006254E">
          <w:rPr>
            <w:rFonts w:ascii="Times New Roman" w:eastAsia="Times New Roman" w:hAnsi="Times New Roman" w:cs="Times New Roman"/>
            <w:color w:val="0000FF"/>
            <w:sz w:val="24"/>
            <w:szCs w:val="24"/>
            <w:u w:val="single"/>
            <w:lang w:val="en-US" w:bidi="ar-SA"/>
          </w:rPr>
          <w:t>https://doi.org/10.9734/ajarr/2022/v16i130448</w:t>
        </w:r>
      </w:hyperlink>
    </w:p>
    <w:p w14:paraId="426E41B6"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proofErr w:type="spellStart"/>
      <w:r w:rsidRPr="0006254E">
        <w:rPr>
          <w:rFonts w:ascii="Times New Roman" w:eastAsia="Times New Roman" w:hAnsi="Times New Roman" w:cs="Times New Roman"/>
          <w:sz w:val="24"/>
          <w:szCs w:val="24"/>
          <w:lang w:val="en-US" w:bidi="ar-SA"/>
        </w:rPr>
        <w:t>Dandona</w:t>
      </w:r>
      <w:proofErr w:type="spellEnd"/>
      <w:r w:rsidRPr="0006254E">
        <w:rPr>
          <w:rFonts w:ascii="Times New Roman" w:eastAsia="Times New Roman" w:hAnsi="Times New Roman" w:cs="Times New Roman"/>
          <w:sz w:val="24"/>
          <w:szCs w:val="24"/>
          <w:lang w:val="en-US" w:bidi="ar-SA"/>
        </w:rPr>
        <w:t xml:space="preserve">, L., Lakshmi, V., Sudha, T., Kumar, G. A., &amp; </w:t>
      </w:r>
      <w:proofErr w:type="spellStart"/>
      <w:r w:rsidRPr="0006254E">
        <w:rPr>
          <w:rFonts w:ascii="Times New Roman" w:eastAsia="Times New Roman" w:hAnsi="Times New Roman" w:cs="Times New Roman"/>
          <w:sz w:val="24"/>
          <w:szCs w:val="24"/>
          <w:lang w:val="en-US" w:bidi="ar-SA"/>
        </w:rPr>
        <w:t>Dandona</w:t>
      </w:r>
      <w:proofErr w:type="spellEnd"/>
      <w:r w:rsidRPr="0006254E">
        <w:rPr>
          <w:rFonts w:ascii="Times New Roman" w:eastAsia="Times New Roman" w:hAnsi="Times New Roman" w:cs="Times New Roman"/>
          <w:sz w:val="24"/>
          <w:szCs w:val="24"/>
          <w:lang w:val="en-US" w:bidi="ar-SA"/>
        </w:rPr>
        <w:t xml:space="preserve">, R. (2006). A population-based study of human immunodeficiency virus in south India reveals major differences from sentinel surveillance-based estimates. </w:t>
      </w:r>
      <w:r w:rsidRPr="0006254E">
        <w:rPr>
          <w:rFonts w:ascii="Times New Roman" w:eastAsia="Times New Roman" w:hAnsi="Times New Roman" w:cs="Times New Roman"/>
          <w:i/>
          <w:iCs/>
          <w:sz w:val="24"/>
          <w:szCs w:val="24"/>
          <w:lang w:val="en-US" w:bidi="ar-SA"/>
        </w:rPr>
        <w:t>BMC Medicine, 4</w:t>
      </w:r>
      <w:r w:rsidRPr="0006254E">
        <w:rPr>
          <w:rFonts w:ascii="Times New Roman" w:eastAsia="Times New Roman" w:hAnsi="Times New Roman" w:cs="Times New Roman"/>
          <w:sz w:val="24"/>
          <w:szCs w:val="24"/>
          <w:lang w:val="en-US" w:bidi="ar-SA"/>
        </w:rPr>
        <w:t xml:space="preserve">, Article 31. </w:t>
      </w:r>
      <w:hyperlink r:id="rId11" w:history="1">
        <w:r w:rsidRPr="0006254E">
          <w:rPr>
            <w:rFonts w:ascii="Times New Roman" w:eastAsia="Times New Roman" w:hAnsi="Times New Roman" w:cs="Times New Roman"/>
            <w:color w:val="0000FF"/>
            <w:sz w:val="24"/>
            <w:szCs w:val="24"/>
            <w:u w:val="single"/>
            <w:lang w:val="en-US" w:bidi="ar-SA"/>
          </w:rPr>
          <w:t>https://doi.org/10.1186/1741-7015-4-31</w:t>
        </w:r>
      </w:hyperlink>
    </w:p>
    <w:p w14:paraId="1ADBB098"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proofErr w:type="spellStart"/>
      <w:r w:rsidRPr="0006254E">
        <w:rPr>
          <w:rFonts w:ascii="Times New Roman" w:eastAsia="Times New Roman" w:hAnsi="Times New Roman" w:cs="Times New Roman"/>
          <w:sz w:val="24"/>
          <w:szCs w:val="24"/>
          <w:lang w:val="en-US" w:bidi="ar-SA"/>
        </w:rPr>
        <w:t>Endalamaw</w:t>
      </w:r>
      <w:proofErr w:type="spellEnd"/>
      <w:r w:rsidRPr="0006254E">
        <w:rPr>
          <w:rFonts w:ascii="Times New Roman" w:eastAsia="Times New Roman" w:hAnsi="Times New Roman" w:cs="Times New Roman"/>
          <w:sz w:val="24"/>
          <w:szCs w:val="24"/>
          <w:lang w:val="en-US" w:bidi="ar-SA"/>
        </w:rPr>
        <w:t xml:space="preserve">, A., Gilks, C. F., Ambaw, F., Shiferaw, W. S., &amp; Assefa, Y. (2024). Explaining inequity in knowledge, attitude, and services related to HIV/AIDS: A systematic review. </w:t>
      </w:r>
      <w:r w:rsidRPr="0006254E">
        <w:rPr>
          <w:rFonts w:ascii="Times New Roman" w:eastAsia="Times New Roman" w:hAnsi="Times New Roman" w:cs="Times New Roman"/>
          <w:i/>
          <w:iCs/>
          <w:sz w:val="24"/>
          <w:szCs w:val="24"/>
          <w:lang w:val="en-US" w:bidi="ar-SA"/>
        </w:rPr>
        <w:t>BMC Public Health, 24</w:t>
      </w:r>
      <w:r w:rsidRPr="0006254E">
        <w:rPr>
          <w:rFonts w:ascii="Times New Roman" w:eastAsia="Times New Roman" w:hAnsi="Times New Roman" w:cs="Times New Roman"/>
          <w:sz w:val="24"/>
          <w:szCs w:val="24"/>
          <w:lang w:val="en-US" w:bidi="ar-SA"/>
        </w:rPr>
        <w:t xml:space="preserve">, Article 1815. </w:t>
      </w:r>
      <w:hyperlink r:id="rId12" w:history="1">
        <w:r w:rsidRPr="0006254E">
          <w:rPr>
            <w:rFonts w:ascii="Times New Roman" w:eastAsia="Times New Roman" w:hAnsi="Times New Roman" w:cs="Times New Roman"/>
            <w:color w:val="0000FF"/>
            <w:sz w:val="24"/>
            <w:szCs w:val="24"/>
            <w:u w:val="single"/>
            <w:lang w:val="en-US" w:bidi="ar-SA"/>
          </w:rPr>
          <w:t>https://doi.org/10.1186/s12889-024-19329-5</w:t>
        </w:r>
      </w:hyperlink>
    </w:p>
    <w:p w14:paraId="79128A03"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Joint United Nations </w:t>
      </w:r>
      <w:proofErr w:type="spellStart"/>
      <w:r w:rsidRPr="0006254E">
        <w:rPr>
          <w:rFonts w:ascii="Times New Roman" w:eastAsia="Times New Roman" w:hAnsi="Times New Roman" w:cs="Times New Roman"/>
          <w:sz w:val="24"/>
          <w:szCs w:val="24"/>
          <w:lang w:val="en-US" w:bidi="ar-SA"/>
        </w:rPr>
        <w:t>Programme</w:t>
      </w:r>
      <w:proofErr w:type="spellEnd"/>
      <w:r w:rsidRPr="0006254E">
        <w:rPr>
          <w:rFonts w:ascii="Times New Roman" w:eastAsia="Times New Roman" w:hAnsi="Times New Roman" w:cs="Times New Roman"/>
          <w:sz w:val="24"/>
          <w:szCs w:val="24"/>
          <w:lang w:val="en-US" w:bidi="ar-SA"/>
        </w:rPr>
        <w:t xml:space="preserve"> on HIV/AIDS. (2024a). </w:t>
      </w:r>
      <w:r w:rsidRPr="0006254E">
        <w:rPr>
          <w:rFonts w:ascii="Times New Roman" w:eastAsia="Times New Roman" w:hAnsi="Times New Roman" w:cs="Times New Roman"/>
          <w:i/>
          <w:iCs/>
          <w:sz w:val="24"/>
          <w:szCs w:val="24"/>
          <w:lang w:val="en-US" w:bidi="ar-SA"/>
        </w:rPr>
        <w:t>The urgency of now: AIDS at a crossroads—2024 global AIDS update</w:t>
      </w:r>
      <w:r w:rsidRPr="0006254E">
        <w:rPr>
          <w:rFonts w:ascii="Times New Roman" w:eastAsia="Times New Roman" w:hAnsi="Times New Roman" w:cs="Times New Roman"/>
          <w:sz w:val="24"/>
          <w:szCs w:val="24"/>
          <w:lang w:val="en-US" w:bidi="ar-SA"/>
        </w:rPr>
        <w:t xml:space="preserve">. </w:t>
      </w:r>
      <w:hyperlink r:id="rId13" w:history="1">
        <w:r w:rsidRPr="0006254E">
          <w:rPr>
            <w:rFonts w:ascii="Times New Roman" w:eastAsia="Times New Roman" w:hAnsi="Times New Roman" w:cs="Times New Roman"/>
            <w:color w:val="0000FF"/>
            <w:sz w:val="24"/>
            <w:szCs w:val="24"/>
            <w:u w:val="single"/>
            <w:lang w:val="en-US" w:bidi="ar-SA"/>
          </w:rPr>
          <w:t>https://www.unaids.org/en/resources/documents/2024/global-aids-update-2024</w:t>
        </w:r>
      </w:hyperlink>
    </w:p>
    <w:p w14:paraId="57458A47"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Joint United Nations </w:t>
      </w:r>
      <w:proofErr w:type="spellStart"/>
      <w:r w:rsidRPr="0006254E">
        <w:rPr>
          <w:rFonts w:ascii="Times New Roman" w:eastAsia="Times New Roman" w:hAnsi="Times New Roman" w:cs="Times New Roman"/>
          <w:sz w:val="24"/>
          <w:szCs w:val="24"/>
          <w:lang w:val="en-US" w:bidi="ar-SA"/>
        </w:rPr>
        <w:t>Programme</w:t>
      </w:r>
      <w:proofErr w:type="spellEnd"/>
      <w:r w:rsidRPr="0006254E">
        <w:rPr>
          <w:rFonts w:ascii="Times New Roman" w:eastAsia="Times New Roman" w:hAnsi="Times New Roman" w:cs="Times New Roman"/>
          <w:sz w:val="24"/>
          <w:szCs w:val="24"/>
          <w:lang w:val="en-US" w:bidi="ar-SA"/>
        </w:rPr>
        <w:t xml:space="preserve"> on HIV/AIDS. (2024b). </w:t>
      </w:r>
      <w:r w:rsidRPr="0006254E">
        <w:rPr>
          <w:rFonts w:ascii="Times New Roman" w:eastAsia="Times New Roman" w:hAnsi="Times New Roman" w:cs="Times New Roman"/>
          <w:i/>
          <w:iCs/>
          <w:sz w:val="24"/>
          <w:szCs w:val="24"/>
          <w:lang w:val="en-US" w:bidi="ar-SA"/>
        </w:rPr>
        <w:t>UNAIDS data 2024</w:t>
      </w:r>
      <w:r w:rsidRPr="0006254E">
        <w:rPr>
          <w:rFonts w:ascii="Times New Roman" w:eastAsia="Times New Roman" w:hAnsi="Times New Roman" w:cs="Times New Roman"/>
          <w:sz w:val="24"/>
          <w:szCs w:val="24"/>
          <w:lang w:val="en-US" w:bidi="ar-SA"/>
        </w:rPr>
        <w:t xml:space="preserve">. </w:t>
      </w:r>
      <w:hyperlink r:id="rId14" w:history="1">
        <w:r w:rsidRPr="0006254E">
          <w:rPr>
            <w:rFonts w:ascii="Times New Roman" w:eastAsia="Times New Roman" w:hAnsi="Times New Roman" w:cs="Times New Roman"/>
            <w:color w:val="0000FF"/>
            <w:sz w:val="24"/>
            <w:szCs w:val="24"/>
            <w:u w:val="single"/>
            <w:lang w:val="en-US" w:bidi="ar-SA"/>
          </w:rPr>
          <w:t>https://www.unaids.org/en/resources/documents/2024/2024_unaids_data</w:t>
        </w:r>
      </w:hyperlink>
    </w:p>
    <w:p w14:paraId="21D6A2EE"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Kumar, P., Sahu, D., Rajan, S., </w:t>
      </w:r>
      <w:proofErr w:type="spellStart"/>
      <w:r w:rsidRPr="0006254E">
        <w:rPr>
          <w:rFonts w:ascii="Times New Roman" w:eastAsia="Times New Roman" w:hAnsi="Times New Roman" w:cs="Times New Roman"/>
          <w:sz w:val="24"/>
          <w:szCs w:val="24"/>
          <w:lang w:val="en-US" w:bidi="ar-SA"/>
        </w:rPr>
        <w:t>Mendu</w:t>
      </w:r>
      <w:proofErr w:type="spellEnd"/>
      <w:r w:rsidRPr="0006254E">
        <w:rPr>
          <w:rFonts w:ascii="Times New Roman" w:eastAsia="Times New Roman" w:hAnsi="Times New Roman" w:cs="Times New Roman"/>
          <w:sz w:val="24"/>
          <w:szCs w:val="24"/>
          <w:lang w:val="en-US" w:bidi="ar-SA"/>
        </w:rPr>
        <w:t xml:space="preserve">, V. V. R., Das, C., Kumar, A., Chandra, N., Camara, B., Rai, S., Arumugam, E., Godbole, S. V., Singh, S. K., Kant, S., Pandey, A., Reddy, D. C. S., &amp; Mehendale, S. (2021). District-level HIV estimates using the Spectrum model in five states of India, 2017. </w:t>
      </w:r>
      <w:r w:rsidRPr="0006254E">
        <w:rPr>
          <w:rFonts w:ascii="Times New Roman" w:eastAsia="Times New Roman" w:hAnsi="Times New Roman" w:cs="Times New Roman"/>
          <w:i/>
          <w:iCs/>
          <w:sz w:val="24"/>
          <w:szCs w:val="24"/>
          <w:lang w:val="en-US" w:bidi="ar-SA"/>
        </w:rPr>
        <w:t>Medicine, 100</w:t>
      </w:r>
      <w:r w:rsidRPr="0006254E">
        <w:rPr>
          <w:rFonts w:ascii="Times New Roman" w:eastAsia="Times New Roman" w:hAnsi="Times New Roman" w:cs="Times New Roman"/>
          <w:sz w:val="24"/>
          <w:szCs w:val="24"/>
          <w:lang w:val="en-US" w:bidi="ar-SA"/>
        </w:rPr>
        <w:t xml:space="preserve">(28), Article e26578. </w:t>
      </w:r>
      <w:hyperlink r:id="rId15" w:history="1">
        <w:r w:rsidRPr="0006254E">
          <w:rPr>
            <w:rFonts w:ascii="Times New Roman" w:eastAsia="Times New Roman" w:hAnsi="Times New Roman" w:cs="Times New Roman"/>
            <w:color w:val="0000FF"/>
            <w:sz w:val="24"/>
            <w:szCs w:val="24"/>
            <w:u w:val="single"/>
            <w:lang w:val="en-US" w:bidi="ar-SA"/>
          </w:rPr>
          <w:t>https://doi.org/10.1097/MD.0000000000026578</w:t>
        </w:r>
      </w:hyperlink>
    </w:p>
    <w:p w14:paraId="423555D5"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Kumar, P., Biswas, S., Priyam, N., </w:t>
      </w:r>
      <w:proofErr w:type="spellStart"/>
      <w:r w:rsidRPr="0006254E">
        <w:rPr>
          <w:rFonts w:ascii="Times New Roman" w:eastAsia="Times New Roman" w:hAnsi="Times New Roman" w:cs="Times New Roman"/>
          <w:sz w:val="24"/>
          <w:szCs w:val="24"/>
          <w:lang w:val="en-US" w:bidi="ar-SA"/>
        </w:rPr>
        <w:t>Kharayat</w:t>
      </w:r>
      <w:proofErr w:type="spellEnd"/>
      <w:r w:rsidRPr="0006254E">
        <w:rPr>
          <w:rFonts w:ascii="Times New Roman" w:eastAsia="Times New Roman" w:hAnsi="Times New Roman" w:cs="Times New Roman"/>
          <w:sz w:val="24"/>
          <w:szCs w:val="24"/>
          <w:lang w:val="en-US" w:bidi="ar-SA"/>
        </w:rPr>
        <w:t xml:space="preserve">, L. S., Deo, V., Chaturvedi, H. K., &amp; Das, C. (2025). Unraveling the intricacies: Integrated and enhanced surveillance and epidemiology for HIV, syphilis, and related co-infections under the National AIDS and STD Control </w:t>
      </w:r>
      <w:proofErr w:type="spellStart"/>
      <w:r w:rsidRPr="0006254E">
        <w:rPr>
          <w:rFonts w:ascii="Times New Roman" w:eastAsia="Times New Roman" w:hAnsi="Times New Roman" w:cs="Times New Roman"/>
          <w:sz w:val="24"/>
          <w:szCs w:val="24"/>
          <w:lang w:val="en-US" w:bidi="ar-SA"/>
        </w:rPr>
        <w:t>Programme</w:t>
      </w:r>
      <w:proofErr w:type="spellEnd"/>
      <w:r w:rsidRPr="0006254E">
        <w:rPr>
          <w:rFonts w:ascii="Times New Roman" w:eastAsia="Times New Roman" w:hAnsi="Times New Roman" w:cs="Times New Roman"/>
          <w:sz w:val="24"/>
          <w:szCs w:val="24"/>
          <w:lang w:val="en-US" w:bidi="ar-SA"/>
        </w:rPr>
        <w:t xml:space="preserve"> in India. </w:t>
      </w:r>
      <w:r w:rsidRPr="0006254E">
        <w:rPr>
          <w:rFonts w:ascii="Times New Roman" w:eastAsia="Times New Roman" w:hAnsi="Times New Roman" w:cs="Times New Roman"/>
          <w:i/>
          <w:iCs/>
          <w:sz w:val="24"/>
          <w:szCs w:val="24"/>
          <w:lang w:val="en-US" w:bidi="ar-SA"/>
        </w:rPr>
        <w:t>Indian Journal of Community Medicine, 50</w:t>
      </w:r>
      <w:r w:rsidRPr="0006254E">
        <w:rPr>
          <w:rFonts w:ascii="Times New Roman" w:eastAsia="Times New Roman" w:hAnsi="Times New Roman" w:cs="Times New Roman"/>
          <w:sz w:val="24"/>
          <w:szCs w:val="24"/>
          <w:lang w:val="en-US" w:bidi="ar-SA"/>
        </w:rPr>
        <w:t xml:space="preserve">(Suppl. 3), S436–S446. </w:t>
      </w:r>
      <w:hyperlink r:id="rId16" w:history="1">
        <w:r w:rsidRPr="0006254E">
          <w:rPr>
            <w:rFonts w:ascii="Times New Roman" w:eastAsia="Times New Roman" w:hAnsi="Times New Roman" w:cs="Times New Roman"/>
            <w:color w:val="0000FF"/>
            <w:sz w:val="24"/>
            <w:szCs w:val="24"/>
            <w:u w:val="single"/>
            <w:lang w:val="en-US" w:bidi="ar-SA"/>
          </w:rPr>
          <w:t>https://doi.org/10.4103/ijcm.ijcm_877_24</w:t>
        </w:r>
      </w:hyperlink>
    </w:p>
    <w:p w14:paraId="132AB043"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Maurya, S. P., Sharma, A., Gautam, H., &amp; Das, B. K. (2025). HIV testing and diagnosis in 2021 at the apex tertiary referral hospital of India: Impact of COVID-19 pandemic continued. </w:t>
      </w:r>
      <w:r w:rsidRPr="0006254E">
        <w:rPr>
          <w:rFonts w:ascii="Times New Roman" w:eastAsia="Times New Roman" w:hAnsi="Times New Roman" w:cs="Times New Roman"/>
          <w:i/>
          <w:iCs/>
          <w:sz w:val="24"/>
          <w:szCs w:val="24"/>
          <w:lang w:val="en-US" w:bidi="ar-SA"/>
        </w:rPr>
        <w:t>Indian Journal of Sexually Transmitted Diseases and AIDS, 46</w:t>
      </w:r>
      <w:r w:rsidRPr="0006254E">
        <w:rPr>
          <w:rFonts w:ascii="Times New Roman" w:eastAsia="Times New Roman" w:hAnsi="Times New Roman" w:cs="Times New Roman"/>
          <w:sz w:val="24"/>
          <w:szCs w:val="24"/>
          <w:lang w:val="en-US" w:bidi="ar-SA"/>
        </w:rPr>
        <w:t xml:space="preserve">(1), 58–61. </w:t>
      </w:r>
      <w:hyperlink r:id="rId17" w:history="1">
        <w:r w:rsidRPr="0006254E">
          <w:rPr>
            <w:rFonts w:ascii="Times New Roman" w:eastAsia="Times New Roman" w:hAnsi="Times New Roman" w:cs="Times New Roman"/>
            <w:color w:val="0000FF"/>
            <w:sz w:val="24"/>
            <w:szCs w:val="24"/>
            <w:u w:val="single"/>
            <w:lang w:val="en-US" w:bidi="ar-SA"/>
          </w:rPr>
          <w:t>https://doi.org/10.4103/ijstd.ijstd_28_25</w:t>
        </w:r>
      </w:hyperlink>
    </w:p>
    <w:p w14:paraId="67B8B2AF"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Ministry of Health and Family Welfare. (2024). </w:t>
      </w:r>
      <w:r w:rsidRPr="0006254E">
        <w:rPr>
          <w:rFonts w:ascii="Times New Roman" w:eastAsia="Times New Roman" w:hAnsi="Times New Roman" w:cs="Times New Roman"/>
          <w:i/>
          <w:iCs/>
          <w:sz w:val="24"/>
          <w:szCs w:val="24"/>
          <w:lang w:val="en-US" w:bidi="ar-SA"/>
        </w:rPr>
        <w:t>Annual report 2023–24</w:t>
      </w:r>
      <w:r w:rsidRPr="0006254E">
        <w:rPr>
          <w:rFonts w:ascii="Times New Roman" w:eastAsia="Times New Roman" w:hAnsi="Times New Roman" w:cs="Times New Roman"/>
          <w:sz w:val="24"/>
          <w:szCs w:val="24"/>
          <w:lang w:val="en-US" w:bidi="ar-SA"/>
        </w:rPr>
        <w:t xml:space="preserve">. Government of India. </w:t>
      </w:r>
      <w:hyperlink r:id="rId18" w:history="1">
        <w:r w:rsidRPr="0006254E">
          <w:rPr>
            <w:rFonts w:ascii="Times New Roman" w:eastAsia="Times New Roman" w:hAnsi="Times New Roman" w:cs="Times New Roman"/>
            <w:color w:val="0000FF"/>
            <w:sz w:val="24"/>
            <w:szCs w:val="24"/>
            <w:u w:val="single"/>
            <w:lang w:val="en-US" w:bidi="ar-SA"/>
          </w:rPr>
          <w:t>https://master-mohfw-dohfw.digifootprint.gov.in/archives?page=publications&amp;pages=6</w:t>
        </w:r>
      </w:hyperlink>
    </w:p>
    <w:p w14:paraId="33ABD431"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National AIDS Control </w:t>
      </w:r>
      <w:proofErr w:type="spellStart"/>
      <w:r w:rsidRPr="0006254E">
        <w:rPr>
          <w:rFonts w:ascii="Times New Roman" w:eastAsia="Times New Roman" w:hAnsi="Times New Roman" w:cs="Times New Roman"/>
          <w:sz w:val="24"/>
          <w:szCs w:val="24"/>
          <w:lang w:val="en-US" w:bidi="ar-SA"/>
        </w:rPr>
        <w:t>Organisation</w:t>
      </w:r>
      <w:proofErr w:type="spellEnd"/>
      <w:r w:rsidRPr="0006254E">
        <w:rPr>
          <w:rFonts w:ascii="Times New Roman" w:eastAsia="Times New Roman" w:hAnsi="Times New Roman" w:cs="Times New Roman"/>
          <w:sz w:val="24"/>
          <w:szCs w:val="24"/>
          <w:lang w:val="en-US" w:bidi="ar-SA"/>
        </w:rPr>
        <w:t xml:space="preserve">. (2017). </w:t>
      </w:r>
      <w:r w:rsidRPr="0006254E">
        <w:rPr>
          <w:rFonts w:ascii="Times New Roman" w:eastAsia="Times New Roman" w:hAnsi="Times New Roman" w:cs="Times New Roman"/>
          <w:i/>
          <w:iCs/>
          <w:sz w:val="24"/>
          <w:szCs w:val="24"/>
          <w:lang w:val="en-US" w:bidi="ar-SA"/>
        </w:rPr>
        <w:t>National strategic plan for HIV/AIDS and STI 2017–2024: Paving the way for an AIDS-free India</w:t>
      </w:r>
      <w:r w:rsidRPr="0006254E">
        <w:rPr>
          <w:rFonts w:ascii="Times New Roman" w:eastAsia="Times New Roman" w:hAnsi="Times New Roman" w:cs="Times New Roman"/>
          <w:sz w:val="24"/>
          <w:szCs w:val="24"/>
          <w:lang w:val="en-US" w:bidi="ar-SA"/>
        </w:rPr>
        <w:t xml:space="preserve">. Ministry of Health and </w:t>
      </w:r>
      <w:r w:rsidRPr="0006254E">
        <w:rPr>
          <w:rFonts w:ascii="Times New Roman" w:eastAsia="Times New Roman" w:hAnsi="Times New Roman" w:cs="Times New Roman"/>
          <w:sz w:val="24"/>
          <w:szCs w:val="24"/>
          <w:lang w:val="en-US" w:bidi="ar-SA"/>
        </w:rPr>
        <w:lastRenderedPageBreak/>
        <w:t xml:space="preserve">Family Welfare, Government of India. </w:t>
      </w:r>
      <w:hyperlink r:id="rId19" w:history="1">
        <w:r w:rsidRPr="0006254E">
          <w:rPr>
            <w:rFonts w:ascii="Times New Roman" w:eastAsia="Times New Roman" w:hAnsi="Times New Roman" w:cs="Times New Roman"/>
            <w:color w:val="0000FF"/>
            <w:sz w:val="24"/>
            <w:szCs w:val="24"/>
            <w:u w:val="single"/>
            <w:lang w:val="en-US" w:bidi="ar-SA"/>
          </w:rPr>
          <w:t>https://extranet.who.int/cpcd/global-repository/national-strategic-plan-hiv-aids-sti-2017-2024</w:t>
        </w:r>
      </w:hyperlink>
    </w:p>
    <w:p w14:paraId="61F835DD"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National AIDS Control </w:t>
      </w:r>
      <w:proofErr w:type="spellStart"/>
      <w:r w:rsidRPr="0006254E">
        <w:rPr>
          <w:rFonts w:ascii="Times New Roman" w:eastAsia="Times New Roman" w:hAnsi="Times New Roman" w:cs="Times New Roman"/>
          <w:sz w:val="24"/>
          <w:szCs w:val="24"/>
          <w:lang w:val="en-US" w:bidi="ar-SA"/>
        </w:rPr>
        <w:t>Organisation</w:t>
      </w:r>
      <w:proofErr w:type="spellEnd"/>
      <w:r w:rsidRPr="0006254E">
        <w:rPr>
          <w:rFonts w:ascii="Times New Roman" w:eastAsia="Times New Roman" w:hAnsi="Times New Roman" w:cs="Times New Roman"/>
          <w:sz w:val="24"/>
          <w:szCs w:val="24"/>
          <w:lang w:val="en-US" w:bidi="ar-SA"/>
        </w:rPr>
        <w:t xml:space="preserve">. (2024). </w:t>
      </w:r>
      <w:r w:rsidRPr="0006254E">
        <w:rPr>
          <w:rFonts w:ascii="Times New Roman" w:eastAsia="Times New Roman" w:hAnsi="Times New Roman" w:cs="Times New Roman"/>
          <w:i/>
          <w:iCs/>
          <w:sz w:val="24"/>
          <w:szCs w:val="24"/>
          <w:lang w:val="en-US" w:bidi="ar-SA"/>
        </w:rPr>
        <w:t>India HIV estimates 2023: Technical report</w:t>
      </w:r>
      <w:r w:rsidRPr="0006254E">
        <w:rPr>
          <w:rFonts w:ascii="Times New Roman" w:eastAsia="Times New Roman" w:hAnsi="Times New Roman" w:cs="Times New Roman"/>
          <w:sz w:val="24"/>
          <w:szCs w:val="24"/>
          <w:lang w:val="en-US" w:bidi="ar-SA"/>
        </w:rPr>
        <w:t xml:space="preserve">. Ministry of Health and Family Welfare, Government of India. </w:t>
      </w:r>
      <w:hyperlink r:id="rId20" w:history="1">
        <w:r w:rsidRPr="0006254E">
          <w:rPr>
            <w:rFonts w:ascii="Times New Roman" w:eastAsia="Times New Roman" w:hAnsi="Times New Roman" w:cs="Times New Roman"/>
            <w:color w:val="0000FF"/>
            <w:sz w:val="24"/>
            <w:szCs w:val="24"/>
            <w:u w:val="single"/>
            <w:lang w:val="en-US" w:bidi="ar-SA"/>
          </w:rPr>
          <w:t>https://naco.mohfw.gov.in/division/strategic-information-management/surveillance-epidemiology/publication-and-reports/</w:t>
        </w:r>
      </w:hyperlink>
    </w:p>
    <w:p w14:paraId="0A3745DE"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National AIDS Control </w:t>
      </w:r>
      <w:proofErr w:type="spellStart"/>
      <w:r w:rsidRPr="0006254E">
        <w:rPr>
          <w:rFonts w:ascii="Times New Roman" w:eastAsia="Times New Roman" w:hAnsi="Times New Roman" w:cs="Times New Roman"/>
          <w:sz w:val="24"/>
          <w:szCs w:val="24"/>
          <w:lang w:val="en-US" w:bidi="ar-SA"/>
        </w:rPr>
        <w:t>Organisation</w:t>
      </w:r>
      <w:proofErr w:type="spellEnd"/>
      <w:r w:rsidRPr="0006254E">
        <w:rPr>
          <w:rFonts w:ascii="Times New Roman" w:eastAsia="Times New Roman" w:hAnsi="Times New Roman" w:cs="Times New Roman"/>
          <w:sz w:val="24"/>
          <w:szCs w:val="24"/>
          <w:lang w:val="en-US" w:bidi="ar-SA"/>
        </w:rPr>
        <w:t xml:space="preserve">, &amp; ICMR–National Institute for Research in Digital Health and Data Science. (2025). </w:t>
      </w:r>
      <w:r w:rsidRPr="0006254E">
        <w:rPr>
          <w:rFonts w:ascii="Times New Roman" w:eastAsia="Times New Roman" w:hAnsi="Times New Roman" w:cs="Times New Roman"/>
          <w:i/>
          <w:iCs/>
          <w:sz w:val="24"/>
          <w:szCs w:val="24"/>
          <w:lang w:val="en-US" w:bidi="ar-SA"/>
        </w:rPr>
        <w:t>India HIV estimation 2025: Technical report</w:t>
      </w:r>
      <w:r w:rsidRPr="0006254E">
        <w:rPr>
          <w:rFonts w:ascii="Times New Roman" w:eastAsia="Times New Roman" w:hAnsi="Times New Roman" w:cs="Times New Roman"/>
          <w:sz w:val="24"/>
          <w:szCs w:val="24"/>
          <w:lang w:val="en-US" w:bidi="ar-SA"/>
        </w:rPr>
        <w:t xml:space="preserve">. Ministry of Health and Family Welfare, Government of India. </w:t>
      </w:r>
      <w:hyperlink r:id="rId21" w:history="1">
        <w:r w:rsidRPr="0006254E">
          <w:rPr>
            <w:rFonts w:ascii="Times New Roman" w:eastAsia="Times New Roman" w:hAnsi="Times New Roman" w:cs="Times New Roman"/>
            <w:color w:val="0000FF"/>
            <w:sz w:val="24"/>
            <w:szCs w:val="24"/>
            <w:u w:val="single"/>
            <w:lang w:val="en-US" w:bidi="ar-SA"/>
          </w:rPr>
          <w:t>https://naco.mohfw.gov.in/sites/default/files/HIV%20Estimation%202025%20Technical%20Report.pdf</w:t>
        </w:r>
      </w:hyperlink>
    </w:p>
    <w:p w14:paraId="057FFC51"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National AIDS Control </w:t>
      </w:r>
      <w:proofErr w:type="spellStart"/>
      <w:r w:rsidRPr="0006254E">
        <w:rPr>
          <w:rFonts w:ascii="Times New Roman" w:eastAsia="Times New Roman" w:hAnsi="Times New Roman" w:cs="Times New Roman"/>
          <w:sz w:val="24"/>
          <w:szCs w:val="24"/>
          <w:lang w:val="en-US" w:bidi="ar-SA"/>
        </w:rPr>
        <w:t>Organisation</w:t>
      </w:r>
      <w:proofErr w:type="spellEnd"/>
      <w:r w:rsidRPr="0006254E">
        <w:rPr>
          <w:rFonts w:ascii="Times New Roman" w:eastAsia="Times New Roman" w:hAnsi="Times New Roman" w:cs="Times New Roman"/>
          <w:sz w:val="24"/>
          <w:szCs w:val="24"/>
          <w:lang w:val="en-US" w:bidi="ar-SA"/>
        </w:rPr>
        <w:t xml:space="preserve">, &amp; ICMR–National Institute for Research in Digital Health and Data Science. (2025). </w:t>
      </w:r>
      <w:r w:rsidRPr="0006254E">
        <w:rPr>
          <w:rFonts w:ascii="Times New Roman" w:eastAsia="Times New Roman" w:hAnsi="Times New Roman" w:cs="Times New Roman"/>
          <w:i/>
          <w:iCs/>
          <w:sz w:val="24"/>
          <w:szCs w:val="24"/>
          <w:lang w:val="en-US" w:bidi="ar-SA"/>
        </w:rPr>
        <w:t>India HIV estimation 2025: Technical report</w:t>
      </w:r>
      <w:r w:rsidRPr="0006254E">
        <w:rPr>
          <w:rFonts w:ascii="Times New Roman" w:eastAsia="Times New Roman" w:hAnsi="Times New Roman" w:cs="Times New Roman"/>
          <w:sz w:val="24"/>
          <w:szCs w:val="24"/>
          <w:lang w:val="en-US" w:bidi="ar-SA"/>
        </w:rPr>
        <w:t xml:space="preserve">. Ministry of Health and Family Welfare, Government of India. </w:t>
      </w:r>
      <w:hyperlink r:id="rId22" w:history="1">
        <w:r w:rsidRPr="0006254E">
          <w:rPr>
            <w:rFonts w:ascii="Times New Roman" w:eastAsia="Times New Roman" w:hAnsi="Times New Roman" w:cs="Times New Roman"/>
            <w:color w:val="0000FF"/>
            <w:sz w:val="24"/>
            <w:szCs w:val="24"/>
            <w:u w:val="single"/>
            <w:lang w:val="en-US" w:bidi="ar-SA"/>
          </w:rPr>
          <w:t>https://naco.mohfw.gov.in/sites/default/files/HIV%20Estimation%202025%20Technical%20Report.pdf</w:t>
        </w:r>
      </w:hyperlink>
    </w:p>
    <w:p w14:paraId="19FF586A"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proofErr w:type="spellStart"/>
      <w:r w:rsidRPr="0006254E">
        <w:rPr>
          <w:rFonts w:ascii="Times New Roman" w:eastAsia="Times New Roman" w:hAnsi="Times New Roman" w:cs="Times New Roman"/>
          <w:sz w:val="24"/>
          <w:szCs w:val="24"/>
          <w:lang w:val="en-US" w:bidi="ar-SA"/>
        </w:rPr>
        <w:t>Odebiyi</w:t>
      </w:r>
      <w:proofErr w:type="spellEnd"/>
      <w:r w:rsidRPr="0006254E">
        <w:rPr>
          <w:rFonts w:ascii="Times New Roman" w:eastAsia="Times New Roman" w:hAnsi="Times New Roman" w:cs="Times New Roman"/>
          <w:sz w:val="24"/>
          <w:szCs w:val="24"/>
          <w:lang w:val="en-US" w:bidi="ar-SA"/>
        </w:rPr>
        <w:t xml:space="preserve">, O. A., Salahu, W. O., Oladejo, J. K., </w:t>
      </w:r>
      <w:proofErr w:type="spellStart"/>
      <w:r w:rsidRPr="0006254E">
        <w:rPr>
          <w:rFonts w:ascii="Times New Roman" w:eastAsia="Times New Roman" w:hAnsi="Times New Roman" w:cs="Times New Roman"/>
          <w:sz w:val="24"/>
          <w:szCs w:val="24"/>
          <w:lang w:val="en-US" w:bidi="ar-SA"/>
        </w:rPr>
        <w:t>Areo</w:t>
      </w:r>
      <w:proofErr w:type="spellEnd"/>
      <w:r w:rsidRPr="0006254E">
        <w:rPr>
          <w:rFonts w:ascii="Times New Roman" w:eastAsia="Times New Roman" w:hAnsi="Times New Roman" w:cs="Times New Roman"/>
          <w:sz w:val="24"/>
          <w:szCs w:val="24"/>
          <w:lang w:val="en-US" w:bidi="ar-SA"/>
        </w:rPr>
        <w:t xml:space="preserve">, A. O., Olajide, O. A., &amp; </w:t>
      </w:r>
      <w:proofErr w:type="spellStart"/>
      <w:r w:rsidRPr="0006254E">
        <w:rPr>
          <w:rFonts w:ascii="Times New Roman" w:eastAsia="Times New Roman" w:hAnsi="Times New Roman" w:cs="Times New Roman"/>
          <w:sz w:val="24"/>
          <w:szCs w:val="24"/>
          <w:lang w:val="en-US" w:bidi="ar-SA"/>
        </w:rPr>
        <w:t>Sangoniyi</w:t>
      </w:r>
      <w:proofErr w:type="spellEnd"/>
      <w:r w:rsidRPr="0006254E">
        <w:rPr>
          <w:rFonts w:ascii="Times New Roman" w:eastAsia="Times New Roman" w:hAnsi="Times New Roman" w:cs="Times New Roman"/>
          <w:sz w:val="24"/>
          <w:szCs w:val="24"/>
          <w:lang w:val="en-US" w:bidi="ar-SA"/>
        </w:rPr>
        <w:t xml:space="preserve">, S. O. (2025). Analyzing the influence of screening and therapy compliance on HIV/AIDS dynamics using nonlinear incidence. </w:t>
      </w:r>
      <w:r w:rsidRPr="0006254E">
        <w:rPr>
          <w:rFonts w:ascii="Times New Roman" w:eastAsia="Times New Roman" w:hAnsi="Times New Roman" w:cs="Times New Roman"/>
          <w:i/>
          <w:iCs/>
          <w:sz w:val="24"/>
          <w:szCs w:val="24"/>
          <w:lang w:val="en-US" w:bidi="ar-SA"/>
        </w:rPr>
        <w:t>Asian Journal of Pure and Applied Mathematics, 7</w:t>
      </w:r>
      <w:r w:rsidRPr="0006254E">
        <w:rPr>
          <w:rFonts w:ascii="Times New Roman" w:eastAsia="Times New Roman" w:hAnsi="Times New Roman" w:cs="Times New Roman"/>
          <w:sz w:val="24"/>
          <w:szCs w:val="24"/>
          <w:lang w:val="en-US" w:bidi="ar-SA"/>
        </w:rPr>
        <w:t xml:space="preserve">(1), 593–610. </w:t>
      </w:r>
      <w:hyperlink r:id="rId23" w:history="1">
        <w:r w:rsidRPr="0006254E">
          <w:rPr>
            <w:rFonts w:ascii="Times New Roman" w:eastAsia="Times New Roman" w:hAnsi="Times New Roman" w:cs="Times New Roman"/>
            <w:color w:val="0000FF"/>
            <w:sz w:val="24"/>
            <w:szCs w:val="24"/>
            <w:u w:val="single"/>
            <w:lang w:val="en-US" w:bidi="ar-SA"/>
          </w:rPr>
          <w:t>https://doi.org/10.56557/ajpam/2025/v7i1226</w:t>
        </w:r>
      </w:hyperlink>
    </w:p>
    <w:p w14:paraId="73EF9BB1"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Venkatesh, U., Grover, A., Santhosh, V. N., Rahaman, M., Joshi, H. S., Bera, O. P., &amp; Durga, R. (2026). Geographic heterogeneity and temporal trends in HIV prevalence, positivity, and burden in India using national surveillance data. </w:t>
      </w:r>
      <w:proofErr w:type="spellStart"/>
      <w:r w:rsidRPr="0006254E">
        <w:rPr>
          <w:rFonts w:ascii="Times New Roman" w:eastAsia="Times New Roman" w:hAnsi="Times New Roman" w:cs="Times New Roman"/>
          <w:i/>
          <w:iCs/>
          <w:sz w:val="24"/>
          <w:szCs w:val="24"/>
          <w:lang w:val="en-US" w:bidi="ar-SA"/>
        </w:rPr>
        <w:t>VirusDisease</w:t>
      </w:r>
      <w:proofErr w:type="spellEnd"/>
      <w:r w:rsidRPr="0006254E">
        <w:rPr>
          <w:rFonts w:ascii="Times New Roman" w:eastAsia="Times New Roman" w:hAnsi="Times New Roman" w:cs="Times New Roman"/>
          <w:i/>
          <w:iCs/>
          <w:sz w:val="24"/>
          <w:szCs w:val="24"/>
          <w:lang w:val="en-US" w:bidi="ar-SA"/>
        </w:rPr>
        <w:t>, 37</w:t>
      </w:r>
      <w:r w:rsidRPr="0006254E">
        <w:rPr>
          <w:rFonts w:ascii="Times New Roman" w:eastAsia="Times New Roman" w:hAnsi="Times New Roman" w:cs="Times New Roman"/>
          <w:sz w:val="24"/>
          <w:szCs w:val="24"/>
          <w:lang w:val="en-US" w:bidi="ar-SA"/>
        </w:rPr>
        <w:t xml:space="preserve">(2), 158–167. </w:t>
      </w:r>
      <w:hyperlink r:id="rId24" w:history="1">
        <w:r w:rsidRPr="0006254E">
          <w:rPr>
            <w:rFonts w:ascii="Times New Roman" w:eastAsia="Times New Roman" w:hAnsi="Times New Roman" w:cs="Times New Roman"/>
            <w:color w:val="0000FF"/>
            <w:sz w:val="24"/>
            <w:szCs w:val="24"/>
            <w:u w:val="single"/>
            <w:lang w:val="en-US" w:bidi="ar-SA"/>
          </w:rPr>
          <w:t>https://doi.org/10.1007/s13337-026-00961-1</w:t>
        </w:r>
      </w:hyperlink>
    </w:p>
    <w:p w14:paraId="4A34D68D"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World Health Organization. (2021). </w:t>
      </w:r>
      <w:r w:rsidRPr="0006254E">
        <w:rPr>
          <w:rFonts w:ascii="Times New Roman" w:eastAsia="Times New Roman" w:hAnsi="Times New Roman" w:cs="Times New Roman"/>
          <w:i/>
          <w:iCs/>
          <w:sz w:val="24"/>
          <w:szCs w:val="24"/>
          <w:lang w:val="en-US" w:bidi="ar-SA"/>
        </w:rPr>
        <w:t>Consolidated guidelines on HIV prevention, testing, treatment, service delivery and monitoring: Recommendations for a public health approach</w:t>
      </w:r>
      <w:r w:rsidRPr="0006254E">
        <w:rPr>
          <w:rFonts w:ascii="Times New Roman" w:eastAsia="Times New Roman" w:hAnsi="Times New Roman" w:cs="Times New Roman"/>
          <w:sz w:val="24"/>
          <w:szCs w:val="24"/>
          <w:lang w:val="en-US" w:bidi="ar-SA"/>
        </w:rPr>
        <w:t xml:space="preserve">. </w:t>
      </w:r>
      <w:hyperlink r:id="rId25" w:history="1">
        <w:r w:rsidRPr="0006254E">
          <w:rPr>
            <w:rFonts w:ascii="Times New Roman" w:eastAsia="Times New Roman" w:hAnsi="Times New Roman" w:cs="Times New Roman"/>
            <w:color w:val="0000FF"/>
            <w:sz w:val="24"/>
            <w:szCs w:val="24"/>
            <w:u w:val="single"/>
            <w:lang w:val="en-US" w:bidi="ar-SA"/>
          </w:rPr>
          <w:t>https://www.who.int/publications/i/item/9789240031593</w:t>
        </w:r>
      </w:hyperlink>
    </w:p>
    <w:p w14:paraId="6817C5CC"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World Health Organization. (2024). </w:t>
      </w:r>
      <w:r w:rsidRPr="0006254E">
        <w:rPr>
          <w:rFonts w:ascii="Times New Roman" w:eastAsia="Times New Roman" w:hAnsi="Times New Roman" w:cs="Times New Roman"/>
          <w:i/>
          <w:iCs/>
          <w:sz w:val="24"/>
          <w:szCs w:val="24"/>
          <w:lang w:val="en-US" w:bidi="ar-SA"/>
        </w:rPr>
        <w:t>Consolidated guidelines on differentiated HIV testing services</w:t>
      </w:r>
      <w:r w:rsidRPr="0006254E">
        <w:rPr>
          <w:rFonts w:ascii="Times New Roman" w:eastAsia="Times New Roman" w:hAnsi="Times New Roman" w:cs="Times New Roman"/>
          <w:sz w:val="24"/>
          <w:szCs w:val="24"/>
          <w:lang w:val="en-US" w:bidi="ar-SA"/>
        </w:rPr>
        <w:t xml:space="preserve">. </w:t>
      </w:r>
      <w:hyperlink r:id="rId26" w:history="1">
        <w:r w:rsidRPr="0006254E">
          <w:rPr>
            <w:rFonts w:ascii="Times New Roman" w:eastAsia="Times New Roman" w:hAnsi="Times New Roman" w:cs="Times New Roman"/>
            <w:color w:val="0000FF"/>
            <w:sz w:val="24"/>
            <w:szCs w:val="24"/>
            <w:u w:val="single"/>
            <w:lang w:val="en-US" w:bidi="ar-SA"/>
          </w:rPr>
          <w:t>https://www.who.int/india/publications/i/item/9789240096394</w:t>
        </w:r>
      </w:hyperlink>
    </w:p>
    <w:p w14:paraId="730C167F" w14:textId="77777777" w:rsidR="0006254E" w:rsidRPr="0006254E" w:rsidRDefault="0006254E" w:rsidP="0006254E">
      <w:pPr>
        <w:numPr>
          <w:ilvl w:val="0"/>
          <w:numId w:val="9"/>
        </w:numPr>
        <w:spacing w:before="100" w:beforeAutospacing="1" w:after="100" w:afterAutospacing="1" w:line="240" w:lineRule="auto"/>
        <w:rPr>
          <w:rFonts w:ascii="Times New Roman" w:eastAsia="Times New Roman" w:hAnsi="Times New Roman" w:cs="Times New Roman"/>
          <w:sz w:val="24"/>
          <w:szCs w:val="24"/>
          <w:lang w:val="en-US" w:bidi="ar-SA"/>
        </w:rPr>
      </w:pPr>
      <w:r w:rsidRPr="0006254E">
        <w:rPr>
          <w:rFonts w:ascii="Times New Roman" w:eastAsia="Times New Roman" w:hAnsi="Times New Roman" w:cs="Times New Roman"/>
          <w:sz w:val="24"/>
          <w:szCs w:val="24"/>
          <w:lang w:val="en-US" w:bidi="ar-SA"/>
        </w:rPr>
        <w:t xml:space="preserve">Zhang, Y., Johnson, C. C., Nguyen, V. T. T., &amp; Ong, J. J. (2024). Role of HIV self-testing in strengthening HIV prevention services. </w:t>
      </w:r>
      <w:r w:rsidRPr="0006254E">
        <w:rPr>
          <w:rFonts w:ascii="Times New Roman" w:eastAsia="Times New Roman" w:hAnsi="Times New Roman" w:cs="Times New Roman"/>
          <w:i/>
          <w:iCs/>
          <w:sz w:val="24"/>
          <w:szCs w:val="24"/>
          <w:lang w:val="en-US" w:bidi="ar-SA"/>
        </w:rPr>
        <w:t>The Lancet HIV, 11</w:t>
      </w:r>
      <w:r w:rsidRPr="0006254E">
        <w:rPr>
          <w:rFonts w:ascii="Times New Roman" w:eastAsia="Times New Roman" w:hAnsi="Times New Roman" w:cs="Times New Roman"/>
          <w:sz w:val="24"/>
          <w:szCs w:val="24"/>
          <w:lang w:val="en-US" w:bidi="ar-SA"/>
        </w:rPr>
        <w:t xml:space="preserve">(11), e774–e782. </w:t>
      </w:r>
      <w:hyperlink r:id="rId27" w:history="1">
        <w:r w:rsidRPr="0006254E">
          <w:rPr>
            <w:rFonts w:ascii="Times New Roman" w:eastAsia="Times New Roman" w:hAnsi="Times New Roman" w:cs="Times New Roman"/>
            <w:color w:val="0000FF"/>
            <w:sz w:val="24"/>
            <w:szCs w:val="24"/>
            <w:u w:val="single"/>
            <w:lang w:val="en-US" w:bidi="ar-SA"/>
          </w:rPr>
          <w:t>https://doi.org/10.1016/S2352-3018(24)00187-5</w:t>
        </w:r>
      </w:hyperlink>
    </w:p>
    <w:p w14:paraId="1B174A87" w14:textId="77777777" w:rsidR="0006254E" w:rsidRPr="00553AF8" w:rsidRDefault="0006254E" w:rsidP="00F540BD">
      <w:pPr>
        <w:spacing w:line="360" w:lineRule="auto"/>
        <w:jc w:val="both"/>
        <w:rPr>
          <w:rFonts w:ascii="Times New Roman" w:hAnsi="Times New Roman" w:cs="Times New Roman"/>
          <w:b/>
          <w:bCs/>
          <w:sz w:val="24"/>
          <w:szCs w:val="24"/>
        </w:rPr>
      </w:pPr>
    </w:p>
    <w:sectPr w:rsidR="0006254E" w:rsidRPr="00553AF8">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3976B" w14:textId="77777777" w:rsidR="001D4454" w:rsidRDefault="001D4454" w:rsidP="00401475">
      <w:pPr>
        <w:spacing w:after="0" w:line="240" w:lineRule="auto"/>
      </w:pPr>
      <w:r>
        <w:separator/>
      </w:r>
    </w:p>
  </w:endnote>
  <w:endnote w:type="continuationSeparator" w:id="0">
    <w:p w14:paraId="48EE0E7F" w14:textId="77777777" w:rsidR="001D4454" w:rsidRDefault="001D4454" w:rsidP="00401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C0209" w14:textId="77777777" w:rsidR="0024377F" w:rsidRDefault="002437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238E5" w14:textId="77777777" w:rsidR="0024377F" w:rsidRDefault="002437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AFEC" w14:textId="77777777" w:rsidR="0024377F" w:rsidRDefault="00243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F2640" w14:textId="77777777" w:rsidR="001D4454" w:rsidRDefault="001D4454" w:rsidP="00401475">
      <w:pPr>
        <w:spacing w:after="0" w:line="240" w:lineRule="auto"/>
      </w:pPr>
      <w:r>
        <w:separator/>
      </w:r>
    </w:p>
  </w:footnote>
  <w:footnote w:type="continuationSeparator" w:id="0">
    <w:p w14:paraId="3FC03354" w14:textId="77777777" w:rsidR="001D4454" w:rsidRDefault="001D4454" w:rsidP="00401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40961" w14:textId="77777777" w:rsidR="0024377F" w:rsidRDefault="00000000">
    <w:pPr>
      <w:pStyle w:val="Header"/>
    </w:pPr>
    <w:r>
      <w:rPr>
        <w:noProof/>
      </w:rPr>
      <w:pict w14:anchorId="7902D3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70640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4715D" w14:textId="77777777" w:rsidR="0024377F" w:rsidRDefault="00000000">
    <w:pPr>
      <w:pStyle w:val="Header"/>
    </w:pPr>
    <w:r>
      <w:rPr>
        <w:noProof/>
      </w:rPr>
      <w:pict w14:anchorId="7CC7BA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70640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D585" w14:textId="77777777" w:rsidR="0024377F" w:rsidRDefault="00000000">
    <w:pPr>
      <w:pStyle w:val="Header"/>
    </w:pPr>
    <w:r>
      <w:rPr>
        <w:noProof/>
      </w:rPr>
      <w:pict w14:anchorId="491E67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70640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90099"/>
    <w:multiLevelType w:val="multilevel"/>
    <w:tmpl w:val="169C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464BA"/>
    <w:multiLevelType w:val="multilevel"/>
    <w:tmpl w:val="1360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7D7F31"/>
    <w:multiLevelType w:val="multilevel"/>
    <w:tmpl w:val="7D92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D362DB"/>
    <w:multiLevelType w:val="multilevel"/>
    <w:tmpl w:val="6AD28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53454C"/>
    <w:multiLevelType w:val="hybridMultilevel"/>
    <w:tmpl w:val="553C2FEC"/>
    <w:lvl w:ilvl="0" w:tplc="797C30A0">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0D107B2"/>
    <w:multiLevelType w:val="hybridMultilevel"/>
    <w:tmpl w:val="3CA4E054"/>
    <w:lvl w:ilvl="0" w:tplc="70000C0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8A37BB1"/>
    <w:multiLevelType w:val="multilevel"/>
    <w:tmpl w:val="1236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4C0027"/>
    <w:multiLevelType w:val="hybridMultilevel"/>
    <w:tmpl w:val="7CAC5218"/>
    <w:lvl w:ilvl="0" w:tplc="B84A9E9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E6B1EFF"/>
    <w:multiLevelType w:val="multilevel"/>
    <w:tmpl w:val="C3147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0113344">
    <w:abstractNumId w:val="3"/>
  </w:num>
  <w:num w:numId="2" w16cid:durableId="1378580741">
    <w:abstractNumId w:val="6"/>
  </w:num>
  <w:num w:numId="3" w16cid:durableId="635986046">
    <w:abstractNumId w:val="0"/>
  </w:num>
  <w:num w:numId="4" w16cid:durableId="952902139">
    <w:abstractNumId w:val="4"/>
  </w:num>
  <w:num w:numId="5" w16cid:durableId="1423405619">
    <w:abstractNumId w:val="7"/>
  </w:num>
  <w:num w:numId="6" w16cid:durableId="1083448964">
    <w:abstractNumId w:val="2"/>
  </w:num>
  <w:num w:numId="7" w16cid:durableId="40596662">
    <w:abstractNumId w:val="5"/>
  </w:num>
  <w:num w:numId="8" w16cid:durableId="1103768182">
    <w:abstractNumId w:val="8"/>
  </w:num>
  <w:num w:numId="9" w16cid:durableId="1115902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xM7YwNDc3tTSwtDRV0lEKTi0uzszPAykwrAUAqfkMUSwAAAA="/>
  </w:docVars>
  <w:rsids>
    <w:rsidRoot w:val="00BB2DD4"/>
    <w:rsid w:val="000063CB"/>
    <w:rsid w:val="00023ED0"/>
    <w:rsid w:val="00052D96"/>
    <w:rsid w:val="000601E9"/>
    <w:rsid w:val="0006254E"/>
    <w:rsid w:val="001421D2"/>
    <w:rsid w:val="001C7C43"/>
    <w:rsid w:val="001D4454"/>
    <w:rsid w:val="001F58AC"/>
    <w:rsid w:val="00222641"/>
    <w:rsid w:val="0024377F"/>
    <w:rsid w:val="00270DF6"/>
    <w:rsid w:val="0030216E"/>
    <w:rsid w:val="003F32CA"/>
    <w:rsid w:val="00401475"/>
    <w:rsid w:val="00401A3E"/>
    <w:rsid w:val="004B0C11"/>
    <w:rsid w:val="004E245D"/>
    <w:rsid w:val="004E7B3B"/>
    <w:rsid w:val="00553AF8"/>
    <w:rsid w:val="005B5A09"/>
    <w:rsid w:val="00612BCB"/>
    <w:rsid w:val="006455C1"/>
    <w:rsid w:val="00655555"/>
    <w:rsid w:val="006D30B1"/>
    <w:rsid w:val="0073520E"/>
    <w:rsid w:val="007A0682"/>
    <w:rsid w:val="00827FCE"/>
    <w:rsid w:val="00871FA4"/>
    <w:rsid w:val="008B56CB"/>
    <w:rsid w:val="009602B0"/>
    <w:rsid w:val="00A83F8B"/>
    <w:rsid w:val="00AA1A23"/>
    <w:rsid w:val="00AA6FF0"/>
    <w:rsid w:val="00AB2B44"/>
    <w:rsid w:val="00B172DA"/>
    <w:rsid w:val="00B66578"/>
    <w:rsid w:val="00BB2DD4"/>
    <w:rsid w:val="00C35D72"/>
    <w:rsid w:val="00C41C4A"/>
    <w:rsid w:val="00C9125A"/>
    <w:rsid w:val="00C94296"/>
    <w:rsid w:val="00CD61AA"/>
    <w:rsid w:val="00D51C97"/>
    <w:rsid w:val="00DB45E8"/>
    <w:rsid w:val="00DC6A31"/>
    <w:rsid w:val="00DF0DEB"/>
    <w:rsid w:val="00E0579A"/>
    <w:rsid w:val="00E153D9"/>
    <w:rsid w:val="00E21553"/>
    <w:rsid w:val="00E378B5"/>
    <w:rsid w:val="00E40D9E"/>
    <w:rsid w:val="00ED4704"/>
    <w:rsid w:val="00ED4B07"/>
    <w:rsid w:val="00F01CF8"/>
    <w:rsid w:val="00F27BB4"/>
    <w:rsid w:val="00F540BD"/>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EBD99"/>
  <w15:chartTrackingRefBased/>
  <w15:docId w15:val="{8A578DA2-AE47-45E2-A0BC-E9098EED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te-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D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2D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2D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2D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2D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2D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D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D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D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D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2D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2D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2D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2D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2D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D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D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DD4"/>
    <w:rPr>
      <w:rFonts w:eastAsiaTheme="majorEastAsia" w:cstheme="majorBidi"/>
      <w:color w:val="272727" w:themeColor="text1" w:themeTint="D8"/>
    </w:rPr>
  </w:style>
  <w:style w:type="paragraph" w:styleId="Title">
    <w:name w:val="Title"/>
    <w:basedOn w:val="Normal"/>
    <w:next w:val="Normal"/>
    <w:link w:val="TitleChar"/>
    <w:uiPriority w:val="10"/>
    <w:qFormat/>
    <w:rsid w:val="00BB2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D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D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D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DD4"/>
    <w:pPr>
      <w:spacing w:before="160"/>
      <w:jc w:val="center"/>
    </w:pPr>
    <w:rPr>
      <w:i/>
      <w:iCs/>
      <w:color w:val="404040" w:themeColor="text1" w:themeTint="BF"/>
    </w:rPr>
  </w:style>
  <w:style w:type="character" w:customStyle="1" w:styleId="QuoteChar">
    <w:name w:val="Quote Char"/>
    <w:basedOn w:val="DefaultParagraphFont"/>
    <w:link w:val="Quote"/>
    <w:uiPriority w:val="29"/>
    <w:rsid w:val="00BB2DD4"/>
    <w:rPr>
      <w:i/>
      <w:iCs/>
      <w:color w:val="404040" w:themeColor="text1" w:themeTint="BF"/>
    </w:rPr>
  </w:style>
  <w:style w:type="paragraph" w:styleId="ListParagraph">
    <w:name w:val="List Paragraph"/>
    <w:basedOn w:val="Normal"/>
    <w:uiPriority w:val="34"/>
    <w:qFormat/>
    <w:rsid w:val="00BB2DD4"/>
    <w:pPr>
      <w:ind w:left="720"/>
      <w:contextualSpacing/>
    </w:pPr>
  </w:style>
  <w:style w:type="character" w:styleId="IntenseEmphasis">
    <w:name w:val="Intense Emphasis"/>
    <w:basedOn w:val="DefaultParagraphFont"/>
    <w:uiPriority w:val="21"/>
    <w:qFormat/>
    <w:rsid w:val="00BB2DD4"/>
    <w:rPr>
      <w:i/>
      <w:iCs/>
      <w:color w:val="2F5496" w:themeColor="accent1" w:themeShade="BF"/>
    </w:rPr>
  </w:style>
  <w:style w:type="paragraph" w:styleId="IntenseQuote">
    <w:name w:val="Intense Quote"/>
    <w:basedOn w:val="Normal"/>
    <w:next w:val="Normal"/>
    <w:link w:val="IntenseQuoteChar"/>
    <w:uiPriority w:val="30"/>
    <w:qFormat/>
    <w:rsid w:val="00BB2D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2DD4"/>
    <w:rPr>
      <w:i/>
      <w:iCs/>
      <w:color w:val="2F5496" w:themeColor="accent1" w:themeShade="BF"/>
    </w:rPr>
  </w:style>
  <w:style w:type="character" w:styleId="IntenseReference">
    <w:name w:val="Intense Reference"/>
    <w:basedOn w:val="DefaultParagraphFont"/>
    <w:uiPriority w:val="32"/>
    <w:qFormat/>
    <w:rsid w:val="00BB2DD4"/>
    <w:rPr>
      <w:b/>
      <w:bCs/>
      <w:smallCaps/>
      <w:color w:val="2F5496" w:themeColor="accent1" w:themeShade="BF"/>
      <w:spacing w:val="5"/>
    </w:rPr>
  </w:style>
  <w:style w:type="character" w:styleId="Hyperlink">
    <w:name w:val="Hyperlink"/>
    <w:basedOn w:val="DefaultParagraphFont"/>
    <w:uiPriority w:val="99"/>
    <w:unhideWhenUsed/>
    <w:rsid w:val="00BB2DD4"/>
    <w:rPr>
      <w:color w:val="0563C1" w:themeColor="hyperlink"/>
      <w:u w:val="single"/>
    </w:rPr>
  </w:style>
  <w:style w:type="character" w:styleId="UnresolvedMention">
    <w:name w:val="Unresolved Mention"/>
    <w:basedOn w:val="DefaultParagraphFont"/>
    <w:uiPriority w:val="99"/>
    <w:semiHidden/>
    <w:unhideWhenUsed/>
    <w:rsid w:val="00BB2DD4"/>
    <w:rPr>
      <w:color w:val="605E5C"/>
      <w:shd w:val="clear" w:color="auto" w:fill="E1DFDD"/>
    </w:rPr>
  </w:style>
  <w:style w:type="character" w:styleId="PlaceholderText">
    <w:name w:val="Placeholder Text"/>
    <w:basedOn w:val="DefaultParagraphFont"/>
    <w:uiPriority w:val="99"/>
    <w:semiHidden/>
    <w:rsid w:val="00F27BB4"/>
    <w:rPr>
      <w:color w:val="666666"/>
    </w:rPr>
  </w:style>
  <w:style w:type="table" w:styleId="TableGrid">
    <w:name w:val="Table Grid"/>
    <w:basedOn w:val="TableNormal"/>
    <w:uiPriority w:val="39"/>
    <w:rsid w:val="00C94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1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475"/>
  </w:style>
  <w:style w:type="paragraph" w:styleId="Footer">
    <w:name w:val="footer"/>
    <w:basedOn w:val="Normal"/>
    <w:link w:val="FooterChar"/>
    <w:uiPriority w:val="99"/>
    <w:unhideWhenUsed/>
    <w:rsid w:val="00401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475"/>
  </w:style>
  <w:style w:type="character" w:styleId="FollowedHyperlink">
    <w:name w:val="FollowedHyperlink"/>
    <w:basedOn w:val="DefaultParagraphFont"/>
    <w:uiPriority w:val="99"/>
    <w:semiHidden/>
    <w:unhideWhenUsed/>
    <w:rsid w:val="001F58AC"/>
    <w:rPr>
      <w:color w:val="954F72" w:themeColor="followedHyperlink"/>
      <w:u w:val="single"/>
    </w:rPr>
  </w:style>
  <w:style w:type="paragraph" w:styleId="NormalWeb">
    <w:name w:val="Normal (Web)"/>
    <w:basedOn w:val="Normal"/>
    <w:uiPriority w:val="99"/>
    <w:semiHidden/>
    <w:unhideWhenUsed/>
    <w:rsid w:val="002226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aids.org/en/resources/documents/2024/global-aids-update-2024" TargetMode="External"/><Relationship Id="rId18" Type="http://schemas.openxmlformats.org/officeDocument/2006/relationships/hyperlink" Target="https://master-mohfw-dohfw.digifootprint.gov.in/archives?page=publications&amp;pages=6" TargetMode="External"/><Relationship Id="rId26" Type="http://schemas.openxmlformats.org/officeDocument/2006/relationships/hyperlink" Target="https://www.who.int/india/publications/i/item/9789240096394" TargetMode="External"/><Relationship Id="rId3" Type="http://schemas.openxmlformats.org/officeDocument/2006/relationships/settings" Target="settings.xml"/><Relationship Id="rId21" Type="http://schemas.openxmlformats.org/officeDocument/2006/relationships/hyperlink" Target="https://naco.mohfw.gov.in/sites/default/files/HIV%20Estimation%202025%20Technical%20Report.pdf" TargetMode="External"/><Relationship Id="rId34" Type="http://schemas.openxmlformats.org/officeDocument/2006/relationships/fontTable" Target="fontTable.xml"/><Relationship Id="rId7" Type="http://schemas.openxmlformats.org/officeDocument/2006/relationships/chart" Target="charts/chart1.xml"/><Relationship Id="rId12" Type="http://schemas.openxmlformats.org/officeDocument/2006/relationships/hyperlink" Target="https://doi.org/10.1186/s12889-024-19329-5" TargetMode="External"/><Relationship Id="rId17" Type="http://schemas.openxmlformats.org/officeDocument/2006/relationships/hyperlink" Target="https://doi.org/10.4103/ijstd.ijstd_28_25" TargetMode="External"/><Relationship Id="rId25" Type="http://schemas.openxmlformats.org/officeDocument/2006/relationships/hyperlink" Target="https://www.who.int/publications/i/item/9789240031593"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4103/ijcm.ijcm_877_24" TargetMode="External"/><Relationship Id="rId20" Type="http://schemas.openxmlformats.org/officeDocument/2006/relationships/hyperlink" Target="https://naco.mohfw.gov.in/division/strategic-information-management/surveillance-epidemiology/publication-and-reports/"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1741-7015-4-31" TargetMode="External"/><Relationship Id="rId24" Type="http://schemas.openxmlformats.org/officeDocument/2006/relationships/hyperlink" Target="https://doi.org/10.1007/s13337-026-00961-1"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097/MD.0000000000026578" TargetMode="External"/><Relationship Id="rId23" Type="http://schemas.openxmlformats.org/officeDocument/2006/relationships/hyperlink" Target="https://doi.org/10.56557/ajpam/2025/v7i1226" TargetMode="External"/><Relationship Id="rId28" Type="http://schemas.openxmlformats.org/officeDocument/2006/relationships/header" Target="header1.xml"/><Relationship Id="rId10" Type="http://schemas.openxmlformats.org/officeDocument/2006/relationships/hyperlink" Target="https://doi.org/10.9734/ajarr/2022/v16i130448" TargetMode="External"/><Relationship Id="rId19" Type="http://schemas.openxmlformats.org/officeDocument/2006/relationships/hyperlink" Target="https://extranet.who.int/cpcd/global-repository/national-strategic-plan-hiv-aids-sti-2017-2024"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www.unaids.org/en/resources/documents/2024/2024_unaids_data" TargetMode="External"/><Relationship Id="rId22" Type="http://schemas.openxmlformats.org/officeDocument/2006/relationships/hyperlink" Target="https://naco.mohfw.gov.in/sites/default/files/HIV%20Estimation%202025%20Technical%20Report.pdf" TargetMode="External"/><Relationship Id="rId27" Type="http://schemas.openxmlformats.org/officeDocument/2006/relationships/hyperlink" Target="https://doi.org/10.1016/S2352-3018(24)00187-5"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of HIV Tests conducted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2020–21</c:v>
                </c:pt>
                <c:pt idx="1">
                  <c:v>2021–22</c:v>
                </c:pt>
                <c:pt idx="2">
                  <c:v>2022–23</c:v>
                </c:pt>
                <c:pt idx="3">
                  <c:v>2023–24</c:v>
                </c:pt>
                <c:pt idx="4">
                  <c:v>2024–25*</c:v>
                </c:pt>
              </c:strCache>
            </c:strRef>
          </c:cat>
          <c:val>
            <c:numRef>
              <c:f>Sheet1!$B$2:$B$6</c:f>
              <c:numCache>
                <c:formatCode>#,##0</c:formatCode>
                <c:ptCount val="5"/>
                <c:pt idx="0">
                  <c:v>68978</c:v>
                </c:pt>
                <c:pt idx="1">
                  <c:v>75171</c:v>
                </c:pt>
                <c:pt idx="2">
                  <c:v>114813</c:v>
                </c:pt>
                <c:pt idx="3">
                  <c:v>129630</c:v>
                </c:pt>
                <c:pt idx="4">
                  <c:v>53245</c:v>
                </c:pt>
              </c:numCache>
            </c:numRef>
          </c:val>
          <c:extLst>
            <c:ext xmlns:c16="http://schemas.microsoft.com/office/drawing/2014/chart" uri="{C3380CC4-5D6E-409C-BE32-E72D297353CC}">
              <c16:uniqueId val="{00000000-B915-45CD-B7AC-A4CDEF6338C2}"/>
            </c:ext>
          </c:extLst>
        </c:ser>
        <c:dLbls>
          <c:dLblPos val="outEnd"/>
          <c:showLegendKey val="0"/>
          <c:showVal val="1"/>
          <c:showCatName val="0"/>
          <c:showSerName val="0"/>
          <c:showPercent val="0"/>
          <c:showBubbleSize val="0"/>
        </c:dLbls>
        <c:gapWidth val="70"/>
        <c:overlap val="-100"/>
        <c:axId val="454362143"/>
        <c:axId val="454356863"/>
      </c:barChart>
      <c:catAx>
        <c:axId val="454362143"/>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Academic Year</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56863"/>
        <c:crosses val="autoZero"/>
        <c:auto val="1"/>
        <c:lblAlgn val="ctr"/>
        <c:lblOffset val="100"/>
        <c:noMultiLvlLbl val="0"/>
      </c:catAx>
      <c:valAx>
        <c:axId val="4543568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solidFill>
                      <a:sysClr val="windowText" lastClr="000000"/>
                    </a:solidFill>
                  </a:rPr>
                  <a:t>No. of HIV Tests conducted</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621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400">
                <a:effectLst/>
              </a:rPr>
              <a:t>HIV-Positive Cases Detected</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Sheet2!$B$1</c:f>
              <c:strCache>
                <c:ptCount val="1"/>
                <c:pt idx="0">
                  <c:v>Positive cases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Sheet2!$A$2:$A$6</c:f>
              <c:strCache>
                <c:ptCount val="5"/>
                <c:pt idx="0">
                  <c:v>2020–21</c:v>
                </c:pt>
                <c:pt idx="1">
                  <c:v>2021–22</c:v>
                </c:pt>
                <c:pt idx="2">
                  <c:v>2022–23</c:v>
                </c:pt>
                <c:pt idx="3">
                  <c:v>2023–24</c:v>
                </c:pt>
                <c:pt idx="4">
                  <c:v>2024–25*</c:v>
                </c:pt>
              </c:strCache>
            </c:strRef>
          </c:cat>
          <c:val>
            <c:numRef>
              <c:f>Sheet2!$B$2:$B$6</c:f>
              <c:numCache>
                <c:formatCode>General</c:formatCode>
                <c:ptCount val="5"/>
                <c:pt idx="0">
                  <c:v>352</c:v>
                </c:pt>
                <c:pt idx="1">
                  <c:v>405</c:v>
                </c:pt>
                <c:pt idx="2">
                  <c:v>451</c:v>
                </c:pt>
                <c:pt idx="3">
                  <c:v>538</c:v>
                </c:pt>
                <c:pt idx="4">
                  <c:v>237</c:v>
                </c:pt>
              </c:numCache>
            </c:numRef>
          </c:val>
          <c:extLst>
            <c:ext xmlns:c16="http://schemas.microsoft.com/office/drawing/2014/chart" uri="{C3380CC4-5D6E-409C-BE32-E72D297353CC}">
              <c16:uniqueId val="{00000000-7748-4D9F-B34D-F78193E71A6D}"/>
            </c:ext>
          </c:extLst>
        </c:ser>
        <c:dLbls>
          <c:dLblPos val="outEnd"/>
          <c:showLegendKey val="0"/>
          <c:showVal val="1"/>
          <c:showCatName val="0"/>
          <c:showSerName val="0"/>
          <c:showPercent val="0"/>
          <c:showBubbleSize val="0"/>
        </c:dLbls>
        <c:gapWidth val="89"/>
        <c:overlap val="-27"/>
        <c:axId val="454352543"/>
        <c:axId val="454359263"/>
      </c:barChart>
      <c:catAx>
        <c:axId val="454352543"/>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Academic Year</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59263"/>
        <c:crosses val="autoZero"/>
        <c:auto val="1"/>
        <c:lblAlgn val="ctr"/>
        <c:lblOffset val="100"/>
        <c:noMultiLvlLbl val="0"/>
      </c:catAx>
      <c:valAx>
        <c:axId val="4543592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No. of HIV Positive Cases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525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Sheet3!$B$1</c:f>
              <c:strCache>
                <c:ptCount val="1"/>
                <c:pt idx="0">
                  <c:v>Cases per 1,000 tests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Sheet3!$A$2:$A$6</c:f>
              <c:strCache>
                <c:ptCount val="5"/>
                <c:pt idx="0">
                  <c:v>2020–21</c:v>
                </c:pt>
                <c:pt idx="1">
                  <c:v>2021–22</c:v>
                </c:pt>
                <c:pt idx="2">
                  <c:v>2022–23</c:v>
                </c:pt>
                <c:pt idx="3">
                  <c:v>2023–24</c:v>
                </c:pt>
                <c:pt idx="4">
                  <c:v>2024–25*</c:v>
                </c:pt>
              </c:strCache>
            </c:strRef>
          </c:cat>
          <c:val>
            <c:numRef>
              <c:f>Sheet3!$B$2:$B$6</c:f>
              <c:numCache>
                <c:formatCode>General</c:formatCode>
                <c:ptCount val="5"/>
                <c:pt idx="0">
                  <c:v>0.51</c:v>
                </c:pt>
                <c:pt idx="1">
                  <c:v>0.53899999999999992</c:v>
                </c:pt>
                <c:pt idx="2">
                  <c:v>0.39300000000000002</c:v>
                </c:pt>
                <c:pt idx="3">
                  <c:v>0.41500000000000004</c:v>
                </c:pt>
                <c:pt idx="4">
                  <c:v>0.44500000000000001</c:v>
                </c:pt>
              </c:numCache>
            </c:numRef>
          </c:val>
          <c:smooth val="0"/>
          <c:extLst>
            <c:ext xmlns:c16="http://schemas.microsoft.com/office/drawing/2014/chart" uri="{C3380CC4-5D6E-409C-BE32-E72D297353CC}">
              <c16:uniqueId val="{00000000-F24F-4F0F-BEF9-82E8AFF3469C}"/>
            </c:ext>
          </c:extLst>
        </c:ser>
        <c:dLbls>
          <c:dLblPos val="t"/>
          <c:showLegendKey val="0"/>
          <c:showVal val="1"/>
          <c:showCatName val="0"/>
          <c:showSerName val="0"/>
          <c:showPercent val="0"/>
          <c:showBubbleSize val="0"/>
        </c:dLbls>
        <c:smooth val="0"/>
        <c:axId val="454388063"/>
        <c:axId val="454388543"/>
      </c:lineChart>
      <c:catAx>
        <c:axId val="454388063"/>
        <c:scaling>
          <c:orientation val="minMax"/>
        </c:scaling>
        <c:delete val="0"/>
        <c:axPos val="b"/>
        <c:title>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88543"/>
        <c:crosses val="autoZero"/>
        <c:auto val="1"/>
        <c:lblAlgn val="ctr"/>
        <c:lblOffset val="100"/>
        <c:noMultiLvlLbl val="0"/>
      </c:catAx>
      <c:valAx>
        <c:axId val="4543885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HIV test positivity rate</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43880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15</Pages>
  <Words>4949</Words>
  <Characters>28214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GAJANAN ANKATWAR</dc:creator>
  <cp:keywords/>
  <dc:description/>
  <cp:lastModifiedBy>SDI 1087</cp:lastModifiedBy>
  <cp:revision>10</cp:revision>
  <cp:lastPrinted>2026-10-21T07:16:00Z</cp:lastPrinted>
  <dcterms:created xsi:type="dcterms:W3CDTF">2026-10-21T07:15:00Z</dcterms:created>
  <dcterms:modified xsi:type="dcterms:W3CDTF">2026-10-27T05:05:00Z</dcterms:modified>
</cp:coreProperties>
</file>