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4FC0" w14:textId="77777777" w:rsidR="00A510CF" w:rsidRPr="0096374B" w:rsidRDefault="00A510CF" w:rsidP="00FF00EF">
      <w:pPr>
        <w:spacing w:line="360" w:lineRule="auto"/>
        <w:rPr>
          <w:rFonts w:ascii="Times New Roman" w:hAnsi="Times New Roman" w:cs="Times New Roman"/>
          <w:b/>
          <w:bCs/>
        </w:rPr>
      </w:pPr>
      <w:r w:rsidRPr="0096374B">
        <w:rPr>
          <w:rFonts w:ascii="Times New Roman" w:hAnsi="Times New Roman" w:cs="Times New Roman"/>
          <w:b/>
          <w:bCs/>
        </w:rPr>
        <w:t>The Influence of Mobile Money and Fin</w:t>
      </w:r>
      <w:r w:rsidR="00921367" w:rsidRPr="0096374B">
        <w:rPr>
          <w:rFonts w:ascii="Times New Roman" w:hAnsi="Times New Roman" w:cs="Times New Roman"/>
          <w:b/>
          <w:bCs/>
        </w:rPr>
        <w:t>T</w:t>
      </w:r>
      <w:r w:rsidRPr="0096374B">
        <w:rPr>
          <w:rFonts w:ascii="Times New Roman" w:hAnsi="Times New Roman" w:cs="Times New Roman"/>
          <w:b/>
          <w:bCs/>
        </w:rPr>
        <w:t>ech Apps on Consumer Spending Habits in Nigeria</w:t>
      </w:r>
    </w:p>
    <w:p w14:paraId="69DC6685" w14:textId="77777777" w:rsidR="00F977C9" w:rsidRPr="0096374B" w:rsidRDefault="00F977C9" w:rsidP="00FF00EF">
      <w:pPr>
        <w:spacing w:line="360" w:lineRule="auto"/>
        <w:rPr>
          <w:rFonts w:ascii="Times New Roman" w:hAnsi="Times New Roman" w:cs="Times New Roman"/>
          <w:b/>
          <w:bCs/>
        </w:rPr>
      </w:pPr>
    </w:p>
    <w:p w14:paraId="4755DA20" w14:textId="77777777" w:rsidR="00DC6777" w:rsidRPr="0096374B" w:rsidRDefault="00DC6777" w:rsidP="00FF00EF">
      <w:pPr>
        <w:spacing w:line="360" w:lineRule="auto"/>
        <w:jc w:val="center"/>
        <w:rPr>
          <w:rFonts w:ascii="Times New Roman" w:hAnsi="Times New Roman" w:cs="Times New Roman"/>
          <w:i/>
        </w:rPr>
      </w:pPr>
    </w:p>
    <w:p w14:paraId="439DE759" w14:textId="77777777" w:rsidR="00EE3B26" w:rsidRPr="0096374B" w:rsidRDefault="00EE3B26" w:rsidP="00FF00EF">
      <w:pPr>
        <w:spacing w:line="360" w:lineRule="auto"/>
        <w:jc w:val="center"/>
        <w:rPr>
          <w:rFonts w:ascii="Times New Roman" w:hAnsi="Times New Roman" w:cs="Times New Roman"/>
          <w:i/>
        </w:rPr>
      </w:pPr>
      <w:r w:rsidRPr="0096374B">
        <w:rPr>
          <w:rFonts w:ascii="Times New Roman" w:hAnsi="Times New Roman" w:cs="Times New Roman"/>
          <w:i/>
        </w:rPr>
        <w:t xml:space="preserve"> </w:t>
      </w:r>
    </w:p>
    <w:p w14:paraId="1BC1267D" w14:textId="77777777" w:rsidR="00F977C9" w:rsidRPr="0096374B" w:rsidRDefault="00F977C9" w:rsidP="00FF00EF">
      <w:pPr>
        <w:spacing w:line="360" w:lineRule="auto"/>
        <w:jc w:val="center"/>
        <w:rPr>
          <w:rFonts w:ascii="Times New Roman" w:hAnsi="Times New Roman" w:cs="Times New Roman"/>
          <w:bCs/>
        </w:rPr>
      </w:pPr>
    </w:p>
    <w:p w14:paraId="5BEE4520" w14:textId="77777777" w:rsidR="005A2920" w:rsidRPr="0096374B" w:rsidRDefault="005A2920" w:rsidP="00FF00EF">
      <w:pPr>
        <w:spacing w:before="100" w:beforeAutospacing="1" w:after="100" w:afterAutospacing="1" w:line="360" w:lineRule="auto"/>
        <w:jc w:val="center"/>
        <w:rPr>
          <w:rFonts w:ascii="Times New Roman" w:eastAsia="Times New Roman" w:hAnsi="Times New Roman" w:cs="Times New Roman"/>
          <w:kern w:val="0"/>
          <w14:ligatures w14:val="none"/>
        </w:rPr>
      </w:pPr>
      <w:r w:rsidRPr="0096374B">
        <w:rPr>
          <w:rFonts w:ascii="Times New Roman" w:eastAsia="Times New Roman" w:hAnsi="Times New Roman" w:cs="Times New Roman"/>
          <w:b/>
          <w:bCs/>
          <w:kern w:val="0"/>
          <w14:ligatures w14:val="none"/>
        </w:rPr>
        <w:t>Abstract</w:t>
      </w:r>
    </w:p>
    <w:p w14:paraId="5EDED3E9" w14:textId="77777777" w:rsidR="005A2920" w:rsidRPr="0096374B" w:rsidRDefault="005A2920" w:rsidP="00FF00EF">
      <w:pPr>
        <w:spacing w:before="100" w:beforeAutospacing="1" w:after="100" w:afterAutospacing="1" w:line="240" w:lineRule="auto"/>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As digital financial services rapidly expand across emerging markets, understanding the determinants of mobile money usage is critical for deepening economic inclusion. Grounded in the Technology Acceptance Model (TAM), this study investigates the impact of Perceived Convenience, Perceived Security, and Perceived Usefulness on the Consumer Spending Habits of FinTech users. A positivist, cross-sectional research design was employed, using purposive sampling to survey 294 semi-literate female traders across three major open-air markets in Obio Akpor Local Government Area, Rivers State, Nigeria. Data were validated and analysed using Partial Least Squares Structural Equation Modeling (PLS-SEM). The findings reveal that Perceived Convenience is the strongest positive driver of consumer spending habits, followed by a moderate positive influence from Perceived Usefulness. Notably, while Perceived Security established robust internal reliability, it exerted the weakest direct effect on transaction volume, suggesting that it functions as a baseline expectation rather than an active catalyst for usage. The study concludes that while secure infrastructure is necessary to establish initial trust, frictionless user experiences and tangible daily utility are the primary engines of sustained digital financial engagement. Consequently, FinTech developers and policymakers are advised to prioritise seamless ecosystem integrations tailored to middle-aged demographics to accelerate digital economy participation.</w:t>
      </w:r>
    </w:p>
    <w:p w14:paraId="25747214" w14:textId="77777777" w:rsidR="004235F4" w:rsidRPr="0096374B" w:rsidRDefault="005A2920" w:rsidP="004235F4">
      <w:pPr>
        <w:pStyle w:val="NormalWeb"/>
        <w:rPr>
          <w:rFonts w:eastAsia="Times New Roman"/>
          <w:kern w:val="0"/>
          <w14:ligatures w14:val="none"/>
        </w:rPr>
      </w:pPr>
      <w:r w:rsidRPr="0096374B">
        <w:rPr>
          <w:rFonts w:eastAsia="Times New Roman"/>
          <w:b/>
          <w:bCs/>
          <w:kern w:val="0"/>
          <w14:ligatures w14:val="none"/>
        </w:rPr>
        <w:t>Keywords:</w:t>
      </w:r>
      <w:r w:rsidRPr="0096374B">
        <w:rPr>
          <w:rFonts w:eastAsia="Times New Roman"/>
          <w:kern w:val="0"/>
          <w14:ligatures w14:val="none"/>
        </w:rPr>
        <w:t xml:space="preserve"> </w:t>
      </w:r>
      <w:r w:rsidR="004235F4" w:rsidRPr="0096374B">
        <w:rPr>
          <w:rFonts w:eastAsia="Times New Roman"/>
          <w:kern w:val="0"/>
          <w14:ligatures w14:val="none"/>
        </w:rPr>
        <w:t>Mobile money; FinTech applications; consumer spending habits; perceived convenience; perceived security; perceived usefulness; Technology Acceptance Model; financial inclusion; semi-literate female traders.</w:t>
      </w:r>
    </w:p>
    <w:p w14:paraId="7F493A56" w14:textId="77777777" w:rsidR="005A2920" w:rsidRPr="0096374B" w:rsidRDefault="005A2920" w:rsidP="00FF00EF">
      <w:pPr>
        <w:spacing w:before="100" w:beforeAutospacing="1" w:after="100" w:afterAutospacing="1" w:line="360" w:lineRule="auto"/>
        <w:rPr>
          <w:rFonts w:ascii="Times New Roman" w:eastAsia="Times New Roman" w:hAnsi="Times New Roman" w:cs="Times New Roman"/>
          <w:kern w:val="0"/>
          <w14:ligatures w14:val="none"/>
        </w:rPr>
      </w:pPr>
    </w:p>
    <w:p w14:paraId="374FE39D" w14:textId="77777777" w:rsidR="00925DC5" w:rsidRPr="0096374B" w:rsidRDefault="00925DC5" w:rsidP="00FF00EF">
      <w:pPr>
        <w:spacing w:line="360" w:lineRule="auto"/>
        <w:rPr>
          <w:rFonts w:ascii="Times New Roman" w:hAnsi="Times New Roman" w:cs="Times New Roman"/>
          <w:b/>
          <w:bCs/>
        </w:rPr>
      </w:pPr>
    </w:p>
    <w:p w14:paraId="0EDBC6F2" w14:textId="77777777" w:rsidR="001B62EF" w:rsidRPr="0096374B" w:rsidRDefault="004329D2" w:rsidP="00FF00EF">
      <w:pPr>
        <w:spacing w:line="360" w:lineRule="auto"/>
        <w:rPr>
          <w:rFonts w:ascii="Times New Roman" w:hAnsi="Times New Roman" w:cs="Times New Roman"/>
          <w:b/>
          <w:bCs/>
        </w:rPr>
      </w:pPr>
      <w:r w:rsidRPr="0096374B">
        <w:rPr>
          <w:rFonts w:ascii="Times New Roman" w:hAnsi="Times New Roman" w:cs="Times New Roman"/>
          <w:b/>
          <w:bCs/>
        </w:rPr>
        <w:t xml:space="preserve">1.0 </w:t>
      </w:r>
      <w:r w:rsidR="00925DC5" w:rsidRPr="0096374B">
        <w:rPr>
          <w:rFonts w:ascii="Times New Roman" w:hAnsi="Times New Roman" w:cs="Times New Roman"/>
          <w:b/>
          <w:bCs/>
        </w:rPr>
        <w:t>Introduction</w:t>
      </w:r>
    </w:p>
    <w:p w14:paraId="206BDB47" w14:textId="77777777" w:rsidR="00925DC5" w:rsidRPr="0096374B" w:rsidRDefault="00925DC5" w:rsidP="00FF00EF">
      <w:pPr>
        <w:spacing w:line="360" w:lineRule="auto"/>
        <w:jc w:val="both"/>
        <w:rPr>
          <w:rFonts w:ascii="Times New Roman" w:hAnsi="Times New Roman" w:cs="Times New Roman"/>
        </w:rPr>
      </w:pPr>
      <w:r>
        <w:rPr>
          <w:rFonts w:ascii="Times New Roman" w:eastAsia="Times New Roman" w:hAnsi="Times New Roman"/>
        </w:rPr>
        <w:t xml:space="preserve">Over the past decade, Nigeria’s financial landscape has undergone a remarkable transformation, mainly driven by the proliferation of digital technologies and the steady evolution of its financial regulatory architecture. The accelerated adoption of FinTech solutions, particularly mobile-based </w:t>
      </w:r>
      <w:r>
        <w:rPr>
          <w:rFonts w:ascii="Times New Roman" w:eastAsia="Times New Roman" w:hAnsi="Times New Roman"/>
        </w:rPr>
        <w:lastRenderedPageBreak/>
        <w:t>financial services, reflects a broader structural shift toward digitalisation across sectors. This momentum has been reinforced by the growth of mobile money, digital payment services, and the wider technology ecosystem (PwC Nigeria, 2023; EFInA, 2023). With 26% of Nigerian adults still financially excluded in 2023 (EFInA, 2023), demand for inclusive, scalable financial solutions remains substantial. The growth of agent networks has accompanied recent financial-inclusion gains by extending access beyond conventional bank branches (EFInA, 2023). Recent scholarship in developing-economy contexts similarly indicates that digital finance and FinTech can broaden access to formal financial services, while their effects remain conditioned by infrastructure, regulation, and local context (Meher &amp; Mishra, 2026; Singh, 2026).</w:t>
      </w:r>
    </w:p>
    <w:p w14:paraId="64C7F075" w14:textId="77777777" w:rsidR="00925DC5" w:rsidRPr="0096374B" w:rsidRDefault="00925DC5" w:rsidP="00FF00EF">
      <w:pPr>
        <w:spacing w:line="360" w:lineRule="auto"/>
        <w:jc w:val="both"/>
        <w:rPr>
          <w:rFonts w:ascii="Times New Roman" w:hAnsi="Times New Roman" w:cs="Times New Roman"/>
        </w:rPr>
      </w:pPr>
      <w:r>
        <w:rPr>
          <w:rFonts w:ascii="Times New Roman" w:eastAsia="Times New Roman" w:hAnsi="Times New Roman"/>
        </w:rPr>
        <w:t>The evolution of e-commerce platforms has played a complementary role in this transformation. Firms such as Jumia and Konga have expanded the digital marketplace by integrating online checkout processes, thereby intensifying demand for efficient, real-time payment systems. In parallel, Nigerian FinTech firms have developed payment, lending, and savings products that address gaps in conventional financial services and support the country’s broader technology ecosystem (PwC Nigeria, 2023). These digital products can extend access to payments and credit for users who may be underserved by traditional branch-based banking (PwC Nigeria, 2023; Sam-Abugu et al., 2025).</w:t>
      </w:r>
    </w:p>
    <w:p w14:paraId="6560A526" w14:textId="77777777" w:rsidR="00925DC5" w:rsidRPr="0096374B" w:rsidRDefault="00925DC5" w:rsidP="00FF00EF">
      <w:pPr>
        <w:spacing w:line="360" w:lineRule="auto"/>
        <w:jc w:val="both"/>
        <w:rPr>
          <w:rFonts w:ascii="Times New Roman" w:hAnsi="Times New Roman" w:cs="Times New Roman"/>
        </w:rPr>
      </w:pPr>
      <w:r>
        <w:rPr>
          <w:rFonts w:ascii="Times New Roman" w:eastAsia="Times New Roman" w:hAnsi="Times New Roman"/>
        </w:rPr>
        <w:t>Institutional support has further enhanced this ecosystem. The Central Bank of Nigeria introduced a regulatory framework for mobile payment services in 2009 and subsequently expanded its payment-system rules, including Operational Guidelines for Open Banking in 2023 (Central Bank of Nigeria [CBN], 2009, 2023). The broader payments-policy architecture also includes regulatory sandboxes, Payment Service Banks, mobile money frameworks, agent banking, and other measures intended to improve innovation, interoperability, security, and access (CBN, n.d.).</w:t>
      </w:r>
    </w:p>
    <w:p w14:paraId="47AC8B2E" w14:textId="77777777" w:rsidR="00925DC5" w:rsidRPr="0096374B" w:rsidRDefault="00925DC5" w:rsidP="00FF00EF">
      <w:pPr>
        <w:spacing w:line="360" w:lineRule="auto"/>
        <w:jc w:val="both"/>
        <w:rPr>
          <w:rFonts w:ascii="Times New Roman" w:hAnsi="Times New Roman" w:cs="Times New Roman"/>
        </w:rPr>
      </w:pPr>
      <w:r>
        <w:rPr>
          <w:rFonts w:ascii="Times New Roman" w:eastAsia="Times New Roman" w:hAnsi="Times New Roman"/>
        </w:rPr>
        <w:t xml:space="preserve">Quantitative indicators illustrate the scale of this growth. Official NIBSS data indicate that electronic payment transactions in Nigeria reached ₦600 trillion in 2023, up 55% from ₦387 trillion in 2022 (NIBSS, 2024). This rapid expansion underscores the increasing role of digital payments in the Nigerian economy. Mobile and digital finance have also broadened access through non-bank and agent channels (EFInA, 2023; Sam-Abugu et al., 2025). Cross-country evidence similarly shows that FinTech development is associated with greater access to saving, borrowing, and remittance services, although usage gaps remain across populations and regions (Lyons et al., 2022). Evidence from digital-payment adoption also indicates that payment technology can alter consumer expenditure patterns </w:t>
      </w:r>
      <w:r>
        <w:rPr>
          <w:rFonts w:ascii="Times New Roman" w:eastAsia="Times New Roman" w:hAnsi="Times New Roman"/>
        </w:rPr>
        <w:lastRenderedPageBreak/>
        <w:t>(Agarwal et al., 2024). Recent Nigerian evidence further suggests that FinTech access alone may be insufficient to broaden inclusion when users lack the financial literacy needed to engage effectively with digital services (Sam-Abugu et al., 2025).</w:t>
      </w:r>
    </w:p>
    <w:p w14:paraId="41643E86" w14:textId="77777777" w:rsidR="00F56854" w:rsidRPr="0096374B" w:rsidRDefault="00925DC5" w:rsidP="00F56854">
      <w:pPr>
        <w:spacing w:line="360" w:lineRule="auto"/>
        <w:jc w:val="both"/>
        <w:rPr>
          <w:rFonts w:ascii="Times New Roman" w:hAnsi="Times New Roman" w:cs="Times New Roman"/>
        </w:rPr>
      </w:pPr>
      <w:r>
        <w:rPr>
          <w:rFonts w:ascii="Times New Roman" w:eastAsia="Times New Roman" w:hAnsi="Times New Roman"/>
        </w:rPr>
        <w:t>Despite these advancements, persistent structural barriers remain. Limited infrastructure, uneven digital literacy, and concerns about security and trust can still constrain adoption, particularly among underserved users (EFInA, 2023; Sam-Abugu et al., 2025; Almaiah et al., 2023). Research on FinTech adoption likewise shows that perceived risk and trust remain important determinants of sustained use (Abdul-Rahim et al., 2022). Recent research involving women in Nigeria identifies continuing demand for digital and financial literacy support among informal-sector participants (Lui et al., 2025). Although the adoption of FinTech and mobile money services among women and other potentially underserved groups has received considerable attention in the existing literature (Lyons et al., 2022; Tripathi &amp; Rajeev, 2023; Hoque et al., 2024; Lui et al., 2025), there remains a notable absence of empirical studies focusing specifically on semi-literate female populations. This gap is particularly evident among women traders in Obio Akpor Local Government Area (LGA) of Rivers State, Nigeria. Given the economic significance of informal trade and the prevalent digital divide among these women, understanding the adoption patterns, constraints, and behavioural tendencies of this demographic is essential for advancing inclusive digital financial systems in developing economies. Accordingly, the study assessed the relationship between Perceived Convenience and Consumer Spending Habits, Perceived Security and Consumer Spending Habits, and Perceived Usefulness and Consumer Spending Habits.</w:t>
      </w:r>
    </w:p>
    <w:p w14:paraId="3DBF7A37" w14:textId="77777777" w:rsidR="00F56854" w:rsidRPr="0096374B" w:rsidRDefault="00F56854" w:rsidP="00F56854">
      <w:pPr>
        <w:spacing w:line="360" w:lineRule="auto"/>
        <w:jc w:val="both"/>
        <w:rPr>
          <w:rFonts w:ascii="Times New Roman" w:hAnsi="Times New Roman" w:cs="Times New Roman"/>
          <w:b/>
          <w:bCs/>
        </w:rPr>
      </w:pPr>
      <w:r w:rsidRPr="0096374B">
        <w:rPr>
          <w:rFonts w:ascii="Times New Roman" w:hAnsi="Times New Roman"/>
          <w:b/>
        </w:rPr>
        <w:t>1.1 Objective of the Study</w:t>
      </w:r>
    </w:p>
    <w:p w14:paraId="75C05A28" w14:textId="77777777" w:rsidR="00925DC5" w:rsidRPr="0096374B" w:rsidRDefault="00925DC5" w:rsidP="00FF00EF">
      <w:pPr>
        <w:spacing w:line="360" w:lineRule="auto"/>
        <w:jc w:val="both"/>
        <w:rPr>
          <w:rFonts w:ascii="Times New Roman" w:hAnsi="Times New Roman" w:cs="Times New Roman"/>
          <w:bCs/>
        </w:rPr>
      </w:pPr>
      <w:r w:rsidRPr="0096374B">
        <w:rPr>
          <w:rFonts w:ascii="Times New Roman" w:hAnsi="Times New Roman"/>
          <w:bCs/>
        </w:rPr>
        <w:t>The objective of this study is to assess the relationships between Perceived Convenience, Perceived Security, Perceived Usefulness, and Consumer Spending Habits among semi-literate female traders who use mobile money or FinTech platforms in Obio Akpor Local Government Area, Rivers State, Nigeria.</w:t>
      </w:r>
    </w:p>
    <w:p w14:paraId="6F4FA9FD" w14:textId="77777777" w:rsidR="00237DAD" w:rsidRPr="0096374B" w:rsidRDefault="00237DAD" w:rsidP="00FF00EF">
      <w:pPr>
        <w:spacing w:line="360" w:lineRule="auto"/>
        <w:jc w:val="both"/>
        <w:rPr>
          <w:rFonts w:ascii="Times New Roman" w:hAnsi="Times New Roman" w:cs="Times New Roman"/>
          <w:b/>
          <w:bCs/>
        </w:rPr>
      </w:pPr>
      <w:r w:rsidRPr="0096374B">
        <w:rPr>
          <w:rFonts w:ascii="Times New Roman" w:hAnsi="Times New Roman" w:cs="Times New Roman"/>
          <w:b/>
          <w:bCs/>
        </w:rPr>
        <w:t xml:space="preserve">2. Literature </w:t>
      </w:r>
      <w:r w:rsidR="00B33650" w:rsidRPr="0096374B">
        <w:rPr>
          <w:rFonts w:ascii="Times New Roman" w:hAnsi="Times New Roman" w:cs="Times New Roman"/>
          <w:b/>
          <w:bCs/>
        </w:rPr>
        <w:t>R</w:t>
      </w:r>
      <w:r w:rsidRPr="0096374B">
        <w:rPr>
          <w:rFonts w:ascii="Times New Roman" w:hAnsi="Times New Roman" w:cs="Times New Roman"/>
          <w:b/>
          <w:bCs/>
        </w:rPr>
        <w:t>eview</w:t>
      </w:r>
    </w:p>
    <w:p w14:paraId="5E3939AE" w14:textId="77777777" w:rsidR="000C2A52" w:rsidRPr="0096374B" w:rsidRDefault="00237DAD" w:rsidP="00FF00EF">
      <w:pPr>
        <w:spacing w:line="360" w:lineRule="auto"/>
        <w:jc w:val="both"/>
        <w:rPr>
          <w:rFonts w:ascii="Times New Roman" w:hAnsi="Times New Roman" w:cs="Times New Roman"/>
          <w:b/>
          <w:bCs/>
        </w:rPr>
      </w:pPr>
      <w:r w:rsidRPr="0096374B">
        <w:rPr>
          <w:rFonts w:ascii="Times New Roman" w:hAnsi="Times New Roman" w:cs="Times New Roman"/>
          <w:b/>
          <w:bCs/>
        </w:rPr>
        <w:t xml:space="preserve">2.1 Theoretical </w:t>
      </w:r>
      <w:r w:rsidR="006974C1" w:rsidRPr="0096374B">
        <w:rPr>
          <w:rFonts w:ascii="Times New Roman" w:hAnsi="Times New Roman" w:cs="Times New Roman"/>
          <w:b/>
          <w:bCs/>
        </w:rPr>
        <w:t>Background and Concept Development</w:t>
      </w:r>
    </w:p>
    <w:p w14:paraId="5466C245" w14:textId="77777777" w:rsidR="00237DAD" w:rsidRPr="0096374B" w:rsidRDefault="00237DAD" w:rsidP="00FF00EF">
      <w:pPr>
        <w:spacing w:line="360" w:lineRule="auto"/>
        <w:rPr>
          <w:rFonts w:ascii="Times New Roman" w:hAnsi="Times New Roman" w:cs="Times New Roman"/>
        </w:rPr>
      </w:pPr>
    </w:p>
    <w:p w14:paraId="0537A6CA" w14:textId="77777777" w:rsidR="00BC2624" w:rsidRPr="0096374B" w:rsidRDefault="006963C0" w:rsidP="00FF00EF">
      <w:pPr>
        <w:spacing w:line="360" w:lineRule="auto"/>
        <w:jc w:val="both"/>
        <w:rPr>
          <w:rFonts w:ascii="Times New Roman" w:hAnsi="Times New Roman" w:cs="Times New Roman"/>
        </w:rPr>
      </w:pPr>
      <w:r>
        <w:rPr>
          <w:rFonts w:ascii="Times New Roman" w:eastAsia="Times New Roman" w:hAnsi="Times New Roman"/>
        </w:rPr>
        <w:lastRenderedPageBreak/>
        <w:t>This study is underpinned by two theories: the Uses and Gratifications (U&amp;G) theory and the Technology Acceptance Model (TAM). The U&amp;G approach explains how individuals actively select media and communication channels to satisfy particular social and psychological needs (Katz et al., 1973). These needs range from utilitarian motives such as information-seeking and transactional efficiency to hedonic or emotional drivers, which include entertainment, social interaction, and identity reinforcement. In this study, U&amp;G offers insight into the diverse psychological motivations that influence mobile money and FinTech engagement and repeat use by women traders. On the other hand, the TAM, developed by Davis (1989) and grounded in the Theory of Reasoned Action (TRA) by Fishbein and Ajzen (1975), focuses on cognitive evaluations of technology. Specifically, it posits that perceived usefulness (the belief that a technology enhances performance) and perceived ease of use (the belief that using it will be free of effort) are primary predictors of technology acceptance. By integrating TAM, the study accounts for the rational decision-making processes behind users’ initial and sustained adoption of mobile-based financial services.</w:t>
      </w:r>
    </w:p>
    <w:p w14:paraId="43063F11" w14:textId="77777777" w:rsidR="00E115F0" w:rsidRPr="0096374B" w:rsidRDefault="004329D2" w:rsidP="00FF00EF">
      <w:pPr>
        <w:spacing w:line="360" w:lineRule="auto"/>
        <w:jc w:val="both"/>
        <w:rPr>
          <w:rFonts w:ascii="Times New Roman" w:hAnsi="Times New Roman" w:cs="Times New Roman"/>
          <w:b/>
          <w:bCs/>
        </w:rPr>
      </w:pPr>
      <w:r w:rsidRPr="0096374B">
        <w:rPr>
          <w:rFonts w:ascii="Times New Roman" w:hAnsi="Times New Roman" w:cs="Times New Roman"/>
          <w:b/>
          <w:bCs/>
        </w:rPr>
        <w:t xml:space="preserve">2.2 </w:t>
      </w:r>
      <w:r w:rsidR="00E115F0" w:rsidRPr="0096374B">
        <w:rPr>
          <w:rFonts w:ascii="Times New Roman" w:hAnsi="Times New Roman" w:cs="Times New Roman"/>
          <w:b/>
          <w:bCs/>
        </w:rPr>
        <w:t>Consumer Spending Habit</w:t>
      </w:r>
    </w:p>
    <w:p w14:paraId="61AE450B" w14:textId="77777777" w:rsidR="00E115F0" w:rsidRPr="0096374B" w:rsidRDefault="00E115F0" w:rsidP="00FF00EF">
      <w:pPr>
        <w:spacing w:line="360" w:lineRule="auto"/>
        <w:jc w:val="both"/>
        <w:rPr>
          <w:rFonts w:ascii="Times New Roman" w:hAnsi="Times New Roman" w:cs="Times New Roman"/>
          <w:b/>
          <w:bCs/>
        </w:rPr>
      </w:pPr>
    </w:p>
    <w:p w14:paraId="759B96FA" w14:textId="77777777" w:rsidR="00E115F0" w:rsidRPr="0096374B" w:rsidRDefault="00E115F0" w:rsidP="00FF00EF">
      <w:pPr>
        <w:spacing w:line="360" w:lineRule="auto"/>
        <w:jc w:val="both"/>
        <w:rPr>
          <w:rFonts w:ascii="Times New Roman" w:hAnsi="Times New Roman" w:cs="Times New Roman"/>
        </w:rPr>
      </w:pPr>
      <w:r>
        <w:rPr>
          <w:rFonts w:ascii="Times New Roman" w:eastAsia="Times New Roman" w:hAnsi="Times New Roman"/>
        </w:rPr>
        <w:t>Consumer spending habit refers to the routine or behavioural patterns through which individuals allocate their financial resources towards consumption, savings, or investment. It is influenced by economic, psychological, and technological factors, particularly where access to financial services is mediated by mobile or digital platforms (Cobla &amp; Osei-Assibey, 2018). The proliferation of FinTech and mobile money technologies in developing economies has triggered a visible shift in these patterns. Evidence indicates that digital payments can lower transaction frictions and alter consumption behaviour (Agarwal et al., 2024). Mobile money use has also been associated with higher spending among users (Cobla &amp; Osei-Assibey, 2018), while digital financial services can reshape saving, borrowing, and remittance practices (Lyons et al., 2022; Guermond, 2022). Research in Uganda further demonstrates the importance of mobile money and digital financial services for access and adoption in emerging-market settings (Museba et al., 2021). Evidence from Nigeria likewise highlights the importance of digital and financial capability for women participating in informal-sector finance (Lui et al., 2025). Centellegher et al. (2018) additionally show that mobile money adoption and continued use are shaped by behavioural, social-network, and contextual factors in developing economies.</w:t>
      </w:r>
    </w:p>
    <w:p w14:paraId="6CFBE8CF" w14:textId="77777777" w:rsidR="0052628E" w:rsidRPr="0096374B" w:rsidRDefault="0052628E" w:rsidP="00FF00EF">
      <w:pPr>
        <w:spacing w:line="360" w:lineRule="auto"/>
        <w:jc w:val="both"/>
        <w:rPr>
          <w:rFonts w:ascii="Times New Roman" w:hAnsi="Times New Roman" w:cs="Times New Roman"/>
        </w:rPr>
      </w:pPr>
    </w:p>
    <w:p w14:paraId="171F2DEF" w14:textId="77777777" w:rsidR="00D956B3" w:rsidRPr="0096374B" w:rsidRDefault="004329D2" w:rsidP="00FF00EF">
      <w:pPr>
        <w:spacing w:line="360" w:lineRule="auto"/>
        <w:jc w:val="both"/>
        <w:rPr>
          <w:rFonts w:ascii="Times New Roman" w:hAnsi="Times New Roman" w:cs="Times New Roman"/>
          <w:b/>
          <w:bCs/>
        </w:rPr>
      </w:pPr>
      <w:r w:rsidRPr="0096374B">
        <w:rPr>
          <w:rFonts w:ascii="Times New Roman" w:hAnsi="Times New Roman" w:cs="Times New Roman"/>
          <w:b/>
          <w:bCs/>
        </w:rPr>
        <w:lastRenderedPageBreak/>
        <w:t xml:space="preserve">2.3 </w:t>
      </w:r>
      <w:r w:rsidR="00D956B3" w:rsidRPr="0096374B">
        <w:rPr>
          <w:rFonts w:ascii="Times New Roman" w:hAnsi="Times New Roman" w:cs="Times New Roman"/>
          <w:b/>
          <w:bCs/>
        </w:rPr>
        <w:t xml:space="preserve">Perceived Convenience </w:t>
      </w:r>
      <w:r w:rsidR="00327E2D" w:rsidRPr="0096374B">
        <w:rPr>
          <w:rFonts w:ascii="Times New Roman" w:hAnsi="Times New Roman" w:cs="Times New Roman"/>
          <w:b/>
          <w:bCs/>
        </w:rPr>
        <w:t>and Consumer Spending Habit</w:t>
      </w:r>
    </w:p>
    <w:p w14:paraId="2231F07C" w14:textId="77777777" w:rsidR="0052628E" w:rsidRPr="0096374B" w:rsidRDefault="0052628E" w:rsidP="00FF00EF">
      <w:pPr>
        <w:spacing w:line="360" w:lineRule="auto"/>
        <w:jc w:val="both"/>
        <w:rPr>
          <w:rFonts w:ascii="Times New Roman" w:hAnsi="Times New Roman" w:cs="Times New Roman"/>
          <w:b/>
          <w:bCs/>
        </w:rPr>
      </w:pPr>
    </w:p>
    <w:p w14:paraId="70E38389" w14:textId="77777777" w:rsidR="0054662C" w:rsidRPr="0096374B" w:rsidRDefault="0054662C" w:rsidP="00FF00EF">
      <w:pPr>
        <w:spacing w:line="360" w:lineRule="auto"/>
        <w:jc w:val="both"/>
        <w:rPr>
          <w:rFonts w:ascii="Times New Roman" w:hAnsi="Times New Roman" w:cs="Times New Roman"/>
        </w:rPr>
      </w:pPr>
      <w:r>
        <w:rPr>
          <w:rFonts w:ascii="Times New Roman" w:eastAsia="Times New Roman" w:hAnsi="Times New Roman"/>
        </w:rPr>
        <w:t>Perceived convenience is broadly understood as the user’s evaluation of how seamless, accessible, and efficient a service or technology is in facilitating routine activities (Zhang &amp; Kim, 2020). It includes features such as real-time access, intuitive interfaces, and integrated services that reduce barriers to completing transactions (Zhang &amp; Kim, 2020). Convenience and utility have been identified as important factors in FinTech and mobile-banking adoption (Slazus &amp; Bick, 2022; Kang, 2018). Enhanced user experience can further strengthen satisfaction with digital payment services (Alwi et al., 2019). In e-commerce and payment settings, perceived convenience and usefulness are associated with purchase intention, online shopping behaviour, and customer satisfaction (Isanawikrama et al., 2023; Yo et al., 2021). Verhagen and van Dolen (2011) similarly show that functional convenience and enjoyment can influence online impulse buying through consumers’ emotions. Taken together, this evidence indicates that frictionless digital environments can encourage purchasing and continued platform use (Verhagen &amp; van Dolen, 2011; Isanawikrama et al., 2023; Yo et al., 2021).</w:t>
      </w:r>
    </w:p>
    <w:p w14:paraId="633A0B57" w14:textId="77777777" w:rsidR="00D2604F" w:rsidRPr="0096374B" w:rsidRDefault="00D2604F" w:rsidP="00FF00EF">
      <w:pPr>
        <w:spacing w:line="360" w:lineRule="auto"/>
        <w:jc w:val="both"/>
        <w:rPr>
          <w:rFonts w:ascii="Times New Roman" w:hAnsi="Times New Roman" w:cs="Times New Roman"/>
          <w:b/>
          <w:bCs/>
        </w:rPr>
      </w:pPr>
    </w:p>
    <w:p w14:paraId="44D1EA16" w14:textId="77777777" w:rsidR="00D2604F" w:rsidRPr="0096374B" w:rsidRDefault="00413BFA" w:rsidP="00FF00EF">
      <w:pPr>
        <w:spacing w:line="360" w:lineRule="auto"/>
        <w:jc w:val="both"/>
        <w:rPr>
          <w:rFonts w:ascii="Times New Roman" w:hAnsi="Times New Roman" w:cs="Times New Roman"/>
          <w:b/>
          <w:bCs/>
        </w:rPr>
      </w:pPr>
      <w:r w:rsidRPr="0096374B">
        <w:rPr>
          <w:rFonts w:ascii="Times New Roman" w:hAnsi="Times New Roman" w:cs="Times New Roman"/>
          <w:b/>
          <w:bCs/>
        </w:rPr>
        <w:t xml:space="preserve">2.4 </w:t>
      </w:r>
      <w:r w:rsidR="00D2604F" w:rsidRPr="0096374B">
        <w:rPr>
          <w:rFonts w:ascii="Times New Roman" w:hAnsi="Times New Roman" w:cs="Times New Roman"/>
          <w:b/>
          <w:bCs/>
        </w:rPr>
        <w:t>Perceived Security</w:t>
      </w:r>
      <w:r w:rsidR="006974C1" w:rsidRPr="0096374B">
        <w:rPr>
          <w:rFonts w:ascii="Times New Roman" w:hAnsi="Times New Roman" w:cs="Times New Roman"/>
          <w:b/>
          <w:bCs/>
        </w:rPr>
        <w:t xml:space="preserve"> and Consumer Spending Habit</w:t>
      </w:r>
    </w:p>
    <w:p w14:paraId="440E33E5" w14:textId="77777777" w:rsidR="00A50BB4" w:rsidRPr="0096374B" w:rsidRDefault="00A50BB4" w:rsidP="00FF00EF">
      <w:pPr>
        <w:spacing w:line="360" w:lineRule="auto"/>
        <w:jc w:val="both"/>
        <w:rPr>
          <w:rFonts w:ascii="Times New Roman" w:hAnsi="Times New Roman" w:cs="Times New Roman"/>
          <w:b/>
          <w:bCs/>
        </w:rPr>
      </w:pPr>
    </w:p>
    <w:p w14:paraId="6FE9B33A" w14:textId="77777777" w:rsidR="00A50BB4" w:rsidRPr="0096374B" w:rsidRDefault="00A50BB4" w:rsidP="00FF00EF">
      <w:pPr>
        <w:spacing w:line="360" w:lineRule="auto"/>
        <w:jc w:val="both"/>
        <w:rPr>
          <w:rFonts w:ascii="Times New Roman" w:hAnsi="Times New Roman" w:cs="Times New Roman"/>
        </w:rPr>
      </w:pPr>
      <w:r>
        <w:rPr>
          <w:rFonts w:ascii="Times New Roman" w:eastAsia="Times New Roman" w:hAnsi="Times New Roman"/>
        </w:rPr>
        <w:t>Perceived security refers to the degree to which consumers believe that using a digital financial platform is safe, reliable, and protected against fraud or misuse (Ismail et al., 2018). It includes technical safeguards such as authentication and privacy controls, as well as institutional protections. Research indicates that stronger security perceptions can increase trust and willingness to adopt digital financial services (Ismail et al., 2018; Almaiah et al., 2023). Benefit–risk perceptions are likewise important in FinTech adoption (Abdul-Rahim et al., 2022). Studies also show that data security and trust are central to sustained FinTech use (Nayak et al., 2021; Almaiah et al., 2023). Among micro-enterprises, perceived risk and trust are important determinants of FinTech payment adoption (Purwantini &amp; Anisa, 2021).</w:t>
      </w:r>
    </w:p>
    <w:p w14:paraId="738DAC82" w14:textId="77777777" w:rsidR="00D2604F" w:rsidRPr="0096374B" w:rsidRDefault="00413BFA" w:rsidP="00FF00EF">
      <w:pPr>
        <w:spacing w:line="360" w:lineRule="auto"/>
        <w:jc w:val="both"/>
        <w:rPr>
          <w:rFonts w:ascii="Times New Roman" w:hAnsi="Times New Roman" w:cs="Times New Roman"/>
          <w:b/>
          <w:bCs/>
        </w:rPr>
      </w:pPr>
      <w:r w:rsidRPr="0096374B">
        <w:rPr>
          <w:rFonts w:ascii="Times New Roman" w:hAnsi="Times New Roman" w:cs="Times New Roman"/>
          <w:b/>
          <w:bCs/>
        </w:rPr>
        <w:t xml:space="preserve">2.5 </w:t>
      </w:r>
      <w:r w:rsidR="00D2604F" w:rsidRPr="0096374B">
        <w:rPr>
          <w:rFonts w:ascii="Times New Roman" w:hAnsi="Times New Roman" w:cs="Times New Roman"/>
          <w:b/>
          <w:bCs/>
        </w:rPr>
        <w:t>Perceived Usefulness</w:t>
      </w:r>
      <w:r w:rsidR="009C164A" w:rsidRPr="0096374B">
        <w:rPr>
          <w:rFonts w:ascii="Times New Roman" w:hAnsi="Times New Roman" w:cs="Times New Roman"/>
          <w:b/>
          <w:bCs/>
        </w:rPr>
        <w:t xml:space="preserve"> and Consumer Spending Habit</w:t>
      </w:r>
    </w:p>
    <w:p w14:paraId="1D1FDB8F" w14:textId="77777777" w:rsidR="00751F08" w:rsidRPr="0096374B" w:rsidRDefault="009C164A" w:rsidP="00FF00EF">
      <w:pPr>
        <w:spacing w:line="360" w:lineRule="auto"/>
        <w:jc w:val="both"/>
        <w:rPr>
          <w:rFonts w:ascii="Times New Roman" w:hAnsi="Times New Roman" w:cs="Times New Roman"/>
        </w:rPr>
      </w:pPr>
      <w:r>
        <w:rPr>
          <w:rFonts w:ascii="Times New Roman" w:eastAsia="Times New Roman" w:hAnsi="Times New Roman"/>
        </w:rPr>
        <w:lastRenderedPageBreak/>
        <w:t>Perceived usefulness (PE) is defined as the degree to which an individual believes that using a particular system or technology will enhance task performance or efficiency (Davis, 1989). It reflects a user’s judgement that a platform offers practical value, whether by simplifying transactions, improving financial control, or saving time and effort in daily activities. Perceived usefulness is widely acknowledged as a core driver of technology adoption (Venkatesh &amp; Davis, 2000). In mobile FinTech, financial-service characteristics such as convenience, security, and usefulness can influence customer satisfaction and use intention (Zhang &amp; Kim, 2020). Research on payment gateways and micro-enterprise FinTech adoption similarly identifies perceived usefulness as an important determinant of purchase intention or adoption (Isanawikrama et al., 2023; Purwantini &amp; Anisa, 2021). In branchless mobile banking, utility also emerges as an enabling factor for FinTech adoption (Slazus &amp; Bick, 2022).</w:t>
      </w:r>
    </w:p>
    <w:p w14:paraId="6A36B8D1" w14:textId="77777777" w:rsidR="009C164A" w:rsidRPr="0096374B" w:rsidRDefault="009C164A" w:rsidP="00FF00EF">
      <w:pPr>
        <w:spacing w:line="360" w:lineRule="auto"/>
        <w:jc w:val="both"/>
        <w:rPr>
          <w:rFonts w:ascii="Times New Roman" w:hAnsi="Times New Roman" w:cs="Times New Roman"/>
          <w:b/>
          <w:bCs/>
        </w:rPr>
      </w:pPr>
    </w:p>
    <w:p w14:paraId="505D08C9" w14:textId="77777777" w:rsidR="0078084A" w:rsidRPr="0096374B" w:rsidRDefault="0078084A" w:rsidP="00FF00EF">
      <w:pPr>
        <w:spacing w:line="360" w:lineRule="auto"/>
        <w:jc w:val="both"/>
        <w:rPr>
          <w:rFonts w:ascii="Times New Roman" w:hAnsi="Times New Roman" w:cs="Times New Roman"/>
          <w:b/>
          <w:bCs/>
        </w:rPr>
      </w:pPr>
      <w:r w:rsidRPr="0096374B">
        <w:rPr>
          <w:rFonts w:ascii="Times New Roman" w:hAnsi="Times New Roman" w:cs="Times New Roman"/>
          <w:b/>
          <w:bCs/>
        </w:rPr>
        <w:t>3. Methodology</w:t>
      </w:r>
    </w:p>
    <w:p w14:paraId="1C26DF36" w14:textId="77777777" w:rsidR="0078084A" w:rsidRPr="0096374B" w:rsidRDefault="0078084A" w:rsidP="00FF00EF">
      <w:pPr>
        <w:spacing w:line="360" w:lineRule="auto"/>
        <w:jc w:val="both"/>
        <w:rPr>
          <w:rFonts w:ascii="Times New Roman" w:hAnsi="Times New Roman" w:cs="Times New Roman"/>
          <w:b/>
          <w:bCs/>
        </w:rPr>
      </w:pPr>
      <w:r w:rsidRPr="0096374B">
        <w:rPr>
          <w:rFonts w:ascii="Times New Roman" w:hAnsi="Times New Roman" w:cs="Times New Roman"/>
          <w:b/>
          <w:bCs/>
        </w:rPr>
        <w:t>3.1 Study Design</w:t>
      </w:r>
    </w:p>
    <w:p w14:paraId="1A4DEC71" w14:textId="77777777" w:rsidR="0078084A" w:rsidRPr="0096374B" w:rsidRDefault="0078084A" w:rsidP="00FF00EF">
      <w:pPr>
        <w:spacing w:line="360" w:lineRule="auto"/>
        <w:jc w:val="both"/>
        <w:rPr>
          <w:rFonts w:ascii="Times New Roman" w:hAnsi="Times New Roman" w:cs="Times New Roman"/>
        </w:rPr>
      </w:pPr>
      <w:r w:rsidRPr="0096374B">
        <w:rPr>
          <w:rFonts w:ascii="Times New Roman" w:hAnsi="Times New Roman" w:cs="Times New Roman"/>
        </w:rPr>
        <w:t>This study adopted a positivist research philosophy, which emphasises objective measurement and hypothesis testing based on observable phenomena. A cross-sectional design was employed, allowing data to be collected at a single point in time from multiple respondents. The research followed a deductive approach, beginning with theory-driven hypotheses derived from the Technology Acceptance Model (TAM) and related frameworks. The study focused on semi-literate women traders operating in three prominent open-air markets in Obio Akpor Local Government Area (LGA), Rivers State, Nigeria: Mile One Market, Mile Three Market, and Oil Mill Market. These markets were purposively selected due to their high density of female traders and the increased adoption of FinTech and mobile money services in these economic hubs. To ensure the relevance of the data, screening criteria were applied: only women with prior or ongoing experience using mobile money or FinTech platforms were included. An initial eligibility question was administered to confirm usage experience before participants were given the full questionnaire. This formed part of a purposive sampling strategy, enabling the selection of respondents who met the predefined inclusion criteria based on the study’s objectives.</w:t>
      </w:r>
    </w:p>
    <w:p w14:paraId="3A746C04" w14:textId="77777777" w:rsidR="0078084A" w:rsidRPr="0096374B" w:rsidRDefault="0078084A" w:rsidP="00FF00EF">
      <w:pPr>
        <w:spacing w:line="360" w:lineRule="auto"/>
        <w:jc w:val="both"/>
        <w:rPr>
          <w:rFonts w:ascii="Times New Roman" w:hAnsi="Times New Roman" w:cs="Times New Roman"/>
          <w:b/>
          <w:bCs/>
        </w:rPr>
      </w:pPr>
      <w:r w:rsidRPr="0096374B">
        <w:rPr>
          <w:rFonts w:ascii="Times New Roman" w:hAnsi="Times New Roman" w:cs="Times New Roman"/>
          <w:b/>
          <w:bCs/>
        </w:rPr>
        <w:t>3.2 Sampling Procedures</w:t>
      </w:r>
    </w:p>
    <w:p w14:paraId="1F609B70" w14:textId="77777777" w:rsidR="0078084A" w:rsidRPr="0096374B" w:rsidRDefault="0078084A" w:rsidP="00FF00EF">
      <w:pPr>
        <w:spacing w:line="360" w:lineRule="auto"/>
        <w:jc w:val="both"/>
        <w:rPr>
          <w:rFonts w:ascii="Times New Roman" w:hAnsi="Times New Roman" w:cs="Times New Roman"/>
        </w:rPr>
      </w:pPr>
      <w:r w:rsidRPr="0096374B">
        <w:rPr>
          <w:rFonts w:ascii="Times New Roman" w:hAnsi="Times New Roman" w:cs="Times New Roman"/>
        </w:rPr>
        <w:lastRenderedPageBreak/>
        <w:t xml:space="preserve">As part of this quantitative research, a self-administered structured questionnaire was distributed to a total of 300 women traders (100 from each market) identified through purposive sampling. Each questionnaire was enclosed in a sealed envelope and accompanied by a pencil to encourage formal, independent responses. Each participant was briefed on the study’s purpose, and only those who expressed interest and were willing to commit 10–15 minutes to complete the instrument were engaged. To reduce bias and non-response error, the researchers directly distributed and retrieved the questionnaires on-site, ensuring confidentiality and anonymity. Out of the 300 questionnaires distributed, 294 valid responses were retrieved and used for analysis. This sample size aligns with the recommendations of Hair et al. (2014), who suggest that a minimum of 100–200 observations </w:t>
      </w:r>
      <w:proofErr w:type="gramStart"/>
      <w:r w:rsidRPr="0096374B">
        <w:rPr>
          <w:rFonts w:ascii="Times New Roman" w:hAnsi="Times New Roman" w:cs="Times New Roman"/>
        </w:rPr>
        <w:t>is</w:t>
      </w:r>
      <w:proofErr w:type="gramEnd"/>
      <w:r w:rsidRPr="0096374B">
        <w:rPr>
          <w:rFonts w:ascii="Times New Roman" w:hAnsi="Times New Roman" w:cs="Times New Roman"/>
        </w:rPr>
        <w:t xml:space="preserve"> appropriate for structural equation modelling, especially when latent constructs are involved.</w:t>
      </w:r>
    </w:p>
    <w:p w14:paraId="5837E430" w14:textId="77777777" w:rsidR="00586789" w:rsidRPr="0096374B" w:rsidRDefault="00586789" w:rsidP="00FF00EF">
      <w:pPr>
        <w:spacing w:line="360" w:lineRule="auto"/>
        <w:jc w:val="both"/>
        <w:rPr>
          <w:rFonts w:ascii="Times New Roman" w:hAnsi="Times New Roman" w:cs="Times New Roman"/>
          <w:b/>
          <w:bCs/>
        </w:rPr>
      </w:pPr>
      <w:r w:rsidRPr="0096374B">
        <w:rPr>
          <w:rFonts w:ascii="Times New Roman" w:hAnsi="Times New Roman" w:cs="Times New Roman"/>
          <w:b/>
          <w:bCs/>
        </w:rPr>
        <w:t>3.3 Validity and Reliability</w:t>
      </w:r>
    </w:p>
    <w:p w14:paraId="7339F0BB" w14:textId="77777777" w:rsidR="008717D1" w:rsidRPr="0096374B" w:rsidRDefault="008717D1" w:rsidP="00FF00EF">
      <w:pPr>
        <w:spacing w:line="360" w:lineRule="auto"/>
        <w:jc w:val="both"/>
        <w:rPr>
          <w:rFonts w:ascii="Times New Roman" w:hAnsi="Times New Roman" w:cs="Times New Roman"/>
        </w:rPr>
      </w:pPr>
      <w:r w:rsidRPr="0096374B">
        <w:rPr>
          <w:rFonts w:ascii="Times New Roman" w:hAnsi="Times New Roman" w:cs="Times New Roman"/>
        </w:rPr>
        <w:t>The analysis followed a two-stage process. First, the measurement model was assessed to evaluate construct reliability and validity. Internal consistency reliability was confirmed through Cronbach’s Alpha and Composite Reliability (CR) values, both of which exceeded the recommended threshold of 0.70 for all constructs. Convergent validity was verified using Average Variance Extracted (AVE), with all constructs achieving AVE values above 0.50, indicating adequate variance captured by each latent variable. Discriminant validity was established using both the Fornell–Larcker criterion and Heterotrait–Monotrait Ratio (HTMT); all values met the required standards, indicating that each construct was empirically distinct from the others.</w:t>
      </w:r>
    </w:p>
    <w:p w14:paraId="10D53A56" w14:textId="77777777" w:rsidR="00586789" w:rsidRPr="0096374B" w:rsidRDefault="00586789" w:rsidP="00FF00EF">
      <w:pPr>
        <w:spacing w:line="360" w:lineRule="auto"/>
        <w:jc w:val="both"/>
        <w:rPr>
          <w:rFonts w:ascii="Times New Roman" w:hAnsi="Times New Roman" w:cs="Times New Roman"/>
          <w:b/>
          <w:bCs/>
        </w:rPr>
      </w:pPr>
      <w:r w:rsidRPr="0096374B">
        <w:rPr>
          <w:rFonts w:ascii="Times New Roman" w:hAnsi="Times New Roman" w:cs="Times New Roman"/>
          <w:b/>
          <w:bCs/>
        </w:rPr>
        <w:t>4. Data Analysis</w:t>
      </w:r>
    </w:p>
    <w:p w14:paraId="5F2BA738" w14:textId="77777777" w:rsidR="00586789" w:rsidRPr="0096374B" w:rsidRDefault="00586789" w:rsidP="00FF00EF">
      <w:pPr>
        <w:spacing w:line="360" w:lineRule="auto"/>
        <w:jc w:val="both"/>
        <w:rPr>
          <w:rFonts w:ascii="Times New Roman" w:hAnsi="Times New Roman" w:cs="Times New Roman"/>
          <w:b/>
          <w:bCs/>
        </w:rPr>
      </w:pPr>
      <w:r w:rsidRPr="0096374B">
        <w:rPr>
          <w:rFonts w:ascii="Times New Roman" w:hAnsi="Times New Roman" w:cs="Times New Roman"/>
          <w:b/>
          <w:bCs/>
        </w:rPr>
        <w:t>4.1 Partial Least Squares Structural Equation Modeling (PLS-SEM)</w:t>
      </w:r>
    </w:p>
    <w:p w14:paraId="28BAEF1B" w14:textId="77777777" w:rsidR="00473C5C" w:rsidRPr="0096374B" w:rsidRDefault="00586789" w:rsidP="00FF00EF">
      <w:pPr>
        <w:spacing w:line="360" w:lineRule="auto"/>
        <w:jc w:val="both"/>
        <w:rPr>
          <w:rFonts w:ascii="Times New Roman" w:hAnsi="Times New Roman" w:cs="Times New Roman"/>
          <w:b/>
          <w:bCs/>
        </w:rPr>
      </w:pPr>
      <w:r w:rsidRPr="0096374B">
        <w:rPr>
          <w:rFonts w:ascii="Times New Roman" w:hAnsi="Times New Roman" w:cs="Times New Roman"/>
        </w:rPr>
        <w:t>The data were analysed using Partial Least Squares Structural Equation Modelling (PLS-SEM), executed via SmartPLS 4.0. PLS-SEM was selected due to its suitability for exploratory models and its robustness in handling complex relationships with relatively small sample sizes.</w:t>
      </w:r>
    </w:p>
    <w:p w14:paraId="26739788" w14:textId="77777777" w:rsidR="00473C5C" w:rsidRPr="0096374B" w:rsidRDefault="007A3543" w:rsidP="00FF00EF">
      <w:pPr>
        <w:spacing w:line="360" w:lineRule="auto"/>
        <w:jc w:val="both"/>
        <w:rPr>
          <w:rFonts w:ascii="Times New Roman" w:hAnsi="Times New Roman" w:cs="Times New Roman"/>
          <w:b/>
          <w:bCs/>
        </w:rPr>
      </w:pPr>
      <w:r w:rsidRPr="0096374B">
        <w:rPr>
          <w:rFonts w:ascii="Times New Roman" w:hAnsi="Times New Roman" w:cs="Times New Roman"/>
          <w:b/>
          <w:bCs/>
        </w:rPr>
        <w:t>Fig 1-</w:t>
      </w:r>
      <w:r w:rsidR="00753D84" w:rsidRPr="0096374B">
        <w:rPr>
          <w:rFonts w:ascii="Times New Roman" w:hAnsi="Times New Roman" w:cs="Times New Roman"/>
          <w:b/>
          <w:bCs/>
        </w:rPr>
        <w:t xml:space="preserve"> PLS-SEM structural model showing the relationships among perceived convenience, perceived security, perceived usefulness, and consumer spending habits</w:t>
      </w:r>
    </w:p>
    <w:p w14:paraId="3B890324" w14:textId="77777777" w:rsidR="00753D84" w:rsidRPr="0096374B" w:rsidRDefault="00753D84" w:rsidP="00FF00EF">
      <w:pPr>
        <w:spacing w:line="360" w:lineRule="auto"/>
        <w:jc w:val="both"/>
        <w:rPr>
          <w:rFonts w:ascii="Times New Roman" w:hAnsi="Times New Roman" w:cs="Times New Roman"/>
          <w:b/>
          <w:bCs/>
        </w:rPr>
      </w:pPr>
    </w:p>
    <w:p w14:paraId="124A418A" w14:textId="77777777" w:rsidR="00753D84" w:rsidRPr="0096374B" w:rsidRDefault="00753D84" w:rsidP="00FF00EF">
      <w:pPr>
        <w:spacing w:line="360" w:lineRule="auto"/>
        <w:jc w:val="both"/>
        <w:rPr>
          <w:rFonts w:ascii="Times New Roman" w:hAnsi="Times New Roman" w:cs="Times New Roman"/>
          <w:b/>
          <w:bCs/>
        </w:rPr>
      </w:pPr>
    </w:p>
    <w:p w14:paraId="45C10D38" w14:textId="77777777" w:rsidR="00473C5C" w:rsidRPr="0096374B" w:rsidRDefault="002C7A50" w:rsidP="00FF00EF">
      <w:pPr>
        <w:spacing w:line="360" w:lineRule="auto"/>
        <w:rPr>
          <w:rFonts w:ascii="Times New Roman" w:hAnsi="Times New Roman" w:cs="Times New Roman"/>
          <w:b/>
          <w:bCs/>
        </w:rPr>
      </w:pPr>
      <w:r w:rsidRPr="0096374B">
        <w:rPr>
          <w:rFonts w:ascii="Times New Roman" w:hAnsi="Times New Roman" w:cs="Times New Roman"/>
          <w:b/>
          <w:bCs/>
          <w:noProof/>
        </w:rPr>
        <w:lastRenderedPageBreak/>
        <w:drawing>
          <wp:inline distT="0" distB="0" distL="0" distR="0" wp14:anchorId="3BF2FC86" wp14:editId="1DE0283C">
            <wp:extent cx="6171938" cy="4046855"/>
            <wp:effectExtent l="0" t="0" r="635" b="0"/>
            <wp:docPr id="7" name="Picture 7" descr="C:\Users\BARBS\Downloads\SEM_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S\Downloads\SEM_Model.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7972"/>
                    <a:stretch/>
                  </pic:blipFill>
                  <pic:spPr bwMode="auto">
                    <a:xfrm>
                      <a:off x="0" y="0"/>
                      <a:ext cx="6172200" cy="4047027"/>
                    </a:xfrm>
                    <a:prstGeom prst="rect">
                      <a:avLst/>
                    </a:prstGeom>
                    <a:noFill/>
                    <a:ln>
                      <a:noFill/>
                    </a:ln>
                    <a:extLst>
                      <a:ext uri="{53640926-AAD7-44D8-BBD7-CCE9431645EC}">
                        <a14:shadowObscured xmlns:a14="http://schemas.microsoft.com/office/drawing/2010/main"/>
                      </a:ext>
                    </a:extLst>
                  </pic:spPr>
                </pic:pic>
              </a:graphicData>
            </a:graphic>
          </wp:inline>
        </w:drawing>
      </w:r>
    </w:p>
    <w:p w14:paraId="1A24FF21" w14:textId="77777777" w:rsidR="001B462A" w:rsidRPr="0096374B" w:rsidRDefault="00AE15BA" w:rsidP="00FF00EF">
      <w:pPr>
        <w:spacing w:line="360" w:lineRule="auto"/>
        <w:jc w:val="both"/>
        <w:rPr>
          <w:rFonts w:ascii="Times New Roman" w:hAnsi="Times New Roman" w:cs="Times New Roman"/>
        </w:rPr>
      </w:pPr>
      <w:r w:rsidRPr="0096374B">
        <w:rPr>
          <w:rFonts w:ascii="Times New Roman" w:hAnsi="Times New Roman" w:cs="Times New Roman"/>
        </w:rPr>
        <w:t xml:space="preserve">The results show that Perceived Convenience has the strongest positive relationship with Consumer Spending Habits, with a coefficient of 0.561. This means that when consumers perceive a service, product, or payment system as convenient, their spending habits are more likely to be influenced positively. In practical terms, convenience appears to be the most important factor affecting how consumers spend. Perceived Usefulness also has a positive relationship with Consumer Spending Habits, with a coefficient of 0.409. This indicates that consumers are more likely to spend when they believe the system or service is useful to them. The relationship is moderate, meaning usefulness matters, but it is not as strong as convenience. Perceived Security has a very weak positive relationship with Consumer Spending Habits, with a coefficient of 0.046. This suggests that security does not strongly influence consumer spending habits in this model. Although security is generally important, the result shows that it contributes very little to changes in consumer spending behaviour in the present analysis. Therefore, the strongest predictor of Consumer Spending Habits is Perceived Convenience, followed by Perceived Usefulness, while Perceived Security has the weakest influence. The correlation between Perceived Convenience and Perceived Usefulness is 0.362, showing a moderate positive relationship. This means that consumers who perceive a system as convenient may also tend to see it </w:t>
      </w:r>
      <w:r w:rsidRPr="0096374B">
        <w:rPr>
          <w:rFonts w:ascii="Times New Roman" w:hAnsi="Times New Roman" w:cs="Times New Roman"/>
        </w:rPr>
        <w:lastRenderedPageBreak/>
        <w:t>as useful. The relationship between Perceived Convenience and Perceived Security is negative and very weak, with a value of -0.045. This means there is almost no meaningful relationship between convenience and security in the model. The relationship between Perceived Security and Perceived Usefulness is also almost zero, with a value of -0.005. This indicates that perceived security and perceived usefulness are practically unrelated in this result.</w:t>
      </w:r>
    </w:p>
    <w:p w14:paraId="185C4A0A" w14:textId="77777777" w:rsidR="000F7E84" w:rsidRPr="0096374B" w:rsidRDefault="000F7E84" w:rsidP="00FF00EF">
      <w:pPr>
        <w:shd w:val="clear" w:color="auto" w:fill="FFFFFF"/>
        <w:spacing w:before="375" w:after="150" w:line="360" w:lineRule="auto"/>
        <w:outlineLvl w:val="2"/>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Discriminant Validity</w:t>
      </w:r>
    </w:p>
    <w:p w14:paraId="27912C30" w14:textId="77777777" w:rsidR="000F7E84" w:rsidRPr="0096374B" w:rsidRDefault="000F7E84" w:rsidP="00FF00EF">
      <w:pPr>
        <w:pBdr>
          <w:bottom w:val="single" w:sz="6" w:space="0" w:color="DDDDDD"/>
        </w:pBdr>
        <w:shd w:val="clear" w:color="auto" w:fill="FFFFFF"/>
        <w:spacing w:before="100" w:beforeAutospacing="1" w:after="0" w:line="360" w:lineRule="auto"/>
        <w:rPr>
          <w:rFonts w:ascii="Times New Roman" w:eastAsia="Times New Roman" w:hAnsi="Times New Roman" w:cs="Times New Roman"/>
          <w:kern w:val="0"/>
          <w14:ligatures w14:val="none"/>
        </w:rPr>
      </w:pPr>
      <w:hyperlink r:id="rId8" w:anchor="matrix_QUALITY_0_3_0" w:history="1">
        <w:r w:rsidRPr="0096374B">
          <w:rPr>
            <w:rFonts w:ascii="Times New Roman" w:eastAsia="Times New Roman" w:hAnsi="Times New Roman" w:cs="Times New Roman"/>
            <w:kern w:val="0"/>
            <w:u w:val="single"/>
            <w:bdr w:val="single" w:sz="6" w:space="8" w:color="auto" w:frame="1"/>
            <w:shd w:val="clear" w:color="auto" w:fill="FFFFFF"/>
            <w14:ligatures w14:val="none"/>
          </w:rPr>
          <w:t>Fornell-Larcker Criterion</w:t>
        </w:r>
      </w:hyperlink>
    </w:p>
    <w:tbl>
      <w:tblPr>
        <w:tblStyle w:val="TableGrid"/>
        <w:tblW w:w="10072" w:type="dxa"/>
        <w:tblLook w:val="04A0" w:firstRow="1" w:lastRow="0" w:firstColumn="1" w:lastColumn="0" w:noHBand="0" w:noVBand="1"/>
      </w:tblPr>
      <w:tblGrid>
        <w:gridCol w:w="3246"/>
        <w:gridCol w:w="1606"/>
        <w:gridCol w:w="2003"/>
        <w:gridCol w:w="1256"/>
        <w:gridCol w:w="2250"/>
      </w:tblGrid>
      <w:tr w:rsidR="00EE665C" w:rsidRPr="0096374B" w14:paraId="46A8078D" w14:textId="77777777" w:rsidTr="000F7E84">
        <w:tc>
          <w:tcPr>
            <w:tcW w:w="3246" w:type="dxa"/>
            <w:noWrap/>
            <w:hideMark/>
          </w:tcPr>
          <w:p w14:paraId="0758FD04" w14:textId="77777777" w:rsidR="000F7E84" w:rsidRPr="0096374B" w:rsidRDefault="000F7E84" w:rsidP="00FF00EF">
            <w:pPr>
              <w:numPr>
                <w:ilvl w:val="0"/>
                <w:numId w:val="4"/>
              </w:numPr>
              <w:pBdr>
                <w:bottom w:val="single" w:sz="6" w:space="0" w:color="DDDDDD"/>
              </w:pBdr>
              <w:shd w:val="clear" w:color="auto" w:fill="FFFFFF"/>
              <w:spacing w:before="100" w:beforeAutospacing="1" w:line="360" w:lineRule="auto"/>
              <w:rPr>
                <w:rFonts w:ascii="Times New Roman" w:eastAsia="Times New Roman" w:hAnsi="Times New Roman" w:cs="Times New Roman"/>
                <w:kern w:val="0"/>
                <w14:ligatures w14:val="none"/>
              </w:rPr>
            </w:pPr>
          </w:p>
        </w:tc>
        <w:tc>
          <w:tcPr>
            <w:tcW w:w="1606" w:type="dxa"/>
            <w:noWrap/>
            <w:hideMark/>
          </w:tcPr>
          <w:p w14:paraId="7BEF322E" w14:textId="77777777" w:rsidR="000F7E84" w:rsidRPr="0096374B" w:rsidRDefault="000F7E84" w:rsidP="00FF00EF">
            <w:pPr>
              <w:spacing w:after="300" w:line="360" w:lineRule="auto"/>
              <w:jc w:val="right"/>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Consumer Spending Habits (CSH)</w:t>
            </w:r>
          </w:p>
        </w:tc>
        <w:tc>
          <w:tcPr>
            <w:tcW w:w="1714" w:type="dxa"/>
            <w:noWrap/>
            <w:hideMark/>
          </w:tcPr>
          <w:p w14:paraId="2265039A" w14:textId="77777777" w:rsidR="000F7E84" w:rsidRPr="0096374B" w:rsidRDefault="000F7E84" w:rsidP="00FF00EF">
            <w:pPr>
              <w:spacing w:after="300" w:line="360" w:lineRule="auto"/>
              <w:jc w:val="right"/>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 xml:space="preserve">Perceived </w:t>
            </w:r>
            <w:proofErr w:type="gramStart"/>
            <w:r w:rsidRPr="0096374B">
              <w:rPr>
                <w:rFonts w:ascii="Times New Roman" w:eastAsia="Times New Roman" w:hAnsi="Times New Roman" w:cs="Times New Roman"/>
                <w:b/>
                <w:bCs/>
                <w:kern w:val="0"/>
                <w14:ligatures w14:val="none"/>
              </w:rPr>
              <w:t>Convenience(</w:t>
            </w:r>
            <w:proofErr w:type="gramEnd"/>
            <w:r w:rsidRPr="0096374B">
              <w:rPr>
                <w:rFonts w:ascii="Times New Roman" w:eastAsia="Times New Roman" w:hAnsi="Times New Roman" w:cs="Times New Roman"/>
                <w:b/>
                <w:bCs/>
                <w:kern w:val="0"/>
                <w14:ligatures w14:val="none"/>
              </w:rPr>
              <w:t>PC)</w:t>
            </w:r>
          </w:p>
        </w:tc>
        <w:tc>
          <w:tcPr>
            <w:tcW w:w="1256" w:type="dxa"/>
            <w:noWrap/>
            <w:hideMark/>
          </w:tcPr>
          <w:p w14:paraId="1847EC36" w14:textId="77777777" w:rsidR="000F7E84" w:rsidRPr="0096374B" w:rsidRDefault="000F7E84" w:rsidP="00FF00EF">
            <w:pPr>
              <w:spacing w:after="300" w:line="360" w:lineRule="auto"/>
              <w:jc w:val="right"/>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Perceived Security (PS)</w:t>
            </w:r>
          </w:p>
        </w:tc>
        <w:tc>
          <w:tcPr>
            <w:tcW w:w="2250" w:type="dxa"/>
            <w:noWrap/>
            <w:hideMark/>
          </w:tcPr>
          <w:p w14:paraId="1A3D8F1D" w14:textId="77777777" w:rsidR="000F7E84" w:rsidRPr="0096374B" w:rsidRDefault="000F7E84" w:rsidP="00FF00EF">
            <w:pPr>
              <w:spacing w:after="300" w:line="360" w:lineRule="auto"/>
              <w:jc w:val="right"/>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 xml:space="preserve">Perceived </w:t>
            </w:r>
            <w:proofErr w:type="gramStart"/>
            <w:r w:rsidRPr="0096374B">
              <w:rPr>
                <w:rFonts w:ascii="Times New Roman" w:eastAsia="Times New Roman" w:hAnsi="Times New Roman" w:cs="Times New Roman"/>
                <w:b/>
                <w:bCs/>
                <w:kern w:val="0"/>
                <w14:ligatures w14:val="none"/>
              </w:rPr>
              <w:t>Usefulness(</w:t>
            </w:r>
            <w:proofErr w:type="gramEnd"/>
            <w:r w:rsidRPr="0096374B">
              <w:rPr>
                <w:rFonts w:ascii="Times New Roman" w:eastAsia="Times New Roman" w:hAnsi="Times New Roman" w:cs="Times New Roman"/>
                <w:b/>
                <w:bCs/>
                <w:kern w:val="0"/>
                <w14:ligatures w14:val="none"/>
              </w:rPr>
              <w:t>PU)</w:t>
            </w:r>
          </w:p>
        </w:tc>
      </w:tr>
      <w:tr w:rsidR="00EE665C" w:rsidRPr="0096374B" w14:paraId="4139F126" w14:textId="77777777" w:rsidTr="000F7E84">
        <w:tc>
          <w:tcPr>
            <w:tcW w:w="3246" w:type="dxa"/>
            <w:noWrap/>
            <w:hideMark/>
          </w:tcPr>
          <w:p w14:paraId="37369905" w14:textId="77777777" w:rsidR="000F7E84" w:rsidRPr="0096374B" w:rsidRDefault="000F7E84" w:rsidP="00FF00EF">
            <w:pPr>
              <w:spacing w:after="300" w:line="360" w:lineRule="auto"/>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Consumer Spending Habits (CSH)</w:t>
            </w:r>
          </w:p>
        </w:tc>
        <w:tc>
          <w:tcPr>
            <w:tcW w:w="1606" w:type="dxa"/>
            <w:hideMark/>
          </w:tcPr>
          <w:p w14:paraId="449924C4"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0.671</w:t>
            </w:r>
          </w:p>
        </w:tc>
        <w:tc>
          <w:tcPr>
            <w:tcW w:w="1714" w:type="dxa"/>
            <w:hideMark/>
          </w:tcPr>
          <w:p w14:paraId="422445C6"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w:t>
            </w:r>
          </w:p>
        </w:tc>
        <w:tc>
          <w:tcPr>
            <w:tcW w:w="1256" w:type="dxa"/>
            <w:hideMark/>
          </w:tcPr>
          <w:p w14:paraId="04959D37"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w:t>
            </w:r>
          </w:p>
        </w:tc>
        <w:tc>
          <w:tcPr>
            <w:tcW w:w="2250" w:type="dxa"/>
            <w:hideMark/>
          </w:tcPr>
          <w:p w14:paraId="7ABD0A1D"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w:t>
            </w:r>
          </w:p>
        </w:tc>
      </w:tr>
      <w:tr w:rsidR="00EE665C" w:rsidRPr="0096374B" w14:paraId="32B3ADBB" w14:textId="77777777" w:rsidTr="000F7E84">
        <w:tc>
          <w:tcPr>
            <w:tcW w:w="3246" w:type="dxa"/>
            <w:noWrap/>
            <w:hideMark/>
          </w:tcPr>
          <w:p w14:paraId="66E506F5" w14:textId="77777777" w:rsidR="000F7E84" w:rsidRPr="0096374B" w:rsidRDefault="000F7E84" w:rsidP="00FF00EF">
            <w:pPr>
              <w:spacing w:after="300" w:line="360" w:lineRule="auto"/>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 xml:space="preserve">Perceived </w:t>
            </w:r>
            <w:proofErr w:type="gramStart"/>
            <w:r w:rsidRPr="0096374B">
              <w:rPr>
                <w:rFonts w:ascii="Times New Roman" w:eastAsia="Times New Roman" w:hAnsi="Times New Roman" w:cs="Times New Roman"/>
                <w:b/>
                <w:bCs/>
                <w:kern w:val="0"/>
                <w14:ligatures w14:val="none"/>
              </w:rPr>
              <w:t>Convenience(</w:t>
            </w:r>
            <w:proofErr w:type="gramEnd"/>
            <w:r w:rsidRPr="0096374B">
              <w:rPr>
                <w:rFonts w:ascii="Times New Roman" w:eastAsia="Times New Roman" w:hAnsi="Times New Roman" w:cs="Times New Roman"/>
                <w:b/>
                <w:bCs/>
                <w:kern w:val="0"/>
                <w14:ligatures w14:val="none"/>
              </w:rPr>
              <w:t>PC)</w:t>
            </w:r>
          </w:p>
        </w:tc>
        <w:tc>
          <w:tcPr>
            <w:tcW w:w="1606" w:type="dxa"/>
            <w:hideMark/>
          </w:tcPr>
          <w:p w14:paraId="7B48E221"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0.561</w:t>
            </w:r>
          </w:p>
        </w:tc>
        <w:tc>
          <w:tcPr>
            <w:tcW w:w="1714" w:type="dxa"/>
            <w:hideMark/>
          </w:tcPr>
          <w:p w14:paraId="3618193B"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0.705</w:t>
            </w:r>
          </w:p>
        </w:tc>
        <w:tc>
          <w:tcPr>
            <w:tcW w:w="1256" w:type="dxa"/>
            <w:hideMark/>
          </w:tcPr>
          <w:p w14:paraId="558CAF0B"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w:t>
            </w:r>
          </w:p>
        </w:tc>
        <w:tc>
          <w:tcPr>
            <w:tcW w:w="2250" w:type="dxa"/>
            <w:hideMark/>
          </w:tcPr>
          <w:p w14:paraId="11242532"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w:t>
            </w:r>
          </w:p>
        </w:tc>
      </w:tr>
      <w:tr w:rsidR="00EE665C" w:rsidRPr="0096374B" w14:paraId="6AB6411E" w14:textId="77777777" w:rsidTr="000F7E84">
        <w:tc>
          <w:tcPr>
            <w:tcW w:w="3246" w:type="dxa"/>
            <w:noWrap/>
            <w:hideMark/>
          </w:tcPr>
          <w:p w14:paraId="321CAC1C" w14:textId="77777777" w:rsidR="000F7E84" w:rsidRPr="0096374B" w:rsidRDefault="000F7E84" w:rsidP="00FF00EF">
            <w:pPr>
              <w:spacing w:after="300" w:line="360" w:lineRule="auto"/>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Perceived Security (PS)</w:t>
            </w:r>
          </w:p>
        </w:tc>
        <w:tc>
          <w:tcPr>
            <w:tcW w:w="1606" w:type="dxa"/>
            <w:hideMark/>
          </w:tcPr>
          <w:p w14:paraId="11038B76"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0.046</w:t>
            </w:r>
          </w:p>
        </w:tc>
        <w:tc>
          <w:tcPr>
            <w:tcW w:w="1714" w:type="dxa"/>
            <w:hideMark/>
          </w:tcPr>
          <w:p w14:paraId="5009E6D0"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-0.045</w:t>
            </w:r>
          </w:p>
        </w:tc>
        <w:tc>
          <w:tcPr>
            <w:tcW w:w="1256" w:type="dxa"/>
            <w:hideMark/>
          </w:tcPr>
          <w:p w14:paraId="26E89534"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0.581</w:t>
            </w:r>
          </w:p>
        </w:tc>
        <w:tc>
          <w:tcPr>
            <w:tcW w:w="2250" w:type="dxa"/>
            <w:hideMark/>
          </w:tcPr>
          <w:p w14:paraId="43B0A4FC"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w:t>
            </w:r>
          </w:p>
        </w:tc>
      </w:tr>
      <w:tr w:rsidR="000F7E84" w:rsidRPr="0096374B" w14:paraId="267F3B8E" w14:textId="77777777" w:rsidTr="000F7E84">
        <w:tc>
          <w:tcPr>
            <w:tcW w:w="3246" w:type="dxa"/>
            <w:noWrap/>
            <w:hideMark/>
          </w:tcPr>
          <w:p w14:paraId="6CED197A" w14:textId="77777777" w:rsidR="000F7E84" w:rsidRPr="0096374B" w:rsidRDefault="000F7E84" w:rsidP="00FF00EF">
            <w:pPr>
              <w:spacing w:after="300" w:line="360" w:lineRule="auto"/>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 xml:space="preserve">Perceived </w:t>
            </w:r>
            <w:proofErr w:type="gramStart"/>
            <w:r w:rsidRPr="0096374B">
              <w:rPr>
                <w:rFonts w:ascii="Times New Roman" w:eastAsia="Times New Roman" w:hAnsi="Times New Roman" w:cs="Times New Roman"/>
                <w:b/>
                <w:bCs/>
                <w:kern w:val="0"/>
                <w14:ligatures w14:val="none"/>
              </w:rPr>
              <w:t>Usefulness(</w:t>
            </w:r>
            <w:proofErr w:type="gramEnd"/>
            <w:r w:rsidRPr="0096374B">
              <w:rPr>
                <w:rFonts w:ascii="Times New Roman" w:eastAsia="Times New Roman" w:hAnsi="Times New Roman" w:cs="Times New Roman"/>
                <w:b/>
                <w:bCs/>
                <w:kern w:val="0"/>
                <w14:ligatures w14:val="none"/>
              </w:rPr>
              <w:t>PU)</w:t>
            </w:r>
          </w:p>
        </w:tc>
        <w:tc>
          <w:tcPr>
            <w:tcW w:w="1606" w:type="dxa"/>
            <w:hideMark/>
          </w:tcPr>
          <w:p w14:paraId="5EF747A4"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0.409</w:t>
            </w:r>
          </w:p>
        </w:tc>
        <w:tc>
          <w:tcPr>
            <w:tcW w:w="1714" w:type="dxa"/>
            <w:hideMark/>
          </w:tcPr>
          <w:p w14:paraId="4F845530"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0.362</w:t>
            </w:r>
          </w:p>
        </w:tc>
        <w:tc>
          <w:tcPr>
            <w:tcW w:w="1256" w:type="dxa"/>
            <w:hideMark/>
          </w:tcPr>
          <w:p w14:paraId="22C500E2"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-0.005</w:t>
            </w:r>
          </w:p>
        </w:tc>
        <w:tc>
          <w:tcPr>
            <w:tcW w:w="2250" w:type="dxa"/>
            <w:hideMark/>
          </w:tcPr>
          <w:p w14:paraId="7ABFADE6" w14:textId="77777777" w:rsidR="000F7E84" w:rsidRPr="0096374B" w:rsidRDefault="000F7E84" w:rsidP="00FF00EF">
            <w:pPr>
              <w:spacing w:after="300" w:line="360" w:lineRule="auto"/>
              <w:jc w:val="right"/>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0.651</w:t>
            </w:r>
          </w:p>
        </w:tc>
      </w:tr>
    </w:tbl>
    <w:p w14:paraId="7A1C78BF" w14:textId="77777777" w:rsidR="00FD24BF" w:rsidRPr="0096374B" w:rsidRDefault="00AA2D6E" w:rsidP="00FF00EF">
      <w:pPr>
        <w:tabs>
          <w:tab w:val="left" w:pos="1250"/>
        </w:tabs>
        <w:spacing w:line="360" w:lineRule="auto"/>
        <w:jc w:val="both"/>
        <w:rPr>
          <w:rFonts w:ascii="Times New Roman" w:hAnsi="Times New Roman" w:cs="Times New Roman"/>
          <w:b/>
          <w:bCs/>
        </w:rPr>
      </w:pPr>
      <w:r w:rsidRPr="0096374B">
        <w:rPr>
          <w:rFonts w:ascii="Times New Roman" w:hAnsi="Times New Roman" w:cs="Times New Roman"/>
          <w:b/>
          <w:bCs/>
        </w:rPr>
        <w:t>Table 1-</w:t>
      </w:r>
      <w:r w:rsidR="00753D84" w:rsidRPr="0096374B">
        <w:rPr>
          <w:rFonts w:ascii="Times New Roman" w:hAnsi="Times New Roman" w:cs="Times New Roman"/>
          <w:b/>
          <w:bCs/>
        </w:rPr>
        <w:tab/>
        <w:t xml:space="preserve"> Fornell–Larcker criterion for discriminant validity of the study constructs</w:t>
      </w:r>
    </w:p>
    <w:p w14:paraId="31512023" w14:textId="77777777" w:rsidR="00FD24BF" w:rsidRPr="0096374B" w:rsidRDefault="00386684" w:rsidP="00FF00EF">
      <w:pPr>
        <w:spacing w:line="360" w:lineRule="auto"/>
        <w:jc w:val="both"/>
        <w:rPr>
          <w:rFonts w:ascii="Times New Roman" w:hAnsi="Times New Roman" w:cs="Times New Roman"/>
          <w:b/>
          <w:bCs/>
        </w:rPr>
      </w:pPr>
      <w:r w:rsidRPr="0096374B">
        <w:rPr>
          <w:rFonts w:ascii="Times New Roman" w:hAnsi="Times New Roman" w:cs="Times New Roman"/>
        </w:rPr>
        <w:t xml:space="preserve">The provided table assesses discriminant validity using the Fornell-Larcker criterion. Discriminant validity is successfully established, as the square root of the Average Variance Extracted for each construct, located on the diagonal, is greater than its correlations with any other construct. These diagonal values are 0.671 for Consumer Spending Habits, 0.705 for Perceived Convenience, 0.581 for Perceived Security, and 0.651 for Perceived Usefulness. Examining the relationships between the constructs, Perceived Convenience exhibits the strongest positive correlation with Consumer Spending Habits at 0.561. Perceived Usefulness demonstrates moderate positive correlations with both </w:t>
      </w:r>
      <w:r w:rsidRPr="0096374B">
        <w:rPr>
          <w:rFonts w:ascii="Times New Roman" w:hAnsi="Times New Roman" w:cs="Times New Roman"/>
        </w:rPr>
        <w:lastRenderedPageBreak/>
        <w:t>Consumer Spending Habits at 0.409 and Perceived Convenience at 0.362. Conversely, Perceived Security shows negligible relationships with the other variables, presenting a weak positive correlation of 0.046 with Consumer Spending Habits, a correlation of -0.045 with Perceived Convenience, and a near-zero correlation of -0.005 with Perceived Usefulness.</w:t>
      </w:r>
    </w:p>
    <w:p w14:paraId="104AB629" w14:textId="77777777" w:rsidR="00FD24BF" w:rsidRPr="0096374B" w:rsidRDefault="000F7E84" w:rsidP="00FF00EF">
      <w:pPr>
        <w:spacing w:line="360" w:lineRule="auto"/>
        <w:jc w:val="both"/>
        <w:rPr>
          <w:rFonts w:ascii="Times New Roman" w:hAnsi="Times New Roman" w:cs="Times New Roman"/>
          <w:b/>
          <w:bCs/>
        </w:rPr>
      </w:pPr>
      <w:r w:rsidRPr="0096374B">
        <w:rPr>
          <w:rFonts w:ascii="Times New Roman" w:hAnsi="Times New Roman" w:cs="Times New Roman"/>
          <w:noProof/>
        </w:rPr>
        <w:drawing>
          <wp:inline distT="0" distB="0" distL="0" distR="0" wp14:anchorId="2F3B247D" wp14:editId="1A7D3EB8">
            <wp:extent cx="6203950" cy="2857500"/>
            <wp:effectExtent l="0" t="0" r="6350" b="0"/>
            <wp:docPr id="6" name="Picture 1" descr="C:\Users\pc\OneDrive\Documents\iha2.html-files\graph_QUALITY_graph_QUALITY_0_3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OneDrive\Documents\iha2.html-files\graph_QUALITY_graph_QUALITY_0_3_0_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2857500"/>
                    </a:xfrm>
                    <a:prstGeom prst="rect">
                      <a:avLst/>
                    </a:prstGeom>
                    <a:noFill/>
                    <a:ln>
                      <a:noFill/>
                    </a:ln>
                  </pic:spPr>
                </pic:pic>
              </a:graphicData>
            </a:graphic>
          </wp:inline>
        </w:drawing>
      </w:r>
    </w:p>
    <w:p w14:paraId="1D3AF566" w14:textId="77777777" w:rsidR="0090167D" w:rsidRPr="0096374B" w:rsidRDefault="0090167D" w:rsidP="00FF00EF">
      <w:pPr>
        <w:spacing w:line="360" w:lineRule="auto"/>
        <w:jc w:val="both"/>
        <w:rPr>
          <w:rFonts w:ascii="Times New Roman" w:hAnsi="Times New Roman" w:cs="Times New Roman"/>
        </w:rPr>
      </w:pPr>
      <w:r w:rsidRPr="0096374B">
        <w:rPr>
          <w:rFonts w:ascii="Times New Roman" w:hAnsi="Times New Roman" w:cs="Times New Roman"/>
        </w:rPr>
        <w:t>Fig 2-</w:t>
      </w:r>
      <w:r w:rsidR="00753D84" w:rsidRPr="0096374B">
        <w:t xml:space="preserve"> </w:t>
      </w:r>
      <w:proofErr w:type="spellStart"/>
      <w:r w:rsidR="00753D84" w:rsidRPr="0096374B">
        <w:rPr>
          <w:rFonts w:ascii="Times New Roman" w:hAnsi="Times New Roman" w:cs="Times New Roman"/>
        </w:rPr>
        <w:t>Heterotrait</w:t>
      </w:r>
      <w:proofErr w:type="spellEnd"/>
      <w:r w:rsidR="00753D84" w:rsidRPr="0096374B">
        <w:rPr>
          <w:rFonts w:ascii="Times New Roman" w:hAnsi="Times New Roman" w:cs="Times New Roman"/>
        </w:rPr>
        <w:t>–</w:t>
      </w:r>
      <w:proofErr w:type="spellStart"/>
      <w:r w:rsidR="00753D84" w:rsidRPr="0096374B">
        <w:rPr>
          <w:rFonts w:ascii="Times New Roman" w:hAnsi="Times New Roman" w:cs="Times New Roman"/>
        </w:rPr>
        <w:t>Monotrait</w:t>
      </w:r>
      <w:proofErr w:type="spellEnd"/>
      <w:r w:rsidR="00753D84" w:rsidRPr="0096374B">
        <w:rPr>
          <w:rFonts w:ascii="Times New Roman" w:hAnsi="Times New Roman" w:cs="Times New Roman"/>
        </w:rPr>
        <w:t xml:space="preserve"> Ratio (HTMT) values for assessing discriminant validity among the study constructs</w:t>
      </w:r>
    </w:p>
    <w:p w14:paraId="79E50DDD" w14:textId="77777777" w:rsidR="00FD24BF" w:rsidRPr="0096374B" w:rsidRDefault="00386684" w:rsidP="00FF00EF">
      <w:pPr>
        <w:spacing w:line="360" w:lineRule="auto"/>
        <w:jc w:val="both"/>
        <w:rPr>
          <w:rFonts w:ascii="Times New Roman" w:hAnsi="Times New Roman" w:cs="Times New Roman"/>
          <w:b/>
          <w:bCs/>
        </w:rPr>
      </w:pPr>
      <w:r w:rsidRPr="0096374B">
        <w:rPr>
          <w:rFonts w:ascii="Times New Roman" w:hAnsi="Times New Roman" w:cs="Times New Roman"/>
        </w:rPr>
        <w:t>Figure 2 presents a bar chart illustrating the Heterotrait-Monotrait Ratio (HTMT), which is an advanced metric used to assess discriminant validity among the study’s constructs. The vertical axis measures the HTMT ratio on a scale from 0 to 0.7, while the horizontal axis displays the relationships between pairs of variables, specifically involving Perceived Convenience, Perceived Security, and Perceived Usefulness. The chart displays six bars with varying heights; the highest observed HTMT value is approximately 0.68, while the lowest is approximately 0.11. Because all recorded HTMT ratios fall substantially below the conservative threshold of 0.85, discriminant validity is robustly established for the model. This finding further confirms that each construct is empirically distinct and independently measures a unique concept without problematic overlap.</w:t>
      </w:r>
    </w:p>
    <w:p w14:paraId="6351BFE2" w14:textId="77777777" w:rsidR="000F7E84" w:rsidRPr="0096374B" w:rsidRDefault="008402A5" w:rsidP="00FF00EF">
      <w:pPr>
        <w:shd w:val="clear" w:color="auto" w:fill="FFFFFF"/>
        <w:spacing w:before="375" w:after="150" w:line="360" w:lineRule="auto"/>
        <w:outlineLvl w:val="2"/>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xml:space="preserve">Table 2- </w:t>
      </w:r>
      <w:r w:rsidR="000F7E84" w:rsidRPr="0096374B">
        <w:rPr>
          <w:rFonts w:ascii="Times New Roman" w:eastAsia="Times New Roman" w:hAnsi="Times New Roman" w:cs="Times New Roman"/>
          <w:kern w:val="0"/>
          <w14:ligatures w14:val="none"/>
        </w:rPr>
        <w:t>Construct Reliability and Validity</w:t>
      </w:r>
    </w:p>
    <w:tbl>
      <w:tblPr>
        <w:tblStyle w:val="TableGrid"/>
        <w:tblW w:w="10305" w:type="dxa"/>
        <w:tblLook w:val="04A0" w:firstRow="1" w:lastRow="0" w:firstColumn="1" w:lastColumn="0" w:noHBand="0" w:noVBand="1"/>
      </w:tblPr>
      <w:tblGrid>
        <w:gridCol w:w="3612"/>
        <w:gridCol w:w="1513"/>
        <w:gridCol w:w="840"/>
        <w:gridCol w:w="1630"/>
        <w:gridCol w:w="2710"/>
      </w:tblGrid>
      <w:tr w:rsidR="00EE665C" w:rsidRPr="0096374B" w14:paraId="0881EC34" w14:textId="77777777" w:rsidTr="00020878">
        <w:tc>
          <w:tcPr>
            <w:tcW w:w="3612" w:type="dxa"/>
            <w:noWrap/>
            <w:hideMark/>
          </w:tcPr>
          <w:p w14:paraId="523B30D2" w14:textId="77777777" w:rsidR="00020878" w:rsidRPr="0096374B" w:rsidRDefault="00020878" w:rsidP="00FF00EF">
            <w:pPr>
              <w:spacing w:line="360" w:lineRule="auto"/>
              <w:rPr>
                <w:rFonts w:ascii="Times New Roman" w:eastAsia="Times New Roman" w:hAnsi="Times New Roman" w:cs="Times New Roman"/>
                <w:b/>
                <w:bCs/>
                <w:kern w:val="0"/>
                <w14:ligatures w14:val="none"/>
              </w:rPr>
            </w:pPr>
          </w:p>
        </w:tc>
        <w:tc>
          <w:tcPr>
            <w:tcW w:w="2353" w:type="dxa"/>
            <w:gridSpan w:val="2"/>
            <w:noWrap/>
            <w:hideMark/>
          </w:tcPr>
          <w:p w14:paraId="43CCBB76" w14:textId="77777777" w:rsidR="00020878" w:rsidRPr="0096374B" w:rsidRDefault="00020878" w:rsidP="00FF00EF">
            <w:pPr>
              <w:spacing w:after="300" w:line="360" w:lineRule="auto"/>
              <w:jc w:val="right"/>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Cronbach's Alpha</w:t>
            </w:r>
          </w:p>
        </w:tc>
        <w:tc>
          <w:tcPr>
            <w:tcW w:w="1630" w:type="dxa"/>
            <w:noWrap/>
            <w:hideMark/>
          </w:tcPr>
          <w:p w14:paraId="2040692C" w14:textId="77777777" w:rsidR="00020878" w:rsidRPr="0096374B" w:rsidRDefault="00020878" w:rsidP="00FF00EF">
            <w:pPr>
              <w:spacing w:after="300" w:line="360" w:lineRule="auto"/>
              <w:jc w:val="right"/>
              <w:rPr>
                <w:rFonts w:ascii="Times New Roman" w:eastAsia="Times New Roman" w:hAnsi="Times New Roman" w:cs="Times New Roman"/>
                <w:b/>
                <w:bCs/>
                <w:kern w:val="0"/>
                <w14:ligatures w14:val="none"/>
              </w:rPr>
            </w:pPr>
            <w:proofErr w:type="spellStart"/>
            <w:r w:rsidRPr="0096374B">
              <w:rPr>
                <w:rFonts w:ascii="Times New Roman" w:eastAsia="Times New Roman" w:hAnsi="Times New Roman" w:cs="Times New Roman"/>
                <w:b/>
                <w:bCs/>
                <w:kern w:val="0"/>
                <w14:ligatures w14:val="none"/>
              </w:rPr>
              <w:t>rho_A</w:t>
            </w:r>
            <w:proofErr w:type="spellEnd"/>
          </w:p>
        </w:tc>
        <w:tc>
          <w:tcPr>
            <w:tcW w:w="2710" w:type="dxa"/>
            <w:noWrap/>
            <w:hideMark/>
          </w:tcPr>
          <w:p w14:paraId="620F8583" w14:textId="77777777" w:rsidR="00020878" w:rsidRPr="0096374B" w:rsidRDefault="00020878" w:rsidP="00FF00EF">
            <w:pPr>
              <w:spacing w:after="300" w:line="360" w:lineRule="auto"/>
              <w:jc w:val="right"/>
              <w:rPr>
                <w:rFonts w:ascii="Times New Roman" w:eastAsia="Times New Roman" w:hAnsi="Times New Roman" w:cs="Times New Roman"/>
                <w:b/>
                <w:bCs/>
                <w:kern w:val="0"/>
                <w14:ligatures w14:val="none"/>
              </w:rPr>
            </w:pPr>
            <w:r w:rsidRPr="0096374B">
              <w:rPr>
                <w:rFonts w:ascii="Times New Roman" w:eastAsia="Times New Roman" w:hAnsi="Times New Roman" w:cs="Times New Roman"/>
                <w:b/>
                <w:bCs/>
                <w:kern w:val="0"/>
                <w14:ligatures w14:val="none"/>
              </w:rPr>
              <w:t>Composite Reliability</w:t>
            </w:r>
          </w:p>
        </w:tc>
      </w:tr>
      <w:tr w:rsidR="00EE665C" w:rsidRPr="0096374B" w14:paraId="3169F0AE" w14:textId="77777777" w:rsidTr="00020878">
        <w:tc>
          <w:tcPr>
            <w:tcW w:w="3612" w:type="dxa"/>
            <w:noWrap/>
            <w:hideMark/>
          </w:tcPr>
          <w:p w14:paraId="7B4F32CC" w14:textId="77777777" w:rsidR="00020878" w:rsidRPr="0096374B" w:rsidRDefault="00020878" w:rsidP="00FF00EF">
            <w:pPr>
              <w:spacing w:after="300" w:line="360" w:lineRule="auto"/>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Consumer Spending Habits (CSH)</w:t>
            </w:r>
          </w:p>
        </w:tc>
        <w:tc>
          <w:tcPr>
            <w:tcW w:w="1513" w:type="dxa"/>
            <w:hideMark/>
          </w:tcPr>
          <w:p w14:paraId="285CA6E2"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0.725</w:t>
            </w:r>
          </w:p>
        </w:tc>
        <w:tc>
          <w:tcPr>
            <w:tcW w:w="840" w:type="dxa"/>
            <w:hideMark/>
          </w:tcPr>
          <w:p w14:paraId="057AFFCD"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0.868</w:t>
            </w:r>
          </w:p>
        </w:tc>
        <w:tc>
          <w:tcPr>
            <w:tcW w:w="0" w:type="auto"/>
            <w:hideMark/>
          </w:tcPr>
          <w:p w14:paraId="5AB40AD3"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0.813</w:t>
            </w:r>
          </w:p>
        </w:tc>
        <w:tc>
          <w:tcPr>
            <w:tcW w:w="0" w:type="auto"/>
            <w:hideMark/>
          </w:tcPr>
          <w:p w14:paraId="48103910"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0.751</w:t>
            </w:r>
          </w:p>
        </w:tc>
      </w:tr>
      <w:tr w:rsidR="00EE665C" w:rsidRPr="0096374B" w14:paraId="496AD45E" w14:textId="77777777" w:rsidTr="00020878">
        <w:tc>
          <w:tcPr>
            <w:tcW w:w="3612" w:type="dxa"/>
            <w:noWrap/>
            <w:hideMark/>
          </w:tcPr>
          <w:p w14:paraId="48432332" w14:textId="77777777" w:rsidR="00020878" w:rsidRPr="0096374B" w:rsidRDefault="00020878" w:rsidP="00FF00EF">
            <w:pPr>
              <w:spacing w:after="300" w:line="360" w:lineRule="auto"/>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 xml:space="preserve">Perceived </w:t>
            </w:r>
            <w:proofErr w:type="gramStart"/>
            <w:r w:rsidRPr="0096374B">
              <w:rPr>
                <w:rFonts w:ascii="Times New Roman" w:eastAsia="Times New Roman" w:hAnsi="Times New Roman" w:cs="Times New Roman"/>
                <w:bCs/>
                <w:kern w:val="0"/>
                <w14:ligatures w14:val="none"/>
              </w:rPr>
              <w:t>Convenience(</w:t>
            </w:r>
            <w:proofErr w:type="gramEnd"/>
            <w:r w:rsidRPr="0096374B">
              <w:rPr>
                <w:rFonts w:ascii="Times New Roman" w:eastAsia="Times New Roman" w:hAnsi="Times New Roman" w:cs="Times New Roman"/>
                <w:bCs/>
                <w:kern w:val="0"/>
                <w14:ligatures w14:val="none"/>
              </w:rPr>
              <w:t>PC)</w:t>
            </w:r>
          </w:p>
        </w:tc>
        <w:tc>
          <w:tcPr>
            <w:tcW w:w="1513" w:type="dxa"/>
            <w:hideMark/>
          </w:tcPr>
          <w:p w14:paraId="52AA02CA"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0.888</w:t>
            </w:r>
          </w:p>
        </w:tc>
        <w:tc>
          <w:tcPr>
            <w:tcW w:w="840" w:type="dxa"/>
            <w:hideMark/>
          </w:tcPr>
          <w:p w14:paraId="5F39E01D"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0.818</w:t>
            </w:r>
          </w:p>
        </w:tc>
        <w:tc>
          <w:tcPr>
            <w:tcW w:w="0" w:type="auto"/>
            <w:hideMark/>
          </w:tcPr>
          <w:p w14:paraId="4A57A57B"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0.804</w:t>
            </w:r>
          </w:p>
        </w:tc>
        <w:tc>
          <w:tcPr>
            <w:tcW w:w="0" w:type="auto"/>
            <w:hideMark/>
          </w:tcPr>
          <w:p w14:paraId="1F743D92" w14:textId="77777777" w:rsidR="00020878" w:rsidRPr="0096374B" w:rsidRDefault="00020878"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0.797</w:t>
            </w:r>
          </w:p>
        </w:tc>
      </w:tr>
      <w:tr w:rsidR="00EE665C" w:rsidRPr="0096374B" w14:paraId="5A87B93F" w14:textId="77777777" w:rsidTr="00020878">
        <w:tc>
          <w:tcPr>
            <w:tcW w:w="3612" w:type="dxa"/>
            <w:noWrap/>
            <w:hideMark/>
          </w:tcPr>
          <w:p w14:paraId="2261FB2F" w14:textId="77777777" w:rsidR="000F7E84" w:rsidRPr="0096374B" w:rsidRDefault="000F7E84" w:rsidP="00FF00EF">
            <w:pPr>
              <w:spacing w:after="300" w:line="360" w:lineRule="auto"/>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Perceived Security (PS)</w:t>
            </w:r>
          </w:p>
        </w:tc>
        <w:tc>
          <w:tcPr>
            <w:tcW w:w="1513" w:type="dxa"/>
            <w:hideMark/>
          </w:tcPr>
          <w:p w14:paraId="23EDF62B"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0.891</w:t>
            </w:r>
          </w:p>
        </w:tc>
        <w:tc>
          <w:tcPr>
            <w:tcW w:w="840" w:type="dxa"/>
            <w:hideMark/>
          </w:tcPr>
          <w:p w14:paraId="7B099D05"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0.878</w:t>
            </w:r>
          </w:p>
        </w:tc>
        <w:tc>
          <w:tcPr>
            <w:tcW w:w="0" w:type="auto"/>
            <w:hideMark/>
          </w:tcPr>
          <w:p w14:paraId="3AD9BB02"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0.821</w:t>
            </w:r>
          </w:p>
        </w:tc>
        <w:tc>
          <w:tcPr>
            <w:tcW w:w="0" w:type="auto"/>
            <w:hideMark/>
          </w:tcPr>
          <w:p w14:paraId="4DE80EAC"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0.738</w:t>
            </w:r>
          </w:p>
        </w:tc>
      </w:tr>
      <w:tr w:rsidR="00EE665C" w:rsidRPr="0096374B" w14:paraId="647F8C5F" w14:textId="77777777" w:rsidTr="00020878">
        <w:tc>
          <w:tcPr>
            <w:tcW w:w="3612" w:type="dxa"/>
            <w:noWrap/>
            <w:hideMark/>
          </w:tcPr>
          <w:p w14:paraId="23DA7AC8" w14:textId="77777777" w:rsidR="000F7E84" w:rsidRPr="0096374B" w:rsidRDefault="000F7E84" w:rsidP="00FF00EF">
            <w:pPr>
              <w:spacing w:after="300" w:line="360" w:lineRule="auto"/>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 xml:space="preserve">Perceived </w:t>
            </w:r>
            <w:proofErr w:type="gramStart"/>
            <w:r w:rsidRPr="0096374B">
              <w:rPr>
                <w:rFonts w:ascii="Times New Roman" w:eastAsia="Times New Roman" w:hAnsi="Times New Roman" w:cs="Times New Roman"/>
                <w:bCs/>
                <w:kern w:val="0"/>
                <w14:ligatures w14:val="none"/>
              </w:rPr>
              <w:t>Usefulness(</w:t>
            </w:r>
            <w:proofErr w:type="gramEnd"/>
            <w:r w:rsidRPr="0096374B">
              <w:rPr>
                <w:rFonts w:ascii="Times New Roman" w:eastAsia="Times New Roman" w:hAnsi="Times New Roman" w:cs="Times New Roman"/>
                <w:bCs/>
                <w:kern w:val="0"/>
                <w14:ligatures w14:val="none"/>
              </w:rPr>
              <w:t>PU)</w:t>
            </w:r>
          </w:p>
        </w:tc>
        <w:tc>
          <w:tcPr>
            <w:tcW w:w="1513" w:type="dxa"/>
            <w:hideMark/>
          </w:tcPr>
          <w:p w14:paraId="0FA51CC8"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0.873</w:t>
            </w:r>
          </w:p>
        </w:tc>
        <w:tc>
          <w:tcPr>
            <w:tcW w:w="840" w:type="dxa"/>
            <w:hideMark/>
          </w:tcPr>
          <w:p w14:paraId="4C4DDB21"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0.885</w:t>
            </w:r>
          </w:p>
        </w:tc>
        <w:tc>
          <w:tcPr>
            <w:tcW w:w="0" w:type="auto"/>
            <w:hideMark/>
          </w:tcPr>
          <w:p w14:paraId="61DC5CD9"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0.719</w:t>
            </w:r>
          </w:p>
        </w:tc>
        <w:tc>
          <w:tcPr>
            <w:tcW w:w="0" w:type="auto"/>
            <w:hideMark/>
          </w:tcPr>
          <w:p w14:paraId="5DE2E532" w14:textId="77777777" w:rsidR="000F7E84" w:rsidRPr="0096374B" w:rsidRDefault="000F7E84" w:rsidP="00FF00EF">
            <w:pPr>
              <w:spacing w:after="300" w:line="360" w:lineRule="auto"/>
              <w:jc w:val="right"/>
              <w:rPr>
                <w:rFonts w:ascii="Times New Roman" w:eastAsia="Times New Roman" w:hAnsi="Times New Roman" w:cs="Times New Roman"/>
                <w:bCs/>
                <w:kern w:val="0"/>
                <w14:ligatures w14:val="none"/>
              </w:rPr>
            </w:pPr>
            <w:r w:rsidRPr="0096374B">
              <w:rPr>
                <w:rFonts w:ascii="Times New Roman" w:eastAsia="Times New Roman" w:hAnsi="Times New Roman" w:cs="Times New Roman"/>
                <w:bCs/>
                <w:kern w:val="0"/>
                <w14:ligatures w14:val="none"/>
              </w:rPr>
              <w:t>0.724</w:t>
            </w:r>
          </w:p>
        </w:tc>
      </w:tr>
    </w:tbl>
    <w:p w14:paraId="0C391738" w14:textId="77777777" w:rsidR="00617B31" w:rsidRPr="0096374B" w:rsidRDefault="00617B31" w:rsidP="00FF00EF">
      <w:pPr>
        <w:spacing w:before="100" w:beforeAutospacing="1" w:after="100" w:afterAutospacing="1" w:line="360" w:lineRule="auto"/>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xml:space="preserve">The provided table evaluates the internal consistency reliability and convergent validity of the measurement model using Cronbach's Alpha, rho_A, Composite Reliability, and Average Variance Extracted (AVE). All four constructs demonstrate robust internal consistency, as their Cronbach's Alpha, rho_A, and Composite Reliability values all exceed the commonly accepted threshold of 0.70. Specifically, Perceived Security shows the highest internal reliability based on Cronbach's Alpha (0.891), while Perceived Usefulness and Perceived Convenience also exhibit very strong reliability scores across all </w:t>
      </w:r>
      <w:proofErr w:type="gramStart"/>
      <w:r w:rsidRPr="0096374B">
        <w:rPr>
          <w:rFonts w:ascii="Times New Roman" w:eastAsia="Times New Roman" w:hAnsi="Times New Roman" w:cs="Times New Roman"/>
          <w:kern w:val="0"/>
          <w14:ligatures w14:val="none"/>
        </w:rPr>
        <w:t>three consistency</w:t>
      </w:r>
      <w:proofErr w:type="gramEnd"/>
      <w:r w:rsidRPr="0096374B">
        <w:rPr>
          <w:rFonts w:ascii="Times New Roman" w:eastAsia="Times New Roman" w:hAnsi="Times New Roman" w:cs="Times New Roman"/>
          <w:kern w:val="0"/>
          <w14:ligatures w14:val="none"/>
        </w:rPr>
        <w:t xml:space="preserve"> metrics. Even Consumer Spending Habits, which has the lowest Cronbach's Alpha (0.725), comfortably meets the requirement for a reliable scale. Furthermore, convergent validity is firmly established for every construct, as all Average Variance Extracted (AVE) values are well above the recommended 0.50 threshold. This indicates that each construct explains a significant majority of the variance in its underlying indicators. Perceived Convenience has the highest AVE at 0.797, meaning it accounts for nearly 80% of the variance of its survey items. Even the lowest AVE, Perceived Usefulness at 0.724, indicates that over 72% of the indicator variance is successfully captured by the construct.</w:t>
      </w:r>
    </w:p>
    <w:p w14:paraId="053C78BE" w14:textId="77777777" w:rsidR="00F93C81" w:rsidRPr="0096374B" w:rsidRDefault="00F93C81" w:rsidP="00FF00EF">
      <w:pPr>
        <w:spacing w:line="360" w:lineRule="auto"/>
        <w:rPr>
          <w:rFonts w:ascii="Times New Roman" w:hAnsi="Times New Roman" w:cs="Times New Roman"/>
          <w:b/>
          <w:bCs/>
        </w:rPr>
      </w:pPr>
      <w:r w:rsidRPr="0096374B">
        <w:rPr>
          <w:rFonts w:ascii="Times New Roman" w:hAnsi="Times New Roman" w:cs="Times New Roman"/>
          <w:b/>
          <w:bCs/>
        </w:rPr>
        <w:t xml:space="preserve">Discussion of Findings </w:t>
      </w:r>
    </w:p>
    <w:p w14:paraId="7BF0C9BE" w14:textId="77777777" w:rsidR="007E35D8" w:rsidRPr="0096374B" w:rsidRDefault="007E35D8" w:rsidP="00FF00EF">
      <w:pPr>
        <w:pStyle w:val="Heading3"/>
        <w:spacing w:line="360" w:lineRule="auto"/>
        <w:rPr>
          <w:rFonts w:ascii="Times New Roman" w:hAnsi="Times New Roman" w:cs="Times New Roman"/>
          <w:b/>
          <w:color w:val="auto"/>
          <w:sz w:val="24"/>
          <w:szCs w:val="24"/>
        </w:rPr>
      </w:pPr>
      <w:r w:rsidRPr="0096374B">
        <w:rPr>
          <w:rFonts w:ascii="Times New Roman" w:hAnsi="Times New Roman" w:cs="Times New Roman"/>
          <w:b/>
          <w:color w:val="auto"/>
          <w:sz w:val="24"/>
          <w:szCs w:val="24"/>
        </w:rPr>
        <w:t>Perceived Convenience and Consumer Spending Habit</w:t>
      </w:r>
    </w:p>
    <w:p w14:paraId="5F786B1E" w14:textId="77777777" w:rsidR="007E35D8" w:rsidRPr="0096374B" w:rsidRDefault="007E35D8" w:rsidP="00FF00EF">
      <w:pPr>
        <w:pStyle w:val="NormalWeb"/>
        <w:spacing w:line="360" w:lineRule="auto"/>
        <w:jc w:val="both"/>
      </w:pPr>
      <w:r>
        <w:rPr>
          <w:rFonts w:eastAsia="Times New Roman"/>
        </w:rPr>
        <w:t xml:space="preserve">This study found that Perceived Convenience has the strongest positive and most significant influence on Consumer Spending Habits among the variables tested. When users find mobile money and FinTech services easy and accessible to use, their frequency and volume of spending noticeably increase. This pattern is consistent with evidence that convenience and ease of use can affect online </w:t>
      </w:r>
      <w:r>
        <w:rPr>
          <w:rFonts w:eastAsia="Times New Roman"/>
        </w:rPr>
        <w:lastRenderedPageBreak/>
        <w:t>purchasing behaviour, purchase intention, and customer satisfaction (Verhagen &amp; van Dolen, 2011; Isanawikrama et al., 2023; Yo et al., 2021). It also aligns with evidence that mobile money use can influence spending behaviour (Cobla &amp; Osei-Assibey, 2018). Together, these studies support the interpretation that reducing friction in digital transactions can encourage greater engagement and purchasing activity.</w:t>
      </w:r>
    </w:p>
    <w:p w14:paraId="29B249B9" w14:textId="77777777" w:rsidR="007E35D8" w:rsidRPr="0096374B" w:rsidRDefault="007E35D8" w:rsidP="00FF00EF">
      <w:pPr>
        <w:pStyle w:val="Heading3"/>
        <w:spacing w:line="360" w:lineRule="auto"/>
        <w:rPr>
          <w:rFonts w:ascii="Times New Roman" w:hAnsi="Times New Roman" w:cs="Times New Roman"/>
          <w:b/>
          <w:color w:val="auto"/>
          <w:sz w:val="24"/>
          <w:szCs w:val="24"/>
        </w:rPr>
      </w:pPr>
      <w:r w:rsidRPr="0096374B">
        <w:rPr>
          <w:rFonts w:ascii="Times New Roman" w:hAnsi="Times New Roman" w:cs="Times New Roman"/>
          <w:b/>
          <w:color w:val="auto"/>
          <w:sz w:val="24"/>
          <w:szCs w:val="24"/>
        </w:rPr>
        <w:t>Perceived Security and Consumer Spending Habit</w:t>
      </w:r>
    </w:p>
    <w:p w14:paraId="37C3004B" w14:textId="77777777" w:rsidR="007E35D8" w:rsidRPr="0096374B" w:rsidRDefault="007E35D8" w:rsidP="00FF00EF">
      <w:pPr>
        <w:pStyle w:val="NormalWeb"/>
        <w:spacing w:line="360" w:lineRule="auto"/>
        <w:jc w:val="both"/>
      </w:pPr>
      <w:r>
        <w:rPr>
          <w:rFonts w:eastAsia="Times New Roman"/>
        </w:rPr>
        <w:t>This study found that Perceived Security has a positive, yet relatively weak, direct impact on Consumer Spending Habits compared to convenience and usefulness. While security remains a factor in the overall model, it appears to function more as a baseline requirement for usage rather than an active multiplier for spending volume. This interpretation is consistent with work identifying security as a fundamental design and trust requirement in mobile payments (Kang, 2018; Ismail et al., 2018). Research on mobile banking and FinTech adoption further shows that perceived security, perceived risk, and trust are important antecedents of willingness to use digital financial services (Abdul-Rahim et al., 2022; Almaiah et al., 2023). As noted by Nayak et al. (2021), data security and trust are closely linked in FinTech use, even when security does not directly explain spending volume.</w:t>
      </w:r>
    </w:p>
    <w:p w14:paraId="4EEF1F07" w14:textId="77777777" w:rsidR="007E35D8" w:rsidRPr="0096374B" w:rsidRDefault="007E35D8" w:rsidP="00FF00EF">
      <w:pPr>
        <w:pStyle w:val="Heading3"/>
        <w:spacing w:line="360" w:lineRule="auto"/>
        <w:rPr>
          <w:rFonts w:ascii="Times New Roman" w:hAnsi="Times New Roman" w:cs="Times New Roman"/>
          <w:b/>
          <w:color w:val="auto"/>
          <w:sz w:val="24"/>
          <w:szCs w:val="24"/>
        </w:rPr>
      </w:pPr>
      <w:r w:rsidRPr="0096374B">
        <w:rPr>
          <w:rFonts w:ascii="Times New Roman" w:hAnsi="Times New Roman" w:cs="Times New Roman"/>
          <w:b/>
          <w:color w:val="auto"/>
          <w:sz w:val="24"/>
          <w:szCs w:val="24"/>
        </w:rPr>
        <w:t>Perceived Usefulness and Consumer Spending Habit</w:t>
      </w:r>
    </w:p>
    <w:p w14:paraId="46862AF5" w14:textId="77777777" w:rsidR="007E35D8" w:rsidRPr="0096374B" w:rsidRDefault="007E35D8" w:rsidP="00FF00EF">
      <w:pPr>
        <w:pStyle w:val="NormalWeb"/>
        <w:spacing w:line="360" w:lineRule="auto"/>
        <w:jc w:val="both"/>
      </w:pPr>
      <w:r>
        <w:rPr>
          <w:rFonts w:eastAsia="Times New Roman"/>
        </w:rPr>
        <w:t>This study found that Perceived Usefulness moderately and positively influences Consumer Spending Habits. When consumers believe that digital payment platforms enhance their financial efficiency and provide tangible benefits to their daily lives, their likelihood of continuously utilising these services for spending increases. These findings are in line with the foundational principles of the Technology Acceptance Model (Davis, 1989; Venkatesh &amp; Davis, 2000), which identifies perceived usefulness as a core determinant of technology adoption and behavioural intention. They are also consistent with evidence from mobile FinTech and payment-gateway studies linking usefulness to use intention, purchase intention, or adoption (Zhang &amp; Kim, 2020; Isanawikrama et al., 2023; Purwantini &amp; Anisa, 2021). The role of utility as an enabling factor in branchless mobile banking adoption provides further support for this interpretation (Slazus &amp; Bick, 2022).</w:t>
      </w:r>
    </w:p>
    <w:p w14:paraId="242AC38F" w14:textId="77777777" w:rsidR="003945AD" w:rsidRPr="0096374B" w:rsidRDefault="007E35D8" w:rsidP="00FF00EF">
      <w:pPr>
        <w:spacing w:line="360" w:lineRule="auto"/>
        <w:rPr>
          <w:rFonts w:ascii="Times New Roman" w:hAnsi="Times New Roman" w:cs="Times New Roman"/>
          <w:b/>
          <w:bCs/>
        </w:rPr>
      </w:pPr>
      <w:r w:rsidRPr="0096374B">
        <w:rPr>
          <w:rFonts w:ascii="Times New Roman" w:hAnsi="Times New Roman" w:cs="Times New Roman"/>
          <w:b/>
          <w:bCs/>
        </w:rPr>
        <w:t>Conclusion</w:t>
      </w:r>
    </w:p>
    <w:p w14:paraId="179D1487" w14:textId="77777777" w:rsidR="008B559A" w:rsidRPr="0096374B" w:rsidRDefault="008B559A" w:rsidP="00FF00EF">
      <w:pPr>
        <w:spacing w:before="100" w:beforeAutospacing="1" w:after="100" w:afterAutospacing="1" w:line="360" w:lineRule="auto"/>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 xml:space="preserve">This study aimed to investigate the primary drivers of Consumer Spending Habits within the context of mobile money and FinTech services in emerging markets. By examining the structural relationships </w:t>
      </w:r>
      <w:r w:rsidRPr="0096374B">
        <w:rPr>
          <w:rFonts w:ascii="Times New Roman" w:eastAsia="Times New Roman" w:hAnsi="Times New Roman" w:cs="Times New Roman"/>
          <w:kern w:val="0"/>
          <w14:ligatures w14:val="none"/>
        </w:rPr>
        <w:lastRenderedPageBreak/>
        <w:t>between Perceived Convenience, Perceived Security, Perceived Usefulness, and spending behaviours, this research provides vital insights into what motivates digital financial engagement among users. The demographic profile of the respondents—predominantly middle-aged individuals utilizing these platforms primarily for personal transactions—highlights a maturing user base that prioritizes practical, everyday utility.</w:t>
      </w:r>
    </w:p>
    <w:p w14:paraId="00292EC7" w14:textId="77777777" w:rsidR="008B559A" w:rsidRPr="0096374B" w:rsidRDefault="008B559A" w:rsidP="00FF00EF">
      <w:pPr>
        <w:spacing w:before="100" w:beforeAutospacing="1" w:after="100" w:afterAutospacing="1" w:line="360" w:lineRule="auto"/>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The findings establish that Perceived Convenience is the most significant and influential factor driving Consumer Spending Habits. When mobile money platforms offer frictionless, accessible, and user-friendly experiences, consumers are highly likely to increase their transaction frequency and volume. Perceived Usefulness also emerged as a vital, moderate predictor, confirming that platforms must provide tangible, real-world benefits and financial efficiency to sustain user engagement. Conversely, while Perceived Security demonstrated strong internal reliability and discriminant validity, it exerted the weakest direct influence on actual spending habits. This suggests a paradigm where security is treated by consumers as a non-negotiable baseline expectation rather than an active catalyst for increased spending.</w:t>
      </w:r>
    </w:p>
    <w:p w14:paraId="46F43074" w14:textId="77777777" w:rsidR="008B559A" w:rsidRPr="0096374B" w:rsidRDefault="008B559A" w:rsidP="00FF00EF">
      <w:pPr>
        <w:spacing w:before="100" w:beforeAutospacing="1" w:after="100" w:afterAutospacing="1" w:line="360" w:lineRule="auto"/>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For FinTech developers, financial institutions, and policymakers, these results chart a clear strategic path. While maintaining robust, zero-compromise security infrastructure is essential to establish initial trust, it is not sufficient to drive market growth on its own. To actively stimulate digital economy participation and increase transaction volumes, stakeholders should prioritise user experience (UX) design. Innovations should focus on minimizing transaction steps, enhancing platform interoperability, and seamlessly integrating mobile money into the daily retail and e-commerce ecosystems. Ultimately, the future of digital financial inclusion and sustained consumer engagement in emerging markets will belong to the platforms that master the balance of invisible security and unparalleled convenience.</w:t>
      </w:r>
    </w:p>
    <w:p w14:paraId="20F3B9C5" w14:textId="77777777" w:rsidR="007E35D8" w:rsidRPr="0096374B" w:rsidRDefault="007E35D8" w:rsidP="00FF00EF">
      <w:pPr>
        <w:spacing w:line="360" w:lineRule="auto"/>
        <w:rPr>
          <w:rFonts w:ascii="Times New Roman" w:hAnsi="Times New Roman" w:cs="Times New Roman"/>
          <w:b/>
          <w:bCs/>
        </w:rPr>
      </w:pPr>
    </w:p>
    <w:p w14:paraId="412A8472" w14:textId="77777777" w:rsidR="00115BFE" w:rsidRPr="0096374B" w:rsidRDefault="00115BFE" w:rsidP="00FF00EF">
      <w:pPr>
        <w:spacing w:line="360" w:lineRule="auto"/>
        <w:jc w:val="center"/>
        <w:rPr>
          <w:rFonts w:ascii="Times New Roman" w:hAnsi="Times New Roman" w:cs="Times New Roman"/>
          <w:b/>
          <w:bCs/>
        </w:rPr>
      </w:pPr>
    </w:p>
    <w:p w14:paraId="1727E701" w14:textId="77777777" w:rsidR="00115BFE" w:rsidRPr="0096374B" w:rsidRDefault="00115BFE" w:rsidP="00FF00EF">
      <w:pPr>
        <w:spacing w:line="360" w:lineRule="auto"/>
        <w:rPr>
          <w:rFonts w:ascii="Times New Roman" w:hAnsi="Times New Roman" w:cs="Times New Roman"/>
          <w:b/>
          <w:bCs/>
        </w:rPr>
      </w:pPr>
      <w:r w:rsidRPr="0096374B">
        <w:rPr>
          <w:rFonts w:ascii="Times New Roman" w:hAnsi="Times New Roman" w:cs="Times New Roman"/>
          <w:b/>
          <w:bCs/>
        </w:rPr>
        <w:t>Recommendations</w:t>
      </w:r>
    </w:p>
    <w:p w14:paraId="70D5BFD1" w14:textId="77777777" w:rsidR="00AB51C1" w:rsidRPr="0096374B" w:rsidRDefault="00AB51C1" w:rsidP="00FF00EF">
      <w:pPr>
        <w:spacing w:line="360" w:lineRule="auto"/>
        <w:rPr>
          <w:rFonts w:ascii="Times New Roman" w:hAnsi="Times New Roman" w:cs="Times New Roman"/>
          <w:bCs/>
        </w:rPr>
      </w:pPr>
      <w:r w:rsidRPr="0096374B">
        <w:rPr>
          <w:rFonts w:ascii="Times New Roman" w:hAnsi="Times New Roman" w:cs="Times New Roman"/>
          <w:bCs/>
        </w:rPr>
        <w:t>The study recommends that:</w:t>
      </w:r>
    </w:p>
    <w:p w14:paraId="532CA671" w14:textId="77777777" w:rsidR="00A933B5" w:rsidRPr="0096374B" w:rsidRDefault="00A933B5" w:rsidP="00FF00EF">
      <w:pPr>
        <w:pStyle w:val="ListParagraph"/>
        <w:numPr>
          <w:ilvl w:val="0"/>
          <w:numId w:val="7"/>
        </w:numPr>
        <w:spacing w:before="100" w:beforeAutospacing="1" w:after="100" w:afterAutospacing="1" w:line="360" w:lineRule="auto"/>
        <w:ind w:hanging="720"/>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lastRenderedPageBreak/>
        <w:t>FinTech platforms must prioritise seamless, user-friendly interfaces to directly stimulate increased transaction frequency and consumer spending volume.</w:t>
      </w:r>
    </w:p>
    <w:p w14:paraId="72FA1E15" w14:textId="77777777" w:rsidR="00A933B5" w:rsidRPr="0096374B" w:rsidRDefault="00A933B5" w:rsidP="00FF00EF">
      <w:pPr>
        <w:pStyle w:val="ListParagraph"/>
        <w:numPr>
          <w:ilvl w:val="0"/>
          <w:numId w:val="7"/>
        </w:numPr>
        <w:spacing w:before="100" w:beforeAutospacing="1" w:after="100" w:afterAutospacing="1" w:line="360" w:lineRule="auto"/>
        <w:ind w:hanging="720"/>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Companies should build robust security as an essential, silent foundation rather than relying on it as a primary marketing driver for growth.</w:t>
      </w:r>
    </w:p>
    <w:p w14:paraId="0060EE17" w14:textId="77777777" w:rsidR="00A933B5" w:rsidRPr="0096374B" w:rsidRDefault="00A933B5" w:rsidP="00FF00EF">
      <w:pPr>
        <w:pStyle w:val="ListParagraph"/>
        <w:numPr>
          <w:ilvl w:val="0"/>
          <w:numId w:val="7"/>
        </w:numPr>
        <w:spacing w:before="100" w:beforeAutospacing="1" w:after="100" w:afterAutospacing="1" w:line="360" w:lineRule="auto"/>
        <w:ind w:hanging="720"/>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Providers need to expand their ecosystem's utility by integrating comprehensive features like bill payments and budgeting tools to sustain continuous user engagement.</w:t>
      </w:r>
    </w:p>
    <w:p w14:paraId="219A8F8C" w14:textId="77777777" w:rsidR="00A933B5" w:rsidRPr="0096374B" w:rsidRDefault="00A933B5" w:rsidP="00FF00EF">
      <w:pPr>
        <w:pStyle w:val="ListParagraph"/>
        <w:numPr>
          <w:ilvl w:val="0"/>
          <w:numId w:val="7"/>
        </w:numPr>
        <w:spacing w:before="100" w:beforeAutospacing="1" w:after="100" w:afterAutospacing="1" w:line="360" w:lineRule="auto"/>
        <w:ind w:hanging="720"/>
        <w:jc w:val="both"/>
        <w:rPr>
          <w:rFonts w:ascii="Times New Roman" w:eastAsia="Times New Roman" w:hAnsi="Times New Roman" w:cs="Times New Roman"/>
          <w:kern w:val="0"/>
          <w14:ligatures w14:val="none"/>
        </w:rPr>
      </w:pPr>
      <w:r w:rsidRPr="0096374B">
        <w:rPr>
          <w:rFonts w:ascii="Times New Roman" w:eastAsia="Times New Roman" w:hAnsi="Times New Roman" w:cs="Times New Roman"/>
          <w:kern w:val="0"/>
          <w14:ligatures w14:val="none"/>
        </w:rPr>
        <w:t>Interventions and product features should be explicitly tailored to address the daily financial pain points of the core 31-to-50-year-old user base.</w:t>
      </w:r>
    </w:p>
    <w:p w14:paraId="4181A143" w14:textId="77777777" w:rsidR="008402A5" w:rsidRPr="0096374B" w:rsidRDefault="008402A5" w:rsidP="00FF00EF">
      <w:pPr>
        <w:spacing w:before="100" w:beforeAutospacing="1" w:after="100" w:afterAutospacing="1" w:line="360" w:lineRule="auto"/>
        <w:jc w:val="both"/>
        <w:rPr>
          <w:rFonts w:ascii="Times New Roman" w:eastAsia="Times New Roman" w:hAnsi="Times New Roman" w:cs="Times New Roman"/>
          <w:kern w:val="0"/>
          <w14:ligatures w14:val="none"/>
        </w:rPr>
      </w:pPr>
    </w:p>
    <w:p w14:paraId="2514606E" w14:textId="77777777" w:rsidR="008402A5" w:rsidRDefault="000F3E2D" w:rsidP="00FF00EF">
      <w:pPr>
        <w:shd w:val="clear" w:color="auto" w:fill="FFFFFF"/>
        <w:spacing w:after="0" w:line="360" w:lineRule="auto"/>
        <w:rPr>
          <w:rFonts w:ascii="Arial" w:eastAsia="Times New Roman" w:hAnsi="Arial" w:cs="Arial"/>
          <w:color w:val="222222"/>
          <w:kern w:val="0"/>
          <w:lang w:val="en-IN" w:eastAsia="en-IN"/>
          <w14:ligatures w14:val="none"/>
        </w:rPr>
      </w:pPr>
      <w:bookmarkStart w:id="0" w:name="_Hlk232854992"/>
      <w:bookmarkStart w:id="1" w:name="_Hlk238909442"/>
      <w:bookmarkStart w:id="2" w:name="_Hlk237857116"/>
      <w:bookmarkStart w:id="3" w:name="_Hlk240540980"/>
      <w:bookmarkStart w:id="4" w:name="_Hlk240284289"/>
      <w:r w:rsidRPr="000F3E2D">
        <w:rPr>
          <w:rFonts w:ascii="Arial" w:eastAsia="Times New Roman" w:hAnsi="Arial" w:cs="Arial"/>
          <w:color w:val="222222"/>
          <w:kern w:val="0"/>
          <w:lang w:val="en-IN" w:eastAsia="en-IN"/>
          <w14:ligatures w14:val="none"/>
        </w:rPr>
        <w:t>Limitation</w:t>
      </w:r>
    </w:p>
    <w:p w14:paraId="19C434AE" w14:textId="77777777" w:rsidR="000F3E2D" w:rsidRDefault="000F3E2D" w:rsidP="00FF00EF">
      <w:pPr>
        <w:shd w:val="clear" w:color="auto" w:fill="FFFFFF"/>
        <w:spacing w:after="0" w:line="360" w:lineRule="auto"/>
        <w:rPr>
          <w:rFonts w:ascii="Arial" w:eastAsia="Times New Roman" w:hAnsi="Arial" w:cs="Arial"/>
          <w:color w:val="222222"/>
          <w:kern w:val="0"/>
          <w:lang w:val="en-IN" w:eastAsia="en-IN"/>
          <w14:ligatures w14:val="none"/>
        </w:rPr>
      </w:pPr>
      <w:r w:rsidRPr="000F3E2D">
        <w:rPr>
          <w:rFonts w:ascii="Arial" w:eastAsia="Times New Roman" w:hAnsi="Arial" w:cs="Arial"/>
          <w:color w:val="222222"/>
          <w:kern w:val="0"/>
          <w:lang w:val="en-IN" w:eastAsia="en-IN"/>
          <w14:ligatures w14:val="none"/>
        </w:rPr>
        <w:t>The study used a cross-sectional design and purposive sampling of 294 semi-literate female traders from three open-air markets in one local government area. Consequently, the findings are context-specific and do not establish temporal or causal relationships. The analysis is also based on self-reported questionnaire data from participants with prior or ongoing mobile money or FinTech experience, which may limit generalisability to non-users and other populations. Future research could test the observed relationships across broader locations, participant groups, and longitudinal designs.</w:t>
      </w:r>
    </w:p>
    <w:p w14:paraId="1725AD16" w14:textId="77777777" w:rsidR="000F3E2D" w:rsidRPr="0096374B" w:rsidRDefault="000F3E2D" w:rsidP="00FF00EF">
      <w:pPr>
        <w:shd w:val="clear" w:color="auto" w:fill="FFFFFF"/>
        <w:spacing w:after="0" w:line="360" w:lineRule="auto"/>
        <w:rPr>
          <w:rFonts w:ascii="Arial" w:eastAsia="Times New Roman" w:hAnsi="Arial" w:cs="Arial"/>
          <w:color w:val="222222"/>
          <w:kern w:val="0"/>
          <w:lang w:val="en-IN" w:eastAsia="en-IN"/>
          <w14:ligatures w14:val="none"/>
        </w:rPr>
      </w:pPr>
    </w:p>
    <w:p w14:paraId="1B6DEF79" w14:textId="77777777" w:rsidR="008402A5" w:rsidRPr="0096374B" w:rsidRDefault="008402A5" w:rsidP="00FF00EF">
      <w:pPr>
        <w:spacing w:after="0" w:line="360" w:lineRule="auto"/>
        <w:rPr>
          <w:rFonts w:ascii="Arial" w:eastAsia="Calibri" w:hAnsi="Arial" w:cs="Arial"/>
          <w:b/>
          <w:kern w:val="0"/>
          <w:sz w:val="20"/>
          <w:szCs w:val="20"/>
          <w14:ligatures w14:val="none"/>
        </w:rPr>
      </w:pPr>
      <w:bookmarkStart w:id="5" w:name="_Hlk238550938"/>
      <w:bookmarkStart w:id="6" w:name="_Hlk237856463"/>
      <w:bookmarkEnd w:id="0"/>
      <w:bookmarkEnd w:id="1"/>
      <w:bookmarkEnd w:id="2"/>
      <w:r w:rsidRPr="0096374B">
        <w:rPr>
          <w:rFonts w:ascii="Arial" w:eastAsia="Calibri" w:hAnsi="Arial" w:cs="Arial"/>
          <w:b/>
          <w:kern w:val="0"/>
          <w:sz w:val="20"/>
          <w:szCs w:val="20"/>
          <w14:ligatures w14:val="none"/>
        </w:rPr>
        <w:t>Declaration of AI Use</w:t>
      </w:r>
    </w:p>
    <w:p w14:paraId="6388BD90" w14:textId="77777777" w:rsidR="008402A5" w:rsidRPr="0096374B" w:rsidRDefault="008402A5" w:rsidP="00FF00EF">
      <w:pPr>
        <w:spacing w:after="0" w:line="360" w:lineRule="auto"/>
        <w:rPr>
          <w:rFonts w:ascii="Arial" w:eastAsia="Calibri" w:hAnsi="Arial" w:cs="Arial"/>
          <w:kern w:val="0"/>
          <w:sz w:val="20"/>
          <w:szCs w:val="20"/>
          <w14:ligatures w14:val="none"/>
        </w:rPr>
      </w:pPr>
      <w:bookmarkStart w:id="7" w:name="_Hlk239068730"/>
    </w:p>
    <w:p w14:paraId="0FDD1788" w14:textId="77777777" w:rsidR="008402A5" w:rsidRPr="0096374B" w:rsidRDefault="008402A5" w:rsidP="00FF00EF">
      <w:pPr>
        <w:spacing w:after="0" w:line="360" w:lineRule="auto"/>
        <w:rPr>
          <w:rFonts w:ascii="Arial" w:eastAsia="Calibri" w:hAnsi="Arial" w:cs="Arial"/>
          <w:kern w:val="0"/>
          <w:sz w:val="20"/>
          <w:szCs w:val="20"/>
          <w14:ligatures w14:val="none"/>
        </w:rPr>
      </w:pPr>
      <w:bookmarkStart w:id="8" w:name="_Hlk237862032"/>
      <w:r w:rsidRPr="0096374B">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96374B">
        <w:rPr>
          <w:rFonts w:ascii="Arial" w:eastAsia="Calibri" w:hAnsi="Arial" w:cs="Arial"/>
          <w:kern w:val="0"/>
          <w:sz w:val="20"/>
          <w:szCs w:val="20"/>
          <w14:ligatures w14:val="none"/>
        </w:rPr>
        <w:t>.</w:t>
      </w:r>
    </w:p>
    <w:p w14:paraId="2FDC6432" w14:textId="77777777" w:rsidR="00F31EAB" w:rsidRPr="0096374B" w:rsidRDefault="00F31EAB" w:rsidP="00FF00EF">
      <w:pPr>
        <w:spacing w:after="0" w:line="360" w:lineRule="auto"/>
        <w:rPr>
          <w:rFonts w:ascii="Arial" w:eastAsia="Calibri" w:hAnsi="Arial" w:cs="Arial"/>
          <w:kern w:val="0"/>
          <w:sz w:val="20"/>
          <w:szCs w:val="20"/>
          <w14:ligatures w14:val="none"/>
        </w:rPr>
      </w:pPr>
    </w:p>
    <w:p w14:paraId="34FC96F3" w14:textId="77777777" w:rsidR="00F31EAB" w:rsidRPr="0096374B" w:rsidRDefault="00F31EAB" w:rsidP="00FF00EF">
      <w:pPr>
        <w:spacing w:after="0" w:line="360" w:lineRule="auto"/>
        <w:rPr>
          <w:rFonts w:ascii="Arial" w:eastAsia="Calibri" w:hAnsi="Arial" w:cs="Arial"/>
          <w:kern w:val="0"/>
          <w:sz w:val="20"/>
          <w:szCs w:val="20"/>
          <w14:ligatures w14:val="none"/>
        </w:rPr>
      </w:pPr>
      <w:r w:rsidRPr="0096374B">
        <w:rPr>
          <w:rFonts w:ascii="Arial" w:eastAsia="Calibri" w:hAnsi="Arial" w:cs="Arial"/>
          <w:kern w:val="0"/>
          <w:sz w:val="20"/>
          <w:szCs w:val="20"/>
          <w14:ligatures w14:val="none"/>
        </w:rPr>
        <w:t>COMPETING INTERESTS DISCLAIMER:</w:t>
      </w:r>
    </w:p>
    <w:p w14:paraId="5937B860" w14:textId="77777777" w:rsidR="00F31EAB" w:rsidRPr="0096374B" w:rsidRDefault="00F31EAB" w:rsidP="00FF00EF">
      <w:pPr>
        <w:spacing w:after="0" w:line="360" w:lineRule="auto"/>
        <w:rPr>
          <w:rFonts w:ascii="Arial" w:eastAsia="Calibri" w:hAnsi="Arial" w:cs="Arial"/>
          <w:kern w:val="0"/>
          <w:sz w:val="20"/>
          <w:szCs w:val="20"/>
          <w14:ligatures w14:val="none"/>
        </w:rPr>
      </w:pPr>
      <w:r w:rsidRPr="0096374B">
        <w:rPr>
          <w:rFonts w:ascii="Arial" w:eastAsia="Calibri" w:hAnsi="Arial" w:cs="Arial"/>
          <w:kern w:val="0"/>
          <w:sz w:val="20"/>
          <w:szCs w:val="20"/>
          <w14:ligatures w14:val="none"/>
        </w:rPr>
        <w:t>Authors have declared that they have no known competing financial interests OR non-financial interests OR personal relationships that could have appeared to influence the work reported in this paper.</w:t>
      </w:r>
    </w:p>
    <w:p w14:paraId="49A91B62" w14:textId="77777777" w:rsidR="00F31EAB" w:rsidRPr="0096374B" w:rsidRDefault="00F31EAB" w:rsidP="00FF00EF">
      <w:pPr>
        <w:spacing w:after="0" w:line="360" w:lineRule="auto"/>
        <w:rPr>
          <w:rFonts w:ascii="Arial" w:eastAsia="Calibri" w:hAnsi="Arial" w:cs="Arial"/>
          <w:kern w:val="0"/>
          <w:sz w:val="20"/>
          <w:szCs w:val="20"/>
          <w14:ligatures w14:val="none"/>
        </w:rPr>
      </w:pPr>
    </w:p>
    <w:bookmarkEnd w:id="4"/>
    <w:bookmarkEnd w:id="6"/>
    <w:bookmarkEnd w:id="7"/>
    <w:bookmarkEnd w:id="8"/>
    <w:p w14:paraId="778C56A4" w14:textId="77777777" w:rsidR="00A933B5" w:rsidRPr="0096374B" w:rsidRDefault="00A933B5" w:rsidP="00FF00EF">
      <w:pPr>
        <w:spacing w:line="360" w:lineRule="auto"/>
        <w:rPr>
          <w:rFonts w:ascii="Times New Roman" w:hAnsi="Times New Roman" w:cs="Times New Roman"/>
          <w:b/>
          <w:bCs/>
        </w:rPr>
      </w:pPr>
    </w:p>
    <w:p w14:paraId="5DE4BBD3" w14:textId="77777777" w:rsidR="00FA53C2" w:rsidRPr="0096374B" w:rsidRDefault="00926BE9" w:rsidP="00FF00EF">
      <w:pPr>
        <w:spacing w:line="360" w:lineRule="auto"/>
        <w:jc w:val="center"/>
        <w:rPr>
          <w:rFonts w:ascii="Times New Roman" w:hAnsi="Times New Roman" w:cs="Times New Roman"/>
          <w:b/>
          <w:bCs/>
        </w:rPr>
      </w:pPr>
      <w:r w:rsidRPr="0096374B">
        <w:rPr>
          <w:rFonts w:ascii="Times New Roman" w:hAnsi="Times New Roman" w:cs="Times New Roman"/>
          <w:b/>
          <w:bCs/>
        </w:rPr>
        <w:t>References</w:t>
      </w:r>
    </w:p>
    <w:p w14:paraId="2B067D5F"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lastRenderedPageBreak/>
        <w:t xml:space="preserve">Abdul-Rahim, R., Bohari, S. A., Aman, A., &amp; Awang, Z. (2022). Benefit–risk perceptions of FinTech adoption for sustainability from bank consumers’ perspective: The moderating role of fear of COVID-19. </w:t>
      </w:r>
      <w:r>
        <w:rPr>
          <w:rFonts w:ascii="Times New Roman" w:eastAsia="Times New Roman" w:hAnsi="Times New Roman"/>
          <w:i/>
        </w:rPr>
        <w:t>Sustainability, 14</w:t>
      </w:r>
      <w:r>
        <w:rPr>
          <w:rFonts w:ascii="Times New Roman" w:eastAsia="Times New Roman" w:hAnsi="Times New Roman"/>
        </w:rPr>
        <w:t xml:space="preserve">(14), 8357. </w:t>
      </w:r>
      <w:hyperlink r:id="rId10">
        <w:r>
          <w:rPr>
            <w:rFonts w:ascii="Times New Roman" w:eastAsia="Times New Roman" w:hAnsi="Times New Roman"/>
            <w:color w:val="0563C1"/>
            <w:u w:val="single"/>
          </w:rPr>
          <w:t>https://doi.org/10.3390/su14148357</w:t>
        </w:r>
      </w:hyperlink>
    </w:p>
    <w:p w14:paraId="330478AF"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Agarwal, S., Ghosh, P., Li, J., &amp; Ruan, T. (2024). Digital payments and consumption: Evidence from the 2016 demonetization in India. </w:t>
      </w:r>
      <w:r>
        <w:rPr>
          <w:rFonts w:ascii="Times New Roman" w:eastAsia="Times New Roman" w:hAnsi="Times New Roman"/>
          <w:i/>
        </w:rPr>
        <w:t>The Review of Financial Studies, 37</w:t>
      </w:r>
      <w:r>
        <w:rPr>
          <w:rFonts w:ascii="Times New Roman" w:eastAsia="Times New Roman" w:hAnsi="Times New Roman"/>
        </w:rPr>
        <w:t xml:space="preserve">(8), 2550–2585. </w:t>
      </w:r>
      <w:hyperlink r:id="rId11">
        <w:r>
          <w:rPr>
            <w:rFonts w:ascii="Times New Roman" w:eastAsia="Times New Roman" w:hAnsi="Times New Roman"/>
            <w:color w:val="0563C1"/>
            <w:u w:val="single"/>
          </w:rPr>
          <w:t>https://doi.org/10.1093/rfs/hhae005</w:t>
        </w:r>
      </w:hyperlink>
    </w:p>
    <w:p w14:paraId="4D969CE0"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Almaiah, M. A., Al-Otaibi, S., Shishakly, R., Hassan, L., Lutfi, A., Alrawad, M., Qatawneh, M., &amp; Alghanam, O. A. (2023). Investigating the role of perceived risk, perceived security and perceived trust on smart m-banking application using SEM. </w:t>
      </w:r>
      <w:r>
        <w:rPr>
          <w:rFonts w:ascii="Times New Roman" w:eastAsia="Times New Roman" w:hAnsi="Times New Roman"/>
          <w:i/>
        </w:rPr>
        <w:t>Sustainability, 15</w:t>
      </w:r>
      <w:r>
        <w:rPr>
          <w:rFonts w:ascii="Times New Roman" w:eastAsia="Times New Roman" w:hAnsi="Times New Roman"/>
        </w:rPr>
        <w:t xml:space="preserve">(13), 9908. </w:t>
      </w:r>
      <w:hyperlink r:id="rId12">
        <w:r>
          <w:rPr>
            <w:rFonts w:ascii="Times New Roman" w:eastAsia="Times New Roman" w:hAnsi="Times New Roman"/>
            <w:color w:val="0563C1"/>
            <w:u w:val="single"/>
          </w:rPr>
          <w:t>https://doi.org/10.3390/su15139908</w:t>
        </w:r>
      </w:hyperlink>
    </w:p>
    <w:p w14:paraId="260D2C45"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Alwi, S., Alpandi, R. M., Mohd Salleh, M. N., Basir, I. N., &amp; Md Ariff, F. F. (2019). An empirical study on the customers’ satisfaction on Fintech mobile payment services in Malaysia. </w:t>
      </w:r>
      <w:r>
        <w:rPr>
          <w:rFonts w:ascii="Times New Roman" w:eastAsia="Times New Roman" w:hAnsi="Times New Roman"/>
          <w:i/>
        </w:rPr>
        <w:t>International Journal of Advanced Science and Technology, 28</w:t>
      </w:r>
      <w:r>
        <w:rPr>
          <w:rFonts w:ascii="Times New Roman" w:eastAsia="Times New Roman" w:hAnsi="Times New Roman"/>
        </w:rPr>
        <w:t xml:space="preserve">(16), 390–400. </w:t>
      </w:r>
      <w:hyperlink r:id="rId13">
        <w:r>
          <w:rPr>
            <w:rFonts w:ascii="Times New Roman" w:eastAsia="Times New Roman" w:hAnsi="Times New Roman"/>
            <w:color w:val="0563C1"/>
            <w:u w:val="single"/>
          </w:rPr>
          <w:t>https://expert.taylors.edu.my/file/rems/publication/106893_6450_1.pdf</w:t>
        </w:r>
      </w:hyperlink>
    </w:p>
    <w:p w14:paraId="6268264F"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Central Bank of Nigeria. (2009). </w:t>
      </w:r>
      <w:r>
        <w:rPr>
          <w:rFonts w:ascii="Times New Roman" w:eastAsia="Times New Roman" w:hAnsi="Times New Roman"/>
          <w:i/>
        </w:rPr>
        <w:t>Regulatory framework for mobile payments services in Nigeria</w:t>
      </w:r>
      <w:r>
        <w:rPr>
          <w:rFonts w:ascii="Times New Roman" w:eastAsia="Times New Roman" w:hAnsi="Times New Roman"/>
        </w:rPr>
        <w:t xml:space="preserve">. </w:t>
      </w:r>
      <w:hyperlink r:id="rId14">
        <w:r>
          <w:rPr>
            <w:rFonts w:ascii="Times New Roman" w:eastAsia="Times New Roman" w:hAnsi="Times New Roman"/>
            <w:color w:val="0563C1"/>
            <w:u w:val="single"/>
          </w:rPr>
          <w:t>https://www.cbn.gov.ng/PaymentsSystem/</w:t>
        </w:r>
      </w:hyperlink>
    </w:p>
    <w:p w14:paraId="50929D55"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Central Bank of Nigeria. (2023). </w:t>
      </w:r>
      <w:r>
        <w:rPr>
          <w:rFonts w:ascii="Times New Roman" w:eastAsia="Times New Roman" w:hAnsi="Times New Roman"/>
          <w:i/>
        </w:rPr>
        <w:t>Operational guidelines for open banking in Nigeria</w:t>
      </w:r>
      <w:r>
        <w:rPr>
          <w:rFonts w:ascii="Times New Roman" w:eastAsia="Times New Roman" w:hAnsi="Times New Roman"/>
        </w:rPr>
        <w:t xml:space="preserve">. </w:t>
      </w:r>
      <w:hyperlink r:id="rId15">
        <w:r>
          <w:rPr>
            <w:rFonts w:ascii="Times New Roman" w:eastAsia="Times New Roman" w:hAnsi="Times New Roman"/>
            <w:color w:val="0563C1"/>
            <w:u w:val="single"/>
          </w:rPr>
          <w:t>https://www.cbn.gov.ng/Out/2023/CCD/Operational%20Guidelines%20for%20Open%20Banking%20in%20Nigeria.pdf</w:t>
        </w:r>
      </w:hyperlink>
    </w:p>
    <w:p w14:paraId="23AAB0A7" w14:textId="77777777" w:rsidR="007E590E" w:rsidRPr="0096374B" w:rsidRDefault="00000000">
      <w:pPr>
        <w:spacing w:line="240" w:lineRule="auto"/>
        <w:ind w:left="720" w:hanging="720"/>
        <w:rPr>
          <w:rFonts w:ascii="Times New Roman" w:hAnsi="Times New Roman" w:cs="Times New Roman"/>
        </w:rPr>
      </w:pPr>
      <w:r>
        <w:rPr>
          <w:rFonts w:ascii="Times New Roman" w:eastAsia="Times New Roman" w:hAnsi="Times New Roman"/>
        </w:rPr>
        <w:t xml:space="preserve">Central Bank of Nigeria. (n.d.). </w:t>
      </w:r>
      <w:proofErr w:type="gramStart"/>
      <w:r>
        <w:rPr>
          <w:rFonts w:ascii="Times New Roman" w:eastAsia="Times New Roman" w:hAnsi="Times New Roman"/>
          <w:i/>
        </w:rPr>
        <w:t>Payments</w:t>
      </w:r>
      <w:proofErr w:type="gramEnd"/>
      <w:r>
        <w:rPr>
          <w:rFonts w:ascii="Times New Roman" w:eastAsia="Times New Roman" w:hAnsi="Times New Roman"/>
          <w:i/>
        </w:rPr>
        <w:t xml:space="preserve"> system supervision</w:t>
      </w:r>
      <w:r>
        <w:rPr>
          <w:rFonts w:ascii="Times New Roman" w:eastAsia="Times New Roman" w:hAnsi="Times New Roman"/>
        </w:rPr>
        <w:t xml:space="preserve">. </w:t>
      </w:r>
      <w:hyperlink r:id="rId16">
        <w:r w:rsidR="007E590E">
          <w:rPr>
            <w:rFonts w:ascii="Times New Roman" w:eastAsia="Times New Roman" w:hAnsi="Times New Roman"/>
            <w:color w:val="0563C1"/>
            <w:u w:val="single"/>
          </w:rPr>
          <w:t>https://www.cbn.gov.ng/PaymentsSystem/</w:t>
        </w:r>
      </w:hyperlink>
    </w:p>
    <w:p w14:paraId="6647CA49"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Centellegher, S., Miritello, G., Villatoro, D., Parameshwar, D., Lepri, B., &amp; Oliver, N. (2018). Mobile money: Understanding and predicting its adoption and use in a developing economy. </w:t>
      </w:r>
      <w:r>
        <w:rPr>
          <w:rFonts w:ascii="Times New Roman" w:eastAsia="Times New Roman" w:hAnsi="Times New Roman"/>
          <w:i/>
        </w:rPr>
        <w:t>Proceedings of the ACM on Interactive, Mobile, Wearable and Ubiquitous Technologies, 2</w:t>
      </w:r>
      <w:r>
        <w:rPr>
          <w:rFonts w:ascii="Times New Roman" w:eastAsia="Times New Roman" w:hAnsi="Times New Roman"/>
        </w:rPr>
        <w:t xml:space="preserve">(4), Article 157, 1–18. </w:t>
      </w:r>
      <w:hyperlink r:id="rId17">
        <w:r>
          <w:rPr>
            <w:rFonts w:ascii="Times New Roman" w:eastAsia="Times New Roman" w:hAnsi="Times New Roman"/>
            <w:color w:val="0563C1"/>
            <w:u w:val="single"/>
          </w:rPr>
          <w:t>https://doi.org/10.1145/3287035</w:t>
        </w:r>
      </w:hyperlink>
    </w:p>
    <w:p w14:paraId="6B2847A1"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Cobla, G. M., &amp; Osei-Assibey, E. (2018). Mobile money adoption and spending behaviour: The case of students in Ghana. </w:t>
      </w:r>
      <w:r>
        <w:rPr>
          <w:rFonts w:ascii="Times New Roman" w:eastAsia="Times New Roman" w:hAnsi="Times New Roman"/>
          <w:i/>
        </w:rPr>
        <w:t>International Journal of Social Economics, 45</w:t>
      </w:r>
      <w:r>
        <w:rPr>
          <w:rFonts w:ascii="Times New Roman" w:eastAsia="Times New Roman" w:hAnsi="Times New Roman"/>
        </w:rPr>
        <w:t xml:space="preserve">(1), 29–42. </w:t>
      </w:r>
      <w:hyperlink r:id="rId18">
        <w:r>
          <w:rPr>
            <w:rFonts w:ascii="Times New Roman" w:eastAsia="Times New Roman" w:hAnsi="Times New Roman"/>
            <w:color w:val="0563C1"/>
            <w:u w:val="single"/>
          </w:rPr>
          <w:t>https://doi.org/10.1108/IJSE-11-2016-0302</w:t>
        </w:r>
      </w:hyperlink>
    </w:p>
    <w:p w14:paraId="0350E806"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Davis, F. D. (1989). Perceived usefulness, perceived ease of use, and user acceptance of information technology. </w:t>
      </w:r>
      <w:r>
        <w:rPr>
          <w:rFonts w:ascii="Times New Roman" w:eastAsia="Times New Roman" w:hAnsi="Times New Roman"/>
          <w:i/>
        </w:rPr>
        <w:t>MIS Quarterly, 13</w:t>
      </w:r>
      <w:r>
        <w:rPr>
          <w:rFonts w:ascii="Times New Roman" w:eastAsia="Times New Roman" w:hAnsi="Times New Roman"/>
        </w:rPr>
        <w:t xml:space="preserve">(3), 319–340. </w:t>
      </w:r>
      <w:hyperlink r:id="rId19">
        <w:r>
          <w:rPr>
            <w:rFonts w:ascii="Times New Roman" w:eastAsia="Times New Roman" w:hAnsi="Times New Roman"/>
            <w:color w:val="0563C1"/>
            <w:u w:val="single"/>
          </w:rPr>
          <w:t>https://doi.org/10.2307/249008</w:t>
        </w:r>
      </w:hyperlink>
    </w:p>
    <w:p w14:paraId="51E1DD75"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EFInA. (2023). </w:t>
      </w:r>
      <w:r>
        <w:rPr>
          <w:rFonts w:ascii="Times New Roman" w:eastAsia="Times New Roman" w:hAnsi="Times New Roman"/>
          <w:i/>
        </w:rPr>
        <w:t>Access to Financial Services in Nigeria 2023 survey: Key highlights</w:t>
      </w:r>
      <w:r>
        <w:rPr>
          <w:rFonts w:ascii="Times New Roman" w:eastAsia="Times New Roman" w:hAnsi="Times New Roman"/>
        </w:rPr>
        <w:t xml:space="preserve">. </w:t>
      </w:r>
      <w:hyperlink r:id="rId20">
        <w:r>
          <w:rPr>
            <w:rFonts w:ascii="Times New Roman" w:eastAsia="Times New Roman" w:hAnsi="Times New Roman"/>
            <w:color w:val="0563C1"/>
            <w:u w:val="single"/>
          </w:rPr>
          <w:t>https://efina.org.ng/wp-content/uploads/2024/03/A2F-2023-Event-Day-Presentation-Version4-1.pdf</w:t>
        </w:r>
      </w:hyperlink>
    </w:p>
    <w:p w14:paraId="60F9C2F2"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Fishbein, M., &amp; Ajzen, I. (1975). </w:t>
      </w:r>
      <w:r>
        <w:rPr>
          <w:rFonts w:ascii="Times New Roman" w:eastAsia="Times New Roman" w:hAnsi="Times New Roman"/>
          <w:i/>
        </w:rPr>
        <w:t>Belief, attitude, intention, and behavior: An introduction to theory and research</w:t>
      </w:r>
      <w:r>
        <w:rPr>
          <w:rFonts w:ascii="Times New Roman" w:eastAsia="Times New Roman" w:hAnsi="Times New Roman"/>
        </w:rPr>
        <w:t xml:space="preserve">. Addison-Wesley. </w:t>
      </w:r>
      <w:hyperlink r:id="rId21">
        <w:r>
          <w:rPr>
            <w:rFonts w:ascii="Times New Roman" w:eastAsia="Times New Roman" w:hAnsi="Times New Roman"/>
            <w:color w:val="0563C1"/>
            <w:u w:val="single"/>
          </w:rPr>
          <w:t>https://people.umass.edu/aizen/f%26a1975.html</w:t>
        </w:r>
      </w:hyperlink>
    </w:p>
    <w:p w14:paraId="68B8AEE7" w14:textId="77777777" w:rsidR="007E590E" w:rsidRPr="0096374B" w:rsidRDefault="00000000">
      <w:pPr>
        <w:spacing w:line="240" w:lineRule="auto"/>
        <w:ind w:left="720" w:hanging="720"/>
      </w:pPr>
      <w:r>
        <w:rPr>
          <w:rFonts w:ascii="Times New Roman" w:eastAsia="Times New Roman" w:hAnsi="Times New Roman"/>
        </w:rPr>
        <w:t xml:space="preserve">Guermond, V. (2022). Whose money? Digital remittances, mobile money and fintech in Ghana. </w:t>
      </w:r>
      <w:r>
        <w:rPr>
          <w:rFonts w:ascii="Times New Roman" w:eastAsia="Times New Roman" w:hAnsi="Times New Roman"/>
          <w:i/>
        </w:rPr>
        <w:t>Journal of Cultural Economy, 15</w:t>
      </w:r>
      <w:r>
        <w:rPr>
          <w:rFonts w:ascii="Times New Roman" w:eastAsia="Times New Roman" w:hAnsi="Times New Roman"/>
        </w:rPr>
        <w:t xml:space="preserve">(4), 436–451. </w:t>
      </w:r>
      <w:hyperlink r:id="rId22">
        <w:r w:rsidR="007E590E">
          <w:rPr>
            <w:rFonts w:ascii="Times New Roman" w:eastAsia="Times New Roman" w:hAnsi="Times New Roman"/>
            <w:color w:val="0563C1"/>
            <w:u w:val="single"/>
          </w:rPr>
          <w:t>https://doi.org/10.1080/17530350.2021.2018347</w:t>
        </w:r>
      </w:hyperlink>
    </w:p>
    <w:p w14:paraId="101AD0D4"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lastRenderedPageBreak/>
        <w:t xml:space="preserve">Hair, J. F., Hult, G. T. M., Ringle, C. M., &amp; Sarstedt, M. (2014). </w:t>
      </w:r>
      <w:r>
        <w:rPr>
          <w:rFonts w:ascii="Times New Roman" w:eastAsia="Times New Roman" w:hAnsi="Times New Roman"/>
          <w:i/>
        </w:rPr>
        <w:t>A primer on partial least squares structural equation modeling (PLS-SEM)</w:t>
      </w:r>
      <w:r>
        <w:rPr>
          <w:rFonts w:ascii="Times New Roman" w:eastAsia="Times New Roman" w:hAnsi="Times New Roman"/>
        </w:rPr>
        <w:t xml:space="preserve">. SAGE Publications. </w:t>
      </w:r>
      <w:hyperlink r:id="rId23">
        <w:r>
          <w:rPr>
            <w:rFonts w:ascii="Times New Roman" w:eastAsia="Times New Roman" w:hAnsi="Times New Roman"/>
            <w:color w:val="0563C1"/>
            <w:u w:val="single"/>
          </w:rPr>
          <w:t>https://digitalcommons.kennesaw.edu/facbooks2014/39/</w:t>
        </w:r>
      </w:hyperlink>
    </w:p>
    <w:p w14:paraId="6FCA009F"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Hoque, M. Z., Chowdhury, N. J., Hossain, A. A., &amp; Tabassum, T. (2024). Social and facilitating influences in fintech user intention and the fintech gender gap. </w:t>
      </w:r>
      <w:r>
        <w:rPr>
          <w:rFonts w:ascii="Times New Roman" w:eastAsia="Times New Roman" w:hAnsi="Times New Roman"/>
          <w:i/>
        </w:rPr>
        <w:t>Heliyon, 10</w:t>
      </w:r>
      <w:r>
        <w:rPr>
          <w:rFonts w:ascii="Times New Roman" w:eastAsia="Times New Roman" w:hAnsi="Times New Roman"/>
        </w:rPr>
        <w:t xml:space="preserve">(1), e23457. </w:t>
      </w:r>
      <w:hyperlink r:id="rId24">
        <w:r>
          <w:rPr>
            <w:rFonts w:ascii="Times New Roman" w:eastAsia="Times New Roman" w:hAnsi="Times New Roman"/>
            <w:color w:val="0563C1"/>
            <w:u w:val="single"/>
          </w:rPr>
          <w:t>https://doi.org/10.1016/j.heliyon.2023.e23457</w:t>
        </w:r>
      </w:hyperlink>
    </w:p>
    <w:p w14:paraId="3386C907" w14:textId="77777777" w:rsidR="00E16193" w:rsidRPr="0096374B" w:rsidRDefault="00102B76" w:rsidP="00D2096F">
      <w:pPr>
        <w:spacing w:line="240" w:lineRule="auto"/>
        <w:ind w:left="720" w:hanging="720"/>
        <w:rPr>
          <w:rFonts w:ascii="Times New Roman" w:hAnsi="Times New Roman" w:cs="Times New Roman"/>
        </w:rPr>
      </w:pPr>
      <w:r>
        <w:rPr>
          <w:rFonts w:ascii="Times New Roman" w:eastAsia="Times New Roman" w:hAnsi="Times New Roman"/>
        </w:rPr>
        <w:t xml:space="preserve">Isanawikrama, Hutomo, E. D., Irawan, I., &amp; Aguzman, G. (2023). Effect of payment gateways towards online shopping behavior in SME in Indonesia. </w:t>
      </w:r>
      <w:r>
        <w:rPr>
          <w:rFonts w:ascii="Times New Roman" w:eastAsia="Times New Roman" w:hAnsi="Times New Roman"/>
          <w:i/>
        </w:rPr>
        <w:t>E3S Web of Conferences, 426</w:t>
      </w:r>
      <w:r>
        <w:rPr>
          <w:rFonts w:ascii="Times New Roman" w:eastAsia="Times New Roman" w:hAnsi="Times New Roman"/>
        </w:rPr>
        <w:t xml:space="preserve">, 02018. </w:t>
      </w:r>
      <w:hyperlink r:id="rId25">
        <w:r>
          <w:rPr>
            <w:rFonts w:ascii="Times New Roman" w:eastAsia="Times New Roman" w:hAnsi="Times New Roman"/>
            <w:color w:val="0563C1"/>
            <w:u w:val="single"/>
          </w:rPr>
          <w:t>https://doi.org/10.1051/e3sconf/202342602018</w:t>
        </w:r>
      </w:hyperlink>
    </w:p>
    <w:p w14:paraId="54DACF5C"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Ismail, N., Roslan, N. A., Mohd Fauzi, N. A., &amp; Md Husin, M. (2018). Perceived security and consumer trust in adoption of Fintech service. In N. Nadiah Ahmad, N. Raida Abd Rahman, E. Esa, F. Hanim Abdul Rauf, &amp; W. Farhah (Eds.), </w:t>
      </w:r>
      <w:r>
        <w:rPr>
          <w:rFonts w:ascii="Times New Roman" w:eastAsia="Times New Roman" w:hAnsi="Times New Roman"/>
          <w:i/>
        </w:rPr>
        <w:t>Interdisciplinary sustainability perspectives: Engaging environmental, cultural, economic and social concerns</w:t>
      </w:r>
      <w:r>
        <w:rPr>
          <w:rFonts w:ascii="Times New Roman" w:eastAsia="Times New Roman" w:hAnsi="Times New Roman"/>
        </w:rPr>
        <w:t xml:space="preserve"> (Vol. 44, pp. 650–659). European Proceedings of Social and Behavioural Sciences. </w:t>
      </w:r>
      <w:hyperlink r:id="rId26">
        <w:r>
          <w:rPr>
            <w:rFonts w:ascii="Times New Roman" w:eastAsia="Times New Roman" w:hAnsi="Times New Roman"/>
            <w:color w:val="0563C1"/>
            <w:u w:val="single"/>
          </w:rPr>
          <w:t>https://doi.org/10.15405/epsbs.2018.07.02.70</w:t>
        </w:r>
      </w:hyperlink>
    </w:p>
    <w:p w14:paraId="6951D0A4"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Kang, J. (2018). Mobile payment in Fintech environment: Trends, security challenges, and services. </w:t>
      </w:r>
      <w:r>
        <w:rPr>
          <w:rFonts w:ascii="Times New Roman" w:eastAsia="Times New Roman" w:hAnsi="Times New Roman"/>
          <w:i/>
        </w:rPr>
        <w:t>Human-centric Computing and Information Sciences, 8</w:t>
      </w:r>
      <w:r>
        <w:rPr>
          <w:rFonts w:ascii="Times New Roman" w:eastAsia="Times New Roman" w:hAnsi="Times New Roman"/>
        </w:rPr>
        <w:t xml:space="preserve">, Article 32. </w:t>
      </w:r>
      <w:hyperlink r:id="rId27">
        <w:r>
          <w:rPr>
            <w:rFonts w:ascii="Times New Roman" w:eastAsia="Times New Roman" w:hAnsi="Times New Roman"/>
            <w:color w:val="0563C1"/>
            <w:u w:val="single"/>
          </w:rPr>
          <w:t>https://doi.org/10.1186/s13673-018-0155-4</w:t>
        </w:r>
      </w:hyperlink>
    </w:p>
    <w:p w14:paraId="02BE03B7"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Katz, E., Blumler, J. G., &amp; Gurevitch, M. (1973). Uses and gratifications research. </w:t>
      </w:r>
      <w:r>
        <w:rPr>
          <w:rFonts w:ascii="Times New Roman" w:eastAsia="Times New Roman" w:hAnsi="Times New Roman"/>
          <w:i/>
        </w:rPr>
        <w:t>Public Opinion Quarterly, 37</w:t>
      </w:r>
      <w:r>
        <w:rPr>
          <w:rFonts w:ascii="Times New Roman" w:eastAsia="Times New Roman" w:hAnsi="Times New Roman"/>
        </w:rPr>
        <w:t xml:space="preserve">(4), 509–523. </w:t>
      </w:r>
      <w:hyperlink r:id="rId28">
        <w:r>
          <w:rPr>
            <w:rFonts w:ascii="Times New Roman" w:eastAsia="Times New Roman" w:hAnsi="Times New Roman"/>
            <w:color w:val="0563C1"/>
            <w:u w:val="single"/>
          </w:rPr>
          <w:t>https://doi.org/10.1086/268109</w:t>
        </w:r>
      </w:hyperlink>
    </w:p>
    <w:p w14:paraId="4EA138AE"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Lui, A. T., Ozor, P., Emma-Ebere, O., Uzochukwu, S., Ezemonye, L., &amp; Odejimi, D. (2025). Improving women’s digital and financial inclusion in Nigeria: A nudging and capacity based human rights framework. </w:t>
      </w:r>
      <w:r>
        <w:rPr>
          <w:rFonts w:ascii="Times New Roman" w:eastAsia="Times New Roman" w:hAnsi="Times New Roman"/>
          <w:i/>
        </w:rPr>
        <w:t>Journal of Banking Regulation, 26</w:t>
      </w:r>
      <w:r>
        <w:rPr>
          <w:rFonts w:ascii="Times New Roman" w:eastAsia="Times New Roman" w:hAnsi="Times New Roman"/>
        </w:rPr>
        <w:t xml:space="preserve">, 891–909. </w:t>
      </w:r>
      <w:hyperlink r:id="rId29">
        <w:r>
          <w:rPr>
            <w:rFonts w:ascii="Times New Roman" w:eastAsia="Times New Roman" w:hAnsi="Times New Roman"/>
            <w:color w:val="0563C1"/>
            <w:u w:val="single"/>
          </w:rPr>
          <w:t>https://doi.org/10.1057/s41261-025-00292-z</w:t>
        </w:r>
      </w:hyperlink>
    </w:p>
    <w:p w14:paraId="1A0843B5"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Lyons, A. C., Kass-Hanna, J., &amp; Fava, A. (2022). Fintech development and savings, borrowing, and remittances: A comparative study of emerging economies. </w:t>
      </w:r>
      <w:r>
        <w:rPr>
          <w:rFonts w:ascii="Times New Roman" w:eastAsia="Times New Roman" w:hAnsi="Times New Roman"/>
          <w:i/>
        </w:rPr>
        <w:t>Emerging Markets Review, 51</w:t>
      </w:r>
      <w:r>
        <w:rPr>
          <w:rFonts w:ascii="Times New Roman" w:eastAsia="Times New Roman" w:hAnsi="Times New Roman"/>
        </w:rPr>
        <w:t xml:space="preserve">, 100842. </w:t>
      </w:r>
      <w:hyperlink r:id="rId30">
        <w:r>
          <w:rPr>
            <w:rFonts w:ascii="Times New Roman" w:eastAsia="Times New Roman" w:hAnsi="Times New Roman"/>
            <w:color w:val="0563C1"/>
            <w:u w:val="single"/>
          </w:rPr>
          <w:t>https://doi.org/10.1016/j.ememar.2021.100842</w:t>
        </w:r>
      </w:hyperlink>
    </w:p>
    <w:p w14:paraId="4A1A2EBA"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Meher, S., &amp; Mishra, L. (2026). Digital financial transformation in India: The role of fintech innovation and remittance dynamics. </w:t>
      </w:r>
      <w:r>
        <w:rPr>
          <w:rFonts w:ascii="Times New Roman" w:eastAsia="Times New Roman" w:hAnsi="Times New Roman"/>
          <w:i/>
        </w:rPr>
        <w:t>Asian Journal of Economics, Business and Accounting, 26</w:t>
      </w:r>
      <w:r>
        <w:rPr>
          <w:rFonts w:ascii="Times New Roman" w:eastAsia="Times New Roman" w:hAnsi="Times New Roman"/>
        </w:rPr>
        <w:t xml:space="preserve">(6), 158–166. </w:t>
      </w:r>
      <w:hyperlink r:id="rId31">
        <w:r>
          <w:rPr>
            <w:rFonts w:ascii="Times New Roman" w:eastAsia="Times New Roman" w:hAnsi="Times New Roman"/>
            <w:color w:val="0563C1"/>
            <w:u w:val="single"/>
          </w:rPr>
          <w:t>https://doi.org/10.9734/ajeba/2026/v26i62297</w:t>
        </w:r>
      </w:hyperlink>
    </w:p>
    <w:p w14:paraId="697F6358"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Museba, T. J., Ranganai, E., &amp; Gianfrate, G. (2021). Customer perception of adoption and use of digital financial services and mobile money services in Uganda. </w:t>
      </w:r>
      <w:r>
        <w:rPr>
          <w:rFonts w:ascii="Times New Roman" w:eastAsia="Times New Roman" w:hAnsi="Times New Roman"/>
          <w:i/>
        </w:rPr>
        <w:t>Journal of Enterprising Communities: People and Places in the Global Economy, 15</w:t>
      </w:r>
      <w:r>
        <w:rPr>
          <w:rFonts w:ascii="Times New Roman" w:eastAsia="Times New Roman" w:hAnsi="Times New Roman"/>
        </w:rPr>
        <w:t xml:space="preserve">(2), 177–203. </w:t>
      </w:r>
      <w:hyperlink r:id="rId32">
        <w:r>
          <w:rPr>
            <w:rFonts w:ascii="Times New Roman" w:eastAsia="Times New Roman" w:hAnsi="Times New Roman"/>
            <w:color w:val="0563C1"/>
            <w:u w:val="single"/>
          </w:rPr>
          <w:t>https://doi.org/10.1108/JEC-07-2020-0127</w:t>
        </w:r>
      </w:hyperlink>
    </w:p>
    <w:p w14:paraId="571315A3" w14:textId="77777777" w:rsidR="00E16193" w:rsidRPr="0096374B" w:rsidRDefault="00102B76" w:rsidP="00D2096F">
      <w:pPr>
        <w:spacing w:line="240" w:lineRule="auto"/>
        <w:ind w:left="720" w:hanging="720"/>
        <w:rPr>
          <w:rFonts w:ascii="Times New Roman" w:hAnsi="Times New Roman" w:cs="Times New Roman"/>
        </w:rPr>
      </w:pPr>
      <w:r>
        <w:rPr>
          <w:rFonts w:ascii="Times New Roman" w:eastAsia="Times New Roman" w:hAnsi="Times New Roman"/>
        </w:rPr>
        <w:t xml:space="preserve">Nayak, K., Singh, P., &amp; Dave, P. (2021). </w:t>
      </w:r>
      <w:proofErr w:type="gramStart"/>
      <w:r>
        <w:rPr>
          <w:rFonts w:ascii="Times New Roman" w:eastAsia="Times New Roman" w:hAnsi="Times New Roman"/>
        </w:rPr>
        <w:t>Does</w:t>
      </w:r>
      <w:proofErr w:type="gramEnd"/>
      <w:r>
        <w:rPr>
          <w:rFonts w:ascii="Times New Roman" w:eastAsia="Times New Roman" w:hAnsi="Times New Roman"/>
        </w:rPr>
        <w:t xml:space="preserve"> data security and trust affect the users of FinTech? </w:t>
      </w:r>
      <w:r>
        <w:rPr>
          <w:rFonts w:ascii="Times New Roman" w:eastAsia="Times New Roman" w:hAnsi="Times New Roman"/>
          <w:i/>
        </w:rPr>
        <w:t>International Journal of Management, 12</w:t>
      </w:r>
      <w:r>
        <w:rPr>
          <w:rFonts w:ascii="Times New Roman" w:eastAsia="Times New Roman" w:hAnsi="Times New Roman"/>
        </w:rPr>
        <w:t xml:space="preserve">(1), 191–206. </w:t>
      </w:r>
      <w:hyperlink r:id="rId33">
        <w:r>
          <w:rPr>
            <w:rFonts w:ascii="Times New Roman" w:eastAsia="Times New Roman" w:hAnsi="Times New Roman"/>
            <w:color w:val="0563C1"/>
            <w:u w:val="single"/>
          </w:rPr>
          <w:t>https://doi.org/10.34218/IJM.12.1.2021.016</w:t>
        </w:r>
      </w:hyperlink>
    </w:p>
    <w:p w14:paraId="1231F2EC"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Nigeria Inter-Bank Settlement System. (2024). </w:t>
      </w:r>
      <w:r>
        <w:rPr>
          <w:rFonts w:ascii="Times New Roman" w:eastAsia="Times New Roman" w:hAnsi="Times New Roman"/>
          <w:i/>
        </w:rPr>
        <w:t>Nigeria recorded N600 trillion e-payment transactions in 2023</w:t>
      </w:r>
      <w:r>
        <w:rPr>
          <w:rFonts w:ascii="Times New Roman" w:eastAsia="Times New Roman" w:hAnsi="Times New Roman"/>
        </w:rPr>
        <w:t xml:space="preserve">. </w:t>
      </w:r>
      <w:hyperlink r:id="rId34">
        <w:r>
          <w:rPr>
            <w:rFonts w:ascii="Times New Roman" w:eastAsia="Times New Roman" w:hAnsi="Times New Roman"/>
            <w:color w:val="0563C1"/>
            <w:u w:val="single"/>
          </w:rPr>
          <w:t>https://nibss-plc.com.ng/nigeria-recorded-n600-trillion-e-payment-transactions-in-2023/</w:t>
        </w:r>
      </w:hyperlink>
    </w:p>
    <w:p w14:paraId="21410002"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lastRenderedPageBreak/>
        <w:t xml:space="preserve">Purwantini, A. H., &amp; Anisa, F. (2021). FinTech payment adoption among micro-enterprises: The role of perceived risk and trust. </w:t>
      </w:r>
      <w:r>
        <w:rPr>
          <w:rFonts w:ascii="Times New Roman" w:eastAsia="Times New Roman" w:hAnsi="Times New Roman"/>
          <w:i/>
        </w:rPr>
        <w:t>Jurnal ASET (Akuntansi Riset), 13</w:t>
      </w:r>
      <w:r>
        <w:rPr>
          <w:rFonts w:ascii="Times New Roman" w:eastAsia="Times New Roman" w:hAnsi="Times New Roman"/>
        </w:rPr>
        <w:t xml:space="preserve">(2), 375–386. </w:t>
      </w:r>
      <w:hyperlink r:id="rId35">
        <w:r>
          <w:rPr>
            <w:rFonts w:ascii="Times New Roman" w:eastAsia="Times New Roman" w:hAnsi="Times New Roman"/>
            <w:color w:val="0563C1"/>
            <w:u w:val="single"/>
          </w:rPr>
          <w:t>https://doi.org/10.17509/jaset.v13i2.37212</w:t>
        </w:r>
      </w:hyperlink>
    </w:p>
    <w:p w14:paraId="55AA1003"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PwC Nigeria. (2023). </w:t>
      </w:r>
      <w:r>
        <w:rPr>
          <w:rFonts w:ascii="Times New Roman" w:eastAsia="Times New Roman" w:hAnsi="Times New Roman"/>
          <w:i/>
        </w:rPr>
        <w:t>Growing the Nigerian technology ecosystem through the capital market</w:t>
      </w:r>
      <w:r>
        <w:rPr>
          <w:rFonts w:ascii="Times New Roman" w:eastAsia="Times New Roman" w:hAnsi="Times New Roman"/>
        </w:rPr>
        <w:t xml:space="preserve">. </w:t>
      </w:r>
      <w:hyperlink r:id="rId36">
        <w:r>
          <w:rPr>
            <w:rFonts w:ascii="Times New Roman" w:eastAsia="Times New Roman" w:hAnsi="Times New Roman"/>
            <w:color w:val="0563C1"/>
            <w:u w:val="single"/>
          </w:rPr>
          <w:t>https://www.pwc.com/ng/en/assets/pdf/growing-the-nigeria-technology-ecosystem.pdf</w:t>
        </w:r>
      </w:hyperlink>
    </w:p>
    <w:p w14:paraId="78352146"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Sam-Abugu, C., Luo, X., &amp; Wong, B. (2025). The combined role of FinTech innovation and financial literacy in sustainable financial inclusion in Nigeria. </w:t>
      </w:r>
      <w:r>
        <w:rPr>
          <w:rFonts w:ascii="Times New Roman" w:eastAsia="Times New Roman" w:hAnsi="Times New Roman"/>
          <w:i/>
        </w:rPr>
        <w:t>International Review of Economics, 72</w:t>
      </w:r>
      <w:r>
        <w:rPr>
          <w:rFonts w:ascii="Times New Roman" w:eastAsia="Times New Roman" w:hAnsi="Times New Roman"/>
        </w:rPr>
        <w:t xml:space="preserve">, Article 14. </w:t>
      </w:r>
      <w:hyperlink r:id="rId37">
        <w:r>
          <w:rPr>
            <w:rFonts w:ascii="Times New Roman" w:eastAsia="Times New Roman" w:hAnsi="Times New Roman"/>
            <w:color w:val="0563C1"/>
            <w:u w:val="single"/>
          </w:rPr>
          <w:t>https://doi.org/10.1007/s12232-025-00490-1</w:t>
        </w:r>
      </w:hyperlink>
    </w:p>
    <w:p w14:paraId="294A60A2" w14:textId="77777777" w:rsidR="007E590E" w:rsidRPr="0096374B" w:rsidRDefault="00000000">
      <w:pPr>
        <w:spacing w:line="240" w:lineRule="auto"/>
        <w:ind w:left="720" w:hanging="720"/>
      </w:pPr>
      <w:r>
        <w:rPr>
          <w:rFonts w:ascii="Times New Roman" w:eastAsia="Times New Roman" w:hAnsi="Times New Roman"/>
        </w:rPr>
        <w:t xml:space="preserve">Singh, V. (2026). Financial technology and economic inclusion: A comparative analysis of developed and developing economies. </w:t>
      </w:r>
      <w:r>
        <w:rPr>
          <w:rFonts w:ascii="Times New Roman" w:eastAsia="Times New Roman" w:hAnsi="Times New Roman"/>
          <w:i/>
        </w:rPr>
        <w:t>Asian Journal of Current Research, 11</w:t>
      </w:r>
      <w:r>
        <w:rPr>
          <w:rFonts w:ascii="Times New Roman" w:eastAsia="Times New Roman" w:hAnsi="Times New Roman"/>
        </w:rPr>
        <w:t xml:space="preserve">(1), 1–10. </w:t>
      </w:r>
      <w:hyperlink r:id="rId38">
        <w:r w:rsidR="007E590E">
          <w:rPr>
            <w:rFonts w:ascii="Times New Roman" w:eastAsia="Times New Roman" w:hAnsi="Times New Roman"/>
            <w:color w:val="0563C1"/>
            <w:u w:val="single"/>
          </w:rPr>
          <w:t>https://doi.org/10.56557/ajocr/2026/v11i110134</w:t>
        </w:r>
      </w:hyperlink>
    </w:p>
    <w:p w14:paraId="2569F767"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Slazus, B. J., &amp; Bick, G. (2022). Factors that influence FinTech adoption in South Africa: A study of consumer behaviour towards branchless mobile banking. </w:t>
      </w:r>
      <w:r>
        <w:rPr>
          <w:rFonts w:ascii="Times New Roman" w:eastAsia="Times New Roman" w:hAnsi="Times New Roman"/>
          <w:i/>
        </w:rPr>
        <w:t>Athens Journal of Business &amp; Economics, 8</w:t>
      </w:r>
      <w:r>
        <w:rPr>
          <w:rFonts w:ascii="Times New Roman" w:eastAsia="Times New Roman" w:hAnsi="Times New Roman"/>
        </w:rPr>
        <w:t xml:space="preserve">(1), 43–64. </w:t>
      </w:r>
      <w:hyperlink r:id="rId39">
        <w:r>
          <w:rPr>
            <w:rFonts w:ascii="Times New Roman" w:eastAsia="Times New Roman" w:hAnsi="Times New Roman"/>
            <w:color w:val="0563C1"/>
            <w:u w:val="single"/>
          </w:rPr>
          <w:t>https://doi.org/10.30958/ajbe.8-1-3</w:t>
        </w:r>
      </w:hyperlink>
    </w:p>
    <w:p w14:paraId="6D44E802"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Tripathi, S., &amp; Rajeev, M. (2023). Gender-inclusive development through Fintech: Studying gender-based digital financial inclusion in a cross-country setting. </w:t>
      </w:r>
      <w:r>
        <w:rPr>
          <w:rFonts w:ascii="Times New Roman" w:eastAsia="Times New Roman" w:hAnsi="Times New Roman"/>
          <w:i/>
        </w:rPr>
        <w:t>Sustainability, 15</w:t>
      </w:r>
      <w:r>
        <w:rPr>
          <w:rFonts w:ascii="Times New Roman" w:eastAsia="Times New Roman" w:hAnsi="Times New Roman"/>
        </w:rPr>
        <w:t xml:space="preserve">(13), 10253. </w:t>
      </w:r>
      <w:hyperlink r:id="rId40">
        <w:r>
          <w:rPr>
            <w:rFonts w:ascii="Times New Roman" w:eastAsia="Times New Roman" w:hAnsi="Times New Roman"/>
            <w:color w:val="0563C1"/>
            <w:u w:val="single"/>
          </w:rPr>
          <w:t>https://doi.org/10.3390/su151310253</w:t>
        </w:r>
      </w:hyperlink>
    </w:p>
    <w:p w14:paraId="07857A68"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Venkatesh, V., &amp; Davis, F. D. (2000). A theoretical extension of the technology acceptance model: Four longitudinal field studies. </w:t>
      </w:r>
      <w:r>
        <w:rPr>
          <w:rFonts w:ascii="Times New Roman" w:eastAsia="Times New Roman" w:hAnsi="Times New Roman"/>
          <w:i/>
        </w:rPr>
        <w:t>Management Science, 46</w:t>
      </w:r>
      <w:r>
        <w:rPr>
          <w:rFonts w:ascii="Times New Roman" w:eastAsia="Times New Roman" w:hAnsi="Times New Roman"/>
        </w:rPr>
        <w:t xml:space="preserve">(2), 186–204. </w:t>
      </w:r>
      <w:hyperlink r:id="rId41">
        <w:r>
          <w:rPr>
            <w:rFonts w:ascii="Times New Roman" w:eastAsia="Times New Roman" w:hAnsi="Times New Roman"/>
            <w:color w:val="0563C1"/>
            <w:u w:val="single"/>
          </w:rPr>
          <w:t>https://doi.org/10.1287/mnsc.46.2.186.11926</w:t>
        </w:r>
      </w:hyperlink>
    </w:p>
    <w:p w14:paraId="26B5ADFE"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Verhagen, T., &amp; van Dolen, W. (2011). The influence of online store beliefs on consumer online impulse buying: A model and empirical application. </w:t>
      </w:r>
      <w:r>
        <w:rPr>
          <w:rFonts w:ascii="Times New Roman" w:eastAsia="Times New Roman" w:hAnsi="Times New Roman"/>
          <w:i/>
        </w:rPr>
        <w:t>Information &amp; Management, 48</w:t>
      </w:r>
      <w:r>
        <w:rPr>
          <w:rFonts w:ascii="Times New Roman" w:eastAsia="Times New Roman" w:hAnsi="Times New Roman"/>
        </w:rPr>
        <w:t xml:space="preserve">(8), 320–327. </w:t>
      </w:r>
      <w:hyperlink r:id="rId42">
        <w:r>
          <w:rPr>
            <w:rFonts w:ascii="Times New Roman" w:eastAsia="Times New Roman" w:hAnsi="Times New Roman"/>
            <w:color w:val="0563C1"/>
            <w:u w:val="single"/>
          </w:rPr>
          <w:t>https://doi.org/10.1016/j.im.2011.08.001</w:t>
        </w:r>
      </w:hyperlink>
    </w:p>
    <w:p w14:paraId="22E0A452"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Yo, P. W., Kee, D. M. H., Yu, J. W., Hu, M. K., Jong, Y. C., Ahmed, Z., Gwee, S. L., Gawade, O., &amp; Nair, R. K. (2021). The influencing factors of customer satisfaction: A case study of Shopee in Malaysia. </w:t>
      </w:r>
      <w:r>
        <w:rPr>
          <w:rFonts w:ascii="Times New Roman" w:eastAsia="Times New Roman" w:hAnsi="Times New Roman"/>
          <w:i/>
        </w:rPr>
        <w:t>Studies of Applied Economics, 39</w:t>
      </w:r>
      <w:r>
        <w:rPr>
          <w:rFonts w:ascii="Times New Roman" w:eastAsia="Times New Roman" w:hAnsi="Times New Roman"/>
        </w:rPr>
        <w:t xml:space="preserve">(12). </w:t>
      </w:r>
      <w:hyperlink r:id="rId43">
        <w:r>
          <w:rPr>
            <w:rFonts w:ascii="Times New Roman" w:eastAsia="Times New Roman" w:hAnsi="Times New Roman"/>
            <w:color w:val="0563C1"/>
            <w:u w:val="single"/>
          </w:rPr>
          <w:t>https://doi.org/10.25115/eea.v39i12.6839</w:t>
        </w:r>
      </w:hyperlink>
    </w:p>
    <w:p w14:paraId="1F0C965D" w14:textId="77777777" w:rsidR="00FA53C2" w:rsidRPr="0096374B" w:rsidRDefault="00FA53C2" w:rsidP="00D2096F">
      <w:pPr>
        <w:spacing w:line="240" w:lineRule="auto"/>
        <w:ind w:left="720" w:hanging="720"/>
        <w:rPr>
          <w:rFonts w:ascii="Times New Roman" w:hAnsi="Times New Roman" w:cs="Times New Roman"/>
        </w:rPr>
      </w:pPr>
      <w:r>
        <w:rPr>
          <w:rFonts w:ascii="Times New Roman" w:eastAsia="Times New Roman" w:hAnsi="Times New Roman"/>
        </w:rPr>
        <w:t xml:space="preserve">Zhang, L. L., &amp; Kim, H. K. (2020). The influence of financial service characteristics on use intention through customer satisfaction with mobile FinTech. </w:t>
      </w:r>
      <w:r>
        <w:rPr>
          <w:rFonts w:ascii="Times New Roman" w:eastAsia="Times New Roman" w:hAnsi="Times New Roman"/>
          <w:i/>
        </w:rPr>
        <w:t>Journal of System and Management Sciences, 10</w:t>
      </w:r>
      <w:r>
        <w:rPr>
          <w:rFonts w:ascii="Times New Roman" w:eastAsia="Times New Roman" w:hAnsi="Times New Roman"/>
        </w:rPr>
        <w:t xml:space="preserve">(2), 82–94. </w:t>
      </w:r>
      <w:hyperlink r:id="rId44">
        <w:r>
          <w:rPr>
            <w:rFonts w:ascii="Times New Roman" w:eastAsia="Times New Roman" w:hAnsi="Times New Roman"/>
            <w:color w:val="0563C1"/>
            <w:u w:val="single"/>
          </w:rPr>
          <w:t>https://doi.org/10.33168/jsms.2020.0206</w:t>
        </w:r>
      </w:hyperlink>
    </w:p>
    <w:p w14:paraId="40F12695" w14:textId="77777777" w:rsidR="00B827E3" w:rsidRPr="00EE665C" w:rsidRDefault="00B827E3" w:rsidP="00FF00EF">
      <w:pPr>
        <w:spacing w:line="360" w:lineRule="auto"/>
        <w:rPr>
          <w:rFonts w:ascii="Times New Roman" w:hAnsi="Times New Roman" w:cs="Times New Roman"/>
          <w:b/>
          <w:bCs/>
        </w:rPr>
      </w:pPr>
    </w:p>
    <w:p w14:paraId="0D3278F1" w14:textId="77777777" w:rsidR="00AF38F5" w:rsidRDefault="00AF38F5"/>
    <w:sectPr w:rsidR="00AF38F5" w:rsidSect="000F7E84">
      <w:headerReference w:type="even" r:id="rId45"/>
      <w:headerReference w:type="default" r:id="rId46"/>
      <w:footerReference w:type="even" r:id="rId47"/>
      <w:footerReference w:type="default" r:id="rId48"/>
      <w:headerReference w:type="first" r:id="rId49"/>
      <w:footerReference w:type="first" r:id="rId50"/>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E17C" w14:textId="77777777" w:rsidR="00AF38F5" w:rsidRDefault="00AF38F5" w:rsidP="00DC6777">
      <w:pPr>
        <w:spacing w:after="0" w:line="240" w:lineRule="auto"/>
      </w:pPr>
      <w:r>
        <w:separator/>
      </w:r>
    </w:p>
  </w:endnote>
  <w:endnote w:type="continuationSeparator" w:id="0">
    <w:p w14:paraId="21150B62" w14:textId="77777777" w:rsidR="00AF38F5" w:rsidRDefault="00AF38F5" w:rsidP="00DC6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028B" w14:textId="77777777" w:rsidR="00DC6777" w:rsidRDefault="00DC6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CEC3" w14:textId="77777777" w:rsidR="00DC6777" w:rsidRDefault="00DC6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A388" w14:textId="77777777" w:rsidR="00DC6777" w:rsidRDefault="00DC6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34708" w14:textId="77777777" w:rsidR="00AF38F5" w:rsidRDefault="00AF38F5" w:rsidP="00DC6777">
      <w:pPr>
        <w:spacing w:after="0" w:line="240" w:lineRule="auto"/>
      </w:pPr>
      <w:r>
        <w:separator/>
      </w:r>
    </w:p>
  </w:footnote>
  <w:footnote w:type="continuationSeparator" w:id="0">
    <w:p w14:paraId="4CF768E2" w14:textId="77777777" w:rsidR="00AF38F5" w:rsidRDefault="00AF38F5" w:rsidP="00DC6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924D" w14:textId="77777777" w:rsidR="00DC6777" w:rsidRDefault="00000000">
    <w:pPr>
      <w:pStyle w:val="Header"/>
    </w:pPr>
    <w:r>
      <w:rPr>
        <w:noProof/>
      </w:rPr>
      <w:pict w14:anchorId="5FAF0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570766" o:spid="_x0000_s1026" type="#_x0000_t136" style="position:absolute;margin-left:0;margin-top:0;width:576.95pt;height:108.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A6AD" w14:textId="77777777" w:rsidR="00DC6777" w:rsidRDefault="00000000">
    <w:pPr>
      <w:pStyle w:val="Header"/>
    </w:pPr>
    <w:r>
      <w:rPr>
        <w:noProof/>
      </w:rPr>
      <w:pict w14:anchorId="03564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570767" o:spid="_x0000_s1027" type="#_x0000_t136" style="position:absolute;margin-left:0;margin-top:0;width:576.95pt;height:108.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394C" w14:textId="77777777" w:rsidR="00DC6777" w:rsidRDefault="00000000">
    <w:pPr>
      <w:pStyle w:val="Header"/>
    </w:pPr>
    <w:r>
      <w:rPr>
        <w:noProof/>
      </w:rPr>
      <w:pict w14:anchorId="58B575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570765" o:spid="_x0000_s1025" type="#_x0000_t136" style="position:absolute;margin-left:0;margin-top:0;width:576.95pt;height:108.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64BC"/>
    <w:multiLevelType w:val="multilevel"/>
    <w:tmpl w:val="AF76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31D61"/>
    <w:multiLevelType w:val="multilevel"/>
    <w:tmpl w:val="8138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053B8"/>
    <w:multiLevelType w:val="hybridMultilevel"/>
    <w:tmpl w:val="13680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F3DCD"/>
    <w:multiLevelType w:val="multilevel"/>
    <w:tmpl w:val="4978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E5168"/>
    <w:multiLevelType w:val="hybridMultilevel"/>
    <w:tmpl w:val="422AD75A"/>
    <w:lvl w:ilvl="0" w:tplc="629EDE5E">
      <w:start w:val="1"/>
      <w:numFmt w:val="lowerLetter"/>
      <w:lvlText w:val="%1."/>
      <w:lvlJc w:val="left"/>
      <w:pPr>
        <w:ind w:left="420" w:hanging="360"/>
      </w:pPr>
      <w:rPr>
        <w:rFonts w:ascii="Arial" w:hAnsi="Arial" w:cs="Arial" w:hint="default"/>
        <w:color w:val="010205"/>
        <w:sz w:val="1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757E2F5D"/>
    <w:multiLevelType w:val="multilevel"/>
    <w:tmpl w:val="61989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7C1EEC"/>
    <w:multiLevelType w:val="multilevel"/>
    <w:tmpl w:val="0D2E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0912584">
    <w:abstractNumId w:val="0"/>
  </w:num>
  <w:num w:numId="2" w16cid:durableId="945620323">
    <w:abstractNumId w:val="5"/>
  </w:num>
  <w:num w:numId="3" w16cid:durableId="1211456949">
    <w:abstractNumId w:val="3"/>
  </w:num>
  <w:num w:numId="4" w16cid:durableId="915284865">
    <w:abstractNumId w:val="1"/>
  </w:num>
  <w:num w:numId="5" w16cid:durableId="596402942">
    <w:abstractNumId w:val="6"/>
  </w:num>
  <w:num w:numId="6" w16cid:durableId="539826984">
    <w:abstractNumId w:val="4"/>
  </w:num>
  <w:num w:numId="7" w16cid:durableId="153304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1MDM3MTExMjCytDBV0lEKTi0uzszPAykwrAUAaPDxRywAAAA="/>
  </w:docVars>
  <w:rsids>
    <w:rsidRoot w:val="00A510CF"/>
    <w:rsid w:val="00020878"/>
    <w:rsid w:val="00084026"/>
    <w:rsid w:val="00094BA1"/>
    <w:rsid w:val="000B7E5E"/>
    <w:rsid w:val="000C2A52"/>
    <w:rsid w:val="000E7B3D"/>
    <w:rsid w:val="000F3E2D"/>
    <w:rsid w:val="000F7E84"/>
    <w:rsid w:val="00102B76"/>
    <w:rsid w:val="00115BFE"/>
    <w:rsid w:val="00123BC9"/>
    <w:rsid w:val="00157DE7"/>
    <w:rsid w:val="00166705"/>
    <w:rsid w:val="00186E38"/>
    <w:rsid w:val="00191CA9"/>
    <w:rsid w:val="001957F8"/>
    <w:rsid w:val="001B462A"/>
    <w:rsid w:val="001B62EF"/>
    <w:rsid w:val="002274FD"/>
    <w:rsid w:val="00237DAD"/>
    <w:rsid w:val="00256CBB"/>
    <w:rsid w:val="00283325"/>
    <w:rsid w:val="002B5248"/>
    <w:rsid w:val="002C7A50"/>
    <w:rsid w:val="002E18DA"/>
    <w:rsid w:val="002E2F48"/>
    <w:rsid w:val="002E4B85"/>
    <w:rsid w:val="00305B0B"/>
    <w:rsid w:val="00306664"/>
    <w:rsid w:val="00327E2D"/>
    <w:rsid w:val="00386684"/>
    <w:rsid w:val="003945AD"/>
    <w:rsid w:val="003B2DFD"/>
    <w:rsid w:val="003C0DF4"/>
    <w:rsid w:val="003E1DAF"/>
    <w:rsid w:val="003F6B49"/>
    <w:rsid w:val="00413350"/>
    <w:rsid w:val="00413BFA"/>
    <w:rsid w:val="0041689C"/>
    <w:rsid w:val="004235F4"/>
    <w:rsid w:val="00427132"/>
    <w:rsid w:val="004329D2"/>
    <w:rsid w:val="00473C5C"/>
    <w:rsid w:val="004864BA"/>
    <w:rsid w:val="004C1508"/>
    <w:rsid w:val="0052628E"/>
    <w:rsid w:val="0053613F"/>
    <w:rsid w:val="0054433E"/>
    <w:rsid w:val="0054662C"/>
    <w:rsid w:val="00586789"/>
    <w:rsid w:val="005974FF"/>
    <w:rsid w:val="005A04B0"/>
    <w:rsid w:val="005A2920"/>
    <w:rsid w:val="005C576A"/>
    <w:rsid w:val="00600DC6"/>
    <w:rsid w:val="00601EE2"/>
    <w:rsid w:val="00613DB2"/>
    <w:rsid w:val="00617B31"/>
    <w:rsid w:val="00635DA8"/>
    <w:rsid w:val="006615D4"/>
    <w:rsid w:val="0067293D"/>
    <w:rsid w:val="00681F66"/>
    <w:rsid w:val="006963C0"/>
    <w:rsid w:val="006974C1"/>
    <w:rsid w:val="006C399B"/>
    <w:rsid w:val="006D6584"/>
    <w:rsid w:val="006E7D00"/>
    <w:rsid w:val="006F3624"/>
    <w:rsid w:val="00724191"/>
    <w:rsid w:val="00735D01"/>
    <w:rsid w:val="007377F2"/>
    <w:rsid w:val="00751F08"/>
    <w:rsid w:val="00753D84"/>
    <w:rsid w:val="007728CF"/>
    <w:rsid w:val="0078084A"/>
    <w:rsid w:val="00796EC2"/>
    <w:rsid w:val="007A3543"/>
    <w:rsid w:val="007D62F6"/>
    <w:rsid w:val="007E00BB"/>
    <w:rsid w:val="007E35D8"/>
    <w:rsid w:val="007E590E"/>
    <w:rsid w:val="0080462D"/>
    <w:rsid w:val="00822C02"/>
    <w:rsid w:val="008337A0"/>
    <w:rsid w:val="008402A5"/>
    <w:rsid w:val="008717D1"/>
    <w:rsid w:val="00891CBB"/>
    <w:rsid w:val="008B559A"/>
    <w:rsid w:val="008D4BC9"/>
    <w:rsid w:val="008F3DED"/>
    <w:rsid w:val="0090167D"/>
    <w:rsid w:val="009164D1"/>
    <w:rsid w:val="00921367"/>
    <w:rsid w:val="00921C7C"/>
    <w:rsid w:val="00925DC5"/>
    <w:rsid w:val="009260FB"/>
    <w:rsid w:val="00926BE9"/>
    <w:rsid w:val="00947456"/>
    <w:rsid w:val="00957CFA"/>
    <w:rsid w:val="0096374B"/>
    <w:rsid w:val="009B3039"/>
    <w:rsid w:val="009C164A"/>
    <w:rsid w:val="009C1C08"/>
    <w:rsid w:val="009D65F7"/>
    <w:rsid w:val="00A15C0B"/>
    <w:rsid w:val="00A27417"/>
    <w:rsid w:val="00A50BB4"/>
    <w:rsid w:val="00A510CF"/>
    <w:rsid w:val="00A64FB6"/>
    <w:rsid w:val="00A933B5"/>
    <w:rsid w:val="00AA2D6E"/>
    <w:rsid w:val="00AB51C1"/>
    <w:rsid w:val="00AB77B4"/>
    <w:rsid w:val="00AE15BA"/>
    <w:rsid w:val="00AF38F5"/>
    <w:rsid w:val="00AF675A"/>
    <w:rsid w:val="00B33650"/>
    <w:rsid w:val="00B827E3"/>
    <w:rsid w:val="00BA0470"/>
    <w:rsid w:val="00BB42E5"/>
    <w:rsid w:val="00BC2624"/>
    <w:rsid w:val="00C5484E"/>
    <w:rsid w:val="00C57C8D"/>
    <w:rsid w:val="00C93440"/>
    <w:rsid w:val="00CC2C5A"/>
    <w:rsid w:val="00D07EA3"/>
    <w:rsid w:val="00D2096F"/>
    <w:rsid w:val="00D2604F"/>
    <w:rsid w:val="00D432B5"/>
    <w:rsid w:val="00D576CE"/>
    <w:rsid w:val="00D62994"/>
    <w:rsid w:val="00D775A7"/>
    <w:rsid w:val="00D81A5C"/>
    <w:rsid w:val="00D956B3"/>
    <w:rsid w:val="00DC2D42"/>
    <w:rsid w:val="00DC6777"/>
    <w:rsid w:val="00DF35AE"/>
    <w:rsid w:val="00E115F0"/>
    <w:rsid w:val="00E16193"/>
    <w:rsid w:val="00E165F2"/>
    <w:rsid w:val="00E5652D"/>
    <w:rsid w:val="00E607FA"/>
    <w:rsid w:val="00E65D3C"/>
    <w:rsid w:val="00E82F8E"/>
    <w:rsid w:val="00EC7732"/>
    <w:rsid w:val="00EE3B26"/>
    <w:rsid w:val="00EE665C"/>
    <w:rsid w:val="00F216A5"/>
    <w:rsid w:val="00F24EEB"/>
    <w:rsid w:val="00F31EAB"/>
    <w:rsid w:val="00F342C0"/>
    <w:rsid w:val="00F44565"/>
    <w:rsid w:val="00F51BFF"/>
    <w:rsid w:val="00F56854"/>
    <w:rsid w:val="00F729F1"/>
    <w:rsid w:val="00F93C81"/>
    <w:rsid w:val="00F94332"/>
    <w:rsid w:val="00F977C9"/>
    <w:rsid w:val="00FA53C2"/>
    <w:rsid w:val="00FD24BF"/>
    <w:rsid w:val="00FF0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09400"/>
  <w15:chartTrackingRefBased/>
  <w15:docId w15:val="{6C934A40-7EDC-4236-A5B1-FD52C569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0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10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10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10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10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1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0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10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10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10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10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1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0CF"/>
    <w:rPr>
      <w:rFonts w:eastAsiaTheme="majorEastAsia" w:cstheme="majorBidi"/>
      <w:color w:val="272727" w:themeColor="text1" w:themeTint="D8"/>
    </w:rPr>
  </w:style>
  <w:style w:type="paragraph" w:styleId="Title">
    <w:name w:val="Title"/>
    <w:basedOn w:val="Normal"/>
    <w:next w:val="Normal"/>
    <w:link w:val="TitleChar"/>
    <w:uiPriority w:val="10"/>
    <w:qFormat/>
    <w:rsid w:val="00A51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0CF"/>
    <w:pPr>
      <w:spacing w:before="160"/>
      <w:jc w:val="center"/>
    </w:pPr>
    <w:rPr>
      <w:i/>
      <w:iCs/>
      <w:color w:val="404040" w:themeColor="text1" w:themeTint="BF"/>
    </w:rPr>
  </w:style>
  <w:style w:type="character" w:customStyle="1" w:styleId="QuoteChar">
    <w:name w:val="Quote Char"/>
    <w:basedOn w:val="DefaultParagraphFont"/>
    <w:link w:val="Quote"/>
    <w:uiPriority w:val="29"/>
    <w:rsid w:val="00A510CF"/>
    <w:rPr>
      <w:i/>
      <w:iCs/>
      <w:color w:val="404040" w:themeColor="text1" w:themeTint="BF"/>
    </w:rPr>
  </w:style>
  <w:style w:type="paragraph" w:styleId="ListParagraph">
    <w:name w:val="List Paragraph"/>
    <w:basedOn w:val="Normal"/>
    <w:uiPriority w:val="34"/>
    <w:qFormat/>
    <w:rsid w:val="00A510CF"/>
    <w:pPr>
      <w:ind w:left="720"/>
      <w:contextualSpacing/>
    </w:pPr>
  </w:style>
  <w:style w:type="character" w:styleId="IntenseEmphasis">
    <w:name w:val="Intense Emphasis"/>
    <w:basedOn w:val="DefaultParagraphFont"/>
    <w:uiPriority w:val="21"/>
    <w:qFormat/>
    <w:rsid w:val="00A510CF"/>
    <w:rPr>
      <w:i/>
      <w:iCs/>
      <w:color w:val="2F5496" w:themeColor="accent1" w:themeShade="BF"/>
    </w:rPr>
  </w:style>
  <w:style w:type="paragraph" w:styleId="IntenseQuote">
    <w:name w:val="Intense Quote"/>
    <w:basedOn w:val="Normal"/>
    <w:next w:val="Normal"/>
    <w:link w:val="IntenseQuoteChar"/>
    <w:uiPriority w:val="30"/>
    <w:qFormat/>
    <w:rsid w:val="00A510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10CF"/>
    <w:rPr>
      <w:i/>
      <w:iCs/>
      <w:color w:val="2F5496" w:themeColor="accent1" w:themeShade="BF"/>
    </w:rPr>
  </w:style>
  <w:style w:type="character" w:styleId="IntenseReference">
    <w:name w:val="Intense Reference"/>
    <w:basedOn w:val="DefaultParagraphFont"/>
    <w:uiPriority w:val="32"/>
    <w:qFormat/>
    <w:rsid w:val="00A510CF"/>
    <w:rPr>
      <w:b/>
      <w:bCs/>
      <w:smallCaps/>
      <w:color w:val="2F5496" w:themeColor="accent1" w:themeShade="BF"/>
      <w:spacing w:val="5"/>
    </w:rPr>
  </w:style>
  <w:style w:type="character" w:styleId="Hyperlink">
    <w:name w:val="Hyperlink"/>
    <w:basedOn w:val="DefaultParagraphFont"/>
    <w:uiPriority w:val="99"/>
    <w:unhideWhenUsed/>
    <w:rsid w:val="00926BE9"/>
    <w:rPr>
      <w:color w:val="0563C1" w:themeColor="hyperlink"/>
      <w:u w:val="single"/>
    </w:rPr>
  </w:style>
  <w:style w:type="character" w:customStyle="1" w:styleId="UnresolvedMention1">
    <w:name w:val="Unresolved Mention1"/>
    <w:basedOn w:val="DefaultParagraphFont"/>
    <w:uiPriority w:val="99"/>
    <w:semiHidden/>
    <w:unhideWhenUsed/>
    <w:rsid w:val="00926BE9"/>
    <w:rPr>
      <w:color w:val="605E5C"/>
      <w:shd w:val="clear" w:color="auto" w:fill="E1DFDD"/>
    </w:rPr>
  </w:style>
  <w:style w:type="paragraph" w:styleId="NormalWeb">
    <w:name w:val="Normal (Web)"/>
    <w:basedOn w:val="Normal"/>
    <w:uiPriority w:val="99"/>
    <w:semiHidden/>
    <w:unhideWhenUsed/>
    <w:rsid w:val="00A50BB4"/>
    <w:rPr>
      <w:rFonts w:ascii="Times New Roman" w:hAnsi="Times New Roman" w:cs="Times New Roman"/>
    </w:rPr>
  </w:style>
  <w:style w:type="table" w:styleId="TableGrid">
    <w:name w:val="Table Grid"/>
    <w:basedOn w:val="TableNormal"/>
    <w:uiPriority w:val="39"/>
    <w:rsid w:val="000F7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DefaultParagraphFont"/>
    <w:rsid w:val="00D81A5C"/>
  </w:style>
  <w:style w:type="paragraph" w:customStyle="1" w:styleId="pdq2pgselectionanchorcontainer">
    <w:name w:val="pdq2pg_selectionanchorcontainer"/>
    <w:basedOn w:val="Normal"/>
    <w:rsid w:val="00AE15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E15BA"/>
    <w:rPr>
      <w:b/>
      <w:bCs/>
    </w:rPr>
  </w:style>
  <w:style w:type="character" w:customStyle="1" w:styleId="UnresolvedMention2">
    <w:name w:val="Unresolved Mention2"/>
    <w:basedOn w:val="DefaultParagraphFont"/>
    <w:uiPriority w:val="99"/>
    <w:semiHidden/>
    <w:unhideWhenUsed/>
    <w:rsid w:val="00EE3B26"/>
    <w:rPr>
      <w:color w:val="605E5C"/>
      <w:shd w:val="clear" w:color="auto" w:fill="E1DFDD"/>
    </w:rPr>
  </w:style>
  <w:style w:type="paragraph" w:styleId="Header">
    <w:name w:val="header"/>
    <w:basedOn w:val="Normal"/>
    <w:link w:val="HeaderChar"/>
    <w:uiPriority w:val="99"/>
    <w:unhideWhenUsed/>
    <w:rsid w:val="00DC6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777"/>
  </w:style>
  <w:style w:type="paragraph" w:styleId="Footer">
    <w:name w:val="footer"/>
    <w:basedOn w:val="Normal"/>
    <w:link w:val="FooterChar"/>
    <w:uiPriority w:val="99"/>
    <w:unhideWhenUsed/>
    <w:rsid w:val="00DC6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8988">
      <w:bodyDiv w:val="1"/>
      <w:marLeft w:val="0"/>
      <w:marRight w:val="0"/>
      <w:marTop w:val="0"/>
      <w:marBottom w:val="0"/>
      <w:divBdr>
        <w:top w:val="none" w:sz="0" w:space="0" w:color="auto"/>
        <w:left w:val="none" w:sz="0" w:space="0" w:color="auto"/>
        <w:bottom w:val="none" w:sz="0" w:space="0" w:color="auto"/>
        <w:right w:val="none" w:sz="0" w:space="0" w:color="auto"/>
      </w:divBdr>
    </w:div>
    <w:div w:id="48697475">
      <w:bodyDiv w:val="1"/>
      <w:marLeft w:val="0"/>
      <w:marRight w:val="0"/>
      <w:marTop w:val="0"/>
      <w:marBottom w:val="0"/>
      <w:divBdr>
        <w:top w:val="none" w:sz="0" w:space="0" w:color="auto"/>
        <w:left w:val="none" w:sz="0" w:space="0" w:color="auto"/>
        <w:bottom w:val="none" w:sz="0" w:space="0" w:color="auto"/>
        <w:right w:val="none" w:sz="0" w:space="0" w:color="auto"/>
      </w:divBdr>
    </w:div>
    <w:div w:id="153449670">
      <w:bodyDiv w:val="1"/>
      <w:marLeft w:val="0"/>
      <w:marRight w:val="0"/>
      <w:marTop w:val="0"/>
      <w:marBottom w:val="0"/>
      <w:divBdr>
        <w:top w:val="none" w:sz="0" w:space="0" w:color="auto"/>
        <w:left w:val="none" w:sz="0" w:space="0" w:color="auto"/>
        <w:bottom w:val="none" w:sz="0" w:space="0" w:color="auto"/>
        <w:right w:val="none" w:sz="0" w:space="0" w:color="auto"/>
      </w:divBdr>
    </w:div>
    <w:div w:id="269364777">
      <w:bodyDiv w:val="1"/>
      <w:marLeft w:val="0"/>
      <w:marRight w:val="0"/>
      <w:marTop w:val="0"/>
      <w:marBottom w:val="0"/>
      <w:divBdr>
        <w:top w:val="none" w:sz="0" w:space="0" w:color="auto"/>
        <w:left w:val="none" w:sz="0" w:space="0" w:color="auto"/>
        <w:bottom w:val="none" w:sz="0" w:space="0" w:color="auto"/>
        <w:right w:val="none" w:sz="0" w:space="0" w:color="auto"/>
      </w:divBdr>
    </w:div>
    <w:div w:id="313728209">
      <w:bodyDiv w:val="1"/>
      <w:marLeft w:val="0"/>
      <w:marRight w:val="0"/>
      <w:marTop w:val="0"/>
      <w:marBottom w:val="0"/>
      <w:divBdr>
        <w:top w:val="none" w:sz="0" w:space="0" w:color="auto"/>
        <w:left w:val="none" w:sz="0" w:space="0" w:color="auto"/>
        <w:bottom w:val="none" w:sz="0" w:space="0" w:color="auto"/>
        <w:right w:val="none" w:sz="0" w:space="0" w:color="auto"/>
      </w:divBdr>
    </w:div>
    <w:div w:id="320088963">
      <w:bodyDiv w:val="1"/>
      <w:marLeft w:val="0"/>
      <w:marRight w:val="0"/>
      <w:marTop w:val="0"/>
      <w:marBottom w:val="0"/>
      <w:divBdr>
        <w:top w:val="none" w:sz="0" w:space="0" w:color="auto"/>
        <w:left w:val="none" w:sz="0" w:space="0" w:color="auto"/>
        <w:bottom w:val="none" w:sz="0" w:space="0" w:color="auto"/>
        <w:right w:val="none" w:sz="0" w:space="0" w:color="auto"/>
      </w:divBdr>
    </w:div>
    <w:div w:id="331375398">
      <w:bodyDiv w:val="1"/>
      <w:marLeft w:val="0"/>
      <w:marRight w:val="0"/>
      <w:marTop w:val="0"/>
      <w:marBottom w:val="0"/>
      <w:divBdr>
        <w:top w:val="none" w:sz="0" w:space="0" w:color="auto"/>
        <w:left w:val="none" w:sz="0" w:space="0" w:color="auto"/>
        <w:bottom w:val="none" w:sz="0" w:space="0" w:color="auto"/>
        <w:right w:val="none" w:sz="0" w:space="0" w:color="auto"/>
      </w:divBdr>
    </w:div>
    <w:div w:id="365257687">
      <w:bodyDiv w:val="1"/>
      <w:marLeft w:val="0"/>
      <w:marRight w:val="0"/>
      <w:marTop w:val="0"/>
      <w:marBottom w:val="0"/>
      <w:divBdr>
        <w:top w:val="none" w:sz="0" w:space="0" w:color="auto"/>
        <w:left w:val="none" w:sz="0" w:space="0" w:color="auto"/>
        <w:bottom w:val="none" w:sz="0" w:space="0" w:color="auto"/>
        <w:right w:val="none" w:sz="0" w:space="0" w:color="auto"/>
      </w:divBdr>
    </w:div>
    <w:div w:id="407114841">
      <w:bodyDiv w:val="1"/>
      <w:marLeft w:val="0"/>
      <w:marRight w:val="0"/>
      <w:marTop w:val="0"/>
      <w:marBottom w:val="0"/>
      <w:divBdr>
        <w:top w:val="none" w:sz="0" w:space="0" w:color="auto"/>
        <w:left w:val="none" w:sz="0" w:space="0" w:color="auto"/>
        <w:bottom w:val="none" w:sz="0" w:space="0" w:color="auto"/>
        <w:right w:val="none" w:sz="0" w:space="0" w:color="auto"/>
      </w:divBdr>
    </w:div>
    <w:div w:id="478616783">
      <w:bodyDiv w:val="1"/>
      <w:marLeft w:val="0"/>
      <w:marRight w:val="0"/>
      <w:marTop w:val="0"/>
      <w:marBottom w:val="0"/>
      <w:divBdr>
        <w:top w:val="none" w:sz="0" w:space="0" w:color="auto"/>
        <w:left w:val="none" w:sz="0" w:space="0" w:color="auto"/>
        <w:bottom w:val="none" w:sz="0" w:space="0" w:color="auto"/>
        <w:right w:val="none" w:sz="0" w:space="0" w:color="auto"/>
      </w:divBdr>
    </w:div>
    <w:div w:id="516040940">
      <w:bodyDiv w:val="1"/>
      <w:marLeft w:val="0"/>
      <w:marRight w:val="0"/>
      <w:marTop w:val="0"/>
      <w:marBottom w:val="0"/>
      <w:divBdr>
        <w:top w:val="none" w:sz="0" w:space="0" w:color="auto"/>
        <w:left w:val="none" w:sz="0" w:space="0" w:color="auto"/>
        <w:bottom w:val="none" w:sz="0" w:space="0" w:color="auto"/>
        <w:right w:val="none" w:sz="0" w:space="0" w:color="auto"/>
      </w:divBdr>
    </w:div>
    <w:div w:id="562717168">
      <w:bodyDiv w:val="1"/>
      <w:marLeft w:val="0"/>
      <w:marRight w:val="0"/>
      <w:marTop w:val="0"/>
      <w:marBottom w:val="0"/>
      <w:divBdr>
        <w:top w:val="none" w:sz="0" w:space="0" w:color="auto"/>
        <w:left w:val="none" w:sz="0" w:space="0" w:color="auto"/>
        <w:bottom w:val="none" w:sz="0" w:space="0" w:color="auto"/>
        <w:right w:val="none" w:sz="0" w:space="0" w:color="auto"/>
      </w:divBdr>
    </w:div>
    <w:div w:id="575668671">
      <w:bodyDiv w:val="1"/>
      <w:marLeft w:val="0"/>
      <w:marRight w:val="0"/>
      <w:marTop w:val="0"/>
      <w:marBottom w:val="0"/>
      <w:divBdr>
        <w:top w:val="none" w:sz="0" w:space="0" w:color="auto"/>
        <w:left w:val="none" w:sz="0" w:space="0" w:color="auto"/>
        <w:bottom w:val="none" w:sz="0" w:space="0" w:color="auto"/>
        <w:right w:val="none" w:sz="0" w:space="0" w:color="auto"/>
      </w:divBdr>
      <w:divsChild>
        <w:div w:id="1515415924">
          <w:marLeft w:val="0"/>
          <w:marRight w:val="0"/>
          <w:marTop w:val="0"/>
          <w:marBottom w:val="0"/>
          <w:divBdr>
            <w:top w:val="none" w:sz="0" w:space="0" w:color="auto"/>
            <w:left w:val="none" w:sz="0" w:space="0" w:color="auto"/>
            <w:bottom w:val="none" w:sz="0" w:space="0" w:color="auto"/>
            <w:right w:val="none" w:sz="0" w:space="0" w:color="auto"/>
          </w:divBdr>
          <w:divsChild>
            <w:div w:id="1746411831">
              <w:marLeft w:val="0"/>
              <w:marRight w:val="0"/>
              <w:marTop w:val="0"/>
              <w:marBottom w:val="0"/>
              <w:divBdr>
                <w:top w:val="single" w:sz="6" w:space="4" w:color="DDDDDD"/>
                <w:left w:val="single" w:sz="6" w:space="4" w:color="DDDDDD"/>
                <w:bottom w:val="single" w:sz="6" w:space="4" w:color="DDDDDD"/>
                <w:right w:val="single" w:sz="6" w:space="4" w:color="DDDDDD"/>
              </w:divBdr>
              <w:divsChild>
                <w:div w:id="186096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239908">
      <w:bodyDiv w:val="1"/>
      <w:marLeft w:val="0"/>
      <w:marRight w:val="0"/>
      <w:marTop w:val="0"/>
      <w:marBottom w:val="0"/>
      <w:divBdr>
        <w:top w:val="none" w:sz="0" w:space="0" w:color="auto"/>
        <w:left w:val="none" w:sz="0" w:space="0" w:color="auto"/>
        <w:bottom w:val="none" w:sz="0" w:space="0" w:color="auto"/>
        <w:right w:val="none" w:sz="0" w:space="0" w:color="auto"/>
      </w:divBdr>
    </w:div>
    <w:div w:id="712578922">
      <w:bodyDiv w:val="1"/>
      <w:marLeft w:val="0"/>
      <w:marRight w:val="0"/>
      <w:marTop w:val="0"/>
      <w:marBottom w:val="0"/>
      <w:divBdr>
        <w:top w:val="none" w:sz="0" w:space="0" w:color="auto"/>
        <w:left w:val="none" w:sz="0" w:space="0" w:color="auto"/>
        <w:bottom w:val="none" w:sz="0" w:space="0" w:color="auto"/>
        <w:right w:val="none" w:sz="0" w:space="0" w:color="auto"/>
      </w:divBdr>
    </w:div>
    <w:div w:id="785344713">
      <w:bodyDiv w:val="1"/>
      <w:marLeft w:val="0"/>
      <w:marRight w:val="0"/>
      <w:marTop w:val="0"/>
      <w:marBottom w:val="0"/>
      <w:divBdr>
        <w:top w:val="none" w:sz="0" w:space="0" w:color="auto"/>
        <w:left w:val="none" w:sz="0" w:space="0" w:color="auto"/>
        <w:bottom w:val="none" w:sz="0" w:space="0" w:color="auto"/>
        <w:right w:val="none" w:sz="0" w:space="0" w:color="auto"/>
      </w:divBdr>
    </w:div>
    <w:div w:id="808397013">
      <w:bodyDiv w:val="1"/>
      <w:marLeft w:val="0"/>
      <w:marRight w:val="0"/>
      <w:marTop w:val="0"/>
      <w:marBottom w:val="0"/>
      <w:divBdr>
        <w:top w:val="none" w:sz="0" w:space="0" w:color="auto"/>
        <w:left w:val="none" w:sz="0" w:space="0" w:color="auto"/>
        <w:bottom w:val="none" w:sz="0" w:space="0" w:color="auto"/>
        <w:right w:val="none" w:sz="0" w:space="0" w:color="auto"/>
      </w:divBdr>
    </w:div>
    <w:div w:id="880093386">
      <w:bodyDiv w:val="1"/>
      <w:marLeft w:val="0"/>
      <w:marRight w:val="0"/>
      <w:marTop w:val="0"/>
      <w:marBottom w:val="0"/>
      <w:divBdr>
        <w:top w:val="none" w:sz="0" w:space="0" w:color="auto"/>
        <w:left w:val="none" w:sz="0" w:space="0" w:color="auto"/>
        <w:bottom w:val="none" w:sz="0" w:space="0" w:color="auto"/>
        <w:right w:val="none" w:sz="0" w:space="0" w:color="auto"/>
      </w:divBdr>
    </w:div>
    <w:div w:id="901137585">
      <w:bodyDiv w:val="1"/>
      <w:marLeft w:val="0"/>
      <w:marRight w:val="0"/>
      <w:marTop w:val="0"/>
      <w:marBottom w:val="0"/>
      <w:divBdr>
        <w:top w:val="none" w:sz="0" w:space="0" w:color="auto"/>
        <w:left w:val="none" w:sz="0" w:space="0" w:color="auto"/>
        <w:bottom w:val="none" w:sz="0" w:space="0" w:color="auto"/>
        <w:right w:val="none" w:sz="0" w:space="0" w:color="auto"/>
      </w:divBdr>
    </w:div>
    <w:div w:id="947002465">
      <w:bodyDiv w:val="1"/>
      <w:marLeft w:val="0"/>
      <w:marRight w:val="0"/>
      <w:marTop w:val="0"/>
      <w:marBottom w:val="0"/>
      <w:divBdr>
        <w:top w:val="none" w:sz="0" w:space="0" w:color="auto"/>
        <w:left w:val="none" w:sz="0" w:space="0" w:color="auto"/>
        <w:bottom w:val="none" w:sz="0" w:space="0" w:color="auto"/>
        <w:right w:val="none" w:sz="0" w:space="0" w:color="auto"/>
      </w:divBdr>
    </w:div>
    <w:div w:id="976029019">
      <w:bodyDiv w:val="1"/>
      <w:marLeft w:val="0"/>
      <w:marRight w:val="0"/>
      <w:marTop w:val="0"/>
      <w:marBottom w:val="0"/>
      <w:divBdr>
        <w:top w:val="none" w:sz="0" w:space="0" w:color="auto"/>
        <w:left w:val="none" w:sz="0" w:space="0" w:color="auto"/>
        <w:bottom w:val="none" w:sz="0" w:space="0" w:color="auto"/>
        <w:right w:val="none" w:sz="0" w:space="0" w:color="auto"/>
      </w:divBdr>
    </w:div>
    <w:div w:id="1024090773">
      <w:bodyDiv w:val="1"/>
      <w:marLeft w:val="0"/>
      <w:marRight w:val="0"/>
      <w:marTop w:val="0"/>
      <w:marBottom w:val="0"/>
      <w:divBdr>
        <w:top w:val="none" w:sz="0" w:space="0" w:color="auto"/>
        <w:left w:val="none" w:sz="0" w:space="0" w:color="auto"/>
        <w:bottom w:val="none" w:sz="0" w:space="0" w:color="auto"/>
        <w:right w:val="none" w:sz="0" w:space="0" w:color="auto"/>
      </w:divBdr>
    </w:div>
    <w:div w:id="1038623986">
      <w:bodyDiv w:val="1"/>
      <w:marLeft w:val="0"/>
      <w:marRight w:val="0"/>
      <w:marTop w:val="0"/>
      <w:marBottom w:val="0"/>
      <w:divBdr>
        <w:top w:val="none" w:sz="0" w:space="0" w:color="auto"/>
        <w:left w:val="none" w:sz="0" w:space="0" w:color="auto"/>
        <w:bottom w:val="none" w:sz="0" w:space="0" w:color="auto"/>
        <w:right w:val="none" w:sz="0" w:space="0" w:color="auto"/>
      </w:divBdr>
    </w:div>
    <w:div w:id="1075858095">
      <w:bodyDiv w:val="1"/>
      <w:marLeft w:val="0"/>
      <w:marRight w:val="0"/>
      <w:marTop w:val="0"/>
      <w:marBottom w:val="0"/>
      <w:divBdr>
        <w:top w:val="none" w:sz="0" w:space="0" w:color="auto"/>
        <w:left w:val="none" w:sz="0" w:space="0" w:color="auto"/>
        <w:bottom w:val="none" w:sz="0" w:space="0" w:color="auto"/>
        <w:right w:val="none" w:sz="0" w:space="0" w:color="auto"/>
      </w:divBdr>
    </w:div>
    <w:div w:id="1079211432">
      <w:bodyDiv w:val="1"/>
      <w:marLeft w:val="0"/>
      <w:marRight w:val="0"/>
      <w:marTop w:val="0"/>
      <w:marBottom w:val="0"/>
      <w:divBdr>
        <w:top w:val="none" w:sz="0" w:space="0" w:color="auto"/>
        <w:left w:val="none" w:sz="0" w:space="0" w:color="auto"/>
        <w:bottom w:val="none" w:sz="0" w:space="0" w:color="auto"/>
        <w:right w:val="none" w:sz="0" w:space="0" w:color="auto"/>
      </w:divBdr>
    </w:div>
    <w:div w:id="1083718403">
      <w:bodyDiv w:val="1"/>
      <w:marLeft w:val="0"/>
      <w:marRight w:val="0"/>
      <w:marTop w:val="0"/>
      <w:marBottom w:val="0"/>
      <w:divBdr>
        <w:top w:val="none" w:sz="0" w:space="0" w:color="auto"/>
        <w:left w:val="none" w:sz="0" w:space="0" w:color="auto"/>
        <w:bottom w:val="none" w:sz="0" w:space="0" w:color="auto"/>
        <w:right w:val="none" w:sz="0" w:space="0" w:color="auto"/>
      </w:divBdr>
    </w:div>
    <w:div w:id="1138374383">
      <w:bodyDiv w:val="1"/>
      <w:marLeft w:val="0"/>
      <w:marRight w:val="0"/>
      <w:marTop w:val="0"/>
      <w:marBottom w:val="0"/>
      <w:divBdr>
        <w:top w:val="none" w:sz="0" w:space="0" w:color="auto"/>
        <w:left w:val="none" w:sz="0" w:space="0" w:color="auto"/>
        <w:bottom w:val="none" w:sz="0" w:space="0" w:color="auto"/>
        <w:right w:val="none" w:sz="0" w:space="0" w:color="auto"/>
      </w:divBdr>
    </w:div>
    <w:div w:id="1253974398">
      <w:bodyDiv w:val="1"/>
      <w:marLeft w:val="0"/>
      <w:marRight w:val="0"/>
      <w:marTop w:val="0"/>
      <w:marBottom w:val="0"/>
      <w:divBdr>
        <w:top w:val="none" w:sz="0" w:space="0" w:color="auto"/>
        <w:left w:val="none" w:sz="0" w:space="0" w:color="auto"/>
        <w:bottom w:val="none" w:sz="0" w:space="0" w:color="auto"/>
        <w:right w:val="none" w:sz="0" w:space="0" w:color="auto"/>
      </w:divBdr>
    </w:div>
    <w:div w:id="1261253970">
      <w:bodyDiv w:val="1"/>
      <w:marLeft w:val="0"/>
      <w:marRight w:val="0"/>
      <w:marTop w:val="0"/>
      <w:marBottom w:val="0"/>
      <w:divBdr>
        <w:top w:val="none" w:sz="0" w:space="0" w:color="auto"/>
        <w:left w:val="none" w:sz="0" w:space="0" w:color="auto"/>
        <w:bottom w:val="none" w:sz="0" w:space="0" w:color="auto"/>
        <w:right w:val="none" w:sz="0" w:space="0" w:color="auto"/>
      </w:divBdr>
    </w:div>
    <w:div w:id="1286038767">
      <w:bodyDiv w:val="1"/>
      <w:marLeft w:val="0"/>
      <w:marRight w:val="0"/>
      <w:marTop w:val="0"/>
      <w:marBottom w:val="0"/>
      <w:divBdr>
        <w:top w:val="none" w:sz="0" w:space="0" w:color="auto"/>
        <w:left w:val="none" w:sz="0" w:space="0" w:color="auto"/>
        <w:bottom w:val="none" w:sz="0" w:space="0" w:color="auto"/>
        <w:right w:val="none" w:sz="0" w:space="0" w:color="auto"/>
      </w:divBdr>
    </w:div>
    <w:div w:id="1290479108">
      <w:bodyDiv w:val="1"/>
      <w:marLeft w:val="0"/>
      <w:marRight w:val="0"/>
      <w:marTop w:val="0"/>
      <w:marBottom w:val="0"/>
      <w:divBdr>
        <w:top w:val="none" w:sz="0" w:space="0" w:color="auto"/>
        <w:left w:val="none" w:sz="0" w:space="0" w:color="auto"/>
        <w:bottom w:val="none" w:sz="0" w:space="0" w:color="auto"/>
        <w:right w:val="none" w:sz="0" w:space="0" w:color="auto"/>
      </w:divBdr>
    </w:div>
    <w:div w:id="1395740670">
      <w:bodyDiv w:val="1"/>
      <w:marLeft w:val="0"/>
      <w:marRight w:val="0"/>
      <w:marTop w:val="0"/>
      <w:marBottom w:val="0"/>
      <w:divBdr>
        <w:top w:val="none" w:sz="0" w:space="0" w:color="auto"/>
        <w:left w:val="none" w:sz="0" w:space="0" w:color="auto"/>
        <w:bottom w:val="none" w:sz="0" w:space="0" w:color="auto"/>
        <w:right w:val="none" w:sz="0" w:space="0" w:color="auto"/>
      </w:divBdr>
    </w:div>
    <w:div w:id="1420639093">
      <w:bodyDiv w:val="1"/>
      <w:marLeft w:val="0"/>
      <w:marRight w:val="0"/>
      <w:marTop w:val="0"/>
      <w:marBottom w:val="0"/>
      <w:divBdr>
        <w:top w:val="none" w:sz="0" w:space="0" w:color="auto"/>
        <w:left w:val="none" w:sz="0" w:space="0" w:color="auto"/>
        <w:bottom w:val="none" w:sz="0" w:space="0" w:color="auto"/>
        <w:right w:val="none" w:sz="0" w:space="0" w:color="auto"/>
      </w:divBdr>
    </w:div>
    <w:div w:id="1445149185">
      <w:bodyDiv w:val="1"/>
      <w:marLeft w:val="0"/>
      <w:marRight w:val="0"/>
      <w:marTop w:val="0"/>
      <w:marBottom w:val="0"/>
      <w:divBdr>
        <w:top w:val="none" w:sz="0" w:space="0" w:color="auto"/>
        <w:left w:val="none" w:sz="0" w:space="0" w:color="auto"/>
        <w:bottom w:val="none" w:sz="0" w:space="0" w:color="auto"/>
        <w:right w:val="none" w:sz="0" w:space="0" w:color="auto"/>
      </w:divBdr>
    </w:div>
    <w:div w:id="1459303456">
      <w:bodyDiv w:val="1"/>
      <w:marLeft w:val="0"/>
      <w:marRight w:val="0"/>
      <w:marTop w:val="0"/>
      <w:marBottom w:val="0"/>
      <w:divBdr>
        <w:top w:val="none" w:sz="0" w:space="0" w:color="auto"/>
        <w:left w:val="none" w:sz="0" w:space="0" w:color="auto"/>
        <w:bottom w:val="none" w:sz="0" w:space="0" w:color="auto"/>
        <w:right w:val="none" w:sz="0" w:space="0" w:color="auto"/>
      </w:divBdr>
    </w:div>
    <w:div w:id="1625111904">
      <w:bodyDiv w:val="1"/>
      <w:marLeft w:val="0"/>
      <w:marRight w:val="0"/>
      <w:marTop w:val="0"/>
      <w:marBottom w:val="0"/>
      <w:divBdr>
        <w:top w:val="none" w:sz="0" w:space="0" w:color="auto"/>
        <w:left w:val="none" w:sz="0" w:space="0" w:color="auto"/>
        <w:bottom w:val="none" w:sz="0" w:space="0" w:color="auto"/>
        <w:right w:val="none" w:sz="0" w:space="0" w:color="auto"/>
      </w:divBdr>
    </w:div>
    <w:div w:id="1663316115">
      <w:bodyDiv w:val="1"/>
      <w:marLeft w:val="0"/>
      <w:marRight w:val="0"/>
      <w:marTop w:val="0"/>
      <w:marBottom w:val="0"/>
      <w:divBdr>
        <w:top w:val="none" w:sz="0" w:space="0" w:color="auto"/>
        <w:left w:val="none" w:sz="0" w:space="0" w:color="auto"/>
        <w:bottom w:val="none" w:sz="0" w:space="0" w:color="auto"/>
        <w:right w:val="none" w:sz="0" w:space="0" w:color="auto"/>
      </w:divBdr>
    </w:div>
    <w:div w:id="1750420451">
      <w:bodyDiv w:val="1"/>
      <w:marLeft w:val="0"/>
      <w:marRight w:val="0"/>
      <w:marTop w:val="0"/>
      <w:marBottom w:val="0"/>
      <w:divBdr>
        <w:top w:val="none" w:sz="0" w:space="0" w:color="auto"/>
        <w:left w:val="none" w:sz="0" w:space="0" w:color="auto"/>
        <w:bottom w:val="none" w:sz="0" w:space="0" w:color="auto"/>
        <w:right w:val="none" w:sz="0" w:space="0" w:color="auto"/>
      </w:divBdr>
    </w:div>
    <w:div w:id="1865090066">
      <w:bodyDiv w:val="1"/>
      <w:marLeft w:val="0"/>
      <w:marRight w:val="0"/>
      <w:marTop w:val="0"/>
      <w:marBottom w:val="0"/>
      <w:divBdr>
        <w:top w:val="none" w:sz="0" w:space="0" w:color="auto"/>
        <w:left w:val="none" w:sz="0" w:space="0" w:color="auto"/>
        <w:bottom w:val="none" w:sz="0" w:space="0" w:color="auto"/>
        <w:right w:val="none" w:sz="0" w:space="0" w:color="auto"/>
      </w:divBdr>
    </w:div>
    <w:div w:id="1886211420">
      <w:bodyDiv w:val="1"/>
      <w:marLeft w:val="0"/>
      <w:marRight w:val="0"/>
      <w:marTop w:val="0"/>
      <w:marBottom w:val="0"/>
      <w:divBdr>
        <w:top w:val="none" w:sz="0" w:space="0" w:color="auto"/>
        <w:left w:val="none" w:sz="0" w:space="0" w:color="auto"/>
        <w:bottom w:val="none" w:sz="0" w:space="0" w:color="auto"/>
        <w:right w:val="none" w:sz="0" w:space="0" w:color="auto"/>
      </w:divBdr>
    </w:div>
    <w:div w:id="1887180558">
      <w:bodyDiv w:val="1"/>
      <w:marLeft w:val="0"/>
      <w:marRight w:val="0"/>
      <w:marTop w:val="0"/>
      <w:marBottom w:val="0"/>
      <w:divBdr>
        <w:top w:val="none" w:sz="0" w:space="0" w:color="auto"/>
        <w:left w:val="none" w:sz="0" w:space="0" w:color="auto"/>
        <w:bottom w:val="none" w:sz="0" w:space="0" w:color="auto"/>
        <w:right w:val="none" w:sz="0" w:space="0" w:color="auto"/>
      </w:divBdr>
    </w:div>
    <w:div w:id="1894542947">
      <w:bodyDiv w:val="1"/>
      <w:marLeft w:val="0"/>
      <w:marRight w:val="0"/>
      <w:marTop w:val="0"/>
      <w:marBottom w:val="0"/>
      <w:divBdr>
        <w:top w:val="none" w:sz="0" w:space="0" w:color="auto"/>
        <w:left w:val="none" w:sz="0" w:space="0" w:color="auto"/>
        <w:bottom w:val="none" w:sz="0" w:space="0" w:color="auto"/>
        <w:right w:val="none" w:sz="0" w:space="0" w:color="auto"/>
      </w:divBdr>
    </w:div>
    <w:div w:id="1922762280">
      <w:bodyDiv w:val="1"/>
      <w:marLeft w:val="0"/>
      <w:marRight w:val="0"/>
      <w:marTop w:val="0"/>
      <w:marBottom w:val="0"/>
      <w:divBdr>
        <w:top w:val="none" w:sz="0" w:space="0" w:color="auto"/>
        <w:left w:val="none" w:sz="0" w:space="0" w:color="auto"/>
        <w:bottom w:val="none" w:sz="0" w:space="0" w:color="auto"/>
        <w:right w:val="none" w:sz="0" w:space="0" w:color="auto"/>
      </w:divBdr>
    </w:div>
    <w:div w:id="1955014923">
      <w:bodyDiv w:val="1"/>
      <w:marLeft w:val="0"/>
      <w:marRight w:val="0"/>
      <w:marTop w:val="0"/>
      <w:marBottom w:val="0"/>
      <w:divBdr>
        <w:top w:val="none" w:sz="0" w:space="0" w:color="auto"/>
        <w:left w:val="none" w:sz="0" w:space="0" w:color="auto"/>
        <w:bottom w:val="none" w:sz="0" w:space="0" w:color="auto"/>
        <w:right w:val="none" w:sz="0" w:space="0" w:color="auto"/>
      </w:divBdr>
    </w:div>
    <w:div w:id="2074622104">
      <w:bodyDiv w:val="1"/>
      <w:marLeft w:val="0"/>
      <w:marRight w:val="0"/>
      <w:marTop w:val="0"/>
      <w:marBottom w:val="0"/>
      <w:divBdr>
        <w:top w:val="none" w:sz="0" w:space="0" w:color="auto"/>
        <w:left w:val="none" w:sz="0" w:space="0" w:color="auto"/>
        <w:bottom w:val="none" w:sz="0" w:space="0" w:color="auto"/>
        <w:right w:val="none" w:sz="0" w:space="0" w:color="auto"/>
      </w:divBdr>
    </w:div>
    <w:div w:id="2086369449">
      <w:bodyDiv w:val="1"/>
      <w:marLeft w:val="0"/>
      <w:marRight w:val="0"/>
      <w:marTop w:val="0"/>
      <w:marBottom w:val="0"/>
      <w:divBdr>
        <w:top w:val="none" w:sz="0" w:space="0" w:color="auto"/>
        <w:left w:val="none" w:sz="0" w:space="0" w:color="auto"/>
        <w:bottom w:val="none" w:sz="0" w:space="0" w:color="auto"/>
        <w:right w:val="none" w:sz="0" w:space="0" w:color="auto"/>
      </w:divBdr>
    </w:div>
    <w:div w:id="209154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xpert.taylors.edu.my/file/rems/publication/106893_6450_1.pdf" TargetMode="External"/><Relationship Id="rId18" Type="http://schemas.openxmlformats.org/officeDocument/2006/relationships/hyperlink" Target="https://doi.org/10.1108/IJSE-11-2016-0302" TargetMode="External"/><Relationship Id="rId26" Type="http://schemas.openxmlformats.org/officeDocument/2006/relationships/hyperlink" Target="https://doi.org/10.15405/epsbs.2018.07.02.70" TargetMode="External"/><Relationship Id="rId39" Type="http://schemas.openxmlformats.org/officeDocument/2006/relationships/hyperlink" Target="https://doi.org/10.30958/ajbe.8-1-3" TargetMode="External"/><Relationship Id="rId21" Type="http://schemas.openxmlformats.org/officeDocument/2006/relationships/hyperlink" Target="https://people.umass.edu/aizen/f%26a1975.html" TargetMode="External"/><Relationship Id="rId34" Type="http://schemas.openxmlformats.org/officeDocument/2006/relationships/hyperlink" Target="https://nibss-plc.com.ng/nigeria-recorded-n600-trillion-e-payment-transactions-in-2023/" TargetMode="External"/><Relationship Id="rId42" Type="http://schemas.openxmlformats.org/officeDocument/2006/relationships/hyperlink" Target="https://doi.org/10.1016/j.im.2011.08.001"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n.gov.ng/PaymentsSystem/" TargetMode="External"/><Relationship Id="rId29" Type="http://schemas.openxmlformats.org/officeDocument/2006/relationships/hyperlink" Target="https://doi.org/10.1057/s41261-025-00292-z" TargetMode="External"/><Relationship Id="rId11" Type="http://schemas.openxmlformats.org/officeDocument/2006/relationships/hyperlink" Target="https://doi.org/10.1093/rfs/hhae005" TargetMode="External"/><Relationship Id="rId24" Type="http://schemas.openxmlformats.org/officeDocument/2006/relationships/hyperlink" Target="https://doi.org/10.1016/j.heliyon.2023.e23457" TargetMode="External"/><Relationship Id="rId32" Type="http://schemas.openxmlformats.org/officeDocument/2006/relationships/hyperlink" Target="https://doi.org/10.1108/JEC-07-2020-0127" TargetMode="External"/><Relationship Id="rId37" Type="http://schemas.openxmlformats.org/officeDocument/2006/relationships/hyperlink" Target="https://doi.org/10.1007/s12232-025-00490-1" TargetMode="External"/><Relationship Id="rId40" Type="http://schemas.openxmlformats.org/officeDocument/2006/relationships/hyperlink" Target="https://doi.org/10.3390/su151310253"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cbn.gov.ng/Out/2023/CCD/Operational%20Guidelines%20for%20Open%20Banking%20in%20Nigeria.pdf" TargetMode="External"/><Relationship Id="rId23" Type="http://schemas.openxmlformats.org/officeDocument/2006/relationships/hyperlink" Target="https://digitalcommons.kennesaw.edu/facbooks2014/39/" TargetMode="External"/><Relationship Id="rId28" Type="http://schemas.openxmlformats.org/officeDocument/2006/relationships/hyperlink" Target="https://doi.org/10.1086/268109" TargetMode="External"/><Relationship Id="rId36" Type="http://schemas.openxmlformats.org/officeDocument/2006/relationships/hyperlink" Target="https://www.pwc.com/ng/en/assets/pdf/growing-the-nigeria-technology-ecosystem.pdf" TargetMode="External"/><Relationship Id="rId49" Type="http://schemas.openxmlformats.org/officeDocument/2006/relationships/header" Target="header3.xml"/><Relationship Id="rId10" Type="http://schemas.openxmlformats.org/officeDocument/2006/relationships/hyperlink" Target="https://doi.org/10.3390/su14148357" TargetMode="External"/><Relationship Id="rId19" Type="http://schemas.openxmlformats.org/officeDocument/2006/relationships/hyperlink" Target="https://doi.org/10.2307/249008" TargetMode="External"/><Relationship Id="rId31" Type="http://schemas.openxmlformats.org/officeDocument/2006/relationships/hyperlink" Target="https://doi.org/10.9734/ajeba/2026/v26i62297" TargetMode="External"/><Relationship Id="rId44" Type="http://schemas.openxmlformats.org/officeDocument/2006/relationships/hyperlink" Target="https://doi.org/10.33168/jsms.2020.0206"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bn.gov.ng/PaymentsSystem/" TargetMode="External"/><Relationship Id="rId22" Type="http://schemas.openxmlformats.org/officeDocument/2006/relationships/hyperlink" Target="https://doi.org/10.1080/17530350.2021.2018347" TargetMode="External"/><Relationship Id="rId27" Type="http://schemas.openxmlformats.org/officeDocument/2006/relationships/hyperlink" Target="https://doi.org/10.1186/s13673-018-0155-4" TargetMode="External"/><Relationship Id="rId30" Type="http://schemas.openxmlformats.org/officeDocument/2006/relationships/hyperlink" Target="https://doi.org/10.1016/j.ememar.2021.100842" TargetMode="External"/><Relationship Id="rId35" Type="http://schemas.openxmlformats.org/officeDocument/2006/relationships/hyperlink" Target="https://doi.org/10.17509/jaset.v13i2.37212" TargetMode="External"/><Relationship Id="rId43" Type="http://schemas.openxmlformats.org/officeDocument/2006/relationships/hyperlink" Target="https://doi.org/10.25115/eea.v39i12.6839" TargetMode="External"/><Relationship Id="rId48" Type="http://schemas.openxmlformats.org/officeDocument/2006/relationships/footer" Target="footer2.xml"/><Relationship Id="rId8" Type="http://schemas.openxmlformats.org/officeDocument/2006/relationships/hyperlink" Target="file:///C:\Users\pc\OneDrive\Documents\iha2.html"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3390/su15139908" TargetMode="External"/><Relationship Id="rId17" Type="http://schemas.openxmlformats.org/officeDocument/2006/relationships/hyperlink" Target="https://doi.org/10.1145/3287035" TargetMode="External"/><Relationship Id="rId25" Type="http://schemas.openxmlformats.org/officeDocument/2006/relationships/hyperlink" Target="https://doi.org/10.1051/e3sconf/202342602018" TargetMode="External"/><Relationship Id="rId33" Type="http://schemas.openxmlformats.org/officeDocument/2006/relationships/hyperlink" Target="https://doi.org/10.34218/IJM.12.1.2021.016" TargetMode="External"/><Relationship Id="rId38" Type="http://schemas.openxmlformats.org/officeDocument/2006/relationships/hyperlink" Target="https://doi.org/10.56557/ajocr/2026/v11i110134" TargetMode="External"/><Relationship Id="rId46" Type="http://schemas.openxmlformats.org/officeDocument/2006/relationships/header" Target="header2.xml"/><Relationship Id="rId20" Type="http://schemas.openxmlformats.org/officeDocument/2006/relationships/hyperlink" Target="https://efina.org.ng/wp-content/uploads/2024/03/A2F-2023-Event-Day-Presentation-Version4-1.pdf" TargetMode="External"/><Relationship Id="rId41" Type="http://schemas.openxmlformats.org/officeDocument/2006/relationships/hyperlink" Target="https://doi.org/10.1287/mnsc.46.2.186.11926"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17</Pages>
  <Words>5990</Words>
  <Characters>34145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Editor-90</cp:lastModifiedBy>
  <cp:revision>97</cp:revision>
  <dcterms:created xsi:type="dcterms:W3CDTF">2025-10-18T04:48:00Z</dcterms:created>
  <dcterms:modified xsi:type="dcterms:W3CDTF">2026-10-05T08:11:00Z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7ab2d61f-3b8a-4a1e-95ce-e91d0d667338</vt:lpwstr>
  </property>
</Properties>
</file>