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CABA5" w14:textId="77777777" w:rsidR="009E04F9" w:rsidRDefault="00000000">
      <w:pPr>
        <w:jc w:val="center"/>
        <w:rPr>
          <w:b/>
        </w:rPr>
      </w:pPr>
      <w:r>
        <w:rPr>
          <w:b/>
          <w:sz w:val="28"/>
        </w:rPr>
        <w:t>Financial Shenanigans in Listed Manufacturing Firms in Nigeria: Fraud Diamond Indicators and Beneish-Flagged Earnings Manipulation</w:t>
      </w:r>
    </w:p>
    <w:p w14:paraId="71F1951B" w14:textId="77777777" w:rsidR="009B2EF1" w:rsidRDefault="00000000">
      <w:pPr>
        <w:jc w:val="center"/>
      </w:pPr>
      <w:r>
        <w:rPr>
          <w:b/>
          <w:sz w:val="20"/>
        </w:rPr>
        <w:t>Article type: Original Research Article</w:t>
      </w:r>
    </w:p>
    <w:p w14:paraId="5BF2278A" w14:textId="77777777" w:rsidR="00833A6C" w:rsidRDefault="00833A6C">
      <w:pPr>
        <w:spacing w:before="120"/>
        <w:rPr>
          <w:b/>
        </w:rPr>
      </w:pPr>
    </w:p>
    <w:p w14:paraId="73E3C759" w14:textId="77777777" w:rsidR="00833A6C" w:rsidRDefault="00833A6C">
      <w:pPr>
        <w:spacing w:before="120"/>
        <w:rPr>
          <w:b/>
        </w:rPr>
      </w:pPr>
    </w:p>
    <w:p w14:paraId="0463A8F5" w14:textId="77777777" w:rsidR="009E04F9" w:rsidRDefault="00000000">
      <w:pPr>
        <w:spacing w:before="120"/>
      </w:pPr>
      <w:r>
        <w:rPr>
          <w:b/>
        </w:rPr>
        <w:t>Abstract</w:t>
      </w:r>
    </w:p>
    <w:p w14:paraId="7E5569C9" w14:textId="77777777" w:rsidR="009E04F9" w:rsidRPr="007F2ABD" w:rsidRDefault="00000000" w:rsidP="007F2ABD">
      <w:pPr>
        <w:spacing w:line="240" w:lineRule="auto"/>
        <w:contextualSpacing/>
        <w:jc w:val="both"/>
        <w:rPr>
          <w:i/>
          <w:iCs/>
        </w:rPr>
      </w:pPr>
      <w:r>
        <w:rPr>
          <w:i/>
        </w:rPr>
        <w:t>This study examines associations between five observable Fraud Diamond indicators and Beneish M-Score-flagged earnings-manipulation risk among listed manufacturing companies in Nigeria. The indicators are asset change, board monitoring, managerial ownership, auditor change and chief executive officer (CEO) financial expertise. The analysis uses 340 firm-year observations for 40 companies over 2014-2022 and estimates population-averaged logistic models through generalised estimating equations (GEE), incorporating year effects and Mancl-DeRouen bias-reduced robust covariance to account for within-firm dependence and the modest number of firm clusters. In the contemporaneous model, a one-standard-deviation increase in asset growth is associated with 1.52 times the odds of a Beneish flag (p = .047), while auditor change is associated with 2.53 times the odds (p = .014). Board monitoring is negatively associated at the 10% level (odds ratio = 0.82, p = .073); managerial ownership and CEO financial expertise are not statistically significant. These relationships do not persist in the one-year-lagged GEE or conditional firm fixed-effects logit models. The main model has moderate in-sample discrimination (AUC = 0.703). The evidence therefore supports interpreting asset growth and auditor change as contemporaneous red flags, not established causes or reliable one-year-ahead predictors. A Beneish flag is a screening signal and should not be read as proof of financial statement fraud.</w:t>
      </w:r>
    </w:p>
    <w:p w14:paraId="2DC8395C" w14:textId="77777777" w:rsidR="009E04F9" w:rsidRDefault="00000000">
      <w:pPr>
        <w:jc w:val="both"/>
      </w:pPr>
      <w:r>
        <w:rPr>
          <w:b/>
        </w:rPr>
        <w:t xml:space="preserve">Keywords: </w:t>
      </w:r>
      <w:proofErr w:type="spellStart"/>
      <w:r>
        <w:t>Beneish</w:t>
      </w:r>
      <w:proofErr w:type="spellEnd"/>
      <w:r>
        <w:t xml:space="preserve"> M-Score; </w:t>
      </w:r>
      <w:r w:rsidR="00A260D0">
        <w:t>E</w:t>
      </w:r>
      <w:r>
        <w:t xml:space="preserve">arnings </w:t>
      </w:r>
      <w:r w:rsidR="00A260D0">
        <w:t>M</w:t>
      </w:r>
      <w:r>
        <w:t xml:space="preserve">anipulation; Fraud Diamond Theory; </w:t>
      </w:r>
      <w:r w:rsidR="00A260D0">
        <w:t>A</w:t>
      </w:r>
      <w:r>
        <w:t xml:space="preserve">uditor </w:t>
      </w:r>
      <w:r w:rsidR="00A260D0">
        <w:t>C</w:t>
      </w:r>
      <w:r>
        <w:t xml:space="preserve">hange; </w:t>
      </w:r>
      <w:r w:rsidR="00A260D0">
        <w:t>B</w:t>
      </w:r>
      <w:r>
        <w:t xml:space="preserve">oard </w:t>
      </w:r>
      <w:r w:rsidR="00A260D0">
        <w:t>I</w:t>
      </w:r>
      <w:r>
        <w:t xml:space="preserve">ndependence; Nigeria; </w:t>
      </w:r>
      <w:proofErr w:type="spellStart"/>
      <w:r w:rsidR="00A260D0">
        <w:t>G</w:t>
      </w:r>
      <w:r>
        <w:t>eneralised</w:t>
      </w:r>
      <w:proofErr w:type="spellEnd"/>
      <w:r>
        <w:t xml:space="preserve"> </w:t>
      </w:r>
      <w:r w:rsidR="00A260D0">
        <w:t>E</w:t>
      </w:r>
      <w:r>
        <w:t xml:space="preserve">stimating </w:t>
      </w:r>
      <w:r w:rsidR="00A260D0">
        <w:t>E</w:t>
      </w:r>
      <w:r>
        <w:t>quations</w:t>
      </w:r>
    </w:p>
    <w:p w14:paraId="754D4347" w14:textId="77777777" w:rsidR="009E04F9" w:rsidRDefault="00000000">
      <w:pPr>
        <w:keepNext/>
        <w:spacing w:before="120"/>
        <w:jc w:val="both"/>
      </w:pPr>
      <w:r>
        <w:rPr>
          <w:b/>
        </w:rPr>
        <w:t>1. Introduction</w:t>
      </w:r>
    </w:p>
    <w:p w14:paraId="301AF839" w14:textId="77777777" w:rsidR="009E04F9" w:rsidRDefault="00000000">
      <w:pPr>
        <w:jc w:val="both"/>
      </w:pPr>
      <w:r>
        <w:t xml:space="preserve">The credibility of corporate financial reporting is fundamental to the efficient allocation of capital. Investors, creditors, regulators and other stakeholders rely on published financial statements to assess profitability, solvency, risk and firm value. Yet financial reporting necessarily involves managerial judgement, and the same discretion that permits managers to communicate private information can also be used opportunistically. </w:t>
      </w:r>
      <w:hyperlink w:anchor="ref_Healy_1999" w:history="1">
        <w:r w:rsidR="009E04F9">
          <w:rPr>
            <w:szCs w:val="24"/>
          </w:rPr>
          <w:t>Healy and Wahlen (1999)</w:t>
        </w:r>
      </w:hyperlink>
      <w:r>
        <w:t xml:space="preserve"> </w:t>
      </w:r>
      <w:proofErr w:type="spellStart"/>
      <w:r>
        <w:t>characterise</w:t>
      </w:r>
      <w:proofErr w:type="spellEnd"/>
      <w:r>
        <w:t xml:space="preserve"> earnings management as the use of judgement in financial reporting or transaction structuring to alter reports in ways that may mislead stakeholders or influence contractual outcomes, while </w:t>
      </w:r>
      <w:hyperlink w:anchor="ref_Dechow_1995" w:history="1">
        <w:r w:rsidR="009E04F9">
          <w:rPr>
            <w:szCs w:val="24"/>
          </w:rPr>
          <w:t>Dechow et al. (1995)</w:t>
        </w:r>
      </w:hyperlink>
      <w:r>
        <w:t xml:space="preserve"> demonstrate that empirical identification of discretionary accruals is itself sensitive to model specification. This reliance creates strong incentives for managers to present </w:t>
      </w:r>
      <w:proofErr w:type="spellStart"/>
      <w:r>
        <w:t>organisational</w:t>
      </w:r>
      <w:proofErr w:type="spellEnd"/>
      <w:r>
        <w:t xml:space="preserve"> performance </w:t>
      </w:r>
      <w:proofErr w:type="spellStart"/>
      <w:r>
        <w:t>favourably</w:t>
      </w:r>
      <w:proofErr w:type="spellEnd"/>
      <w:r>
        <w:t xml:space="preserve">, particularly where firms face financing constraints, deteriorating performance, debt obligations or pressures to </w:t>
      </w:r>
      <w:r>
        <w:lastRenderedPageBreak/>
        <w:t xml:space="preserve">meet market expectations. At the extreme, managerial discretion over accounting recognition, measurement and disclosure may be used to obscure underlying economic conditions, creating what </w:t>
      </w:r>
      <w:hyperlink w:anchor="ref_Schilit_2018" w:history="1">
        <w:r w:rsidR="009E04F9">
          <w:rPr>
            <w:szCs w:val="24"/>
            <w:highlight w:val="yellow"/>
          </w:rPr>
          <w:t>Schilit et al. (2018)</w:t>
        </w:r>
      </w:hyperlink>
      <w:r>
        <w:t xml:space="preserve"> describes broadly as financial shenanigans. Such practices encompass a spectrum ranging from aggressive but permissible accounting choices to deliberate earnings manipulation and fraudulent financial reporting.</w:t>
      </w:r>
    </w:p>
    <w:p w14:paraId="15B17F3F" w14:textId="77777777" w:rsidR="009E04F9" w:rsidRDefault="00000000">
      <w:pPr>
        <w:jc w:val="both"/>
      </w:pPr>
      <w:r>
        <w:t xml:space="preserve">The distinction between these concepts is important. Earnings manipulation detected from accounting ratios is not equivalent to legally established financial statement fraud. </w:t>
      </w:r>
      <w:hyperlink w:anchor="ref_Beneish_1999" w:history="1">
        <w:proofErr w:type="spellStart"/>
        <w:r w:rsidR="009E04F9">
          <w:rPr>
            <w:szCs w:val="24"/>
          </w:rPr>
          <w:t>Beneish's</w:t>
        </w:r>
        <w:proofErr w:type="spellEnd"/>
        <w:r w:rsidR="009E04F9">
          <w:rPr>
            <w:szCs w:val="24"/>
          </w:rPr>
          <w:t xml:space="preserve"> (1999)</w:t>
        </w:r>
      </w:hyperlink>
      <w:r>
        <w:t xml:space="preserve"> M-Score was developed as a screening model that identifies financial characteristics associated with companies subsequently found to have manipulated earnings. It is therefore better interpreted as an indicator of elevated manipulation risk than as definitive evidence that a company committed fraud. This distinction is reinforced by </w:t>
      </w:r>
      <w:hyperlink w:anchor="ref_Perols_2011" w:history="1">
        <w:proofErr w:type="spellStart"/>
        <w:r w:rsidR="009E04F9">
          <w:rPr>
            <w:szCs w:val="24"/>
          </w:rPr>
          <w:t>Perols</w:t>
        </w:r>
        <w:proofErr w:type="spellEnd"/>
        <w:r w:rsidR="009E04F9">
          <w:rPr>
            <w:szCs w:val="24"/>
          </w:rPr>
          <w:t xml:space="preserve"> and Lougee (2011)</w:t>
        </w:r>
      </w:hyperlink>
      <w:r>
        <w:t xml:space="preserve">, who show that prior earnings-management </w:t>
      </w:r>
      <w:proofErr w:type="spellStart"/>
      <w:r>
        <w:t>behaviour</w:t>
      </w:r>
      <w:proofErr w:type="spellEnd"/>
      <w:r>
        <w:t xml:space="preserve"> is more prevalent among fraud firms but remains analytically distinct from the subsequent occurrence of financial statement fraud. </w:t>
      </w:r>
      <w:proofErr w:type="spellStart"/>
      <w:r>
        <w:t>Beneish</w:t>
      </w:r>
      <w:proofErr w:type="spellEnd"/>
      <w:r>
        <w:t xml:space="preserve"> similarly cautions that financial-statement distortions captured by the model may originate from structural or economic factors rather than manipulation itself. Accordingly, this study uses the term </w:t>
      </w:r>
      <w:proofErr w:type="spellStart"/>
      <w:r>
        <w:t>Beneish</w:t>
      </w:r>
      <w:proofErr w:type="spellEnd"/>
      <w:r>
        <w:t>-flagged earnings manipulation to describe firm-year observations exceeding the conventional M-Score threshold and reserves the term 'fraud' for misconduct independently established through enforcement, restatement or other external evidence.</w:t>
      </w:r>
    </w:p>
    <w:p w14:paraId="556B53E0" w14:textId="77777777" w:rsidR="009E04F9" w:rsidRDefault="00000000">
      <w:pPr>
        <w:jc w:val="both"/>
      </w:pPr>
      <w:r>
        <w:t xml:space="preserve">The problem is particularly important in emerging capital markets, where information asymmetry, ownership concentration, institutional weaknesses and enforcement constraints may increase the difficulty of distinguishing genuine performance from opportunistic financial reporting. Nigeria provides an important setting in this respect. The Nigerian Exchange Group (NGX) includes manufacturing firms operating within an environment </w:t>
      </w:r>
      <w:proofErr w:type="spellStart"/>
      <w:r>
        <w:t>characterised</w:t>
      </w:r>
      <w:proofErr w:type="spellEnd"/>
      <w:r>
        <w:t xml:space="preserve"> by macroeconomic volatility, exchange-rate pressures, inflation, financing constraints and evolving corporate-governance regulation. At the same time, </w:t>
      </w:r>
      <w:r>
        <w:rPr>
          <w:highlight w:val="yellow"/>
        </w:rPr>
        <w:t>the Nigerian Code of Corporate Governance (Financial Reporting Council of Nigeria [FRC], 2018) places</w:t>
      </w:r>
      <w:r>
        <w:t xml:space="preserve"> considerable emphasis on board independence, audit oversight, risk management, internal audit and external assurance as mechanisms for strengthening corporate accountability. These characteristics make Nigerian listed manufacturing companies an informative setting for examining whether observable </w:t>
      </w:r>
      <w:proofErr w:type="spellStart"/>
      <w:r>
        <w:t>organisational</w:t>
      </w:r>
      <w:proofErr w:type="spellEnd"/>
      <w:r>
        <w:t xml:space="preserve"> and governance conditions are associated with elevated financial-reporting manipulation risk.</w:t>
      </w:r>
    </w:p>
    <w:p w14:paraId="117D96DD" w14:textId="77777777" w:rsidR="009E04F9" w:rsidRDefault="00000000">
      <w:pPr>
        <w:jc w:val="both"/>
      </w:pPr>
      <w:r>
        <w:t xml:space="preserve">Existing Nigerian evidence confirms the relevance of the issue but remains methodologically fragmented. </w:t>
      </w:r>
      <w:hyperlink w:anchor="ref_Gbadebo_2023" w:history="1">
        <w:r w:rsidR="009E04F9">
          <w:rPr>
            <w:szCs w:val="24"/>
          </w:rPr>
          <w:t>Gbadebo et al. (2023)</w:t>
        </w:r>
      </w:hyperlink>
      <w:r>
        <w:t xml:space="preserve"> apply the </w:t>
      </w:r>
      <w:proofErr w:type="spellStart"/>
      <w:r>
        <w:t>Beneish</w:t>
      </w:r>
      <w:proofErr w:type="spellEnd"/>
      <w:r>
        <w:t xml:space="preserve"> M-Score to Nigerian banks and other </w:t>
      </w:r>
      <w:r>
        <w:lastRenderedPageBreak/>
        <w:t xml:space="preserve">financial institutions and document material variation in manipulation risk, while </w:t>
      </w:r>
      <w:hyperlink w:anchor="ref_Ogbodo_2023" w:history="1">
        <w:r w:rsidR="009E04F9">
          <w:rPr>
            <w:szCs w:val="24"/>
          </w:rPr>
          <w:t>Ogbodo et al. (2023)</w:t>
        </w:r>
      </w:hyperlink>
      <w:r>
        <w:t xml:space="preserve"> report that ownership structure is associated with financial statement fraud measures among NGX-listed non-financial firms. </w:t>
      </w:r>
      <w:hyperlink w:anchor="ref_Oluwagbade_2023" w:history="1">
        <w:proofErr w:type="spellStart"/>
        <w:r w:rsidR="009E04F9">
          <w:rPr>
            <w:szCs w:val="24"/>
          </w:rPr>
          <w:t>Oluwagbade</w:t>
        </w:r>
        <w:proofErr w:type="spellEnd"/>
        <w:r w:rsidR="009E04F9">
          <w:rPr>
            <w:szCs w:val="24"/>
          </w:rPr>
          <w:t xml:space="preserve"> et al. (2023)</w:t>
        </w:r>
      </w:hyperlink>
      <w:r>
        <w:t xml:space="preserve"> likewise obtain mixed evidence across Fraud Diamond proxies in Nigerian deposit money banks. Collectively, this literature shows that financial manipulation risk is relevant to Nigerian capital-market research, but the reported effects remain sensitive to proxy choice, institutional context and empirical specification. In particular, relatively little Nigerian evidence distinguishes contemporaneous fraud-risk signals from variables that provide genuine forward-looking predictive information.</w:t>
      </w:r>
    </w:p>
    <w:p w14:paraId="1A1151A3" w14:textId="77777777" w:rsidR="009B2EF1" w:rsidRDefault="00000000">
      <w:pPr>
        <w:jc w:val="both"/>
      </w:pPr>
      <w:r>
        <w:t xml:space="preserve">Recent evidence strengthens the case for analysing governance and reporting risk in the Nigerian and wider African setting. Musa et al. (2025), using 365 firm-year observations of Nigerian listed non-financial firms, report that several risk-management committee attributes are associated with lower accrual and real earnings management. </w:t>
      </w:r>
      <w:r>
        <w:rPr>
          <w:highlight w:val="yellow"/>
        </w:rPr>
        <w:t>Coleman et al. (2026a)</w:t>
      </w:r>
      <w:r>
        <w:t xml:space="preserve"> similarly document governance-related reductions in accrual earnings management across listed firms in Nigeria and Ghana using fixed-effects and two-step system GMM estimators. Most directly, Chepkorir et al. (2026) apply the Beneish M-Score to 110 non-financial firms across 10 Anglophone Sub-Saharan African securities exchanges and show that governance characteristics are associated with variation in earnings-manipulation risk. These studies reinforce the relevance of institutional monitoring while also showing that conclusions can depend on the outcome proxy and empirical design.</w:t>
      </w:r>
    </w:p>
    <w:p>
      <w:pPr>
        <w:jc w:val="both"/>
      </w:pPr>
      <w:r>
        <w:rPr>
          <w:b/>
          <w:bCs/>
          <w:highlight w:val="yellow"/>
        </w:rPr>
        <w:t xml:space="preserve">Complementing this evidence, Alao et al. (2024) identify weak corporate oversight and manipulated reporting among the governance and reporting features associated with major corporate failures, supporting attention to governance conditions while not treating them as proof of fraud. Recent Nigerian evidence from deposit money banks also shows that control and monitoring activities are negatively associated with fraud occurrence (Ajayi et al., 2026), which supports treating substantive oversight as a contextual safeguard rather than assuming that formal governance structures are sufficient. Using the Beneish M-Score as a fraud-risk proxy across non-financial European firms, Capraș et al. (2025) report that several audit-governance mechanisms are associated with lower fraud risk, reinforcing the relevance of audit oversight while retaining the screening interpretation of the M-Score. In manufacturing firms from Nigeria and Ghana, </w:t>
      </w:r>
      <w:r>
        <w:rPr>
          <w:b/>
          <w:bCs/>
          <w:highlight w:val="yellow"/>
        </w:rPr>
        <w:t>Coleman et al. (2026b)</w:t>
      </w:r>
      <w:r>
        <w:rPr>
          <w:b/>
          <w:bCs/>
          <w:highlight w:val="yellow"/>
        </w:rPr>
        <w:t xml:space="preserve"> find that economic uncertainty and corruption are associated with higher earnings management, while board structure negatively moderates these relationships, further indicating that institutional conditions can shape governance effects.</w:t>
      </w:r>
    </w:p>
    <w:p w14:paraId="25759A48" w14:textId="77777777" w:rsidR="009E04F9" w:rsidRDefault="00000000">
      <w:pPr>
        <w:jc w:val="both"/>
      </w:pPr>
      <w:r>
        <w:t xml:space="preserve">The Fraud Diamond framework provides a useful theoretical lens through which to </w:t>
      </w:r>
      <w:proofErr w:type="spellStart"/>
      <w:r>
        <w:t>organise</w:t>
      </w:r>
      <w:proofErr w:type="spellEnd"/>
      <w:r>
        <w:t xml:space="preserve"> these determinants. Building on </w:t>
      </w:r>
      <w:r>
        <w:rPr>
          <w:highlight w:val="yellow"/>
        </w:rPr>
        <w:t>Cressey's (1953) fraud triangle</w:t>
      </w:r>
      <w:r>
        <w:t xml:space="preserve">, </w:t>
      </w:r>
      <w:hyperlink w:anchor="ref_Wolfe_2004" w:history="1">
        <w:r w:rsidR="009E04F9">
          <w:rPr>
            <w:szCs w:val="24"/>
          </w:rPr>
          <w:t>Wolfe and Hermanson (2004)</w:t>
        </w:r>
      </w:hyperlink>
      <w:r>
        <w:t xml:space="preserve"> argue that fraud requires not only pressure, opportunity and </w:t>
      </w:r>
      <w:proofErr w:type="spellStart"/>
      <w:r>
        <w:t>rationalisation</w:t>
      </w:r>
      <w:proofErr w:type="spellEnd"/>
      <w:r>
        <w:t xml:space="preserve">, but also the capability to </w:t>
      </w:r>
      <w:proofErr w:type="spellStart"/>
      <w:r>
        <w:t>recognise</w:t>
      </w:r>
      <w:proofErr w:type="spellEnd"/>
      <w:r>
        <w:t xml:space="preserve"> and exploit an opportunity and to sustain concealment. Capability includes position, knowledge, confidence, persuasive ability and the capacity to manage the stress associated with fraudulent </w:t>
      </w:r>
      <w:proofErr w:type="spellStart"/>
      <w:r>
        <w:t>behaviour</w:t>
      </w:r>
      <w:proofErr w:type="spellEnd"/>
      <w:r>
        <w:t xml:space="preserve">. The framework is especially attractive for archival accounting research because each dimension can be represented by observable </w:t>
      </w:r>
      <w:proofErr w:type="spellStart"/>
      <w:r>
        <w:t>organisational</w:t>
      </w:r>
      <w:proofErr w:type="spellEnd"/>
      <w:r>
        <w:t xml:space="preserve"> indicators, although such proxies should not be treated as direct measurements of managers' psychological states.</w:t>
      </w:r>
    </w:p>
    <w:p w14:paraId="2BAC7B3F" w14:textId="77777777" w:rsidR="009E04F9" w:rsidRDefault="00000000">
      <w:pPr>
        <w:jc w:val="both"/>
      </w:pPr>
      <w:r>
        <w:t xml:space="preserve">The extant empirical literature nevertheless presents three unresolved issues. First, the evidence concerning individual Fraud Diamond components is mixed. Financial pressure and financial instability often increase reporting incentives, but governance and ownership variables do not consistently constrain manipulation across countries. </w:t>
      </w:r>
      <w:hyperlink w:anchor="ref_Skousen_2009" w:history="1">
        <w:r w:rsidR="009E04F9">
          <w:rPr>
            <w:szCs w:val="24"/>
          </w:rPr>
          <w:t>Skousen et al. (2009)</w:t>
        </w:r>
      </w:hyperlink>
      <w:r>
        <w:t xml:space="preserve">, for instance, find that several measures related to financial pressure, ownership structure and </w:t>
      </w:r>
      <w:r>
        <w:lastRenderedPageBreak/>
        <w:t>board control distinguish fraudulent from non-fraudulent firms. Earlier fraud research also links weak board and audit-committee structures to fraudulent financial reporting (</w:t>
      </w:r>
      <w:hyperlink w:anchor="ref_Beasley_2000" w:history="1">
        <w:r w:rsidR="009E04F9">
          <w:rPr>
            <w:szCs w:val="24"/>
          </w:rPr>
          <w:t>Beasley et al., 2000</w:t>
        </w:r>
      </w:hyperlink>
      <w:r>
        <w:t>), whereas broader restatement evidence shows that the effectiveness of formal independence can depend on board expertise and institutional context (</w:t>
      </w:r>
      <w:hyperlink w:anchor="ref_Klein_2002" w:history="1">
        <w:r w:rsidR="009E04F9">
          <w:rPr>
            <w:szCs w:val="24"/>
          </w:rPr>
          <w:t>Klein, 2002</w:t>
        </w:r>
      </w:hyperlink>
      <w:r>
        <w:t xml:space="preserve">; </w:t>
      </w:r>
      <w:hyperlink w:anchor="ref_Xie_2003" w:history="1">
        <w:r w:rsidR="009E04F9">
          <w:rPr>
            <w:szCs w:val="24"/>
          </w:rPr>
          <w:t>Xie et al., 2003</w:t>
        </w:r>
      </w:hyperlink>
      <w:r>
        <w:t>). Whether these governance relationships operate similarly in Nigeria remains an empirical question.</w:t>
      </w:r>
    </w:p>
    <w:p w14:paraId="1300F77B" w14:textId="77777777" w:rsidR="009E04F9" w:rsidRDefault="00000000">
      <w:pPr>
        <w:jc w:val="both"/>
      </w:pPr>
      <w:r>
        <w:t xml:space="preserve">Second, managerial capability is conceptually more complex than is often acknowledged. Financial expertise may improve monitoring, financial literacy and reporting quality, but the same expertise can potentially give an executive greater capacity to exploit accounting discretion. Empirical findings support both possibilities. </w:t>
      </w:r>
      <w:hyperlink w:anchor="ref_Jiang_2013" w:history="1">
        <w:r w:rsidR="009E04F9">
          <w:rPr>
            <w:szCs w:val="24"/>
          </w:rPr>
          <w:t>Jiang et al. (2013)</w:t>
        </w:r>
      </w:hyperlink>
      <w:r>
        <w:t xml:space="preserve"> find that CEOs with financial experience engage in less real earnings management, while other evidence suggests that CEO accounting and financial expertise may increase managerial intervention in earnings reporting. The direction of this association may therefore depend on the institutional environment and the incentives confronting management.</w:t>
      </w:r>
    </w:p>
    <w:p w14:paraId="2722EA20" w14:textId="77777777" w:rsidR="009E04F9" w:rsidRDefault="00000000">
      <w:pPr>
        <w:jc w:val="both"/>
      </w:pPr>
      <w:r>
        <w:t>Third, much of the archival fraud literature relies on contemporaneous pooled specifications even though firm-year observations are longitudinal and potentially correlated within companies. This matters because a variable can be associated with a manipulation signal in the same reporting period without necessarily predicting subsequent misreporting. Distinguishing contemporaneous detection from forward prediction is therefore important for both theoretical interpretation and practical use. A panel-aware design that accounts for within-firm dependence and examines temporal robustness can provide stronger evidence on whether Fraud Diamond indicators are persistent indicators or merely same-period warning signals.</w:t>
      </w:r>
    </w:p>
    <w:p w14:paraId="017C8932" w14:textId="77777777" w:rsidR="009E04F9" w:rsidRDefault="00000000">
      <w:pPr>
        <w:jc w:val="both"/>
      </w:pPr>
      <w:r>
        <w:t>This study addresses these gaps by examining whether five observable Fraud Diamond indicators—asset change, board independence, managerial ownership, auditor change and CEO financial expertise—are associated with Beneish-flagged earnings-manipulation risk among listed Nigerian manufacturing companies. The empirical design treats the contemporaneous model as a test of current risk association and supplements it with one-year-lagged and firm fixed-effects specifications to evaluate whether the relationships persist when temporal ordering and time-invariant firm heterogeneity are taken into account.</w:t>
      </w:r>
    </w:p>
    <w:p w14:paraId="21A80627" w14:textId="77777777" w:rsidR="009E04F9" w:rsidRDefault="00000000">
      <w:pPr>
        <w:jc w:val="both"/>
      </w:pPr>
      <w:r>
        <w:t xml:space="preserve">The study draws on audited financial-statement and governance information covering 2013–2022, with 2013 information used where necessary to construct prior-year </w:t>
      </w:r>
      <w:proofErr w:type="spellStart"/>
      <w:r>
        <w:t>Beneish</w:t>
      </w:r>
      <w:proofErr w:type="spellEnd"/>
      <w:r>
        <w:t xml:space="preserve"> components. The analytical panel spans 2014–2022. The population comprises 45 listed manufacturing companies, of which 40 satisfy the data requirements for the study. The final </w:t>
      </w:r>
      <w:r>
        <w:lastRenderedPageBreak/>
        <w:t xml:space="preserve">analytical dataset contains 340 usable firm-year observations, of which 115 (33.8%) exceed the </w:t>
      </w:r>
      <w:proofErr w:type="spellStart"/>
      <w:r>
        <w:t>Beneish</w:t>
      </w:r>
      <w:proofErr w:type="spellEnd"/>
      <w:r>
        <w:t xml:space="preserve"> manipulation threshold.</w:t>
      </w:r>
    </w:p>
    <w:p w14:paraId="4600C87B" w14:textId="77777777" w:rsidR="009E04F9" w:rsidRDefault="00000000">
      <w:pPr>
        <w:jc w:val="both"/>
      </w:pPr>
      <w:r>
        <w:t xml:space="preserve">The study makes three contributions. First, it extends evidence on Beneish-flagged earnings-manipulation risk to listed manufacturing companies in Nigeria, an important emerging-market setting </w:t>
      </w:r>
      <w:proofErr w:type="spellStart"/>
      <w:r>
        <w:t>characterised</w:t>
      </w:r>
      <w:proofErr w:type="spellEnd"/>
      <w:r>
        <w:t xml:space="preserve"> by macroeconomic volatility and evolving corporate-governance institutions. Second, it provides a panel-based examination of Fraud Diamond indicators rather than relying solely on pooled cross-sectional inference. Third, it distinguishes contemporaneous warning signals from one-year-ahead predictive relationships, thereby clarifying the extent to which observable pressure, opportunity, </w:t>
      </w:r>
      <w:proofErr w:type="spellStart"/>
      <w:r>
        <w:t>rationalisation</w:t>
      </w:r>
      <w:proofErr w:type="spellEnd"/>
      <w:r>
        <w:t xml:space="preserve"> and capability indicators can support practical monitoring of financial-reporting risk.</w:t>
      </w:r>
    </w:p>
    <w:p w14:paraId="2717F283" w14:textId="77777777" w:rsidR="009E04F9" w:rsidRDefault="00000000">
      <w:pPr>
        <w:jc w:val="both"/>
      </w:pPr>
      <w:r>
        <w:t>The remainder of the paper is structured as follows. Section 2 develops the theoretical framework and hypotheses. Section 3 explains the research design, measurement and estimation strategy. Section 4 presents the empirical results, Section 5 discusses the findings and their implications, and Section 6 concludes.</w:t>
      </w:r>
    </w:p>
    <w:p>
      <w:pPr>
        <w:keepNext/>
        <w:spacing w:before="120"/>
        <w:jc w:val="both"/>
      </w:pPr>
      <w:r>
        <w:rPr>
          <w:b/>
          <w:bCs/>
          <w:highlight w:val="yellow"/>
        </w:rPr>
        <w:t>1.1 Objective of the Study</w:t>
      </w:r>
    </w:p>
    <w:p>
      <w:pPr>
        <w:jc w:val="both"/>
      </w:pPr>
      <w:r>
        <w:rPr>
          <w:b/>
          <w:bCs/>
          <w:highlight w:val="yellow"/>
        </w:rPr>
        <w:t>The objective of this study is to examine whether asset change, board independence, managerial ownership, auditor change and CEO financial expertise are associated with Beneish-flagged earnings-manipulation risk among listed Nigerian manufacturing companies, and to assess whether any observed relationships persist when explanatory variables are lagged by one year and firm fixed effects are considered.</w:t>
      </w:r>
    </w:p>
    <w:p w14:paraId="5CBF42E3" w14:textId="77777777" w:rsidR="009E04F9" w:rsidRDefault="00000000">
      <w:pPr>
        <w:keepNext/>
        <w:spacing w:before="120"/>
        <w:jc w:val="both"/>
      </w:pPr>
      <w:r>
        <w:rPr>
          <w:b/>
        </w:rPr>
        <w:t>2. Literature Review and Hypothesis Development</w:t>
      </w:r>
    </w:p>
    <w:p w14:paraId="3075DA41" w14:textId="77777777" w:rsidR="009E04F9" w:rsidRDefault="00000000">
      <w:pPr>
        <w:keepNext/>
        <w:spacing w:before="80"/>
      </w:pPr>
      <w:r>
        <w:rPr>
          <w:b/>
        </w:rPr>
        <w:t>2.1 Financial shenanigans, earnings manipulation and fraudulent reporting</w:t>
      </w:r>
    </w:p>
    <w:p w14:paraId="3442B6A5" w14:textId="77777777" w:rsidR="009E04F9" w:rsidRDefault="00000000">
      <w:pPr>
        <w:jc w:val="both"/>
      </w:pPr>
      <w:r>
        <w:t>Financial reporting exists within an environment of information asymmetry in which corporate managers normally possess superior information about the firm's operations, prospects and financial condition. Although accounting standards constrain reporting discretion, they cannot eliminate managerial judgement. Estimates concerning impairment, useful lives, provisions, revenue recognition and accruals inevitably provide room for managerial discretion. Such discretion can improve reporting when used to communicate private information, but it may also be employed opportunistically.</w:t>
      </w:r>
    </w:p>
    <w:p w14:paraId="7E65B945" w14:textId="77777777" w:rsidR="009E04F9" w:rsidRDefault="009E04F9">
      <w:pPr>
        <w:jc w:val="both"/>
      </w:pPr>
      <w:hyperlink w:anchor="ref_Schilit_2018" w:history="1">
        <w:r>
          <w:rPr>
            <w:szCs w:val="24"/>
            <w:highlight w:val="yellow"/>
          </w:rPr>
          <w:t>Schilit et al. (2018)</w:t>
        </w:r>
      </w:hyperlink>
      <w:r>
        <w:t xml:space="preserve"> uses the term financial shenanigans to describe accounting and disclosure practices that distort stakeholders' perceptions of corporate performance. The concept is broader than fraudulent reporting and includes earnings manipulation, cash-flow classification practices and distortions of key performance metrics. In this study, financial shenanigans are </w:t>
      </w:r>
      <w:proofErr w:type="spellStart"/>
      <w:r>
        <w:t>operationalised</w:t>
      </w:r>
      <w:proofErr w:type="spellEnd"/>
      <w:r>
        <w:t xml:space="preserve"> through the </w:t>
      </w:r>
      <w:proofErr w:type="spellStart"/>
      <w:r>
        <w:t>Beneish</w:t>
      </w:r>
      <w:proofErr w:type="spellEnd"/>
      <w:r>
        <w:t xml:space="preserve"> M-Score as an accounting-based indication of elevated earnings-manipulation risk. This </w:t>
      </w:r>
      <w:proofErr w:type="spellStart"/>
      <w:r>
        <w:t>operationalisation</w:t>
      </w:r>
      <w:proofErr w:type="spellEnd"/>
      <w:r>
        <w:t xml:space="preserve"> permits systematic firm-year classification while </w:t>
      </w:r>
      <w:proofErr w:type="spellStart"/>
      <w:r>
        <w:t>recognising</w:t>
      </w:r>
      <w:proofErr w:type="spellEnd"/>
      <w:r>
        <w:t xml:space="preserve"> that a screening signal is not equivalent to legally established fraud.</w:t>
      </w:r>
    </w:p>
    <w:p w14:paraId="1F818A66" w14:textId="77777777" w:rsidR="009E04F9" w:rsidRDefault="009E04F9">
      <w:pPr>
        <w:jc w:val="both"/>
      </w:pPr>
      <w:hyperlink w:anchor="ref_Beneish_1999" w:history="1">
        <w:proofErr w:type="spellStart"/>
        <w:r>
          <w:rPr>
            <w:szCs w:val="24"/>
          </w:rPr>
          <w:t>Beneish</w:t>
        </w:r>
        <w:proofErr w:type="spellEnd"/>
        <w:r>
          <w:rPr>
            <w:szCs w:val="24"/>
          </w:rPr>
          <w:t xml:space="preserve"> (1999)</w:t>
        </w:r>
      </w:hyperlink>
      <w:r>
        <w:t xml:space="preserve"> develops an eight-variable probabilistic model using financial-statement relationships expected to differ systematically between manipulators and non-manipulators. </w:t>
      </w:r>
      <w:r>
        <w:lastRenderedPageBreak/>
        <w:t xml:space="preserve">The model incorporates unusual receivables growth, deteriorating gross margins, asset quality, sales growth, depreciation changes, selling and administrative expenditure, leverage and accruals. Its purpose is not to pronounce guilt but to identify firms whose reported accounting relationships warrant closer examination. The model identified a meaningful proportion of manipulators before public discovery, but </w:t>
      </w:r>
      <w:proofErr w:type="spellStart"/>
      <w:r>
        <w:t>Beneish</w:t>
      </w:r>
      <w:proofErr w:type="spellEnd"/>
      <w:r>
        <w:t xml:space="preserve"> stresses the need to determine whether observed accounting distortions arise from manipulation or from legitimate structural factors.</w:t>
      </w:r>
    </w:p>
    <w:p w14:paraId="47A7281F" w14:textId="77777777" w:rsidR="009E04F9" w:rsidRDefault="009E04F9">
      <w:pPr>
        <w:jc w:val="both"/>
      </w:pPr>
      <w:hyperlink w:anchor="ref_Dechow_2011" w:history="1">
        <w:r>
          <w:rPr>
            <w:szCs w:val="24"/>
          </w:rPr>
          <w:t>Dechow et al. (2011)</w:t>
        </w:r>
      </w:hyperlink>
      <w:r>
        <w:t xml:space="preserve"> reinforce the wider proposition that financial characteristics can help identify material misstatement risk. Their F-Score framework combines accrual quality, changes in receivables, inventories, cash sales and other measures to identify periods with higher likelihood of material misstatement. Related evidence indicates that inconsistencies between financial performance and non-financial operating measures can provide incremental fraud-risk information (</w:t>
      </w:r>
      <w:hyperlink w:anchor="ref_Brazel_2009" w:history="1">
        <w:r>
          <w:rPr>
            <w:szCs w:val="24"/>
          </w:rPr>
          <w:t>Brazel et al., 2009</w:t>
        </w:r>
      </w:hyperlink>
      <w:r>
        <w:t>). Together with the evidence that prior earnings management is more common among fraud firms (</w:t>
      </w:r>
      <w:proofErr w:type="spellStart"/>
      <w:r>
        <w:rPr>
          <w:szCs w:val="24"/>
        </w:rPr>
        <w:t>Perols</w:t>
      </w:r>
      <w:proofErr w:type="spellEnd"/>
      <w:r>
        <w:rPr>
          <w:szCs w:val="24"/>
        </w:rPr>
        <w:t xml:space="preserve"> &amp; Lougee, 2011</w:t>
      </w:r>
      <w:r>
        <w:t>), these studies support the usefulness of multi-indicator screening models while cautioning against interpreting a statistical flag as equivalent to confirmed misconduct.</w:t>
      </w:r>
    </w:p>
    <w:p w14:paraId="72BB0886" w14:textId="77777777" w:rsidR="009B2EF1" w:rsidRDefault="00000000">
      <w:r>
        <w:rPr>
          <w:sz w:val="20"/>
        </w:rPr>
        <w:t xml:space="preserve">Recent Nigerian evidence also shows that reporting discretion can operate through real business decisions rather than accounting accruals alone. Edeh, Suleiman, et al. (2025), using listed Nigerian manufacturing firms, report </w:t>
      </w:r>
      <w:r>
        <w:rPr>
          <w:sz w:val="20"/>
          <w:highlight w:val="yellow"/>
        </w:rPr>
        <w:t>significant associations between real earnings management and both information asymmetry and institutional ownership</w:t>
      </w:r>
      <w:r>
        <w:rPr>
          <w:sz w:val="20"/>
        </w:rPr>
        <w:t>. This evidence complements the present Beneish-based approach: real earnings management captures operational reporting choices, whereas the M-Score identifies unusual financial-statement relationships associated with elevated manipulation risk.</w:t>
      </w:r>
    </w:p>
    <w:p w14:paraId="0C42DFAA" w14:textId="77777777" w:rsidR="009E04F9" w:rsidRDefault="00000000">
      <w:pPr>
        <w:jc w:val="both"/>
      </w:pPr>
      <w:r>
        <w:t>This distinction is especially important in the present study. The dependent variable identifies whether a company's annual financial statements exhibit a combination of characteristics associated with earnings manipulation. The study therefore investigates conditions associated with being flagged as a likely manipulator, rather than determinants of legally proven fraud.</w:t>
      </w:r>
    </w:p>
    <w:p w14:paraId="7C8B2E48" w14:textId="77777777" w:rsidR="009E04F9" w:rsidRDefault="00000000">
      <w:pPr>
        <w:keepNext/>
        <w:spacing w:before="80"/>
      </w:pPr>
      <w:r>
        <w:rPr>
          <w:b/>
        </w:rPr>
        <w:t>2.2 Fraud Diamond Theory</w:t>
      </w:r>
    </w:p>
    <w:p w14:paraId="027B82D6" w14:textId="77777777" w:rsidR="009E04F9" w:rsidRDefault="00000000">
      <w:pPr>
        <w:jc w:val="both"/>
      </w:pPr>
      <w:r>
        <w:t xml:space="preserve">The theoretical foundation of the study is Fraud Diamond Theory. </w:t>
      </w:r>
      <w:r>
        <w:rPr>
          <w:highlight w:val="yellow"/>
        </w:rPr>
        <w:t>Cressey's (1953) original fraud triangle</w:t>
      </w:r>
      <w:r>
        <w:t xml:space="preserve"> proposes that occupational fraud becomes more likely where an individual experiences non-shareable pressure, perceives an opportunity to commit the act and develops a </w:t>
      </w:r>
      <w:proofErr w:type="spellStart"/>
      <w:r>
        <w:t>rationalisation</w:t>
      </w:r>
      <w:proofErr w:type="spellEnd"/>
      <w:r>
        <w:t xml:space="preserve"> that enables the </w:t>
      </w:r>
      <w:proofErr w:type="spellStart"/>
      <w:r>
        <w:t>behaviour</w:t>
      </w:r>
      <w:proofErr w:type="spellEnd"/>
      <w:r>
        <w:t xml:space="preserve"> to remain compatible with the individual's self-conception. </w:t>
      </w:r>
      <w:hyperlink w:anchor="ref_Wolfe_2004" w:history="1">
        <w:r w:rsidR="009E04F9">
          <w:rPr>
            <w:szCs w:val="24"/>
          </w:rPr>
          <w:t>Wolfe and Hermanson (2004)</w:t>
        </w:r>
      </w:hyperlink>
      <w:r>
        <w:t xml:space="preserve"> extend this framework by arguing that the first three elements may be present without fraud occurring unless an individual possesses sufficient capability to exploit the opportunity.</w:t>
      </w:r>
    </w:p>
    <w:p w14:paraId="5756F6D3" w14:textId="77777777" w:rsidR="009E04F9" w:rsidRDefault="00000000">
      <w:pPr>
        <w:jc w:val="both"/>
      </w:pPr>
      <w:r>
        <w:lastRenderedPageBreak/>
        <w:t xml:space="preserve">The four dimensions therefore represent distinct mechanisms. Pressure concerns incentives or strains that make financial manipulation attractive. Opportunity concerns governance, control or monitoring weaknesses that reduce the expected probability of detection. </w:t>
      </w:r>
      <w:proofErr w:type="spellStart"/>
      <w:r>
        <w:t>Rationalisation</w:t>
      </w:r>
      <w:proofErr w:type="spellEnd"/>
      <w:r>
        <w:t xml:space="preserve"> concerns the cognitive justification through which questionable conduct is </w:t>
      </w:r>
      <w:proofErr w:type="spellStart"/>
      <w:r>
        <w:t>normalised</w:t>
      </w:r>
      <w:proofErr w:type="spellEnd"/>
      <w:r>
        <w:t>. Capability concerns the personal authority, knowledge and skill necessary to initiate, execute and conceal complex manipulation.</w:t>
      </w:r>
    </w:p>
    <w:p w14:paraId="3E47E781" w14:textId="77777777" w:rsidR="009E04F9" w:rsidRDefault="00000000">
      <w:pPr>
        <w:jc w:val="both"/>
      </w:pPr>
      <w:r>
        <w:t xml:space="preserve">An important methodological implication follows. Archival financial data do not directly observe psychological pressure, </w:t>
      </w:r>
      <w:proofErr w:type="spellStart"/>
      <w:r>
        <w:t>rationalisation</w:t>
      </w:r>
      <w:proofErr w:type="spellEnd"/>
      <w:r>
        <w:t xml:space="preserve"> or capability. Rather, observable firm characteristics serve as risk indicators or proxies. High asset instability may indicate performance pressure; weak board monitoring may indicate opportunity; auditor turnover may signal conflict or </w:t>
      </w:r>
      <w:proofErr w:type="spellStart"/>
      <w:r>
        <w:t>rationalisation</w:t>
      </w:r>
      <w:proofErr w:type="spellEnd"/>
      <w:r>
        <w:t xml:space="preserve"> surrounding reporting choices; and CEO financial expertise may indicate capability. The interpretation should therefore be probabilistic rather than deterministic.</w:t>
      </w:r>
    </w:p>
    <w:p w14:paraId="67890B17" w14:textId="77777777" w:rsidR="009E04F9" w:rsidRDefault="00000000">
      <w:pPr>
        <w:jc w:val="both"/>
      </w:pPr>
      <w:r>
        <w:t>This caveat is particularly important because prior fraud-diamond studies frequently equate proxies with the latent constructs themselves. The present study instead interprets each observable variable as an indicator consistent with a particular theoretical pathway.</w:t>
      </w:r>
    </w:p>
    <w:p w14:paraId="0F7B5949" w14:textId="77777777" w:rsidR="009E04F9" w:rsidRDefault="00000000">
      <w:pPr>
        <w:keepNext/>
        <w:spacing w:before="80"/>
      </w:pPr>
      <w:r>
        <w:rPr>
          <w:b/>
        </w:rPr>
        <w:t>2.3 Pressure: financial instability and earnings manipulation risk</w:t>
      </w:r>
    </w:p>
    <w:p w14:paraId="0A1CF687" w14:textId="77777777" w:rsidR="009E04F9" w:rsidRDefault="00000000">
      <w:pPr>
        <w:jc w:val="both"/>
      </w:pPr>
      <w:r>
        <w:t xml:space="preserve">Pressure is commonly treated as an important precursor to financial reporting manipulation. Managers may face pressure to maintain creditworthiness, avoid covenant violations, achieve earnings targets, preserve access to external financing or prevent deterioration in market perceptions. </w:t>
      </w:r>
      <w:hyperlink w:anchor="ref_Skousen_2009" w:history="1">
        <w:r w:rsidR="009E04F9">
          <w:rPr>
            <w:szCs w:val="24"/>
          </w:rPr>
          <w:t>Skousen et al. (2009)</w:t>
        </w:r>
      </w:hyperlink>
      <w:r>
        <w:t xml:space="preserve"> document evidence that variables representing financial stability, external financing needs and performance pressures discriminate between fraud and non-fraud firms. High-quality archival evidence similarly connects executive incentives and financing constraints to misreporting risk. </w:t>
      </w:r>
      <w:hyperlink w:anchor="ref_Burns_2006" w:history="1">
        <w:r w:rsidR="009E04F9">
          <w:rPr>
            <w:szCs w:val="24"/>
          </w:rPr>
          <w:t>Burns and Kedia (2006)</w:t>
        </w:r>
      </w:hyperlink>
      <w:r>
        <w:t xml:space="preserve"> show that the sensitivity of CEO option portfolios to stock price is positively related to the propensity to misreport, while </w:t>
      </w:r>
      <w:hyperlink w:anchor="ref_Efendi_2007" w:history="1">
        <w:r w:rsidR="009E04F9">
          <w:rPr>
            <w:szCs w:val="24"/>
          </w:rPr>
          <w:t>Efendi et al. (2007)</w:t>
        </w:r>
      </w:hyperlink>
      <w:r>
        <w:t xml:space="preserve"> report greater misstatement likelihood where firms face debt-covenant constraints, capital-raising pressures and strong option-related incentives. These findings support the broader Fraud Diamond proposition that financial and performance pressures can heighten incentives for reporting manipulation.</w:t>
      </w:r>
    </w:p>
    <w:p w14:paraId="142A4494" w14:textId="77777777" w:rsidR="009E04F9" w:rsidRDefault="00000000">
      <w:pPr>
        <w:jc w:val="both"/>
      </w:pPr>
      <w:r>
        <w:t xml:space="preserve">Financial instability is represented by asset change (ACHANGE), measured as the annual change in total assets relative to prior-year total assets. Rapid expansion may increase financing needs, </w:t>
      </w:r>
      <w:proofErr w:type="spellStart"/>
      <w:r>
        <w:t>organisational</w:t>
      </w:r>
      <w:proofErr w:type="spellEnd"/>
      <w:r>
        <w:t xml:space="preserve"> complexity and expectations that management will sustain historical performance, while sharp contraction may signal distress and create pressure to </w:t>
      </w:r>
      <w:r>
        <w:lastRenderedPageBreak/>
        <w:t xml:space="preserve">present financial conditions more </w:t>
      </w:r>
      <w:proofErr w:type="spellStart"/>
      <w:r>
        <w:t>favourably</w:t>
      </w:r>
      <w:proofErr w:type="spellEnd"/>
      <w:r>
        <w:t>. Asset growth therefore provides an observable firm-level indicator of the pressure dimension of Fraud Diamond Theory.</w:t>
      </w:r>
    </w:p>
    <w:p w14:paraId="3495A9B3" w14:textId="77777777" w:rsidR="009E04F9" w:rsidRDefault="00000000">
      <w:pPr>
        <w:jc w:val="both"/>
      </w:pPr>
      <w:r>
        <w:t>Asset change captures instability or unusually rapid shifts in the scale of the firm. Rapid expansion can create pressure to maintain historical growth rates, support external financing requirements and justify optimistic valuations. Conversely, sharp contraction may indicate deteriorating financial health and increase incentives to mask poor performance. The source data show substantial dispersion in asset change across the sampled firms, supporting its use as a meaningful measure of financial instability.</w:t>
      </w:r>
    </w:p>
    <w:p w14:paraId="6C9BF9E3" w14:textId="77777777" w:rsidR="009B2EF1" w:rsidRDefault="00000000">
      <w:pPr>
        <w:jc w:val="both"/>
      </w:pPr>
      <w:r>
        <w:t>Recent emerging-market evidence provides additional support for treating asset change as a risk indicator rather than a direct psychological measure of pressure. Ho et al. (2026), analysing 420 Vietnamese listed firms with both Beneish M-Score and Dechow F-Score classifications, find that financial stability measured by ACHANGE is consistently associated with the fraud-screening outcomes. The result is relevant to the present specification because it supports the use of ACHANGE while also illustrating that fraud-risk proxies can be sensitive to the detection model employed.</w:t>
      </w:r>
    </w:p>
    <w:p w14:paraId="36CE6CB5" w14:textId="77777777" w:rsidR="009E04F9" w:rsidRDefault="00000000">
      <w:pPr>
        <w:jc w:val="both"/>
      </w:pPr>
      <w:r>
        <w:t xml:space="preserve">The relevant theoretical prediction is that larger positive changes in assets, particularly rapid expansion, are associated with greater pressure to sustain </w:t>
      </w:r>
      <w:proofErr w:type="spellStart"/>
      <w:r>
        <w:t>favourable</w:t>
      </w:r>
      <w:proofErr w:type="spellEnd"/>
      <w:r>
        <w:t xml:space="preserve"> financial reporting. Consistent with Fraud Diamond Theory and prior archival evidence, the first hypothesis is:</w:t>
      </w:r>
    </w:p>
    <w:p w14:paraId="282D1D51" w14:textId="77777777" w:rsidR="009E04F9" w:rsidRDefault="00000000">
      <w:pPr>
        <w:jc w:val="both"/>
      </w:pPr>
      <w:r>
        <w:rPr>
          <w:b/>
        </w:rPr>
        <w:t xml:space="preserve">H1: Greater asset growth is positively associated with the likelihood that a listed Nigerian manufacturing firm is classified as a </w:t>
      </w:r>
      <w:proofErr w:type="spellStart"/>
      <w:r>
        <w:rPr>
          <w:b/>
        </w:rPr>
        <w:t>Beneish</w:t>
      </w:r>
      <w:proofErr w:type="spellEnd"/>
      <w:r>
        <w:rPr>
          <w:b/>
        </w:rPr>
        <w:t>-flagged earnings manipulator.</w:t>
      </w:r>
    </w:p>
    <w:p w14:paraId="65CA83CA" w14:textId="77777777" w:rsidR="009E04F9" w:rsidRDefault="00000000">
      <w:pPr>
        <w:keepNext/>
        <w:spacing w:before="80"/>
      </w:pPr>
      <w:r>
        <w:rPr>
          <w:b/>
        </w:rPr>
        <w:t>2.4 Opportunity and board independence</w:t>
      </w:r>
    </w:p>
    <w:p w14:paraId="252ED4A5" w14:textId="77777777" w:rsidR="009E04F9" w:rsidRDefault="00000000">
      <w:pPr>
        <w:jc w:val="both"/>
      </w:pPr>
      <w:r>
        <w:t xml:space="preserve">Opportunity concerns the </w:t>
      </w:r>
      <w:proofErr w:type="spellStart"/>
      <w:r>
        <w:t>organisational</w:t>
      </w:r>
      <w:proofErr w:type="spellEnd"/>
      <w:r>
        <w:t xml:space="preserve"> conditions that allow manipulation to occur with a lower perceived probability of detection. Weak board oversight, ineffective internal control, managerial dominance and insufficiently independent monitoring can expand such opportunities. </w:t>
      </w:r>
      <w:hyperlink w:anchor="ref_Donelson_2017" w:history="1">
        <w:r w:rsidR="009E04F9">
          <w:rPr>
            <w:szCs w:val="24"/>
          </w:rPr>
          <w:t>Donelson et al. (2017)</w:t>
        </w:r>
      </w:hyperlink>
      <w:r>
        <w:t xml:space="preserve"> provide particularly relevant evidence: material internal-control weaknesses are associated with a greater likelihood of future financial reporting fraud, with the evidence supporting an opportunity-based mechanism rather than merely </w:t>
      </w:r>
      <w:proofErr w:type="spellStart"/>
      <w:r>
        <w:t>signalling</w:t>
      </w:r>
      <w:proofErr w:type="spellEnd"/>
      <w:r>
        <w:t xml:space="preserve"> poor reporting quality. This suggests that opportunity should be understood as a substantive control environment, not simply as a formal governance characteristic.</w:t>
      </w:r>
    </w:p>
    <w:p w14:paraId="10A085E0" w14:textId="77777777" w:rsidR="009E04F9" w:rsidRDefault="00000000">
      <w:pPr>
        <w:jc w:val="both"/>
      </w:pPr>
      <w:r>
        <w:t xml:space="preserve">Board independence is therefore an important governance mechanism, but the evidence indicates that independence is most effective when accompanied by active and financially competent oversight. </w:t>
      </w:r>
      <w:hyperlink w:anchor="ref_Beasley_1996" w:history="1">
        <w:r w:rsidR="009E04F9">
          <w:rPr>
            <w:szCs w:val="24"/>
          </w:rPr>
          <w:t>Beasley (1996)</w:t>
        </w:r>
      </w:hyperlink>
      <w:r>
        <w:t xml:space="preserve"> reports that firms without identified financial statement fraud have significantly higher proportions of outside directors, and </w:t>
      </w:r>
      <w:hyperlink w:anchor="ref_Beasley_2000" w:history="1">
        <w:r w:rsidR="009E04F9">
          <w:rPr>
            <w:szCs w:val="24"/>
          </w:rPr>
          <w:t>Beasley et al. (2000)</w:t>
        </w:r>
      </w:hyperlink>
      <w:r>
        <w:t xml:space="preserve"> find </w:t>
      </w:r>
      <w:r>
        <w:lastRenderedPageBreak/>
        <w:t xml:space="preserve">weaker board and audit-committee independence among fraud firms across several industries. </w:t>
      </w:r>
      <w:hyperlink w:anchor="ref_Klein_2002" w:history="1">
        <w:r w:rsidR="009E04F9">
          <w:rPr>
            <w:szCs w:val="24"/>
          </w:rPr>
          <w:t>Klein (2002)</w:t>
        </w:r>
      </w:hyperlink>
      <w:r>
        <w:t xml:space="preserve"> documents a negative relation between board and audit-committee independence and abnormal accruals, while </w:t>
      </w:r>
      <w:hyperlink w:anchor="ref_Xie_2003" w:history="1">
        <w:r w:rsidR="009E04F9">
          <w:rPr>
            <w:szCs w:val="24"/>
          </w:rPr>
          <w:t>Xie et al. (2003)</w:t>
        </w:r>
      </w:hyperlink>
      <w:r>
        <w:t xml:space="preserve"> show that financially sophisticated and more active boards and audit committees are associated with lower discretionary accruals. </w:t>
      </w:r>
      <w:hyperlink w:anchor="ref_Abbott_2004" w:history="1">
        <w:r w:rsidR="009E04F9">
          <w:rPr>
            <w:szCs w:val="24"/>
          </w:rPr>
          <w:t>Abbott et al. (2004)</w:t>
        </w:r>
      </w:hyperlink>
      <w:r>
        <w:t xml:space="preserve"> similarly find that audit-committee independence, activity and financial expertise are negatively associated with financial restatements. </w:t>
      </w:r>
      <w:hyperlink w:anchor="ref_Farber_2005" w:history="1">
        <w:r w:rsidR="009E04F9">
          <w:rPr>
            <w:szCs w:val="24"/>
          </w:rPr>
          <w:t>Farber (2005)</w:t>
        </w:r>
      </w:hyperlink>
      <w:r>
        <w:t xml:space="preserve"> further shows that firms identified with fraud subsequently strengthen governance structures, suggesting that markets and boards treat weak governance as a credibility problem. Taken together, these studies support the monitoring role of independent governance while also cautioning against equating formal independence with effective oversight.</w:t>
      </w:r>
    </w:p>
    <w:p w14:paraId="793CA43C" w14:textId="77777777" w:rsidR="009B2EF1" w:rsidRDefault="00000000">
      <w:pPr>
        <w:jc w:val="both"/>
      </w:pPr>
      <w:r>
        <w:t>More recent evidence is consistent with the view that governance quality cannot be inferred from a board label alone. Khan and Kamal (2024) report that board independence and financial expertise are associated with lower discretionary accruals in an emerging-market setting, while Musa et al. (2025) show that committee expertise, activity and structural features are associated with lower earnings management in Nigeria. Chepkorir et al. (2026) likewise find that board structure is related to Beneish-based reporting quality across Anglophone Sub-Saharan Africa. Taken together, these studies support attention to the substance of monitoring rather than numerical independence in isolation.</w:t>
      </w:r>
    </w:p>
    <w:p w14:paraId="2675850A" w14:textId="77777777" w:rsidR="009B2EF1" w:rsidRDefault="00000000">
      <w:r>
        <w:rPr>
          <w:sz w:val="20"/>
        </w:rPr>
        <w:t xml:space="preserve">Within West Africa, Abba et al. (2025) likewise show that board independence has substantive governance relevance by moderating the </w:t>
      </w:r>
      <w:r>
        <w:rPr>
          <w:sz w:val="20"/>
          <w:highlight w:val="yellow"/>
        </w:rPr>
        <w:t>credit risk–bank rating relationship</w:t>
      </w:r>
      <w:r>
        <w:rPr>
          <w:sz w:val="20"/>
        </w:rPr>
        <w:t xml:space="preserve"> across Ghana, Nigeria and Togo. Although their outcome is a bank credit-rating measure rather than earnings manipulation, the evidence supports the broader regional proposition that independent oversight can condition economically important firm outcomes.</w:t>
      </w:r>
    </w:p>
    <w:p w14:paraId="057D9233" w14:textId="77777777" w:rsidR="009E04F9" w:rsidRDefault="00000000">
      <w:pPr>
        <w:jc w:val="both"/>
      </w:pPr>
      <w:r>
        <w:t>The Nigerian governance environment reinforces this theoretical role. The Nigerian Code of Corporate Governance explicitly distinguishes independent non-executive directors and assigns important oversight functions to board committees, risk management, internal audit and external assurance. Formal independence, however, may not necessarily translate into substantive monitoring where directors lack information, expertise or willingness to challenge dominant management.</w:t>
      </w:r>
    </w:p>
    <w:p w14:paraId="3D5E5F88" w14:textId="77777777" w:rsidR="009E04F9" w:rsidRDefault="00000000">
      <w:pPr>
        <w:jc w:val="both"/>
      </w:pPr>
      <w:r>
        <w:t xml:space="preserve">The source database labels BDOUT as a board-independence or monitoring ratio. The underlying study documentation defines the intended numerator as independent board members, although another part of the source documentation uses the broader term non-executive directors. To avoid treating these categories as interchangeable, the main analysis retains the source BDOUT variable, while the robustness analysis separately reconstructs </w:t>
      </w:r>
      <w:r>
        <w:lastRenderedPageBreak/>
        <w:t>BDOUT2 as non-executive directors divided by total board size. The main hypothesis concerns stronger outside monitoring and therefore predicts a negative association with the Beneish flag. Accordingly:</w:t>
      </w:r>
    </w:p>
    <w:p w14:paraId="6883B64D" w14:textId="77777777" w:rsidR="009E04F9" w:rsidRDefault="00000000">
      <w:pPr>
        <w:jc w:val="both"/>
      </w:pPr>
      <w:r>
        <w:rPr>
          <w:b/>
        </w:rPr>
        <w:t xml:space="preserve">H2: Board independence is negatively associated with the likelihood that a listed Nigerian manufacturing firm is classified as a </w:t>
      </w:r>
      <w:proofErr w:type="spellStart"/>
      <w:r>
        <w:rPr>
          <w:b/>
        </w:rPr>
        <w:t>Beneish</w:t>
      </w:r>
      <w:proofErr w:type="spellEnd"/>
      <w:r>
        <w:rPr>
          <w:b/>
        </w:rPr>
        <w:t>-flagged earnings manipulator.</w:t>
      </w:r>
    </w:p>
    <w:p w14:paraId="1FF59645" w14:textId="77777777" w:rsidR="009E04F9" w:rsidRDefault="00000000">
      <w:pPr>
        <w:keepNext/>
        <w:spacing w:before="80"/>
      </w:pPr>
      <w:r>
        <w:rPr>
          <w:b/>
        </w:rPr>
        <w:t>2.5 Opportunity and managerial ownership</w:t>
      </w:r>
    </w:p>
    <w:p w14:paraId="2B9296EE" w14:textId="77777777" w:rsidR="009E04F9" w:rsidRDefault="00000000">
      <w:pPr>
        <w:jc w:val="both"/>
      </w:pPr>
      <w:r>
        <w:t xml:space="preserve">Ownership structure may influence manipulation through two competing mechanisms. The alignment argument suggests that managerial share ownership aligns managers' wealth with shareholder value and reduces incentives for opportunistic reporting. </w:t>
      </w:r>
      <w:hyperlink w:anchor="ref_Warfield_1995" w:history="1">
        <w:r w:rsidR="009E04F9">
          <w:rPr>
            <w:szCs w:val="24"/>
          </w:rPr>
          <w:t>Warfield et al. (1995)</w:t>
        </w:r>
      </w:hyperlink>
      <w:r>
        <w:t xml:space="preserve"> provide evidence consistent with this view: managerial ownership is positively associated with earnings informativeness and negatively associated with the magnitude of discretionary accounting accrual adjustments. In contrast, the entrenchment argument proposes that substantial insider or controlling ownership strengthens managerial control, weakens external discipline and increases managers' capacity to resist monitoring. </w:t>
      </w:r>
      <w:hyperlink w:anchor="ref_Fan_2002" w:history="1">
        <w:r w:rsidR="009E04F9">
          <w:rPr>
            <w:szCs w:val="24"/>
          </w:rPr>
          <w:t>Fan and Wong (2002)</w:t>
        </w:r>
      </w:hyperlink>
      <w:r>
        <w:t>, studying East Asian firms, show that concentrated control can reduce the informativeness of reported earnings where controlling owners possess incentives to report accounting information for private purposes. These competing mechanisms make the sign of managerial ownership an empirical issue rather than a foregone conclusion.</w:t>
      </w:r>
    </w:p>
    <w:p w14:paraId="31B4F557" w14:textId="77777777" w:rsidR="009E04F9" w:rsidRDefault="00000000">
      <w:pPr>
        <w:jc w:val="both"/>
      </w:pPr>
      <w:r>
        <w:t xml:space="preserve">Fraud-risk research provides additional support for the importance of ownership structure. </w:t>
      </w:r>
      <w:hyperlink w:anchor="ref_Skousen_2009" w:history="1">
        <w:r w:rsidR="009E04F9">
          <w:rPr>
            <w:szCs w:val="24"/>
          </w:rPr>
          <w:t>Skousen et al. (2009)</w:t>
        </w:r>
      </w:hyperlink>
      <w:r>
        <w:t xml:space="preserve"> report that internal and external ownership characteristics are associated with the incidence of fraudulent financial reporting. Nigerian evidence similarly indicates that ownership structure can be relevant to financial reporting outcomes (</w:t>
      </w:r>
      <w:hyperlink w:anchor="ref_Ogbodo_2023" w:history="1">
        <w:r w:rsidR="009E04F9">
          <w:rPr>
            <w:szCs w:val="24"/>
          </w:rPr>
          <w:t>Ogbodo et al., 2023</w:t>
        </w:r>
      </w:hyperlink>
      <w:r>
        <w:t>). Accordingly, managerial ownership in the present study is interpreted as a governance condition with potentially competing alignment and entrenchment effects rather than as an unambiguous proxy for fraud opportunity.</w:t>
      </w:r>
    </w:p>
    <w:p w14:paraId="0634CC06" w14:textId="77777777" w:rsidR="009B2EF1" w:rsidRDefault="00000000">
      <w:r>
        <w:rPr>
          <w:sz w:val="20"/>
        </w:rPr>
        <w:t>Recent Nigerian and Sub-Saharan African evidence further illustrates why the ownership channel should not be treated as mechanically beneficial or harmful. Akpadaka (2024), using 78 NGX non-financial firms, documents differing valuation implications for institutional and managerial ownership and shows that leverage conditions the earnings-quality-firm-value relationship. More directly, Edeh, Akpadaka, et al. (2025), using 1,189 firm-year observations from manufacturing firms in 12 Sub-Saharan African countries, find a positive association between CEO ownership and real earnings management under System GMM, although the relationship varies across estimators. These findings reinforce the possibility that ownership effects depend on incentives, institutional context and empirical specification.</w:t>
      </w:r>
    </w:p>
    <w:p w14:paraId="3283A53F" w14:textId="77777777" w:rsidR="009E04F9" w:rsidRDefault="00000000">
      <w:pPr>
        <w:jc w:val="both"/>
      </w:pPr>
      <w:r>
        <w:t xml:space="preserve">Managerial ownership is measured as the proportion of outstanding ordinary shares held by management or directors. The sample exhibits substantial dispersion in insider ownership, </w:t>
      </w:r>
      <w:r>
        <w:lastRenderedPageBreak/>
        <w:t>making the Nigerian manufacturing sector useful for examining whether ownership functions primarily as an alignment or entrenchment mechanism.</w:t>
      </w:r>
    </w:p>
    <w:p w14:paraId="7F673C06" w14:textId="77777777" w:rsidR="009E04F9" w:rsidRDefault="00000000">
      <w:pPr>
        <w:jc w:val="both"/>
      </w:pPr>
      <w:r>
        <w:t>Within the Fraud Diamond's opportunity logic, concentrated managerial ownership may increase the ability of powerful insiders to influence reporting processes and weaken effective challenge. The study therefore adopts the entrenchment prediction:</w:t>
      </w:r>
    </w:p>
    <w:p w14:paraId="36769FBA" w14:textId="77777777" w:rsidR="009E04F9" w:rsidRDefault="00000000">
      <w:pPr>
        <w:jc w:val="both"/>
      </w:pPr>
      <w:r>
        <w:rPr>
          <w:b/>
        </w:rPr>
        <w:t xml:space="preserve">H3: Managerial ownership is positively associated with the likelihood that a listed Nigerian manufacturing firm is classified as a </w:t>
      </w:r>
      <w:proofErr w:type="spellStart"/>
      <w:r>
        <w:rPr>
          <w:b/>
        </w:rPr>
        <w:t>Beneish</w:t>
      </w:r>
      <w:proofErr w:type="spellEnd"/>
      <w:r>
        <w:rPr>
          <w:b/>
        </w:rPr>
        <w:t>-flagged earnings manipulator.</w:t>
      </w:r>
    </w:p>
    <w:p w14:paraId="7FDA6B9F" w14:textId="77777777" w:rsidR="009E04F9" w:rsidRDefault="00000000">
      <w:pPr>
        <w:jc w:val="both"/>
      </w:pPr>
      <w:r>
        <w:t>This directional prediction does not rule out the possibility that the empirical evidence will instead support the competing alignment mechanism.</w:t>
      </w:r>
    </w:p>
    <w:p w14:paraId="795FB6C8" w14:textId="77777777" w:rsidR="009E04F9" w:rsidRDefault="00000000">
      <w:pPr>
        <w:keepNext/>
        <w:spacing w:before="80"/>
      </w:pPr>
      <w:r>
        <w:rPr>
          <w:b/>
        </w:rPr>
        <w:t xml:space="preserve">2.6 </w:t>
      </w:r>
      <w:proofErr w:type="spellStart"/>
      <w:r>
        <w:rPr>
          <w:b/>
        </w:rPr>
        <w:t>Rationalisation</w:t>
      </w:r>
      <w:proofErr w:type="spellEnd"/>
      <w:r>
        <w:rPr>
          <w:b/>
        </w:rPr>
        <w:t xml:space="preserve"> and auditor change</w:t>
      </w:r>
    </w:p>
    <w:p w14:paraId="67F418F4" w14:textId="77777777" w:rsidR="009E04F9" w:rsidRDefault="00000000">
      <w:pPr>
        <w:jc w:val="both"/>
      </w:pPr>
      <w:proofErr w:type="spellStart"/>
      <w:r>
        <w:t>Rationalisation</w:t>
      </w:r>
      <w:proofErr w:type="spellEnd"/>
      <w:r>
        <w:t xml:space="preserve"> is the most difficult Fraud Diamond dimension to observe using archival data because it concerns an individual's cognitive justification for misconduct. Auditor change does not directly measure </w:t>
      </w:r>
      <w:proofErr w:type="spellStart"/>
      <w:r>
        <w:t>rationalisation</w:t>
      </w:r>
      <w:proofErr w:type="spellEnd"/>
      <w:r>
        <w:t>. Rather, it may function as an observable red flag associated with disagreements over reporting judgements, attempts to obtain more accommodating audit treatment, or changes in the firm's reporting environment.</w:t>
      </w:r>
    </w:p>
    <w:p w14:paraId="1A6E440D" w14:textId="77777777" w:rsidR="009E04F9" w:rsidRDefault="00000000">
      <w:pPr>
        <w:jc w:val="both"/>
      </w:pPr>
      <w:r>
        <w:t xml:space="preserve">Auditor turnover may arise for entirely legitimate reasons, including mandatory rotation, procurement processes, fee disputes or changes in company requirements. Consequently, an auditor change should never itself be interpreted as evidence of manipulation. Nevertheless, changes in the auditor-client relationship can be informative where financial-reporting conflicts are present. </w:t>
      </w:r>
      <w:hyperlink w:anchor="ref_Lennox_2000" w:history="1">
        <w:r w:rsidR="009E04F9">
          <w:rPr>
            <w:szCs w:val="24"/>
          </w:rPr>
          <w:t>Lennox (2000)</w:t>
        </w:r>
      </w:hyperlink>
      <w:r>
        <w:t xml:space="preserve"> finds evidence consistent with successful audit opinion-shopping in the United Kingdom, demonstrating that auditor-switch decisions can be associated with the audit opinion a company expects to receive. This does not imply that every switch is opportunistic, but it supports treating auditor change as a red-flag variable whose meaning depends on context. Auditor turnover is therefore interpreted cautiously as an observable change in the reporting environment rather than a direct measure of </w:t>
      </w:r>
      <w:proofErr w:type="spellStart"/>
      <w:r>
        <w:t>rationalisation</w:t>
      </w:r>
      <w:proofErr w:type="spellEnd"/>
      <w:r>
        <w:t>.</w:t>
      </w:r>
    </w:p>
    <w:p w14:paraId="1335606C" w14:textId="77777777" w:rsidR="009B2EF1" w:rsidRDefault="00000000">
      <w:pPr>
        <w:jc w:val="both"/>
      </w:pPr>
      <w:r>
        <w:t>The possibility of model sensitivity also supports caution. Ho et al. (2026) find auditor change to be associated with the Beneish M-Score classification but not with the alternative F-Score outcome in their Vietnamese sample. This pattern is consistent with treating auditor turnover as a contextual warning signal whose empirical informativeness can depend on the reporting-risk measure rather than as a direct manifestation of rationalisation.</w:t>
      </w:r>
    </w:p>
    <w:p w14:paraId="01C0BD78" w14:textId="77777777" w:rsidR="009E04F9" w:rsidRDefault="00000000">
      <w:pPr>
        <w:jc w:val="both"/>
      </w:pPr>
      <w:r>
        <w:rPr>
          <w:highlight w:val="yellow"/>
        </w:rPr>
        <w:t>Auditor change (AC) is coded as one when</w:t>
      </w:r>
      <w:r>
        <w:t xml:space="preserve"> the external auditor changes in a firm-year and zero otherwise. Within the Fraud Diamond framework, auditor turnover is treated as an observable reporting-environment red flag rather than direct evidence of </w:t>
      </w:r>
      <w:proofErr w:type="spellStart"/>
      <w:r>
        <w:t>rationalisation</w:t>
      </w:r>
      <w:proofErr w:type="spellEnd"/>
      <w:r>
        <w:t xml:space="preserve"> or manipulation.</w:t>
      </w:r>
    </w:p>
    <w:p w14:paraId="5A315AD7" w14:textId="77777777" w:rsidR="009E04F9" w:rsidRDefault="00000000">
      <w:pPr>
        <w:jc w:val="both"/>
      </w:pPr>
      <w:r>
        <w:t>The Nigerian context makes the variable additionally relevant because external audit forms an explicit component of the country's corporate-governance assurance architecture. However, the expected association should be interpreted as a red-flag relationship rather than a causal statement that changing auditors produces manipulation. Accordingly:</w:t>
      </w:r>
    </w:p>
    <w:p w14:paraId="3276D76E" w14:textId="77777777" w:rsidR="009E04F9" w:rsidRDefault="00000000">
      <w:pPr>
        <w:jc w:val="both"/>
      </w:pPr>
      <w:r>
        <w:rPr>
          <w:b/>
        </w:rPr>
        <w:t xml:space="preserve">H4: Auditor change is positively associated with the likelihood that a listed Nigerian manufacturing firm is classified as a </w:t>
      </w:r>
      <w:proofErr w:type="spellStart"/>
      <w:r>
        <w:rPr>
          <w:b/>
        </w:rPr>
        <w:t>Beneish</w:t>
      </w:r>
      <w:proofErr w:type="spellEnd"/>
      <w:r>
        <w:rPr>
          <w:b/>
        </w:rPr>
        <w:t>-flagged earnings manipulator.</w:t>
      </w:r>
    </w:p>
    <w:p w14:paraId="143361F8" w14:textId="77777777" w:rsidR="009E04F9" w:rsidRDefault="00000000">
      <w:pPr>
        <w:keepNext/>
        <w:spacing w:before="80"/>
      </w:pPr>
      <w:r>
        <w:rPr>
          <w:b/>
        </w:rPr>
        <w:t>2.7 Capability and CEO financial expertise</w:t>
      </w:r>
    </w:p>
    <w:p w14:paraId="124213C1" w14:textId="77777777" w:rsidR="009E04F9" w:rsidRDefault="009E04F9">
      <w:pPr>
        <w:jc w:val="both"/>
      </w:pPr>
      <w:hyperlink w:anchor="ref_Wolfe_2004" w:history="1">
        <w:r>
          <w:rPr>
            <w:szCs w:val="24"/>
          </w:rPr>
          <w:t>Wolfe and Hermanson's</w:t>
        </w:r>
      </w:hyperlink>
      <w:r>
        <w:t xml:space="preserve"> principal contribution to the fraud triangle is the proposition that fraud requires an individual who possesses sufficient capability to exploit the combination of pressure, opportunity and </w:t>
      </w:r>
      <w:proofErr w:type="spellStart"/>
      <w:r>
        <w:t>rationalisation</w:t>
      </w:r>
      <w:proofErr w:type="spellEnd"/>
      <w:r>
        <w:t xml:space="preserve">. Capability involves more than technical education. It includes </w:t>
      </w:r>
      <w:proofErr w:type="spellStart"/>
      <w:r>
        <w:t>organisational</w:t>
      </w:r>
      <w:proofErr w:type="spellEnd"/>
      <w:r>
        <w:t xml:space="preserve"> position, intelligence, confidence, coercive capacity, persuasive ability and the psychological capacity to cope with concealment.</w:t>
      </w:r>
    </w:p>
    <w:p w14:paraId="0BFC907C" w14:textId="77777777" w:rsidR="009E04F9" w:rsidRDefault="00000000">
      <w:pPr>
        <w:jc w:val="both"/>
      </w:pPr>
      <w:r>
        <w:t>CEO financial expertise is therefore an imperfect but theoretically relevant archival proxy. Financially knowledgeable executives may better understand complex accounting rules, estimates and disclosure requirements. Under the capability mechanism, such knowledge could increase an executive's ability to structure difficult-to-detect manipulation. Yet the same expertise could improve reporting quality through stronger financial understanding and monitoring.</w:t>
      </w:r>
    </w:p>
    <w:p w14:paraId="733F8F74" w14:textId="77777777" w:rsidR="009E04F9" w:rsidRDefault="00000000">
      <w:pPr>
        <w:jc w:val="both"/>
      </w:pPr>
      <w:r>
        <w:t xml:space="preserve">Existing empirical evidence reflects this ambiguity. </w:t>
      </w:r>
      <w:hyperlink w:anchor="ref_Jiang_2013" w:history="1">
        <w:r w:rsidR="009E04F9">
          <w:rPr>
            <w:szCs w:val="24"/>
          </w:rPr>
          <w:t>Jiang et al. (2013)</w:t>
        </w:r>
      </w:hyperlink>
      <w:r>
        <w:t xml:space="preserve"> find that CEOs with financial experience engage in less real earnings management, suggesting a financial-reporting-quality effect. More broadly, governance research indicates that financial expertise can strengthen monitoring: </w:t>
      </w:r>
      <w:hyperlink w:anchor="ref_Abbott_2004" w:history="1">
        <w:r w:rsidR="009E04F9">
          <w:rPr>
            <w:szCs w:val="24"/>
          </w:rPr>
          <w:t>Abbott et al. (2004)</w:t>
        </w:r>
      </w:hyperlink>
      <w:r>
        <w:t xml:space="preserve"> find that audit committees containing financial expertise are associated with a lower likelihood of restatement. At the same time, technical accounting knowledge can increase an executive's capacity to understand and exploit complex reporting choices when incentives </w:t>
      </w:r>
      <w:proofErr w:type="spellStart"/>
      <w:r>
        <w:t>favour</w:t>
      </w:r>
      <w:proofErr w:type="spellEnd"/>
      <w:r>
        <w:t xml:space="preserve"> manipulation. Related evidence on material accounting manipulation demonstrates that executive power and incentives can be important in explaining senior financial officers' participation in reporting manipulation (</w:t>
      </w:r>
      <w:hyperlink w:anchor="ref_Feng_2011" w:history="1">
        <w:r w:rsidR="009E04F9">
          <w:rPr>
            <w:szCs w:val="24"/>
          </w:rPr>
          <w:t>Feng et al., 2011</w:t>
        </w:r>
      </w:hyperlink>
      <w:r>
        <w:t>). CEO financial expertise is therefore treated as a capability indicator whose empirical sign remains theoretically ambiguous.</w:t>
      </w:r>
    </w:p>
    <w:p w14:paraId="686F4DFF" w14:textId="77777777" w:rsidR="009B2EF1" w:rsidRDefault="00000000">
      <w:r>
        <w:rPr>
          <w:sz w:val="20"/>
        </w:rPr>
        <w:t xml:space="preserve">Broader African evidence also indicates that executive attributes can matter for reporting choices. Edeh, Akpadaka, et al. (2025) show that selected CEO characteristics are associated with real earnings management </w:t>
      </w:r>
      <w:r>
        <w:rPr>
          <w:sz w:val="20"/>
        </w:rPr>
        <w:lastRenderedPageBreak/>
        <w:t>across 12 Sub-Saharan African manufacturing markets. However, CEO characteristics are not interchangeable: the financial-expertise indicator used in the present study captures only one narrow dimension of the wider capability construct.</w:t>
      </w:r>
    </w:p>
    <w:p w14:paraId="11102F65" w14:textId="77777777" w:rsidR="009E04F9" w:rsidRDefault="00000000">
      <w:pPr>
        <w:jc w:val="both"/>
      </w:pPr>
      <w:r>
        <w:t xml:space="preserve">The present study uses CEO financial expertise as an observable and deliberately narrow capability indicator. In the source coding, </w:t>
      </w:r>
      <w:r>
        <w:rPr>
          <w:highlight w:val="yellow"/>
        </w:rPr>
        <w:t>Cap is coded as one when</w:t>
      </w:r>
      <w:r>
        <w:t xml:space="preserve"> the CEO has a financial degree and zero otherwise. This measure captures only one aspect of technical financial knowledge and does not observe the broader Wolfe-Hermanson attributes of position, confidence, coercive capacity or concealment skill. Because Fraud Diamond Theory emphasises ability to execute manipulation rather than the governance benefits of financial competence, the directional prediction is:</w:t>
      </w:r>
    </w:p>
    <w:p w14:paraId="34F6DD8E" w14:textId="77777777" w:rsidR="009E04F9" w:rsidRDefault="00000000">
      <w:pPr>
        <w:jc w:val="both"/>
      </w:pPr>
      <w:r>
        <w:rPr>
          <w:b/>
        </w:rPr>
        <w:t xml:space="preserve">H5: CEO financial expertise is positively associated with the likelihood that a listed Nigerian manufacturing firm is classified as a </w:t>
      </w:r>
      <w:proofErr w:type="spellStart"/>
      <w:r>
        <w:rPr>
          <w:b/>
        </w:rPr>
        <w:t>Beneish</w:t>
      </w:r>
      <w:proofErr w:type="spellEnd"/>
      <w:r>
        <w:rPr>
          <w:b/>
        </w:rPr>
        <w:t>-flagged earnings manipulator.</w:t>
      </w:r>
    </w:p>
    <w:p w14:paraId="7D9E5C56" w14:textId="77777777" w:rsidR="009E04F9" w:rsidRDefault="00000000">
      <w:pPr>
        <w:jc w:val="both"/>
      </w:pPr>
      <w:r>
        <w:t>A non-significant or negative result would support the competing interpretation that financial expertise improves rather than compromises reporting quality.</w:t>
      </w:r>
    </w:p>
    <w:p w14:paraId="3F494195" w14:textId="77777777" w:rsidR="009E04F9" w:rsidRDefault="00000000">
      <w:pPr>
        <w:keepNext/>
        <w:spacing w:before="80"/>
      </w:pPr>
      <w:r>
        <w:rPr>
          <w:b/>
        </w:rPr>
        <w:t>2.8 Research gap and conceptual synthesis</w:t>
      </w:r>
    </w:p>
    <w:p w14:paraId="7865D228" w14:textId="77777777" w:rsidR="009E04F9" w:rsidRDefault="00000000">
      <w:pPr>
        <w:jc w:val="both"/>
      </w:pPr>
      <w:r>
        <w:t>The literature therefore provides plausible theoretical mechanisms linking financial instability, monitoring, ownership, auditor relationships and managerial capability to financial-reporting manipulation, but the empirical evidence is far from uniform. This inconsistency may partly arise from institutional differences, proxy choice and, importantly, measurement design.</w:t>
      </w:r>
    </w:p>
    <w:p w14:paraId="753C5159" w14:textId="77777777" w:rsidR="009E04F9" w:rsidRDefault="00000000">
      <w:pPr>
        <w:jc w:val="both"/>
      </w:pPr>
      <w:r>
        <w:t>Taken together, the literature suggests that the four Fraud Diamond dimensions need not have equal empirical relevance. Financial instability may intensify reporting pressure; board independence and ownership structure may alter the opportunity environment; auditor change may capture reporting tension surrounding the audit relationship; and CEO financial expertise may affect managerial capability. The empirical analysis therefore evaluates five observable indicators corresponding to these theoretical channels:</w:t>
      </w:r>
    </w:p>
    <w:p w14:paraId="2609B73F" w14:textId="77777777" w:rsidR="009E04F9" w:rsidRDefault="00000000">
      <w:pPr>
        <w:jc w:val="both"/>
      </w:pPr>
      <w:r>
        <w:t xml:space="preserve">Pressure: ACHANGE; Opportunity: board independence and managerial ownership; </w:t>
      </w:r>
      <w:proofErr w:type="spellStart"/>
      <w:r>
        <w:t>Rationalisation</w:t>
      </w:r>
      <w:proofErr w:type="spellEnd"/>
      <w:r>
        <w:t xml:space="preserve"> indicator: auditor change; Capability: CEO financial expertise.</w:t>
      </w:r>
    </w:p>
    <w:p w14:paraId="5DC7C5B9" w14:textId="77777777" w:rsidR="009E04F9" w:rsidRDefault="00000000">
      <w:pPr>
        <w:jc w:val="both"/>
      </w:pPr>
      <w:r>
        <w:t>The resulting framework permits the study to assess the relative empirical informativeness of the Fraud Diamond dimensions while also examining whether any observed associations persist beyond the contemporaneous reporting period.</w:t>
      </w:r>
    </w:p>
    <w:p w14:paraId="53F9423E" w14:textId="77777777" w:rsidR="009B2EF1" w:rsidRDefault="00000000">
      <w:pPr>
        <w:keepNext/>
        <w:jc w:val="both"/>
      </w:pPr>
      <w:r>
        <w:lastRenderedPageBreak/>
        <w:t>Figure 1 summarises the conceptual mapping and makes explicit that the archival variables are observable indicators rather than direct measurements of latent psychological constructs.</w:t>
      </w:r>
    </w:p>
    <w:p w14:paraId="1C6F1DEA" w14:textId="77777777" w:rsidR="009B2EF1" w:rsidRDefault="00000000">
      <w:pPr>
        <w:jc w:val="center"/>
      </w:pPr>
      <w:r>
        <w:rPr>
          <w:noProof/>
        </w:rPr>
        <w:drawing>
          <wp:inline distT="0" distB="0" distL="0" distR="0" wp14:anchorId="2AF35352" wp14:editId="53D0387F">
            <wp:extent cx="5897880" cy="32110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efm_conceptual_framework.png"/>
                    <pic:cNvPicPr/>
                  </pic:nvPicPr>
                  <pic:blipFill>
                    <a:blip r:embed="rId8"/>
                    <a:stretch>
                      <a:fillRect/>
                    </a:stretch>
                  </pic:blipFill>
                  <pic:spPr>
                    <a:xfrm>
                      <a:off x="0" y="0"/>
                      <a:ext cx="5897880" cy="3211068"/>
                    </a:xfrm>
                    <a:prstGeom prst="rect">
                      <a:avLst/>
                    </a:prstGeom>
                  </pic:spPr>
                </pic:pic>
              </a:graphicData>
            </a:graphic>
          </wp:inline>
        </w:drawing>
      </w:r>
    </w:p>
    <w:p w14:paraId="6DDB683B" w14:textId="77777777" w:rsidR="009B2EF1" w:rsidRDefault="00000000">
      <w:pPr>
        <w:keepNext/>
        <w:jc w:val="center"/>
      </w:pPr>
      <w:r>
        <w:rPr>
          <w:i/>
          <w:sz w:val="18"/>
        </w:rPr>
        <w:t>Figure 1. Conceptual framework linking Fraud Diamond indicators to Beneish-flagged earnings-manipulation risk.</w:t>
      </w:r>
    </w:p>
    <w:p w14:paraId="153A918D" w14:textId="77777777" w:rsidR="009E04F9" w:rsidRDefault="00000000">
      <w:pPr>
        <w:keepNext/>
        <w:spacing w:before="120"/>
        <w:jc w:val="both"/>
      </w:pPr>
      <w:r>
        <w:rPr>
          <w:b/>
        </w:rPr>
        <w:t>3. Methodology</w:t>
      </w:r>
    </w:p>
    <w:p w14:paraId="02EE9A47" w14:textId="77777777" w:rsidR="009E04F9" w:rsidRDefault="00000000">
      <w:pPr>
        <w:keepNext/>
        <w:spacing w:before="80"/>
      </w:pPr>
      <w:r>
        <w:rPr>
          <w:b/>
        </w:rPr>
        <w:t>3.1 Research design and analytical sample</w:t>
      </w:r>
    </w:p>
    <w:p w14:paraId="16A15748" w14:textId="77777777" w:rsidR="009E04F9" w:rsidRDefault="00000000">
      <w:pPr>
        <w:jc w:val="both"/>
      </w:pPr>
      <w:r>
        <w:t xml:space="preserve">The study adopts an archival longitudinal design based on audited annual reports and governance disclosures of manufacturing firms listed on the Nigerian Exchange Group (NGX). The population comprises 45 firms across Consumer Goods (21), Healthcare (7), Industrial Goods (13) and Natural Resources (4). Purposive inclusion was based on the availability and completeness of the financial and governance information required for the Beneish indices and explanatory variables. This yielded 40 firms: 18 Consumer Goods, 6 Healthcare, 12 Industrial Goods and 4 Natural Resources. The underlying financial statements cover 2013-2022 because prior-year information is needed to construct the 2014 Beneish components; the analytical panel itself spans 2014-2022. </w:t>
      </w:r>
      <w:r>
        <w:rPr>
          <w:highlight w:val="yellow"/>
        </w:rPr>
        <w:t>With 40 firms and nine analytical years, there are</w:t>
      </w:r>
      <w:r>
        <w:t xml:space="preserve"> 360 possible firm-year slots, of which 340 are represented in the final mildly unbalanced contemporaneous panel. Annual observations range from 31 in 2022 to 40 in 2014 and 2015. The unit of analysis is the firm-year. Figure 2 summarises the sample construction.</w:t>
      </w:r>
    </w:p>
    <w:p w14:paraId="469E358E" w14:textId="77777777" w:rsidR="009B2EF1" w:rsidRDefault="00000000">
      <w:pPr>
        <w:jc w:val="center"/>
      </w:pPr>
      <w:r>
        <w:rPr>
          <w:noProof/>
        </w:rPr>
        <w:lastRenderedPageBreak/>
        <w:drawing>
          <wp:inline distT="0" distB="0" distL="0" distR="0" wp14:anchorId="76143374" wp14:editId="0006E8BF">
            <wp:extent cx="5897880" cy="24902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efm_sample_flow.png"/>
                    <pic:cNvPicPr/>
                  </pic:nvPicPr>
                  <pic:blipFill>
                    <a:blip r:embed="rId9"/>
                    <a:stretch>
                      <a:fillRect/>
                    </a:stretch>
                  </pic:blipFill>
                  <pic:spPr>
                    <a:xfrm>
                      <a:off x="0" y="0"/>
                      <a:ext cx="5897880" cy="2490216"/>
                    </a:xfrm>
                    <a:prstGeom prst="rect">
                      <a:avLst/>
                    </a:prstGeom>
                  </pic:spPr>
                </pic:pic>
              </a:graphicData>
            </a:graphic>
          </wp:inline>
        </w:drawing>
      </w:r>
    </w:p>
    <w:p w14:paraId="3E79759B" w14:textId="77777777" w:rsidR="009B2EF1" w:rsidRDefault="00000000">
      <w:pPr>
        <w:keepNext/>
        <w:jc w:val="center"/>
      </w:pPr>
      <w:r>
        <w:rPr>
          <w:i/>
          <w:sz w:val="18"/>
        </w:rPr>
        <w:t>Figure 2. Sample-selection and analytical-panel flow.</w:t>
      </w:r>
    </w:p>
    <w:p w14:paraId="54A1A029" w14:textId="77777777" w:rsidR="009E04F9" w:rsidRDefault="00000000">
      <w:pPr>
        <w:jc w:val="both"/>
      </w:pPr>
      <w:r>
        <w:t xml:space="preserve">The repeated-observation structure requires an estimator that accounts for dependence among observations from the same firm. The primary model therefore uses population-averaged logistic regression estimated through generalised estimating equations (GEE). Liang and Zeger (1986) show that GEE estimates marginal regression parameters for longitudinal outcomes while allowing an explicit working model for within-cluster correlation. An exchangeable working-correlation structure is used because firm-year observations are expected to share persistent firm-level reporting, governance and organisational features and no substantive argument requires correlations to decay monotonically with calendar distance. The structure is treated as a working assumption rather than a claim that every within-firm correlation is identical. Robust covariance protects inference against working-correlation misspecification, while the modest number of clusters remains relevant for finite-sample inference. With 40 firms, the principal covariance therefore uses the </w:t>
      </w:r>
      <w:r>
        <w:rPr>
          <w:highlight w:val="yellow"/>
        </w:rPr>
        <w:t>Mancl and DeRouen (2001)</w:t>
      </w:r>
      <w:r>
        <w:t xml:space="preserve"> bias-reduced robust estimator, which is designed to improve small-sample properties relative to the conventional sandwich estimator.</w:t>
      </w:r>
    </w:p>
    <w:p w14:paraId="578A3177" w14:textId="77777777" w:rsidR="009E04F9" w:rsidRDefault="00000000">
      <w:pPr>
        <w:keepNext/>
        <w:spacing w:before="80"/>
      </w:pPr>
      <w:r>
        <w:rPr>
          <w:b/>
        </w:rPr>
        <w:t xml:space="preserve">3.2 Measurement of </w:t>
      </w:r>
      <w:proofErr w:type="spellStart"/>
      <w:r>
        <w:rPr>
          <w:b/>
        </w:rPr>
        <w:t>Beneish</w:t>
      </w:r>
      <w:proofErr w:type="spellEnd"/>
      <w:r>
        <w:rPr>
          <w:b/>
        </w:rPr>
        <w:t>-flagged earnings manipulation</w:t>
      </w:r>
    </w:p>
    <w:p w14:paraId="6B9883A3" w14:textId="77777777" w:rsidR="009E04F9" w:rsidRDefault="00000000">
      <w:pPr>
        <w:jc w:val="both"/>
      </w:pPr>
      <w:r>
        <w:t xml:space="preserve">The dependent variable is derived from the eight-variable </w:t>
      </w:r>
      <w:proofErr w:type="spellStart"/>
      <w:r>
        <w:t>Beneish</w:t>
      </w:r>
      <w:proofErr w:type="spellEnd"/>
      <w:r>
        <w:t xml:space="preserve"> M-Score (</w:t>
      </w:r>
      <w:proofErr w:type="spellStart"/>
      <w:r w:rsidR="009E04F9">
        <w:rPr>
          <w:szCs w:val="24"/>
        </w:rPr>
        <w:t>Beneish</w:t>
      </w:r>
      <w:proofErr w:type="spellEnd"/>
      <w:r w:rsidR="009E04F9">
        <w:rPr>
          <w:szCs w:val="24"/>
        </w:rPr>
        <w:t>, 1999</w:t>
      </w:r>
      <w:r>
        <w:t>):</w:t>
      </w:r>
    </w:p>
    <w:p w14:paraId="54FEE326" w14:textId="77777777" w:rsidR="009E04F9" w:rsidRDefault="00000000">
      <w:pPr>
        <w:jc w:val="center"/>
      </w:pPr>
      <m:oMathPara>
        <m:oMathParaPr>
          <m:jc m:val="center"/>
        </m:oMathParaPr>
        <m:oMath>
          <m:sSub>
            <m:sSubPr>
              <m:ctrlPr>
                <w:rPr>
                  <w:rFonts w:ascii="Cambria Math" w:hAnsi="Cambria Math"/>
                </w:rPr>
              </m:ctrlPr>
            </m:sSubPr>
            <m:e>
              <m:r>
                <w:rPr>
                  <w:rFonts w:ascii="Cambria Math" w:hAnsi="Cambria Math"/>
                </w:rPr>
                <m:t>M</m:t>
              </m:r>
            </m:e>
            <m:sub>
              <m:r>
                <w:rPr>
                  <w:rFonts w:ascii="Cambria Math" w:hAnsi="Cambria Math"/>
                </w:rPr>
                <m:t>it</m:t>
              </m:r>
            </m:sub>
          </m:sSub>
          <m:r>
            <w:rPr>
              <w:rFonts w:ascii="Cambria Math" w:hAnsi="Cambria Math"/>
            </w:rPr>
            <m:t xml:space="preserve"> = -4.840 + 0.920 </m:t>
          </m:r>
          <m:sSub>
            <m:sSubPr>
              <m:ctrlPr>
                <w:rPr>
                  <w:rFonts w:ascii="Cambria Math" w:hAnsi="Cambria Math"/>
                </w:rPr>
              </m:ctrlPr>
            </m:sSubPr>
            <m:e>
              <m:r>
                <w:rPr>
                  <w:rFonts w:ascii="Cambria Math" w:hAnsi="Cambria Math"/>
                </w:rPr>
                <m:t>DSRI</m:t>
              </m:r>
            </m:e>
            <m:sub>
              <m:r>
                <w:rPr>
                  <w:rFonts w:ascii="Cambria Math" w:hAnsi="Cambria Math"/>
                </w:rPr>
                <m:t>it</m:t>
              </m:r>
            </m:sub>
          </m:sSub>
          <m:r>
            <w:rPr>
              <w:rFonts w:ascii="Cambria Math" w:hAnsi="Cambria Math"/>
            </w:rPr>
            <m:t xml:space="preserve"> + 0.528 </m:t>
          </m:r>
          <m:sSub>
            <m:sSubPr>
              <m:ctrlPr>
                <w:rPr>
                  <w:rFonts w:ascii="Cambria Math" w:hAnsi="Cambria Math"/>
                </w:rPr>
              </m:ctrlPr>
            </m:sSubPr>
            <m:e>
              <m:r>
                <w:rPr>
                  <w:rFonts w:ascii="Cambria Math" w:hAnsi="Cambria Math"/>
                </w:rPr>
                <m:t>GMI</m:t>
              </m:r>
            </m:e>
            <m:sub>
              <m:r>
                <w:rPr>
                  <w:rFonts w:ascii="Cambria Math" w:hAnsi="Cambria Math"/>
                </w:rPr>
                <m:t>it</m:t>
              </m:r>
            </m:sub>
          </m:sSub>
          <m:r>
            <w:rPr>
              <w:rFonts w:ascii="Cambria Math" w:hAnsi="Cambria Math"/>
            </w:rPr>
            <m:t xml:space="preserve"> + 0.404 </m:t>
          </m:r>
          <m:sSub>
            <m:sSubPr>
              <m:ctrlPr>
                <w:rPr>
                  <w:rFonts w:ascii="Cambria Math" w:hAnsi="Cambria Math"/>
                </w:rPr>
              </m:ctrlPr>
            </m:sSubPr>
            <m:e>
              <m:r>
                <w:rPr>
                  <w:rFonts w:ascii="Cambria Math" w:hAnsi="Cambria Math"/>
                </w:rPr>
                <m:t>AQI</m:t>
              </m:r>
            </m:e>
            <m:sub>
              <m:r>
                <w:rPr>
                  <w:rFonts w:ascii="Cambria Math" w:hAnsi="Cambria Math"/>
                </w:rPr>
                <m:t>it</m:t>
              </m:r>
            </m:sub>
          </m:sSub>
          <m:r>
            <w:rPr>
              <w:rFonts w:ascii="Cambria Math" w:hAnsi="Cambria Math"/>
            </w:rPr>
            <m:t xml:space="preserve"> + 0.892 </m:t>
          </m:r>
          <m:sSub>
            <m:sSubPr>
              <m:ctrlPr>
                <w:rPr>
                  <w:rFonts w:ascii="Cambria Math" w:hAnsi="Cambria Math"/>
                </w:rPr>
              </m:ctrlPr>
            </m:sSubPr>
            <m:e>
              <m:r>
                <w:rPr>
                  <w:rFonts w:ascii="Cambria Math" w:hAnsi="Cambria Math"/>
                </w:rPr>
                <m:t>SGI</m:t>
              </m:r>
            </m:e>
            <m:sub>
              <m:r>
                <w:rPr>
                  <w:rFonts w:ascii="Cambria Math" w:hAnsi="Cambria Math"/>
                </w:rPr>
                <m:t>it</m:t>
              </m:r>
            </m:sub>
          </m:sSub>
        </m:oMath>
      </m:oMathPara>
    </w:p>
    <w:p w14:paraId="515D080A" w14:textId="77777777" w:rsidR="009E04F9" w:rsidRDefault="00000000">
      <w:pPr>
        <w:jc w:val="center"/>
      </w:pPr>
      <m:oMathPara>
        <m:oMathParaPr>
          <m:jc m:val="center"/>
        </m:oMathParaPr>
        <m:oMath>
          <m:r>
            <w:rPr>
              <w:rFonts w:ascii="Cambria Math" w:hAnsi="Cambria Math"/>
            </w:rPr>
            <m:t xml:space="preserve">+ 0.115 </m:t>
          </m:r>
          <m:sSub>
            <m:sSubPr>
              <m:ctrlPr>
                <w:rPr>
                  <w:rFonts w:ascii="Cambria Math" w:hAnsi="Cambria Math"/>
                </w:rPr>
              </m:ctrlPr>
            </m:sSubPr>
            <m:e>
              <m:r>
                <w:rPr>
                  <w:rFonts w:ascii="Cambria Math" w:hAnsi="Cambria Math"/>
                </w:rPr>
                <m:t>DEPI</m:t>
              </m:r>
            </m:e>
            <m:sub>
              <m:r>
                <w:rPr>
                  <w:rFonts w:ascii="Cambria Math" w:hAnsi="Cambria Math"/>
                </w:rPr>
                <m:t>it</m:t>
              </m:r>
            </m:sub>
          </m:sSub>
          <m:r>
            <w:rPr>
              <w:rFonts w:ascii="Cambria Math" w:hAnsi="Cambria Math"/>
            </w:rPr>
            <m:t xml:space="preserve"> - 0.172 </m:t>
          </m:r>
          <m:sSub>
            <m:sSubPr>
              <m:ctrlPr>
                <w:rPr>
                  <w:rFonts w:ascii="Cambria Math" w:hAnsi="Cambria Math"/>
                </w:rPr>
              </m:ctrlPr>
            </m:sSubPr>
            <m:e>
              <m:r>
                <w:rPr>
                  <w:rFonts w:ascii="Cambria Math" w:hAnsi="Cambria Math"/>
                </w:rPr>
                <m:t>SGAI</m:t>
              </m:r>
            </m:e>
            <m:sub>
              <m:r>
                <w:rPr>
                  <w:rFonts w:ascii="Cambria Math" w:hAnsi="Cambria Math"/>
                </w:rPr>
                <m:t>it</m:t>
              </m:r>
            </m:sub>
          </m:sSub>
          <m:r>
            <w:rPr>
              <w:rFonts w:ascii="Cambria Math" w:hAnsi="Cambria Math"/>
            </w:rPr>
            <m:t xml:space="preserve"> + 4.679 </m:t>
          </m:r>
          <m:sSub>
            <m:sSubPr>
              <m:ctrlPr>
                <w:rPr>
                  <w:rFonts w:ascii="Cambria Math" w:hAnsi="Cambria Math"/>
                </w:rPr>
              </m:ctrlPr>
            </m:sSubPr>
            <m:e>
              <m:r>
                <w:rPr>
                  <w:rFonts w:ascii="Cambria Math" w:hAnsi="Cambria Math"/>
                </w:rPr>
                <m:t>TATA</m:t>
              </m:r>
            </m:e>
            <m:sub>
              <m:r>
                <w:rPr>
                  <w:rFonts w:ascii="Cambria Math" w:hAnsi="Cambria Math"/>
                </w:rPr>
                <m:t>it</m:t>
              </m:r>
            </m:sub>
          </m:sSub>
          <m:r>
            <w:rPr>
              <w:rFonts w:ascii="Cambria Math" w:hAnsi="Cambria Math"/>
            </w:rPr>
            <m:t xml:space="preserve"> - 0.327 </m:t>
          </m:r>
          <m:sSub>
            <m:sSubPr>
              <m:ctrlPr>
                <w:rPr>
                  <w:rFonts w:ascii="Cambria Math" w:hAnsi="Cambria Math"/>
                </w:rPr>
              </m:ctrlPr>
            </m:sSubPr>
            <m:e>
              <m:r>
                <w:rPr>
                  <w:rFonts w:ascii="Cambria Math" w:hAnsi="Cambria Math"/>
                </w:rPr>
                <m:t>LVGI</m:t>
              </m:r>
            </m:e>
            <m:sub>
              <m:r>
                <w:rPr>
                  <w:rFonts w:ascii="Cambria Math" w:hAnsi="Cambria Math"/>
                </w:rPr>
                <m:t>it</m:t>
              </m:r>
            </m:sub>
          </m:sSub>
        </m:oMath>
      </m:oMathPara>
    </w:p>
    <w:p w14:paraId="790A3C4C" w14:textId="77777777" w:rsidR="009B2EF1" w:rsidRDefault="00000000">
      <w:pPr>
        <w:keepNext/>
      </w:pPr>
      <w:r>
        <w:rPr>
          <w:b/>
          <w:sz w:val="18"/>
        </w:rPr>
        <w:t>Box 1. Beneish M-Score component definitions</w:t>
      </w:r>
    </w:p>
    <w:tbl>
      <w:tblPr>
        <w:tblStyle w:val="TableGrid"/>
        <w:tblW w:w="0" w:type="auto"/>
        <w:jc w:val="center"/>
        <w:tblLook w:val="04A0" w:firstRow="1" w:lastRow="0" w:firstColumn="1" w:lastColumn="0" w:noHBand="0" w:noVBand="1"/>
      </w:tblPr>
      <w:tblGrid>
        <w:gridCol w:w="4513"/>
        <w:gridCol w:w="4513"/>
      </w:tblGrid>
      <w:tr w:rsidR="009B2EF1" w14:paraId="75B34CD7" w14:textId="77777777">
        <w:trPr>
          <w:tblHeader/>
          <w:jc w:val="center"/>
        </w:trPr>
        <w:tc>
          <w:tcPr>
            <w:tcW w:w="4513" w:type="dxa"/>
            <w:shd w:val="clear" w:color="auto" w:fill="D9E1F2"/>
            <w:vAlign w:val="center"/>
          </w:tcPr>
          <w:p w14:paraId="18B8398E" w14:textId="77777777" w:rsidR="009B2EF1" w:rsidRDefault="00000000">
            <w:r>
              <w:rPr>
                <w:b/>
                <w:sz w:val="18"/>
              </w:rPr>
              <w:t>Index</w:t>
            </w:r>
          </w:p>
        </w:tc>
        <w:tc>
          <w:tcPr>
            <w:tcW w:w="4513" w:type="dxa"/>
            <w:shd w:val="clear" w:color="auto" w:fill="D9E1F2"/>
            <w:vAlign w:val="center"/>
          </w:tcPr>
          <w:p w14:paraId="6E84BF7F" w14:textId="77777777" w:rsidR="009B2EF1" w:rsidRDefault="00000000">
            <w:r>
              <w:rPr>
                <w:b/>
                <w:sz w:val="18"/>
              </w:rPr>
              <w:t>Construction</w:t>
            </w:r>
          </w:p>
        </w:tc>
      </w:tr>
      <w:tr w:rsidR="009B2EF1" w14:paraId="1CEEA9B9" w14:textId="77777777">
        <w:trPr>
          <w:jc w:val="center"/>
        </w:trPr>
        <w:tc>
          <w:tcPr>
            <w:tcW w:w="4513" w:type="dxa"/>
            <w:vAlign w:val="center"/>
          </w:tcPr>
          <w:p w14:paraId="7A97CEE9" w14:textId="77777777" w:rsidR="009B2EF1" w:rsidRDefault="00000000">
            <w:r>
              <w:rPr>
                <w:b/>
                <w:sz w:val="18"/>
              </w:rPr>
              <w:t>DSRI</w:t>
            </w:r>
          </w:p>
        </w:tc>
        <w:tc>
          <w:tcPr>
            <w:tcW w:w="4513" w:type="dxa"/>
            <w:vAlign w:val="center"/>
          </w:tcPr>
          <w:p w14:paraId="2CE9B5C2" w14:textId="77777777" w:rsidR="009B2EF1" w:rsidRDefault="00000000">
            <w:r>
              <w:rPr>
                <w:sz w:val="18"/>
              </w:rPr>
              <w:t>(Net receivables_t / Sales_t) / (Net receivables_t-1 / Sales_t-1)</w:t>
            </w:r>
          </w:p>
        </w:tc>
      </w:tr>
      <w:tr w:rsidR="009B2EF1" w14:paraId="65B1DC73" w14:textId="77777777">
        <w:trPr>
          <w:jc w:val="center"/>
        </w:trPr>
        <w:tc>
          <w:tcPr>
            <w:tcW w:w="4513" w:type="dxa"/>
            <w:vAlign w:val="center"/>
          </w:tcPr>
          <w:p w14:paraId="0AF1D44F" w14:textId="77777777" w:rsidR="009B2EF1" w:rsidRDefault="00000000">
            <w:r>
              <w:rPr>
                <w:b/>
                <w:sz w:val="18"/>
              </w:rPr>
              <w:t>GMI</w:t>
            </w:r>
          </w:p>
        </w:tc>
        <w:tc>
          <w:tcPr>
            <w:tcW w:w="4513" w:type="dxa"/>
            <w:vAlign w:val="center"/>
          </w:tcPr>
          <w:p w14:paraId="7A6A93B7" w14:textId="77777777" w:rsidR="009B2EF1" w:rsidRDefault="00000000">
            <w:r>
              <w:rPr>
                <w:sz w:val="18"/>
              </w:rPr>
              <w:t>(Gross profit_t-1 / Sales_t-1) / (Gross profit_t / Sales_t)</w:t>
            </w:r>
          </w:p>
        </w:tc>
      </w:tr>
      <w:tr w:rsidR="009B2EF1" w14:paraId="6F24BDE4" w14:textId="77777777">
        <w:trPr>
          <w:jc w:val="center"/>
        </w:trPr>
        <w:tc>
          <w:tcPr>
            <w:tcW w:w="4513" w:type="dxa"/>
            <w:vAlign w:val="center"/>
          </w:tcPr>
          <w:p w14:paraId="7363031D" w14:textId="77777777" w:rsidR="009B2EF1" w:rsidRDefault="00000000">
            <w:r>
              <w:rPr>
                <w:b/>
                <w:sz w:val="18"/>
              </w:rPr>
              <w:t>AQI</w:t>
            </w:r>
          </w:p>
        </w:tc>
        <w:tc>
          <w:tcPr>
            <w:tcW w:w="4513" w:type="dxa"/>
            <w:vAlign w:val="center"/>
          </w:tcPr>
          <w:p w14:paraId="387B597C" w14:textId="77777777" w:rsidR="009B2EF1" w:rsidRDefault="00000000">
            <w:r>
              <w:rPr>
                <w:sz w:val="18"/>
              </w:rPr>
              <w:t xml:space="preserve">[1 - (Current assets_t + PPE_t) / Total assets_t] / [1 - </w:t>
            </w:r>
            <w:r>
              <w:rPr>
                <w:sz w:val="18"/>
              </w:rPr>
              <w:lastRenderedPageBreak/>
              <w:t>(Current assets_t-1 + PPE_t-1) / Total assets_t-1]</w:t>
            </w:r>
          </w:p>
        </w:tc>
      </w:tr>
      <w:tr w:rsidR="009B2EF1" w14:paraId="4B3416A1" w14:textId="77777777">
        <w:trPr>
          <w:jc w:val="center"/>
        </w:trPr>
        <w:tc>
          <w:tcPr>
            <w:tcW w:w="4513" w:type="dxa"/>
            <w:vAlign w:val="center"/>
          </w:tcPr>
          <w:p w14:paraId="6F95B77B" w14:textId="77777777" w:rsidR="009B2EF1" w:rsidRDefault="00000000">
            <w:r>
              <w:rPr>
                <w:b/>
                <w:sz w:val="18"/>
              </w:rPr>
              <w:lastRenderedPageBreak/>
              <w:t>SGI</w:t>
            </w:r>
          </w:p>
        </w:tc>
        <w:tc>
          <w:tcPr>
            <w:tcW w:w="4513" w:type="dxa"/>
            <w:vAlign w:val="center"/>
          </w:tcPr>
          <w:p w14:paraId="5DACDA00" w14:textId="77777777" w:rsidR="009B2EF1" w:rsidRDefault="00000000">
            <w:r>
              <w:rPr>
                <w:sz w:val="18"/>
              </w:rPr>
              <w:t>Sales_t / Sales_t-1</w:t>
            </w:r>
          </w:p>
        </w:tc>
      </w:tr>
      <w:tr w:rsidR="009B2EF1" w14:paraId="28938C00" w14:textId="77777777">
        <w:trPr>
          <w:jc w:val="center"/>
        </w:trPr>
        <w:tc>
          <w:tcPr>
            <w:tcW w:w="4513" w:type="dxa"/>
            <w:vAlign w:val="center"/>
          </w:tcPr>
          <w:p w14:paraId="2854F628" w14:textId="77777777" w:rsidR="009B2EF1" w:rsidRDefault="00000000">
            <w:r>
              <w:rPr>
                <w:b/>
                <w:sz w:val="18"/>
              </w:rPr>
              <w:t>DEPI</w:t>
            </w:r>
          </w:p>
        </w:tc>
        <w:tc>
          <w:tcPr>
            <w:tcW w:w="4513" w:type="dxa"/>
            <w:vAlign w:val="center"/>
          </w:tcPr>
          <w:p w14:paraId="5E7423F0" w14:textId="77777777" w:rsidR="009B2EF1" w:rsidRDefault="00000000">
            <w:r>
              <w:rPr>
                <w:sz w:val="18"/>
              </w:rPr>
              <w:t>[Depreciation_t-1 / (Depreciation_t-1 + PPE_t-1)] / [Depreciation_t / (Depreciation_t + PPE_t)]</w:t>
            </w:r>
          </w:p>
        </w:tc>
      </w:tr>
      <w:tr w:rsidR="009B2EF1" w14:paraId="03E5F67D" w14:textId="77777777">
        <w:trPr>
          <w:jc w:val="center"/>
        </w:trPr>
        <w:tc>
          <w:tcPr>
            <w:tcW w:w="4513" w:type="dxa"/>
            <w:vAlign w:val="center"/>
          </w:tcPr>
          <w:p w14:paraId="3F6E9F5C" w14:textId="77777777" w:rsidR="009B2EF1" w:rsidRDefault="00000000">
            <w:r>
              <w:rPr>
                <w:b/>
                <w:sz w:val="18"/>
              </w:rPr>
              <w:t>SGAI</w:t>
            </w:r>
          </w:p>
        </w:tc>
        <w:tc>
          <w:tcPr>
            <w:tcW w:w="4513" w:type="dxa"/>
            <w:vAlign w:val="center"/>
          </w:tcPr>
          <w:p w14:paraId="11E47194" w14:textId="77777777" w:rsidR="009B2EF1" w:rsidRDefault="00000000">
            <w:r>
              <w:rPr>
                <w:sz w:val="18"/>
              </w:rPr>
              <w:t>(SG&amp;A expense_t / Sales_t) / (SG&amp;A expense_t-1 / Sales_t-1)</w:t>
            </w:r>
          </w:p>
        </w:tc>
      </w:tr>
      <w:tr w:rsidR="009B2EF1" w14:paraId="3BAFC91E" w14:textId="77777777">
        <w:trPr>
          <w:jc w:val="center"/>
        </w:trPr>
        <w:tc>
          <w:tcPr>
            <w:tcW w:w="4513" w:type="dxa"/>
            <w:vAlign w:val="center"/>
          </w:tcPr>
          <w:p w14:paraId="282DC3F9" w14:textId="77777777" w:rsidR="009B2EF1" w:rsidRDefault="00000000">
            <w:r>
              <w:rPr>
                <w:b/>
                <w:sz w:val="18"/>
              </w:rPr>
              <w:t>TATA</w:t>
            </w:r>
          </w:p>
        </w:tc>
        <w:tc>
          <w:tcPr>
            <w:tcW w:w="4513" w:type="dxa"/>
            <w:vAlign w:val="center"/>
          </w:tcPr>
          <w:p w14:paraId="7EC3E186" w14:textId="77777777" w:rsidR="009B2EF1" w:rsidRDefault="00000000">
            <w:r>
              <w:rPr>
                <w:sz w:val="18"/>
              </w:rPr>
              <w:t>(Change in working capital - change in cash - change in income-tax payable - depreciation expense) / Total assets_t</w:t>
            </w:r>
          </w:p>
        </w:tc>
      </w:tr>
      <w:tr w:rsidR="009B2EF1" w14:paraId="4C871112" w14:textId="77777777">
        <w:trPr>
          <w:jc w:val="center"/>
        </w:trPr>
        <w:tc>
          <w:tcPr>
            <w:tcW w:w="4513" w:type="dxa"/>
            <w:vAlign w:val="center"/>
          </w:tcPr>
          <w:p w14:paraId="61C34C0D" w14:textId="77777777" w:rsidR="009B2EF1" w:rsidRDefault="00000000">
            <w:r>
              <w:rPr>
                <w:b/>
                <w:sz w:val="18"/>
              </w:rPr>
              <w:t>LVGI</w:t>
            </w:r>
          </w:p>
        </w:tc>
        <w:tc>
          <w:tcPr>
            <w:tcW w:w="4513" w:type="dxa"/>
            <w:vAlign w:val="center"/>
          </w:tcPr>
          <w:p w14:paraId="1C498BDB" w14:textId="77777777" w:rsidR="009B2EF1" w:rsidRDefault="00000000">
            <w:r>
              <w:rPr>
                <w:sz w:val="18"/>
              </w:rPr>
              <w:t>(Total debt_t / Total assets_t) / (Total debt_t-1 / Total assets_t-1)</w:t>
            </w:r>
          </w:p>
        </w:tc>
      </w:tr>
    </w:tbl>
    <w:p w14:paraId="74A6C870" w14:textId="77777777" w:rsidR="009B2EF1" w:rsidRDefault="00000000">
      <w:pPr>
        <w:jc w:val="both"/>
      </w:pPr>
      <w:r>
        <w:rPr>
          <w:i/>
          <w:sz w:val="17"/>
        </w:rPr>
        <w:t>Note. PPE = property, plant and equipment; t denotes the current reporting year and t-1 the preceding year. Firm-years enter the analytical panel only when the Beneish classification and variables required by the relevant model are available.</w:t>
      </w:r>
    </w:p>
    <w:p w14:paraId="3D6455EB" w14:textId="77777777" w:rsidR="009E04F9" w:rsidRDefault="00000000">
      <w:pPr>
        <w:jc w:val="both"/>
      </w:pPr>
      <w:r>
        <w:t xml:space="preserve">The eight components are the Days Sales in Receivables Index (DSRI), Gross Margin Index (GMI), Asset Quality Index (AQI), Sales Growth Index (SGI), Depreciation Index (DEPI), Sales, General and Administrative Expenses Index (SGAI), Total Accruals to Total Assets (TATA) and Leverage Index (LVGI). The components are constructed from current- and prior-year financial-statement items as summarised in Box 1. The dependent indicator </w:t>
      </w:r>
      <w:r>
        <w:rPr>
          <w:highlight w:val="yellow"/>
        </w:rPr>
        <w:t>MFLAG is coded as one when</w:t>
      </w:r>
      <w:r>
        <w:t xml:space="preserve"> the M-Score exceeds the conventional -2.22 threshold and zero otherwise. The threshold is retained to preserve comparability with Beneish (1999), but the resulting classification is interpreted only as elevated earnings-manipulation risk, not a legal or regulatory determination that fraud occurred.</w:t>
      </w:r>
    </w:p>
    <w:p w14:paraId="4D40DB22" w14:textId="77777777" w:rsidR="009E04F9" w:rsidRDefault="00000000">
      <w:pPr>
        <w:keepNext/>
        <w:spacing w:before="80"/>
      </w:pPr>
      <w:r>
        <w:rPr>
          <w:b/>
        </w:rPr>
        <w:t>3.3 Explanatory variables and controls</w:t>
      </w:r>
    </w:p>
    <w:p w14:paraId="4C237B1F" w14:textId="77777777" w:rsidR="009E04F9" w:rsidRDefault="00000000">
      <w:pPr>
        <w:jc w:val="both"/>
      </w:pPr>
      <w:r>
        <w:t xml:space="preserve">Five Fraud Diamond-related indicators form the core explanatory set. ACHANGE is annual asset growth and represents financial instability or pressure. BDOUT is the source board-monitoring ratio discussed above; IOSHIP is managerial/director share ownership divided by ordinary shares outstanding; </w:t>
      </w:r>
      <w:r>
        <w:rPr>
          <w:highlight w:val="yellow"/>
        </w:rPr>
        <w:t>AC is coded as one when</w:t>
      </w:r>
      <w:r>
        <w:t xml:space="preserve"> the external auditor changes in a firm-year and zero otherwise; and </w:t>
      </w:r>
      <w:r>
        <w:rPr>
          <w:highlight w:val="yellow"/>
        </w:rPr>
        <w:t>Cap is coded as one when</w:t>
      </w:r>
      <w:r>
        <w:t xml:space="preserve"> the CEO has a financial degree and zero otherwise. These variables are treated as observable indicators associated with the Fraud Diamond pathways, not direct measurements of pressure, opportunity, rationalisation or capability. The controls are return on assets (ROA), natural logarithm of total assets (SIZE), and audit quality (AQ), </w:t>
      </w:r>
      <w:r>
        <w:rPr>
          <w:highlight w:val="yellow"/>
        </w:rPr>
        <w:t>coded as one for a Big Four auditor</w:t>
      </w:r>
      <w:r>
        <w:t xml:space="preserve"> and zero otherwise. The controls capture profitability, organisational scale and external-audit quality, respectively. Becker et al. (1998) provide classic evidence supporting the relevance of large-auditor quality to earnings-management outcomes.</w:t>
      </w:r>
    </w:p>
    <w:p w14:paraId="083730F4" w14:textId="77777777" w:rsidR="009E04F9" w:rsidRDefault="00000000">
      <w:pPr>
        <w:keepNext/>
        <w:spacing w:before="80"/>
        <w:jc w:val="both"/>
      </w:pPr>
      <w:r>
        <w:rPr>
          <w:b/>
        </w:rPr>
        <w:lastRenderedPageBreak/>
        <w:t>Table 1. Variable measurement and expected associations</w:t>
      </w:r>
    </w:p>
    <w:tbl>
      <w:tblPr>
        <w:tblStyle w:val="TableGrid"/>
        <w:tblW w:w="0" w:type="auto"/>
        <w:jc w:val="center"/>
        <w:tblLayout w:type="fixed"/>
        <w:tblLook w:val="04A0" w:firstRow="1" w:lastRow="0" w:firstColumn="1" w:lastColumn="0" w:noHBand="0" w:noVBand="1"/>
      </w:tblPr>
      <w:tblGrid>
        <w:gridCol w:w="2256"/>
        <w:gridCol w:w="2256"/>
        <w:gridCol w:w="4680"/>
        <w:gridCol w:w="2256"/>
      </w:tblGrid>
      <w:tr w:rsidR="009E04F9" w14:paraId="2D26A985" w14:textId="77777777">
        <w:trPr>
          <w:cantSplit/>
          <w:jc w:val="center"/>
        </w:trPr>
        <w:tc>
          <w:tcPr>
            <w:tcW w:w="1944" w:type="dxa"/>
            <w:shd w:val="clear" w:color="auto" w:fill="D9EAF7"/>
            <w:vAlign w:val="center"/>
          </w:tcPr>
          <w:p w14:paraId="485DA834" w14:textId="77777777" w:rsidR="009E04F9" w:rsidRDefault="00000000">
            <w:pPr>
              <w:jc w:val="center"/>
            </w:pPr>
            <w:r>
              <w:rPr>
                <w:b/>
                <w:sz w:val="18"/>
              </w:rPr>
              <w:t>Construct / role</w:t>
            </w:r>
          </w:p>
        </w:tc>
        <w:tc>
          <w:tcPr>
            <w:tcW w:w="1224" w:type="dxa"/>
            <w:shd w:val="clear" w:color="auto" w:fill="D9EAF7"/>
            <w:vAlign w:val="center"/>
          </w:tcPr>
          <w:p w14:paraId="4C0AA922" w14:textId="77777777" w:rsidR="009E04F9" w:rsidRDefault="00000000">
            <w:pPr>
              <w:jc w:val="center"/>
            </w:pPr>
            <w:r>
              <w:rPr>
                <w:b/>
                <w:sz w:val="18"/>
              </w:rPr>
              <w:t>Variable</w:t>
            </w:r>
          </w:p>
        </w:tc>
        <w:tc>
          <w:tcPr>
            <w:tcW w:w="4680" w:type="dxa"/>
            <w:shd w:val="clear" w:color="auto" w:fill="D9EAF7"/>
            <w:vAlign w:val="center"/>
          </w:tcPr>
          <w:p w14:paraId="500759D0" w14:textId="77777777" w:rsidR="009E04F9" w:rsidRDefault="00000000">
            <w:pPr>
              <w:jc w:val="center"/>
            </w:pPr>
            <w:r>
              <w:rPr>
                <w:b/>
                <w:sz w:val="18"/>
              </w:rPr>
              <w:t>Measurement</w:t>
            </w:r>
          </w:p>
        </w:tc>
        <w:tc>
          <w:tcPr>
            <w:tcW w:w="1007" w:type="dxa"/>
            <w:shd w:val="clear" w:color="auto" w:fill="D9EAF7"/>
            <w:vAlign w:val="center"/>
          </w:tcPr>
          <w:p w14:paraId="450D5FF2" w14:textId="77777777" w:rsidR="009E04F9" w:rsidRDefault="00000000">
            <w:pPr>
              <w:jc w:val="center"/>
            </w:pPr>
            <w:r>
              <w:rPr>
                <w:b/>
                <w:sz w:val="18"/>
              </w:rPr>
              <w:t>Expected sign</w:t>
            </w:r>
          </w:p>
        </w:tc>
      </w:tr>
      <w:tr w:rsidR="009E04F9" w14:paraId="631717BB" w14:textId="77777777">
        <w:trPr>
          <w:cantSplit/>
          <w:jc w:val="center"/>
        </w:trPr>
        <w:tc>
          <w:tcPr>
            <w:tcW w:w="2256" w:type="dxa"/>
            <w:vAlign w:val="center"/>
          </w:tcPr>
          <w:p w14:paraId="3F422EA8" w14:textId="77777777" w:rsidR="009E04F9" w:rsidRDefault="00000000">
            <w:r>
              <w:rPr>
                <w:sz w:val="18"/>
              </w:rPr>
              <w:t>Pressure</w:t>
            </w:r>
          </w:p>
        </w:tc>
        <w:tc>
          <w:tcPr>
            <w:tcW w:w="2256" w:type="dxa"/>
            <w:vAlign w:val="center"/>
          </w:tcPr>
          <w:p w14:paraId="6904A69D" w14:textId="77777777" w:rsidR="009E04F9" w:rsidRDefault="00000000">
            <w:r>
              <w:rPr>
                <w:sz w:val="18"/>
              </w:rPr>
              <w:t>ACHANGE</w:t>
            </w:r>
          </w:p>
        </w:tc>
        <w:tc>
          <w:tcPr>
            <w:tcW w:w="2256" w:type="dxa"/>
            <w:vAlign w:val="center"/>
          </w:tcPr>
          <w:p w14:paraId="7278CF17" w14:textId="77777777" w:rsidR="009E04F9" w:rsidRDefault="00000000">
            <w:r>
              <w:rPr>
                <w:sz w:val="18"/>
              </w:rPr>
              <w:t xml:space="preserve">(Total </w:t>
            </w:r>
            <w:proofErr w:type="spellStart"/>
            <w:r>
              <w:rPr>
                <w:sz w:val="18"/>
              </w:rPr>
              <w:t>assets_t</w:t>
            </w:r>
            <w:proofErr w:type="spellEnd"/>
            <w:r>
              <w:rPr>
                <w:sz w:val="18"/>
              </w:rPr>
              <w:t xml:space="preserve"> - Total assets_t-1) / Total assets_t-1</w:t>
            </w:r>
          </w:p>
        </w:tc>
        <w:tc>
          <w:tcPr>
            <w:tcW w:w="2256" w:type="dxa"/>
            <w:vAlign w:val="center"/>
          </w:tcPr>
          <w:p w14:paraId="1FADA170" w14:textId="77777777" w:rsidR="009E04F9" w:rsidRDefault="00000000">
            <w:pPr>
              <w:jc w:val="center"/>
            </w:pPr>
            <w:r>
              <w:rPr>
                <w:sz w:val="18"/>
              </w:rPr>
              <w:t>+</w:t>
            </w:r>
          </w:p>
        </w:tc>
      </w:tr>
      <w:tr w:rsidR="009E04F9" w14:paraId="60221AB7" w14:textId="77777777">
        <w:trPr>
          <w:cantSplit/>
          <w:jc w:val="center"/>
        </w:trPr>
        <w:tc>
          <w:tcPr>
            <w:tcW w:w="2256" w:type="dxa"/>
            <w:vAlign w:val="center"/>
          </w:tcPr>
          <w:p w14:paraId="07F65D2B" w14:textId="77777777" w:rsidR="009E04F9" w:rsidRDefault="00000000">
            <w:r>
              <w:rPr>
                <w:sz w:val="18"/>
              </w:rPr>
              <w:t>Opportunity / monitoring</w:t>
            </w:r>
          </w:p>
        </w:tc>
        <w:tc>
          <w:tcPr>
            <w:tcW w:w="2256" w:type="dxa"/>
            <w:vAlign w:val="center"/>
          </w:tcPr>
          <w:p w14:paraId="1160F43E" w14:textId="77777777" w:rsidR="009E04F9" w:rsidRDefault="00000000">
            <w:r>
              <w:rPr>
                <w:sz w:val="18"/>
              </w:rPr>
              <w:t>BDOUT</w:t>
            </w:r>
          </w:p>
        </w:tc>
        <w:tc>
          <w:tcPr>
            <w:tcW w:w="2256" w:type="dxa"/>
            <w:vAlign w:val="center"/>
          </w:tcPr>
          <w:p w14:paraId="4F86BC26" w14:textId="77777777" w:rsidR="009B2EF1" w:rsidRDefault="00000000">
            <w:r>
              <w:rPr>
                <w:sz w:val="18"/>
              </w:rPr>
              <w:t>Source BDOUT board-monitoring ratio; see text for independent versus non-executive distinction</w:t>
            </w:r>
          </w:p>
        </w:tc>
        <w:tc>
          <w:tcPr>
            <w:tcW w:w="2256" w:type="dxa"/>
            <w:vAlign w:val="center"/>
          </w:tcPr>
          <w:p w14:paraId="7EECDE89" w14:textId="77777777" w:rsidR="009E04F9" w:rsidRDefault="00000000">
            <w:pPr>
              <w:jc w:val="center"/>
            </w:pPr>
            <w:r>
              <w:rPr>
                <w:sz w:val="18"/>
              </w:rPr>
              <w:t>-</w:t>
            </w:r>
          </w:p>
        </w:tc>
      </w:tr>
      <w:tr w:rsidR="009E04F9" w14:paraId="4D99FB4D" w14:textId="77777777">
        <w:trPr>
          <w:cantSplit/>
          <w:jc w:val="center"/>
        </w:trPr>
        <w:tc>
          <w:tcPr>
            <w:tcW w:w="2256" w:type="dxa"/>
            <w:vAlign w:val="center"/>
          </w:tcPr>
          <w:p w14:paraId="1767BC85" w14:textId="77777777" w:rsidR="009E04F9" w:rsidRDefault="00000000">
            <w:r>
              <w:rPr>
                <w:sz w:val="18"/>
              </w:rPr>
              <w:t>Opportunity / ownership</w:t>
            </w:r>
          </w:p>
        </w:tc>
        <w:tc>
          <w:tcPr>
            <w:tcW w:w="2256" w:type="dxa"/>
            <w:vAlign w:val="center"/>
          </w:tcPr>
          <w:p w14:paraId="01B7EC39" w14:textId="77777777" w:rsidR="009E04F9" w:rsidRDefault="00000000">
            <w:r>
              <w:rPr>
                <w:sz w:val="18"/>
              </w:rPr>
              <w:t>IOSHIP</w:t>
            </w:r>
          </w:p>
        </w:tc>
        <w:tc>
          <w:tcPr>
            <w:tcW w:w="2256" w:type="dxa"/>
            <w:vAlign w:val="center"/>
          </w:tcPr>
          <w:p w14:paraId="07EDF923" w14:textId="77777777" w:rsidR="009E04F9" w:rsidRDefault="00000000">
            <w:r>
              <w:rPr>
                <w:sz w:val="18"/>
              </w:rPr>
              <w:t>Management/director shares / ordinary shares outstanding</w:t>
            </w:r>
          </w:p>
        </w:tc>
        <w:tc>
          <w:tcPr>
            <w:tcW w:w="2256" w:type="dxa"/>
            <w:vAlign w:val="center"/>
          </w:tcPr>
          <w:p w14:paraId="4F7B708F" w14:textId="77777777" w:rsidR="009E04F9" w:rsidRDefault="00000000">
            <w:pPr>
              <w:jc w:val="center"/>
            </w:pPr>
            <w:r>
              <w:rPr>
                <w:sz w:val="18"/>
              </w:rPr>
              <w:t>+</w:t>
            </w:r>
          </w:p>
        </w:tc>
      </w:tr>
      <w:tr w:rsidR="009E04F9" w14:paraId="7B6AC26E" w14:textId="77777777">
        <w:trPr>
          <w:cantSplit/>
          <w:jc w:val="center"/>
        </w:trPr>
        <w:tc>
          <w:tcPr>
            <w:tcW w:w="2256" w:type="dxa"/>
            <w:vAlign w:val="center"/>
          </w:tcPr>
          <w:p w14:paraId="274A8FF7" w14:textId="77777777" w:rsidR="009E04F9" w:rsidRDefault="00000000">
            <w:proofErr w:type="spellStart"/>
            <w:r>
              <w:rPr>
                <w:sz w:val="18"/>
              </w:rPr>
              <w:t>Rationalisation</w:t>
            </w:r>
            <w:proofErr w:type="spellEnd"/>
            <w:r>
              <w:rPr>
                <w:sz w:val="18"/>
              </w:rPr>
              <w:t xml:space="preserve"> red flag</w:t>
            </w:r>
          </w:p>
        </w:tc>
        <w:tc>
          <w:tcPr>
            <w:tcW w:w="2256" w:type="dxa"/>
            <w:vAlign w:val="center"/>
          </w:tcPr>
          <w:p w14:paraId="7281CC25" w14:textId="77777777" w:rsidR="009E04F9" w:rsidRDefault="00000000">
            <w:r>
              <w:rPr>
                <w:sz w:val="18"/>
              </w:rPr>
              <w:t>AC</w:t>
            </w:r>
          </w:p>
        </w:tc>
        <w:tc>
          <w:tcPr>
            <w:tcW w:w="2256" w:type="dxa"/>
            <w:vAlign w:val="center"/>
          </w:tcPr>
          <w:p w14:paraId="7881AA57" w14:textId="77777777" w:rsidR="009E04F9" w:rsidRDefault="00000000">
            <w:r>
              <w:rPr>
                <w:sz w:val="18"/>
              </w:rPr>
              <w:t>1 = auditor changes; 0 = otherwise</w:t>
            </w:r>
          </w:p>
        </w:tc>
        <w:tc>
          <w:tcPr>
            <w:tcW w:w="2256" w:type="dxa"/>
            <w:vAlign w:val="center"/>
          </w:tcPr>
          <w:p w14:paraId="2170B209" w14:textId="77777777" w:rsidR="009E04F9" w:rsidRDefault="00000000">
            <w:pPr>
              <w:jc w:val="center"/>
            </w:pPr>
            <w:r>
              <w:rPr>
                <w:sz w:val="18"/>
              </w:rPr>
              <w:t>+</w:t>
            </w:r>
          </w:p>
        </w:tc>
      </w:tr>
      <w:tr w:rsidR="009E04F9" w14:paraId="5716CDA3" w14:textId="77777777">
        <w:trPr>
          <w:cantSplit/>
          <w:jc w:val="center"/>
        </w:trPr>
        <w:tc>
          <w:tcPr>
            <w:tcW w:w="2256" w:type="dxa"/>
            <w:vAlign w:val="center"/>
          </w:tcPr>
          <w:p w14:paraId="49B1FAE2" w14:textId="77777777" w:rsidR="009E04F9" w:rsidRDefault="00000000">
            <w:r>
              <w:rPr>
                <w:sz w:val="18"/>
              </w:rPr>
              <w:t>Capability</w:t>
            </w:r>
          </w:p>
        </w:tc>
        <w:tc>
          <w:tcPr>
            <w:tcW w:w="2256" w:type="dxa"/>
            <w:vAlign w:val="center"/>
          </w:tcPr>
          <w:p w14:paraId="4BF292EE" w14:textId="77777777" w:rsidR="009E04F9" w:rsidRDefault="00000000">
            <w:r>
              <w:rPr>
                <w:sz w:val="18"/>
              </w:rPr>
              <w:t>Cap</w:t>
            </w:r>
          </w:p>
        </w:tc>
        <w:tc>
          <w:tcPr>
            <w:tcW w:w="2256" w:type="dxa"/>
            <w:vAlign w:val="center"/>
          </w:tcPr>
          <w:p w14:paraId="33FBA4B4" w14:textId="77777777" w:rsidR="009B2EF1" w:rsidRDefault="00000000">
            <w:r>
              <w:rPr>
                <w:sz w:val="18"/>
              </w:rPr>
              <w:t>1 = CEO has a financial degree; 0 = otherwise</w:t>
            </w:r>
          </w:p>
        </w:tc>
        <w:tc>
          <w:tcPr>
            <w:tcW w:w="2256" w:type="dxa"/>
            <w:vAlign w:val="center"/>
          </w:tcPr>
          <w:p w14:paraId="57EA6AFA" w14:textId="77777777" w:rsidR="009E04F9" w:rsidRDefault="00000000">
            <w:pPr>
              <w:jc w:val="center"/>
            </w:pPr>
            <w:r>
              <w:rPr>
                <w:sz w:val="18"/>
              </w:rPr>
              <w:t>+</w:t>
            </w:r>
          </w:p>
        </w:tc>
      </w:tr>
      <w:tr w:rsidR="009E04F9" w14:paraId="654B94BA" w14:textId="77777777">
        <w:trPr>
          <w:cantSplit/>
          <w:jc w:val="center"/>
        </w:trPr>
        <w:tc>
          <w:tcPr>
            <w:tcW w:w="2256" w:type="dxa"/>
            <w:vAlign w:val="center"/>
          </w:tcPr>
          <w:p w14:paraId="20DBD7BC" w14:textId="77777777" w:rsidR="009E04F9" w:rsidRDefault="00000000">
            <w:r>
              <w:rPr>
                <w:sz w:val="18"/>
              </w:rPr>
              <w:t>Control</w:t>
            </w:r>
          </w:p>
        </w:tc>
        <w:tc>
          <w:tcPr>
            <w:tcW w:w="2256" w:type="dxa"/>
            <w:vAlign w:val="center"/>
          </w:tcPr>
          <w:p w14:paraId="2CF001E4" w14:textId="77777777" w:rsidR="009E04F9" w:rsidRDefault="00000000">
            <w:r>
              <w:rPr>
                <w:sz w:val="18"/>
              </w:rPr>
              <w:t>ROA</w:t>
            </w:r>
          </w:p>
        </w:tc>
        <w:tc>
          <w:tcPr>
            <w:tcW w:w="2256" w:type="dxa"/>
            <w:vAlign w:val="center"/>
          </w:tcPr>
          <w:p w14:paraId="0E856352" w14:textId="77777777" w:rsidR="009E04F9" w:rsidRDefault="00000000">
            <w:r>
              <w:rPr>
                <w:sz w:val="18"/>
              </w:rPr>
              <w:t>Profit after tax / total assets</w:t>
            </w:r>
          </w:p>
        </w:tc>
        <w:tc>
          <w:tcPr>
            <w:tcW w:w="2256" w:type="dxa"/>
            <w:vAlign w:val="center"/>
          </w:tcPr>
          <w:p w14:paraId="2E3FEBF3" w14:textId="77777777" w:rsidR="009E04F9" w:rsidRDefault="009E04F9">
            <w:pPr>
              <w:jc w:val="center"/>
            </w:pPr>
          </w:p>
        </w:tc>
      </w:tr>
      <w:tr w:rsidR="009E04F9" w14:paraId="5FDDD1BD" w14:textId="77777777">
        <w:trPr>
          <w:cantSplit/>
          <w:jc w:val="center"/>
        </w:trPr>
        <w:tc>
          <w:tcPr>
            <w:tcW w:w="2256" w:type="dxa"/>
            <w:vAlign w:val="center"/>
          </w:tcPr>
          <w:p w14:paraId="1F95A067" w14:textId="77777777" w:rsidR="009E04F9" w:rsidRDefault="00000000">
            <w:r>
              <w:rPr>
                <w:sz w:val="18"/>
              </w:rPr>
              <w:t>Control</w:t>
            </w:r>
          </w:p>
        </w:tc>
        <w:tc>
          <w:tcPr>
            <w:tcW w:w="2256" w:type="dxa"/>
            <w:vAlign w:val="center"/>
          </w:tcPr>
          <w:p w14:paraId="4A375A6C" w14:textId="77777777" w:rsidR="009E04F9" w:rsidRDefault="00000000">
            <w:r>
              <w:rPr>
                <w:sz w:val="18"/>
              </w:rPr>
              <w:t>SIZE</w:t>
            </w:r>
          </w:p>
        </w:tc>
        <w:tc>
          <w:tcPr>
            <w:tcW w:w="2256" w:type="dxa"/>
            <w:vAlign w:val="center"/>
          </w:tcPr>
          <w:p w14:paraId="4894B441" w14:textId="77777777" w:rsidR="009E04F9" w:rsidRDefault="00000000">
            <w:r>
              <w:rPr>
                <w:sz w:val="18"/>
              </w:rPr>
              <w:t>Natural log of total assets</w:t>
            </w:r>
          </w:p>
        </w:tc>
        <w:tc>
          <w:tcPr>
            <w:tcW w:w="2256" w:type="dxa"/>
            <w:vAlign w:val="center"/>
          </w:tcPr>
          <w:p w14:paraId="0BD40559" w14:textId="77777777" w:rsidR="009E04F9" w:rsidRDefault="009E04F9">
            <w:pPr>
              <w:jc w:val="center"/>
            </w:pPr>
          </w:p>
        </w:tc>
      </w:tr>
      <w:tr w:rsidR="009E04F9" w14:paraId="19CBEAF7" w14:textId="77777777">
        <w:trPr>
          <w:cantSplit/>
          <w:jc w:val="center"/>
        </w:trPr>
        <w:tc>
          <w:tcPr>
            <w:tcW w:w="2256" w:type="dxa"/>
            <w:vAlign w:val="center"/>
          </w:tcPr>
          <w:p w14:paraId="5BC43885" w14:textId="77777777" w:rsidR="009E04F9" w:rsidRDefault="00000000">
            <w:r>
              <w:rPr>
                <w:sz w:val="18"/>
              </w:rPr>
              <w:t>Control</w:t>
            </w:r>
          </w:p>
        </w:tc>
        <w:tc>
          <w:tcPr>
            <w:tcW w:w="2256" w:type="dxa"/>
            <w:vAlign w:val="center"/>
          </w:tcPr>
          <w:p w14:paraId="11B91FA2" w14:textId="77777777" w:rsidR="009E04F9" w:rsidRDefault="00000000">
            <w:r>
              <w:rPr>
                <w:sz w:val="18"/>
              </w:rPr>
              <w:t>AQ</w:t>
            </w:r>
          </w:p>
        </w:tc>
        <w:tc>
          <w:tcPr>
            <w:tcW w:w="2256" w:type="dxa"/>
            <w:vAlign w:val="center"/>
          </w:tcPr>
          <w:p w14:paraId="05FF511D" w14:textId="77777777" w:rsidR="009E04F9" w:rsidRDefault="00000000">
            <w:r>
              <w:rPr>
                <w:sz w:val="18"/>
              </w:rPr>
              <w:t>1 = Big Four auditor; 0 = otherwise</w:t>
            </w:r>
          </w:p>
        </w:tc>
        <w:tc>
          <w:tcPr>
            <w:tcW w:w="2256" w:type="dxa"/>
            <w:vAlign w:val="center"/>
          </w:tcPr>
          <w:p w14:paraId="2ED76F0C" w14:textId="77777777" w:rsidR="009E04F9" w:rsidRDefault="009E04F9">
            <w:pPr>
              <w:jc w:val="center"/>
            </w:pPr>
          </w:p>
        </w:tc>
      </w:tr>
    </w:tbl>
    <w:p w14:paraId="3F01C3C5" w14:textId="77777777" w:rsidR="009B2EF1" w:rsidRDefault="00000000">
      <w:pPr>
        <w:jc w:val="both"/>
      </w:pPr>
      <w:r>
        <w:rPr>
          <w:i/>
          <w:sz w:val="17"/>
        </w:rPr>
        <w:t>Note to Table 1. BDOUT2, used only as a measurement sensitivity check, is reconstructed directly as non-executive directors divided by total board size and is not treated as synonymous with formally independent non-executive directors.</w:t>
      </w:r>
    </w:p>
    <w:p w14:paraId="41C045B1" w14:textId="77777777" w:rsidR="009E04F9" w:rsidRDefault="00000000">
      <w:pPr>
        <w:keepNext/>
        <w:spacing w:before="80"/>
      </w:pPr>
      <w:r>
        <w:t>3.4 Data treatment and econometric specification</w:t>
      </w:r>
    </w:p>
    <w:p w14:paraId="083E6B13" w14:textId="77777777" w:rsidR="009E04F9" w:rsidRDefault="00000000">
      <w:pPr>
        <w:jc w:val="both"/>
      </w:pPr>
      <w:r>
        <w:t xml:space="preserve">The source data were reviewed for inconsistencies and missing information before model construction. </w:t>
      </w:r>
      <w:r>
        <w:rPr>
          <w:highlight w:val="yellow"/>
        </w:rPr>
        <w:t>Estimation is based on the complete observations available for each specification</w:t>
      </w:r>
      <w:r>
        <w:t>, which explains the mildly unbalanced panel. The raw data contain several extreme values, notably in asset growth and profitability. All continuous explanatory variables are therefore winsorised at the 1st and 99th percentiles and subsequently standardised to mean zero and unit standard deviation. This allows odds ratios to be interpreted for a one-standard-deviation change and avoids misleading one-unit interpretations for ratios whose natural range is substantially below one. Binary variables remain in their original metric. Year fixed effects are included to absorb common shocks affecting listed Nigerian manufacturing firms in each year.</w:t>
      </w:r>
    </w:p>
    <w:p w14:paraId="5D9E6E39" w14:textId="77777777" w:rsidR="009E04F9" w:rsidRDefault="00000000">
      <w:pPr>
        <w:jc w:val="both"/>
      </w:pPr>
      <w:r>
        <w:t>The primary contemporaneous population-averaged model is:</w:t>
      </w:r>
    </w:p>
    <w:p w14:paraId="21F774FF" w14:textId="77777777" w:rsidR="009E04F9" w:rsidRDefault="00000000">
      <w:pPr>
        <w:jc w:val="center"/>
      </w:pPr>
      <m:oMathPara>
        <m:oMathParaPr>
          <m:jc m:val="center"/>
        </m:oMathParaPr>
        <m:oMath>
          <m:r>
            <w:rPr>
              <w:rFonts w:ascii="Cambria Math" w:hAnsi="Cambria Math"/>
            </w:rPr>
            <m:t>Pr(</m:t>
          </m:r>
          <m:sSub>
            <m:sSubPr>
              <m:ctrlPr>
                <w:rPr>
                  <w:rFonts w:ascii="Cambria Math" w:hAnsi="Cambria Math"/>
                </w:rPr>
              </m:ctrlPr>
            </m:sSubPr>
            <m:e>
              <m:r>
                <w:rPr>
                  <w:rFonts w:ascii="Cambria Math" w:hAnsi="Cambria Math"/>
                </w:rPr>
                <m:t>MFLAG</m:t>
              </m:r>
            </m:e>
            <m:sub>
              <m:r>
                <w:rPr>
                  <w:rFonts w:ascii="Cambria Math" w:hAnsi="Cambria Math"/>
                </w:rPr>
                <m:t>it</m:t>
              </m:r>
            </m:sub>
          </m:sSub>
          <m:r>
            <w:rPr>
              <w:rFonts w:ascii="Cambria Math" w:hAnsi="Cambria Math"/>
            </w:rPr>
            <m:t xml:space="preserve"> = 1) = Λ(α + </m:t>
          </m:r>
          <m:sSub>
            <m:sSubPr>
              <m:ctrlPr>
                <w:rPr>
                  <w:rFonts w:ascii="Cambria Math" w:hAnsi="Cambria Math"/>
                </w:rPr>
              </m:ctrlPr>
            </m:sSubPr>
            <m:e>
              <m:r>
                <w:rPr>
                  <w:rFonts w:ascii="Cambria Math" w:hAnsi="Cambria Math"/>
                </w:rPr>
                <m:t>β</m:t>
              </m:r>
            </m:e>
            <m:sub>
              <m:r>
                <w:rPr>
                  <w:rFonts w:ascii="Cambria Math" w:hAnsi="Cambria Math"/>
                </w:rPr>
                <m:t>1</m:t>
              </m:r>
            </m:sub>
          </m:sSub>
          <m:r>
            <w:rPr>
              <w:rFonts w:ascii="Cambria Math" w:hAnsi="Cambria Math"/>
            </w:rPr>
            <m:t xml:space="preserve"> </m:t>
          </m:r>
          <m:sSub>
            <m:sSubPr>
              <m:ctrlPr>
                <w:rPr>
                  <w:rFonts w:ascii="Cambria Math" w:hAnsi="Cambria Math"/>
                </w:rPr>
              </m:ctrlPr>
            </m:sSubPr>
            <m:e>
              <m:r>
                <w:rPr>
                  <w:rFonts w:ascii="Cambria Math" w:hAnsi="Cambria Math"/>
                </w:rPr>
                <m:t>ACHANGE</m:t>
              </m:r>
            </m:e>
            <m:sub>
              <m:r>
                <w:rPr>
                  <w:rFonts w:ascii="Cambria Math" w:hAnsi="Cambria Math"/>
                </w:rPr>
                <m:t>it</m:t>
              </m:r>
            </m:sub>
          </m:sSub>
          <m:r>
            <w:rPr>
              <w:rFonts w:ascii="Cambria Math" w:hAnsi="Cambria Math"/>
            </w:rPr>
            <m:t xml:space="preserve"> + </m:t>
          </m:r>
          <m:sSub>
            <m:sSubPr>
              <m:ctrlPr>
                <w:rPr>
                  <w:rFonts w:ascii="Cambria Math" w:hAnsi="Cambria Math"/>
                </w:rPr>
              </m:ctrlPr>
            </m:sSubPr>
            <m:e>
              <m:r>
                <w:rPr>
                  <w:rFonts w:ascii="Cambria Math" w:hAnsi="Cambria Math"/>
                </w:rPr>
                <m:t>β</m:t>
              </m:r>
            </m:e>
            <m:sub>
              <m:r>
                <w:rPr>
                  <w:rFonts w:ascii="Cambria Math" w:hAnsi="Cambria Math"/>
                </w:rPr>
                <m:t>2</m:t>
              </m:r>
            </m:sub>
          </m:sSub>
          <m:r>
            <w:rPr>
              <w:rFonts w:ascii="Cambria Math" w:hAnsi="Cambria Math"/>
            </w:rPr>
            <m:t xml:space="preserve"> </m:t>
          </m:r>
          <m:sSub>
            <m:sSubPr>
              <m:ctrlPr>
                <w:rPr>
                  <w:rFonts w:ascii="Cambria Math" w:hAnsi="Cambria Math"/>
                </w:rPr>
              </m:ctrlPr>
            </m:sSubPr>
            <m:e>
              <m:r>
                <w:rPr>
                  <w:rFonts w:ascii="Cambria Math" w:hAnsi="Cambria Math"/>
                </w:rPr>
                <m:t>BDOUT</m:t>
              </m:r>
            </m:e>
            <m:sub>
              <m:r>
                <w:rPr>
                  <w:rFonts w:ascii="Cambria Math" w:hAnsi="Cambria Math"/>
                </w:rPr>
                <m:t>it</m:t>
              </m:r>
            </m:sub>
          </m:sSub>
          <m:r>
            <w:rPr>
              <w:rFonts w:ascii="Cambria Math" w:hAnsi="Cambria Math"/>
            </w:rPr>
            <m:t xml:space="preserve"> + </m:t>
          </m:r>
          <m:sSub>
            <m:sSubPr>
              <m:ctrlPr>
                <w:rPr>
                  <w:rFonts w:ascii="Cambria Math" w:hAnsi="Cambria Math"/>
                </w:rPr>
              </m:ctrlPr>
            </m:sSubPr>
            <m:e>
              <m:r>
                <w:rPr>
                  <w:rFonts w:ascii="Cambria Math" w:hAnsi="Cambria Math"/>
                </w:rPr>
                <m:t>β</m:t>
              </m:r>
            </m:e>
            <m:sub>
              <m:r>
                <w:rPr>
                  <w:rFonts w:ascii="Cambria Math" w:hAnsi="Cambria Math"/>
                </w:rPr>
                <m:t>3</m:t>
              </m:r>
            </m:sub>
          </m:sSub>
          <m:r>
            <w:rPr>
              <w:rFonts w:ascii="Cambria Math" w:hAnsi="Cambria Math"/>
            </w:rPr>
            <m:t xml:space="preserve"> </m:t>
          </m:r>
          <m:sSub>
            <m:sSubPr>
              <m:ctrlPr>
                <w:rPr>
                  <w:rFonts w:ascii="Cambria Math" w:hAnsi="Cambria Math"/>
                </w:rPr>
              </m:ctrlPr>
            </m:sSubPr>
            <m:e>
              <m:r>
                <w:rPr>
                  <w:rFonts w:ascii="Cambria Math" w:hAnsi="Cambria Math"/>
                </w:rPr>
                <m:t>IOSHIP</m:t>
              </m:r>
            </m:e>
            <m:sub>
              <m:r>
                <w:rPr>
                  <w:rFonts w:ascii="Cambria Math" w:hAnsi="Cambria Math"/>
                </w:rPr>
                <m:t>it</m:t>
              </m:r>
            </m:sub>
          </m:sSub>
        </m:oMath>
      </m:oMathPara>
    </w:p>
    <w:p w14:paraId="2D5030E1" w14:textId="77777777" w:rsidR="009E04F9" w:rsidRDefault="00000000">
      <w:pPr>
        <w:jc w:val="center"/>
      </w:pPr>
      <m:oMathPara>
        <m:oMathParaPr>
          <m:jc m:val="center"/>
        </m:oMathParaPr>
        <m:oMath>
          <m:r>
            <w:rPr>
              <w:rFonts w:ascii="Cambria Math" w:hAnsi="Cambria Math"/>
            </w:rPr>
            <m:t xml:space="preserve">+ </m:t>
          </m:r>
          <m:sSub>
            <m:sSubPr>
              <m:ctrlPr>
                <w:rPr>
                  <w:rFonts w:ascii="Cambria Math" w:hAnsi="Cambria Math"/>
                </w:rPr>
              </m:ctrlPr>
            </m:sSubPr>
            <m:e>
              <m:r>
                <w:rPr>
                  <w:rFonts w:ascii="Cambria Math" w:hAnsi="Cambria Math"/>
                </w:rPr>
                <m:t>β</m:t>
              </m:r>
            </m:e>
            <m:sub>
              <m:r>
                <w:rPr>
                  <w:rFonts w:ascii="Cambria Math" w:hAnsi="Cambria Math"/>
                </w:rPr>
                <m:t>4</m:t>
              </m:r>
            </m:sub>
          </m:sSub>
          <m:r>
            <w:rPr>
              <w:rFonts w:ascii="Cambria Math" w:hAnsi="Cambria Math"/>
            </w:rPr>
            <m:t xml:space="preserve"> </m:t>
          </m:r>
          <m:sSub>
            <m:sSubPr>
              <m:ctrlPr>
                <w:rPr>
                  <w:rFonts w:ascii="Cambria Math" w:hAnsi="Cambria Math"/>
                </w:rPr>
              </m:ctrlPr>
            </m:sSubPr>
            <m:e>
              <m:r>
                <w:rPr>
                  <w:rFonts w:ascii="Cambria Math" w:hAnsi="Cambria Math"/>
                </w:rPr>
                <m:t>AC</m:t>
              </m:r>
            </m:e>
            <m:sub>
              <m:r>
                <w:rPr>
                  <w:rFonts w:ascii="Cambria Math" w:hAnsi="Cambria Math"/>
                </w:rPr>
                <m:t>it</m:t>
              </m:r>
            </m:sub>
          </m:sSub>
          <m:r>
            <w:rPr>
              <w:rFonts w:ascii="Cambria Math" w:hAnsi="Cambria Math"/>
            </w:rPr>
            <m:t xml:space="preserve"> + </m:t>
          </m:r>
          <m:sSub>
            <m:sSubPr>
              <m:ctrlPr>
                <w:rPr>
                  <w:rFonts w:ascii="Cambria Math" w:hAnsi="Cambria Math"/>
                </w:rPr>
              </m:ctrlPr>
            </m:sSubPr>
            <m:e>
              <m:r>
                <w:rPr>
                  <w:rFonts w:ascii="Cambria Math" w:hAnsi="Cambria Math"/>
                </w:rPr>
                <m:t>β</m:t>
              </m:r>
            </m:e>
            <m:sub>
              <m:r>
                <w:rPr>
                  <w:rFonts w:ascii="Cambria Math" w:hAnsi="Cambria Math"/>
                </w:rPr>
                <m:t>5</m:t>
              </m:r>
            </m:sub>
          </m:sSub>
          <m:r>
            <w:rPr>
              <w:rFonts w:ascii="Cambria Math" w:hAnsi="Cambria Math"/>
            </w:rPr>
            <m:t xml:space="preserve"> </m:t>
          </m:r>
          <m:sSub>
            <m:sSubPr>
              <m:ctrlPr>
                <w:rPr>
                  <w:rFonts w:ascii="Cambria Math" w:hAnsi="Cambria Math"/>
                </w:rPr>
              </m:ctrlPr>
            </m:sSubPr>
            <m:e>
              <m:r>
                <w:rPr>
                  <w:rFonts w:ascii="Cambria Math" w:hAnsi="Cambria Math"/>
                </w:rPr>
                <m:t>Cap</m:t>
              </m:r>
            </m:e>
            <m:sub>
              <m:r>
                <w:rPr>
                  <w:rFonts w:ascii="Cambria Math" w:hAnsi="Cambria Math"/>
                </w:rPr>
                <m:t>it</m:t>
              </m:r>
            </m:sub>
          </m:sSub>
          <m:r>
            <w:rPr>
              <w:rFonts w:ascii="Cambria Math" w:hAnsi="Cambria Math"/>
            </w:rPr>
            <m:t xml:space="preserve"> + γ </m:t>
          </m:r>
          <m:sSub>
            <m:sSubPr>
              <m:ctrlPr>
                <w:rPr>
                  <w:rFonts w:ascii="Cambria Math" w:hAnsi="Cambria Math"/>
                </w:rPr>
              </m:ctrlPr>
            </m:sSubPr>
            <m:e>
              <m:r>
                <w:rPr>
                  <w:rFonts w:ascii="Cambria Math" w:hAnsi="Cambria Math"/>
                </w:rPr>
                <m:t>Controls</m:t>
              </m:r>
            </m:e>
            <m:sub>
              <m:r>
                <w:rPr>
                  <w:rFonts w:ascii="Cambria Math" w:hAnsi="Cambria Math"/>
                </w:rPr>
                <m:t>it</m:t>
              </m:r>
            </m:sub>
          </m:sSub>
          <m:r>
            <w:rPr>
              <w:rFonts w:ascii="Cambria Math" w:hAnsi="Cambria Math"/>
            </w:rPr>
            <m:t xml:space="preserve"> + </m:t>
          </m:r>
          <m:sSub>
            <m:sSubPr>
              <m:ctrlPr>
                <w:rPr>
                  <w:rFonts w:ascii="Cambria Math" w:hAnsi="Cambria Math"/>
                </w:rPr>
              </m:ctrlPr>
            </m:sSubPr>
            <m:e>
              <m:r>
                <w:rPr>
                  <w:rFonts w:ascii="Cambria Math" w:hAnsi="Cambria Math"/>
                </w:rPr>
                <m:t>δ</m:t>
              </m:r>
            </m:e>
            <m:sub>
              <m:r>
                <w:rPr>
                  <w:rFonts w:ascii="Cambria Math" w:hAnsi="Cambria Math"/>
                </w:rPr>
                <m:t>t</m:t>
              </m:r>
            </m:sub>
          </m:sSub>
          <m:r>
            <w:rPr>
              <w:rFonts w:ascii="Cambria Math" w:hAnsi="Cambria Math"/>
            </w:rPr>
            <m:t>)</m:t>
          </m:r>
        </m:oMath>
      </m:oMathPara>
    </w:p>
    <w:p w14:paraId="78700432" w14:textId="77777777" w:rsidR="009E04F9" w:rsidRDefault="00000000">
      <w:pPr>
        <w:jc w:val="both"/>
      </w:pPr>
      <w:r>
        <w:t xml:space="preserve">where Lambda denotes the logistic cumulative distribution function, </w:t>
      </w:r>
      <w:proofErr w:type="spellStart"/>
      <w:r>
        <w:t>i</w:t>
      </w:r>
      <w:proofErr w:type="spellEnd"/>
      <w:r>
        <w:t xml:space="preserve"> indexes firms, t indexes years, </w:t>
      </w:r>
      <w:r>
        <w:rPr>
          <w:highlight w:val="yellow"/>
        </w:rPr>
        <w:t>the control vector comprises ROA, SIZE and AQ</w:t>
      </w:r>
      <w:r>
        <w:t xml:space="preserve">, and </w:t>
      </w:r>
      <w:proofErr w:type="spellStart"/>
      <w:r>
        <w:t>delta_t</w:t>
      </w:r>
      <w:proofErr w:type="spellEnd"/>
      <w:r>
        <w:t xml:space="preserve"> denotes year effects. The contemporaneous GEE is treated as the principal association model because the research question concerns whether observable Fraud Diamond indicators coincide with a </w:t>
      </w:r>
      <w:proofErr w:type="spellStart"/>
      <w:r>
        <w:t>Beneish</w:t>
      </w:r>
      <w:proofErr w:type="spellEnd"/>
      <w:r>
        <w:t xml:space="preserve"> manipulation-risk signal. A separate one-year-lagged GEE relates X_i,t-1 to </w:t>
      </w:r>
      <w:proofErr w:type="spellStart"/>
      <w:r>
        <w:t>MFLAG_it</w:t>
      </w:r>
      <w:proofErr w:type="spellEnd"/>
      <w:r>
        <w:t xml:space="preserve"> and is interpreted as a stricter test of forward-looking predictive content. Only genuine one-year transitions are retained in the lagged analysis; two observations separated by multi-year gaps are excluded, producing 298 firm-year observations across the same 40 firms.</w:t>
      </w:r>
    </w:p>
    <w:p w14:paraId="7C5DF7E8" w14:textId="77777777" w:rsidR="009E04F9" w:rsidRDefault="00000000">
      <w:r>
        <w:lastRenderedPageBreak/>
        <w:t>The one-year-lagged robustness specification is:</w:t>
      </w:r>
    </w:p>
    <w:p w14:paraId="3BFC8853" w14:textId="77777777" w:rsidR="009E04F9" w:rsidRDefault="00000000">
      <w:pPr>
        <w:jc w:val="center"/>
      </w:pPr>
      <m:oMathPara>
        <m:oMathParaPr>
          <m:jc m:val="center"/>
        </m:oMathParaPr>
        <m:oMath>
          <m:r>
            <w:rPr>
              <w:rFonts w:ascii="Cambria Math" w:hAnsi="Cambria Math"/>
            </w:rPr>
            <m:t>Pr(</m:t>
          </m:r>
          <m:sSub>
            <m:sSubPr>
              <m:ctrlPr>
                <w:rPr>
                  <w:rFonts w:ascii="Cambria Math" w:hAnsi="Cambria Math"/>
                </w:rPr>
              </m:ctrlPr>
            </m:sSubPr>
            <m:e>
              <m:r>
                <w:rPr>
                  <w:rFonts w:ascii="Cambria Math" w:hAnsi="Cambria Math"/>
                </w:rPr>
                <m:t>MFLAG</m:t>
              </m:r>
            </m:e>
            <m:sub>
              <m:r>
                <w:rPr>
                  <w:rFonts w:ascii="Cambria Math" w:hAnsi="Cambria Math"/>
                </w:rPr>
                <m:t>it</m:t>
              </m:r>
            </m:sub>
          </m:sSub>
          <m:r>
            <w:rPr>
              <w:rFonts w:ascii="Cambria Math" w:hAnsi="Cambria Math"/>
            </w:rPr>
            <m:t xml:space="preserve"> = 1) = Λ(α + </m:t>
          </m:r>
          <m:sSub>
            <m:sSubPr>
              <m:ctrlPr>
                <w:rPr>
                  <w:rFonts w:ascii="Cambria Math" w:hAnsi="Cambria Math"/>
                </w:rPr>
              </m:ctrlPr>
            </m:sSubPr>
            <m:e>
              <m:r>
                <w:rPr>
                  <w:rFonts w:ascii="Cambria Math" w:hAnsi="Cambria Math"/>
                </w:rPr>
                <m:t>β</m:t>
              </m:r>
            </m:e>
            <m:sub>
              <m:r>
                <w:rPr>
                  <w:rFonts w:ascii="Cambria Math" w:hAnsi="Cambria Math"/>
                </w:rPr>
                <m:t>1</m:t>
              </m:r>
            </m:sub>
          </m:sSub>
          <m:r>
            <w:rPr>
              <w:rFonts w:ascii="Cambria Math" w:hAnsi="Cambria Math"/>
            </w:rPr>
            <m:t xml:space="preserve"> </m:t>
          </m:r>
          <m:sSub>
            <m:sSubPr>
              <m:ctrlPr>
                <w:rPr>
                  <w:rFonts w:ascii="Cambria Math" w:hAnsi="Cambria Math"/>
                </w:rPr>
              </m:ctrlPr>
            </m:sSubPr>
            <m:e>
              <m:r>
                <w:rPr>
                  <w:rFonts w:ascii="Cambria Math" w:hAnsi="Cambria Math"/>
                </w:rPr>
                <m:t>ACHANGE</m:t>
              </m:r>
            </m:e>
            <m:sub>
              <m:r>
                <w:rPr>
                  <w:rFonts w:ascii="Cambria Math" w:hAnsi="Cambria Math"/>
                </w:rPr>
                <m:t>i,t-1</m:t>
              </m:r>
            </m:sub>
          </m:sSub>
          <m:r>
            <w:rPr>
              <w:rFonts w:ascii="Cambria Math" w:hAnsi="Cambria Math"/>
            </w:rPr>
            <m:t xml:space="preserve"> + </m:t>
          </m:r>
          <m:sSub>
            <m:sSubPr>
              <m:ctrlPr>
                <w:rPr>
                  <w:rFonts w:ascii="Cambria Math" w:hAnsi="Cambria Math"/>
                </w:rPr>
              </m:ctrlPr>
            </m:sSubPr>
            <m:e>
              <m:r>
                <w:rPr>
                  <w:rFonts w:ascii="Cambria Math" w:hAnsi="Cambria Math"/>
                </w:rPr>
                <m:t>β</m:t>
              </m:r>
            </m:e>
            <m:sub>
              <m:r>
                <w:rPr>
                  <w:rFonts w:ascii="Cambria Math" w:hAnsi="Cambria Math"/>
                </w:rPr>
                <m:t>2</m:t>
              </m:r>
            </m:sub>
          </m:sSub>
          <m:r>
            <w:rPr>
              <w:rFonts w:ascii="Cambria Math" w:hAnsi="Cambria Math"/>
            </w:rPr>
            <m:t xml:space="preserve"> </m:t>
          </m:r>
          <m:sSub>
            <m:sSubPr>
              <m:ctrlPr>
                <w:rPr>
                  <w:rFonts w:ascii="Cambria Math" w:hAnsi="Cambria Math"/>
                </w:rPr>
              </m:ctrlPr>
            </m:sSubPr>
            <m:e>
              <m:r>
                <w:rPr>
                  <w:rFonts w:ascii="Cambria Math" w:hAnsi="Cambria Math"/>
                </w:rPr>
                <m:t>BDOUT</m:t>
              </m:r>
            </m:e>
            <m:sub>
              <m:r>
                <w:rPr>
                  <w:rFonts w:ascii="Cambria Math" w:hAnsi="Cambria Math"/>
                </w:rPr>
                <m:t>i,t-1</m:t>
              </m:r>
            </m:sub>
          </m:sSub>
          <m:r>
            <w:rPr>
              <w:rFonts w:ascii="Cambria Math" w:hAnsi="Cambria Math"/>
            </w:rPr>
            <m:t xml:space="preserve"> + </m:t>
          </m:r>
          <m:sSub>
            <m:sSubPr>
              <m:ctrlPr>
                <w:rPr>
                  <w:rFonts w:ascii="Cambria Math" w:hAnsi="Cambria Math"/>
                </w:rPr>
              </m:ctrlPr>
            </m:sSubPr>
            <m:e>
              <m:r>
                <w:rPr>
                  <w:rFonts w:ascii="Cambria Math" w:hAnsi="Cambria Math"/>
                </w:rPr>
                <m:t>β</m:t>
              </m:r>
            </m:e>
            <m:sub>
              <m:r>
                <w:rPr>
                  <w:rFonts w:ascii="Cambria Math" w:hAnsi="Cambria Math"/>
                </w:rPr>
                <m:t>3</m:t>
              </m:r>
            </m:sub>
          </m:sSub>
          <m:r>
            <w:rPr>
              <w:rFonts w:ascii="Cambria Math" w:hAnsi="Cambria Math"/>
            </w:rPr>
            <m:t xml:space="preserve"> </m:t>
          </m:r>
          <m:sSub>
            <m:sSubPr>
              <m:ctrlPr>
                <w:rPr>
                  <w:rFonts w:ascii="Cambria Math" w:hAnsi="Cambria Math"/>
                </w:rPr>
              </m:ctrlPr>
            </m:sSubPr>
            <m:e>
              <m:r>
                <w:rPr>
                  <w:rFonts w:ascii="Cambria Math" w:hAnsi="Cambria Math"/>
                </w:rPr>
                <m:t>IOSHIP</m:t>
              </m:r>
            </m:e>
            <m:sub>
              <m:r>
                <w:rPr>
                  <w:rFonts w:ascii="Cambria Math" w:hAnsi="Cambria Math"/>
                </w:rPr>
                <m:t>i,t-1</m:t>
              </m:r>
            </m:sub>
          </m:sSub>
        </m:oMath>
      </m:oMathPara>
    </w:p>
    <w:p w14:paraId="6206BA88" w14:textId="77777777" w:rsidR="009E04F9" w:rsidRDefault="00000000">
      <w:pPr>
        <w:jc w:val="center"/>
      </w:pPr>
      <m:oMathPara>
        <m:oMathParaPr>
          <m:jc m:val="center"/>
        </m:oMathParaPr>
        <m:oMath>
          <m:r>
            <w:rPr>
              <w:rFonts w:ascii="Cambria Math" w:hAnsi="Cambria Math"/>
            </w:rPr>
            <m:t xml:space="preserve">+ </m:t>
          </m:r>
          <m:sSub>
            <m:sSubPr>
              <m:ctrlPr>
                <w:rPr>
                  <w:rFonts w:ascii="Cambria Math" w:hAnsi="Cambria Math"/>
                </w:rPr>
              </m:ctrlPr>
            </m:sSubPr>
            <m:e>
              <m:r>
                <w:rPr>
                  <w:rFonts w:ascii="Cambria Math" w:hAnsi="Cambria Math"/>
                </w:rPr>
                <m:t>β</m:t>
              </m:r>
            </m:e>
            <m:sub>
              <m:r>
                <w:rPr>
                  <w:rFonts w:ascii="Cambria Math" w:hAnsi="Cambria Math"/>
                </w:rPr>
                <m:t>4</m:t>
              </m:r>
            </m:sub>
          </m:sSub>
          <m:r>
            <w:rPr>
              <w:rFonts w:ascii="Cambria Math" w:hAnsi="Cambria Math"/>
            </w:rPr>
            <m:t xml:space="preserve"> </m:t>
          </m:r>
          <m:sSub>
            <m:sSubPr>
              <m:ctrlPr>
                <w:rPr>
                  <w:rFonts w:ascii="Cambria Math" w:hAnsi="Cambria Math"/>
                </w:rPr>
              </m:ctrlPr>
            </m:sSubPr>
            <m:e>
              <m:r>
                <w:rPr>
                  <w:rFonts w:ascii="Cambria Math" w:hAnsi="Cambria Math"/>
                </w:rPr>
                <m:t>AC</m:t>
              </m:r>
            </m:e>
            <m:sub>
              <m:r>
                <w:rPr>
                  <w:rFonts w:ascii="Cambria Math" w:hAnsi="Cambria Math"/>
                </w:rPr>
                <m:t>i,t-1</m:t>
              </m:r>
            </m:sub>
          </m:sSub>
          <m:r>
            <w:rPr>
              <w:rFonts w:ascii="Cambria Math" w:hAnsi="Cambria Math"/>
            </w:rPr>
            <m:t xml:space="preserve"> + </m:t>
          </m:r>
          <m:sSub>
            <m:sSubPr>
              <m:ctrlPr>
                <w:rPr>
                  <w:rFonts w:ascii="Cambria Math" w:hAnsi="Cambria Math"/>
                </w:rPr>
              </m:ctrlPr>
            </m:sSubPr>
            <m:e>
              <m:r>
                <w:rPr>
                  <w:rFonts w:ascii="Cambria Math" w:hAnsi="Cambria Math"/>
                </w:rPr>
                <m:t>β</m:t>
              </m:r>
            </m:e>
            <m:sub>
              <m:r>
                <w:rPr>
                  <w:rFonts w:ascii="Cambria Math" w:hAnsi="Cambria Math"/>
                </w:rPr>
                <m:t>5</m:t>
              </m:r>
            </m:sub>
          </m:sSub>
          <m:r>
            <w:rPr>
              <w:rFonts w:ascii="Cambria Math" w:hAnsi="Cambria Math"/>
            </w:rPr>
            <m:t xml:space="preserve"> </m:t>
          </m:r>
          <m:sSub>
            <m:sSubPr>
              <m:ctrlPr>
                <w:rPr>
                  <w:rFonts w:ascii="Cambria Math" w:hAnsi="Cambria Math"/>
                </w:rPr>
              </m:ctrlPr>
            </m:sSubPr>
            <m:e>
              <m:r>
                <w:rPr>
                  <w:rFonts w:ascii="Cambria Math" w:hAnsi="Cambria Math"/>
                </w:rPr>
                <m:t>Cap</m:t>
              </m:r>
            </m:e>
            <m:sub>
              <m:r>
                <w:rPr>
                  <w:rFonts w:ascii="Cambria Math" w:hAnsi="Cambria Math"/>
                </w:rPr>
                <m:t>i,t-1</m:t>
              </m:r>
            </m:sub>
          </m:sSub>
          <m:r>
            <w:rPr>
              <w:rFonts w:ascii="Cambria Math" w:hAnsi="Cambria Math"/>
            </w:rPr>
            <m:t xml:space="preserve"> + γ </m:t>
          </m:r>
          <m:sSub>
            <m:sSubPr>
              <m:ctrlPr>
                <w:rPr>
                  <w:rFonts w:ascii="Cambria Math" w:hAnsi="Cambria Math"/>
                </w:rPr>
              </m:ctrlPr>
            </m:sSubPr>
            <m:e>
              <m:r>
                <w:rPr>
                  <w:rFonts w:ascii="Cambria Math" w:hAnsi="Cambria Math"/>
                </w:rPr>
                <m:t>Controls</m:t>
              </m:r>
            </m:e>
            <m:sub>
              <m:r>
                <w:rPr>
                  <w:rFonts w:ascii="Cambria Math" w:hAnsi="Cambria Math"/>
                </w:rPr>
                <m:t>i,t-1</m:t>
              </m:r>
            </m:sub>
          </m:sSub>
          <m:r>
            <w:rPr>
              <w:rFonts w:ascii="Cambria Math" w:hAnsi="Cambria Math"/>
            </w:rPr>
            <m:t xml:space="preserve"> + </m:t>
          </m:r>
          <m:sSub>
            <m:sSubPr>
              <m:ctrlPr>
                <w:rPr>
                  <w:rFonts w:ascii="Cambria Math" w:hAnsi="Cambria Math"/>
                </w:rPr>
              </m:ctrlPr>
            </m:sSubPr>
            <m:e>
              <m:r>
                <w:rPr>
                  <w:rFonts w:ascii="Cambria Math" w:hAnsi="Cambria Math"/>
                </w:rPr>
                <m:t>δ</m:t>
              </m:r>
            </m:e>
            <m:sub>
              <m:r>
                <w:rPr>
                  <w:rFonts w:ascii="Cambria Math" w:hAnsi="Cambria Math"/>
                </w:rPr>
                <m:t>t</m:t>
              </m:r>
            </m:sub>
          </m:sSub>
          <m:r>
            <w:rPr>
              <w:rFonts w:ascii="Cambria Math" w:hAnsi="Cambria Math"/>
            </w:rPr>
            <m:t>)</m:t>
          </m:r>
        </m:oMath>
      </m:oMathPara>
    </w:p>
    <w:p w14:paraId="372EE034" w14:textId="77777777" w:rsidR="009E04F9" w:rsidRDefault="00000000">
      <w:pPr>
        <w:keepNext/>
        <w:spacing w:before="80"/>
      </w:pPr>
      <w:r>
        <w:t>3.5 Robustness, fixed effects and model assessment</w:t>
      </w:r>
    </w:p>
    <w:p w14:paraId="1C5BFAD7" w14:textId="77777777" w:rsidR="009E04F9" w:rsidRDefault="00000000">
      <w:pPr>
        <w:jc w:val="both"/>
      </w:pPr>
      <w:r>
        <w:t xml:space="preserve">Three robustness exercises are used. First, a conventional pooled logistic model </w:t>
      </w:r>
      <w:r>
        <w:rPr>
          <w:highlight w:val="yellow"/>
        </w:rPr>
        <w:t>with firm-clustered standard errors (Cameron &amp; Miller, 2015; Petersen, 2009) assesses</w:t>
      </w:r>
      <w:r>
        <w:t xml:space="preserve"> whether the main GEE conclusions depend on the marginal-correlation framework. Second, a conditional firm fixed-effects logit model is estimated on lagged covariates, thereby controlling for all time-invariant firm characteristics through conditional likelihood (</w:t>
      </w:r>
      <w:hyperlink w:anchor="ref_Chamberlain_1980" w:history="1">
        <w:r w:rsidR="009E04F9">
          <w:rPr>
            <w:szCs w:val="24"/>
          </w:rPr>
          <w:t>Chamberlain, 1980</w:t>
        </w:r>
      </w:hyperlink>
      <w:r>
        <w:t xml:space="preserve">). Firms with no within-firm variation in the binary dependent variable are necessarily omitted by this estimator. The CEO financial-expertise variable is also omitted from the fixed-effects specification because it exhibits no within-firm variation over the study period. Third, the continuous </w:t>
      </w:r>
      <w:proofErr w:type="spellStart"/>
      <w:r>
        <w:t>Beneish</w:t>
      </w:r>
      <w:proofErr w:type="spellEnd"/>
      <w:r>
        <w:t xml:space="preserve"> M-Score, </w:t>
      </w:r>
      <w:proofErr w:type="spellStart"/>
      <w:r>
        <w:t>winsorised</w:t>
      </w:r>
      <w:proofErr w:type="spellEnd"/>
      <w:r>
        <w:t xml:space="preserve"> at the 1st and 99th percentiles, is </w:t>
      </w:r>
      <w:proofErr w:type="spellStart"/>
      <w:r>
        <w:t>analysed</w:t>
      </w:r>
      <w:proofErr w:type="spellEnd"/>
      <w:r>
        <w:t xml:space="preserve"> through Gaussian GEE to determine whether the directional findings depend on the -2.22 </w:t>
      </w:r>
      <w:proofErr w:type="spellStart"/>
      <w:r>
        <w:t>dichotomisation</w:t>
      </w:r>
      <w:proofErr w:type="spellEnd"/>
      <w:r>
        <w:t xml:space="preserve"> threshold. As a measurement sensitivity check, the board variable is also reconstructed directly as non-executive directors divided by board size (BDOUT2) from the governance data.</w:t>
      </w:r>
    </w:p>
    <w:p w14:paraId="0FB2DCAE" w14:textId="77777777" w:rsidR="009B2EF1" w:rsidRDefault="00000000">
      <w:pPr>
        <w:jc w:val="both"/>
      </w:pPr>
      <w:r>
        <w:t>These specifications strengthen the analysis but do not convert the design into a causal one. Lagging the explanatory variables improves temporal ordering, and the conditional firm fixed-effects logit removes time-invariant firm heterogeneity, but neither approach eliminates time-varying omitted variables, simultaneity or reverse causality. Recent emerging-market studies employ designs such as difference-in-differences (Khan &amp; Kamal, 2024) and dynamic panel GMM (</w:t>
      </w:r>
      <w:r>
        <w:rPr>
          <w:highlight w:val="yellow"/>
        </w:rPr>
        <w:t>Coleman et al., 2026a</w:t>
      </w:r>
      <w:r>
        <w:t>) when a credible identification structure is available. No comparable exogenous shock or valid instrument is established for the present sample; all coefficients are therefore interpreted as associations and risk signals.</w:t>
      </w:r>
    </w:p>
    <w:p w14:paraId="5BC8B921" w14:textId="77777777" w:rsidR="009E04F9" w:rsidRDefault="00000000">
      <w:pPr>
        <w:jc w:val="both"/>
      </w:pPr>
      <w:r>
        <w:t xml:space="preserve">Multicollinearity is assessed using pairwise correlations and variance inflation factors (VIFs). Discrimination of the binary GEE model is assessed through the area under the receiver-operating-characteristic curve (AUC), while the Brier score </w:t>
      </w:r>
      <w:proofErr w:type="spellStart"/>
      <w:r>
        <w:t>summarises</w:t>
      </w:r>
      <w:proofErr w:type="spellEnd"/>
      <w:r>
        <w:t xml:space="preserve"> probability calibration and accuracy. The study focuses on effect direction, odds ratios, confidence intervals and consistency across specifications rather than statistical significance alone.</w:t>
      </w:r>
    </w:p>
    <w:p w14:paraId="3E73107D" w14:textId="77777777" w:rsidR="009E04F9" w:rsidRDefault="00000000">
      <w:pPr>
        <w:keepNext/>
        <w:spacing w:before="120"/>
        <w:jc w:val="both"/>
      </w:pPr>
      <w:r>
        <w:rPr>
          <w:b/>
        </w:rPr>
        <w:t>4. Results</w:t>
      </w:r>
    </w:p>
    <w:p w14:paraId="5F4C5BA8" w14:textId="77777777" w:rsidR="009E04F9" w:rsidRDefault="00000000">
      <w:pPr>
        <w:keepNext/>
        <w:spacing w:before="80"/>
      </w:pPr>
      <w:r>
        <w:rPr>
          <w:b/>
        </w:rPr>
        <w:t xml:space="preserve">4.1 Descriptive statistics and incidence of </w:t>
      </w:r>
      <w:proofErr w:type="spellStart"/>
      <w:r>
        <w:rPr>
          <w:b/>
        </w:rPr>
        <w:t>Beneish</w:t>
      </w:r>
      <w:proofErr w:type="spellEnd"/>
      <w:r>
        <w:rPr>
          <w:b/>
        </w:rPr>
        <w:t xml:space="preserve"> flags</w:t>
      </w:r>
    </w:p>
    <w:p w14:paraId="0F652A7B" w14:textId="77777777" w:rsidR="009E04F9" w:rsidRDefault="00000000">
      <w:pPr>
        <w:jc w:val="both"/>
      </w:pPr>
      <w:r>
        <w:t xml:space="preserve">Of the 340 firm-year observations, 115 exceed the Beneish threshold, yielding an overall flag rate of 33.8%. This is a screening prevalence, not an estimate of the incidence of confirmed </w:t>
      </w:r>
      <w:r>
        <w:lastRenderedPageBreak/>
        <w:t>fraud. The annual rate varies from 22.5% in 2015 to 58.1% in 2022. A relatively high flag rate is possible because the M-Score is intentionally sensitive to unusual accounting relationships and may also react to legitimate structural changes, rapid growth and macroeconomic disruption. Recent Anglophone Sub-Saharan African research likewise uses the Beneish M-Score as a reporting-quality or manipulation-risk proxy rather than proof of misconduct (Chepkorir et al., 2026). The time variation supports the use of year fixed effects. Figure 3 plots the annual prevalence.</w:t>
      </w:r>
    </w:p>
    <w:p w14:paraId="371B5A1F" w14:textId="77777777" w:rsidR="009E04F9" w:rsidRDefault="00000000">
      <w:pPr>
        <w:keepNext/>
        <w:pageBreakBefore/>
        <w:spacing w:before="80"/>
        <w:jc w:val="both"/>
      </w:pPr>
      <w:r>
        <w:rPr>
          <w:b/>
        </w:rPr>
        <w:lastRenderedPageBreak/>
        <w:t>Table 2. Descriptive statistics</w:t>
      </w:r>
    </w:p>
    <w:tbl>
      <w:tblPr>
        <w:tblStyle w:val="TableGrid"/>
        <w:tblW w:w="0" w:type="auto"/>
        <w:jc w:val="center"/>
        <w:tblLayout w:type="fixed"/>
        <w:tblLook w:val="04A0" w:firstRow="1" w:lastRow="0" w:firstColumn="1" w:lastColumn="0" w:noHBand="0" w:noVBand="1"/>
      </w:tblPr>
      <w:tblGrid>
        <w:gridCol w:w="3311"/>
        <w:gridCol w:w="1504"/>
        <w:gridCol w:w="1504"/>
        <w:gridCol w:w="1504"/>
        <w:gridCol w:w="1504"/>
        <w:gridCol w:w="1504"/>
      </w:tblGrid>
      <w:tr w:rsidR="009E04F9" w14:paraId="2E638813" w14:textId="77777777">
        <w:trPr>
          <w:cantSplit/>
          <w:jc w:val="center"/>
        </w:trPr>
        <w:tc>
          <w:tcPr>
            <w:tcW w:w="3311" w:type="dxa"/>
            <w:shd w:val="clear" w:color="auto" w:fill="D9EAF7"/>
            <w:vAlign w:val="center"/>
          </w:tcPr>
          <w:p w14:paraId="2F5D1BE6" w14:textId="77777777" w:rsidR="009E04F9" w:rsidRDefault="00000000">
            <w:pPr>
              <w:jc w:val="center"/>
            </w:pPr>
            <w:r>
              <w:rPr>
                <w:b/>
              </w:rPr>
              <w:t>Variable</w:t>
            </w:r>
          </w:p>
        </w:tc>
        <w:tc>
          <w:tcPr>
            <w:tcW w:w="691" w:type="dxa"/>
            <w:shd w:val="clear" w:color="auto" w:fill="D9EAF7"/>
            <w:vAlign w:val="center"/>
          </w:tcPr>
          <w:p w14:paraId="220408B8" w14:textId="77777777" w:rsidR="009E04F9" w:rsidRDefault="00000000">
            <w:pPr>
              <w:jc w:val="center"/>
            </w:pPr>
            <w:r>
              <w:rPr>
                <w:b/>
              </w:rPr>
              <w:t>N</w:t>
            </w:r>
          </w:p>
        </w:tc>
        <w:tc>
          <w:tcPr>
            <w:tcW w:w="1195" w:type="dxa"/>
            <w:shd w:val="clear" w:color="auto" w:fill="D9EAF7"/>
            <w:vAlign w:val="center"/>
          </w:tcPr>
          <w:p w14:paraId="0FCF3D3C" w14:textId="77777777" w:rsidR="009E04F9" w:rsidRDefault="00000000">
            <w:pPr>
              <w:jc w:val="center"/>
            </w:pPr>
            <w:r>
              <w:rPr>
                <w:b/>
              </w:rPr>
              <w:t>Mean</w:t>
            </w:r>
          </w:p>
        </w:tc>
        <w:tc>
          <w:tcPr>
            <w:tcW w:w="1195" w:type="dxa"/>
            <w:shd w:val="clear" w:color="auto" w:fill="D9EAF7"/>
            <w:vAlign w:val="center"/>
          </w:tcPr>
          <w:p w14:paraId="1C6CD7BA" w14:textId="77777777" w:rsidR="009E04F9" w:rsidRDefault="00000000">
            <w:pPr>
              <w:jc w:val="center"/>
            </w:pPr>
            <w:r>
              <w:rPr>
                <w:b/>
              </w:rPr>
              <w:t>SD</w:t>
            </w:r>
          </w:p>
        </w:tc>
        <w:tc>
          <w:tcPr>
            <w:tcW w:w="1195" w:type="dxa"/>
            <w:shd w:val="clear" w:color="auto" w:fill="D9EAF7"/>
            <w:vAlign w:val="center"/>
          </w:tcPr>
          <w:p w14:paraId="169CC580" w14:textId="77777777" w:rsidR="009E04F9" w:rsidRDefault="00000000">
            <w:pPr>
              <w:jc w:val="center"/>
            </w:pPr>
            <w:r>
              <w:rPr>
                <w:b/>
              </w:rPr>
              <w:t>Min.</w:t>
            </w:r>
          </w:p>
        </w:tc>
        <w:tc>
          <w:tcPr>
            <w:tcW w:w="1195" w:type="dxa"/>
            <w:shd w:val="clear" w:color="auto" w:fill="D9EAF7"/>
            <w:vAlign w:val="center"/>
          </w:tcPr>
          <w:p w14:paraId="17518B8E" w14:textId="77777777" w:rsidR="009E04F9" w:rsidRDefault="00000000">
            <w:pPr>
              <w:jc w:val="center"/>
            </w:pPr>
            <w:r>
              <w:rPr>
                <w:b/>
              </w:rPr>
              <w:t>Max.</w:t>
            </w:r>
          </w:p>
        </w:tc>
      </w:tr>
      <w:tr w:rsidR="009E04F9" w14:paraId="47377157" w14:textId="77777777">
        <w:trPr>
          <w:cantSplit/>
          <w:jc w:val="center"/>
        </w:trPr>
        <w:tc>
          <w:tcPr>
            <w:tcW w:w="1504" w:type="dxa"/>
            <w:vAlign w:val="center"/>
          </w:tcPr>
          <w:p w14:paraId="3B68114D" w14:textId="77777777" w:rsidR="009E04F9" w:rsidRDefault="00000000">
            <w:r>
              <w:t>MFLAG</w:t>
            </w:r>
          </w:p>
        </w:tc>
        <w:tc>
          <w:tcPr>
            <w:tcW w:w="1504" w:type="dxa"/>
            <w:vAlign w:val="center"/>
          </w:tcPr>
          <w:p w14:paraId="226C8CFE" w14:textId="77777777" w:rsidR="009E04F9" w:rsidRDefault="00000000">
            <w:pPr>
              <w:jc w:val="center"/>
            </w:pPr>
            <w:r>
              <w:t>340</w:t>
            </w:r>
          </w:p>
        </w:tc>
        <w:tc>
          <w:tcPr>
            <w:tcW w:w="1504" w:type="dxa"/>
            <w:vAlign w:val="center"/>
          </w:tcPr>
          <w:p w14:paraId="3969B3D5" w14:textId="77777777" w:rsidR="009E04F9" w:rsidRDefault="00000000">
            <w:pPr>
              <w:jc w:val="center"/>
            </w:pPr>
            <w:r>
              <w:t>0.338</w:t>
            </w:r>
          </w:p>
        </w:tc>
        <w:tc>
          <w:tcPr>
            <w:tcW w:w="1504" w:type="dxa"/>
            <w:vAlign w:val="center"/>
          </w:tcPr>
          <w:p w14:paraId="2724B7C4" w14:textId="77777777" w:rsidR="009E04F9" w:rsidRDefault="00000000">
            <w:pPr>
              <w:jc w:val="center"/>
            </w:pPr>
            <w:r>
              <w:t>0.474</w:t>
            </w:r>
          </w:p>
        </w:tc>
        <w:tc>
          <w:tcPr>
            <w:tcW w:w="1504" w:type="dxa"/>
            <w:vAlign w:val="center"/>
          </w:tcPr>
          <w:p w14:paraId="46AA9552" w14:textId="77777777" w:rsidR="009E04F9" w:rsidRDefault="00000000">
            <w:pPr>
              <w:jc w:val="center"/>
            </w:pPr>
            <w:r>
              <w:t>0.000</w:t>
            </w:r>
          </w:p>
        </w:tc>
        <w:tc>
          <w:tcPr>
            <w:tcW w:w="1504" w:type="dxa"/>
            <w:vAlign w:val="center"/>
          </w:tcPr>
          <w:p w14:paraId="192F50B2" w14:textId="77777777" w:rsidR="009E04F9" w:rsidRDefault="00000000">
            <w:pPr>
              <w:jc w:val="center"/>
            </w:pPr>
            <w:r>
              <w:t>1.000</w:t>
            </w:r>
          </w:p>
        </w:tc>
      </w:tr>
      <w:tr w:rsidR="009E04F9" w14:paraId="54180ADE" w14:textId="77777777">
        <w:trPr>
          <w:cantSplit/>
          <w:jc w:val="center"/>
        </w:trPr>
        <w:tc>
          <w:tcPr>
            <w:tcW w:w="1504" w:type="dxa"/>
            <w:vAlign w:val="center"/>
          </w:tcPr>
          <w:p w14:paraId="3503E4AF" w14:textId="77777777" w:rsidR="009E04F9" w:rsidRDefault="00000000">
            <w:r>
              <w:t>ACHANGE</w:t>
            </w:r>
          </w:p>
        </w:tc>
        <w:tc>
          <w:tcPr>
            <w:tcW w:w="1504" w:type="dxa"/>
            <w:vAlign w:val="center"/>
          </w:tcPr>
          <w:p w14:paraId="7168CB63" w14:textId="77777777" w:rsidR="009E04F9" w:rsidRDefault="00000000">
            <w:pPr>
              <w:jc w:val="center"/>
            </w:pPr>
            <w:r>
              <w:t>340</w:t>
            </w:r>
          </w:p>
        </w:tc>
        <w:tc>
          <w:tcPr>
            <w:tcW w:w="1504" w:type="dxa"/>
            <w:vAlign w:val="center"/>
          </w:tcPr>
          <w:p w14:paraId="5C4F8F8C" w14:textId="77777777" w:rsidR="009E04F9" w:rsidRDefault="00000000">
            <w:pPr>
              <w:jc w:val="center"/>
            </w:pPr>
            <w:r>
              <w:t>0.124</w:t>
            </w:r>
          </w:p>
        </w:tc>
        <w:tc>
          <w:tcPr>
            <w:tcW w:w="1504" w:type="dxa"/>
            <w:vAlign w:val="center"/>
          </w:tcPr>
          <w:p w14:paraId="7342CDFD" w14:textId="77777777" w:rsidR="009E04F9" w:rsidRDefault="00000000">
            <w:pPr>
              <w:jc w:val="center"/>
            </w:pPr>
            <w:r>
              <w:t>0.424</w:t>
            </w:r>
          </w:p>
        </w:tc>
        <w:tc>
          <w:tcPr>
            <w:tcW w:w="1504" w:type="dxa"/>
            <w:vAlign w:val="center"/>
          </w:tcPr>
          <w:p w14:paraId="64E564D5" w14:textId="77777777" w:rsidR="009E04F9" w:rsidRDefault="00000000">
            <w:pPr>
              <w:jc w:val="center"/>
            </w:pPr>
            <w:r>
              <w:t>-0.698</w:t>
            </w:r>
          </w:p>
        </w:tc>
        <w:tc>
          <w:tcPr>
            <w:tcW w:w="1504" w:type="dxa"/>
            <w:vAlign w:val="center"/>
          </w:tcPr>
          <w:p w14:paraId="4F5A3E62" w14:textId="77777777" w:rsidR="009E04F9" w:rsidRDefault="00000000">
            <w:pPr>
              <w:jc w:val="center"/>
            </w:pPr>
            <w:r>
              <w:t>5.901</w:t>
            </w:r>
          </w:p>
        </w:tc>
      </w:tr>
      <w:tr w:rsidR="009E04F9" w14:paraId="1B711C5E" w14:textId="77777777">
        <w:trPr>
          <w:cantSplit/>
          <w:jc w:val="center"/>
        </w:trPr>
        <w:tc>
          <w:tcPr>
            <w:tcW w:w="1504" w:type="dxa"/>
            <w:vAlign w:val="center"/>
          </w:tcPr>
          <w:p w14:paraId="3965DB9D" w14:textId="77777777" w:rsidR="009E04F9" w:rsidRDefault="00000000">
            <w:r>
              <w:t>BDOUT</w:t>
            </w:r>
          </w:p>
        </w:tc>
        <w:tc>
          <w:tcPr>
            <w:tcW w:w="1504" w:type="dxa"/>
            <w:vAlign w:val="center"/>
          </w:tcPr>
          <w:p w14:paraId="13A6DE45" w14:textId="77777777" w:rsidR="009E04F9" w:rsidRDefault="00000000">
            <w:pPr>
              <w:jc w:val="center"/>
            </w:pPr>
            <w:r>
              <w:t>340</w:t>
            </w:r>
          </w:p>
        </w:tc>
        <w:tc>
          <w:tcPr>
            <w:tcW w:w="1504" w:type="dxa"/>
            <w:vAlign w:val="center"/>
          </w:tcPr>
          <w:p w14:paraId="03A9B471" w14:textId="77777777" w:rsidR="009E04F9" w:rsidRDefault="00000000">
            <w:pPr>
              <w:jc w:val="center"/>
            </w:pPr>
            <w:r>
              <w:t>0.712</w:t>
            </w:r>
          </w:p>
        </w:tc>
        <w:tc>
          <w:tcPr>
            <w:tcW w:w="1504" w:type="dxa"/>
            <w:vAlign w:val="center"/>
          </w:tcPr>
          <w:p w14:paraId="207C0F72" w14:textId="77777777" w:rsidR="009E04F9" w:rsidRDefault="00000000">
            <w:pPr>
              <w:jc w:val="center"/>
            </w:pPr>
            <w:r>
              <w:t>0.108</w:t>
            </w:r>
          </w:p>
        </w:tc>
        <w:tc>
          <w:tcPr>
            <w:tcW w:w="1504" w:type="dxa"/>
            <w:vAlign w:val="center"/>
          </w:tcPr>
          <w:p w14:paraId="52694B53" w14:textId="77777777" w:rsidR="009E04F9" w:rsidRDefault="00000000">
            <w:pPr>
              <w:jc w:val="center"/>
            </w:pPr>
            <w:r>
              <w:t>0.333</w:t>
            </w:r>
          </w:p>
        </w:tc>
        <w:tc>
          <w:tcPr>
            <w:tcW w:w="1504" w:type="dxa"/>
            <w:vAlign w:val="center"/>
          </w:tcPr>
          <w:p w14:paraId="2C7B90DC" w14:textId="77777777" w:rsidR="009E04F9" w:rsidRDefault="00000000">
            <w:pPr>
              <w:jc w:val="center"/>
            </w:pPr>
            <w:r>
              <w:t>0.875</w:t>
            </w:r>
          </w:p>
        </w:tc>
      </w:tr>
      <w:tr w:rsidR="009E04F9" w14:paraId="03BA7D04" w14:textId="77777777">
        <w:trPr>
          <w:cantSplit/>
          <w:jc w:val="center"/>
        </w:trPr>
        <w:tc>
          <w:tcPr>
            <w:tcW w:w="1504" w:type="dxa"/>
            <w:vAlign w:val="center"/>
          </w:tcPr>
          <w:p w14:paraId="5D5A10D2" w14:textId="77777777" w:rsidR="009E04F9" w:rsidRDefault="00000000">
            <w:r>
              <w:t>IOSHIP</w:t>
            </w:r>
          </w:p>
        </w:tc>
        <w:tc>
          <w:tcPr>
            <w:tcW w:w="1504" w:type="dxa"/>
            <w:vAlign w:val="center"/>
          </w:tcPr>
          <w:p w14:paraId="63443DDA" w14:textId="77777777" w:rsidR="009E04F9" w:rsidRDefault="00000000">
            <w:pPr>
              <w:jc w:val="center"/>
            </w:pPr>
            <w:r>
              <w:t>340</w:t>
            </w:r>
          </w:p>
        </w:tc>
        <w:tc>
          <w:tcPr>
            <w:tcW w:w="1504" w:type="dxa"/>
            <w:vAlign w:val="center"/>
          </w:tcPr>
          <w:p w14:paraId="4C05ADCF" w14:textId="77777777" w:rsidR="009E04F9" w:rsidRDefault="00000000">
            <w:pPr>
              <w:jc w:val="center"/>
            </w:pPr>
            <w:r>
              <w:t>0.174</w:t>
            </w:r>
          </w:p>
        </w:tc>
        <w:tc>
          <w:tcPr>
            <w:tcW w:w="1504" w:type="dxa"/>
            <w:vAlign w:val="center"/>
          </w:tcPr>
          <w:p w14:paraId="10E9C155" w14:textId="77777777" w:rsidR="009E04F9" w:rsidRDefault="00000000">
            <w:pPr>
              <w:jc w:val="center"/>
            </w:pPr>
            <w:r>
              <w:t>0.268</w:t>
            </w:r>
          </w:p>
        </w:tc>
        <w:tc>
          <w:tcPr>
            <w:tcW w:w="1504" w:type="dxa"/>
            <w:vAlign w:val="center"/>
          </w:tcPr>
          <w:p w14:paraId="72AA9944" w14:textId="77777777" w:rsidR="009E04F9" w:rsidRDefault="00000000">
            <w:pPr>
              <w:jc w:val="center"/>
            </w:pPr>
            <w:r>
              <w:t>0.000</w:t>
            </w:r>
          </w:p>
        </w:tc>
        <w:tc>
          <w:tcPr>
            <w:tcW w:w="1504" w:type="dxa"/>
            <w:vAlign w:val="center"/>
          </w:tcPr>
          <w:p w14:paraId="15C6B92C" w14:textId="77777777" w:rsidR="009E04F9" w:rsidRDefault="00000000">
            <w:pPr>
              <w:jc w:val="center"/>
            </w:pPr>
            <w:r>
              <w:t>0.882</w:t>
            </w:r>
          </w:p>
        </w:tc>
      </w:tr>
      <w:tr w:rsidR="009E04F9" w14:paraId="48567883" w14:textId="77777777">
        <w:trPr>
          <w:cantSplit/>
          <w:jc w:val="center"/>
        </w:trPr>
        <w:tc>
          <w:tcPr>
            <w:tcW w:w="1504" w:type="dxa"/>
            <w:vAlign w:val="center"/>
          </w:tcPr>
          <w:p w14:paraId="245AC67D" w14:textId="77777777" w:rsidR="009E04F9" w:rsidRDefault="00000000">
            <w:r>
              <w:t>AC</w:t>
            </w:r>
          </w:p>
        </w:tc>
        <w:tc>
          <w:tcPr>
            <w:tcW w:w="1504" w:type="dxa"/>
            <w:vAlign w:val="center"/>
          </w:tcPr>
          <w:p w14:paraId="497D808D" w14:textId="77777777" w:rsidR="009E04F9" w:rsidRDefault="00000000">
            <w:pPr>
              <w:jc w:val="center"/>
            </w:pPr>
            <w:r>
              <w:t>340</w:t>
            </w:r>
          </w:p>
        </w:tc>
        <w:tc>
          <w:tcPr>
            <w:tcW w:w="1504" w:type="dxa"/>
            <w:vAlign w:val="center"/>
          </w:tcPr>
          <w:p w14:paraId="6EB98493" w14:textId="77777777" w:rsidR="009E04F9" w:rsidRDefault="00000000">
            <w:pPr>
              <w:jc w:val="center"/>
            </w:pPr>
            <w:r>
              <w:t>0.135</w:t>
            </w:r>
          </w:p>
        </w:tc>
        <w:tc>
          <w:tcPr>
            <w:tcW w:w="1504" w:type="dxa"/>
            <w:vAlign w:val="center"/>
          </w:tcPr>
          <w:p w14:paraId="5E1FF60F" w14:textId="77777777" w:rsidR="009E04F9" w:rsidRDefault="00000000">
            <w:pPr>
              <w:jc w:val="center"/>
            </w:pPr>
            <w:r>
              <w:t>0.343</w:t>
            </w:r>
          </w:p>
        </w:tc>
        <w:tc>
          <w:tcPr>
            <w:tcW w:w="1504" w:type="dxa"/>
            <w:vAlign w:val="center"/>
          </w:tcPr>
          <w:p w14:paraId="0B2F84A1" w14:textId="77777777" w:rsidR="009E04F9" w:rsidRDefault="00000000">
            <w:pPr>
              <w:jc w:val="center"/>
            </w:pPr>
            <w:r>
              <w:t>0.000</w:t>
            </w:r>
          </w:p>
        </w:tc>
        <w:tc>
          <w:tcPr>
            <w:tcW w:w="1504" w:type="dxa"/>
            <w:vAlign w:val="center"/>
          </w:tcPr>
          <w:p w14:paraId="38FFCC89" w14:textId="77777777" w:rsidR="009E04F9" w:rsidRDefault="00000000">
            <w:pPr>
              <w:jc w:val="center"/>
            </w:pPr>
            <w:r>
              <w:t>1.000</w:t>
            </w:r>
          </w:p>
        </w:tc>
      </w:tr>
      <w:tr w:rsidR="009E04F9" w14:paraId="53A1B06E" w14:textId="77777777">
        <w:trPr>
          <w:cantSplit/>
          <w:jc w:val="center"/>
        </w:trPr>
        <w:tc>
          <w:tcPr>
            <w:tcW w:w="1504" w:type="dxa"/>
            <w:vAlign w:val="center"/>
          </w:tcPr>
          <w:p w14:paraId="385A2423" w14:textId="77777777" w:rsidR="009E04F9" w:rsidRDefault="00000000">
            <w:r>
              <w:t>Cap</w:t>
            </w:r>
          </w:p>
        </w:tc>
        <w:tc>
          <w:tcPr>
            <w:tcW w:w="1504" w:type="dxa"/>
            <w:vAlign w:val="center"/>
          </w:tcPr>
          <w:p w14:paraId="752937CA" w14:textId="77777777" w:rsidR="009E04F9" w:rsidRDefault="00000000">
            <w:pPr>
              <w:jc w:val="center"/>
            </w:pPr>
            <w:r>
              <w:t>340</w:t>
            </w:r>
          </w:p>
        </w:tc>
        <w:tc>
          <w:tcPr>
            <w:tcW w:w="1504" w:type="dxa"/>
            <w:vAlign w:val="center"/>
          </w:tcPr>
          <w:p w14:paraId="494E41DC" w14:textId="77777777" w:rsidR="009E04F9" w:rsidRDefault="00000000">
            <w:pPr>
              <w:jc w:val="center"/>
            </w:pPr>
            <w:r>
              <w:t>0.132</w:t>
            </w:r>
          </w:p>
        </w:tc>
        <w:tc>
          <w:tcPr>
            <w:tcW w:w="1504" w:type="dxa"/>
            <w:vAlign w:val="center"/>
          </w:tcPr>
          <w:p w14:paraId="5A4169F7" w14:textId="77777777" w:rsidR="009E04F9" w:rsidRDefault="00000000">
            <w:pPr>
              <w:jc w:val="center"/>
            </w:pPr>
            <w:r>
              <w:t>0.339</w:t>
            </w:r>
          </w:p>
        </w:tc>
        <w:tc>
          <w:tcPr>
            <w:tcW w:w="1504" w:type="dxa"/>
            <w:vAlign w:val="center"/>
          </w:tcPr>
          <w:p w14:paraId="1A8B08CB" w14:textId="77777777" w:rsidR="009E04F9" w:rsidRDefault="00000000">
            <w:pPr>
              <w:jc w:val="center"/>
            </w:pPr>
            <w:r>
              <w:t>0.000</w:t>
            </w:r>
          </w:p>
        </w:tc>
        <w:tc>
          <w:tcPr>
            <w:tcW w:w="1504" w:type="dxa"/>
            <w:vAlign w:val="center"/>
          </w:tcPr>
          <w:p w14:paraId="62DD01FA" w14:textId="77777777" w:rsidR="009E04F9" w:rsidRDefault="00000000">
            <w:pPr>
              <w:jc w:val="center"/>
            </w:pPr>
            <w:r>
              <w:t>1.000</w:t>
            </w:r>
          </w:p>
        </w:tc>
      </w:tr>
      <w:tr w:rsidR="009E04F9" w14:paraId="66D04029" w14:textId="77777777">
        <w:trPr>
          <w:cantSplit/>
          <w:jc w:val="center"/>
        </w:trPr>
        <w:tc>
          <w:tcPr>
            <w:tcW w:w="1504" w:type="dxa"/>
            <w:vAlign w:val="center"/>
          </w:tcPr>
          <w:p w14:paraId="7CFA5947" w14:textId="77777777" w:rsidR="009E04F9" w:rsidRDefault="00000000">
            <w:r>
              <w:t>ROA</w:t>
            </w:r>
          </w:p>
        </w:tc>
        <w:tc>
          <w:tcPr>
            <w:tcW w:w="1504" w:type="dxa"/>
            <w:vAlign w:val="center"/>
          </w:tcPr>
          <w:p w14:paraId="2B3FF985" w14:textId="77777777" w:rsidR="009E04F9" w:rsidRDefault="00000000">
            <w:pPr>
              <w:jc w:val="center"/>
            </w:pPr>
            <w:r>
              <w:t>340</w:t>
            </w:r>
          </w:p>
        </w:tc>
        <w:tc>
          <w:tcPr>
            <w:tcW w:w="1504" w:type="dxa"/>
            <w:vAlign w:val="center"/>
          </w:tcPr>
          <w:p w14:paraId="50543F8D" w14:textId="77777777" w:rsidR="009E04F9" w:rsidRDefault="00000000">
            <w:pPr>
              <w:jc w:val="center"/>
            </w:pPr>
            <w:r>
              <w:t>0.023</w:t>
            </w:r>
          </w:p>
        </w:tc>
        <w:tc>
          <w:tcPr>
            <w:tcW w:w="1504" w:type="dxa"/>
            <w:vAlign w:val="center"/>
          </w:tcPr>
          <w:p w14:paraId="4B16F510" w14:textId="77777777" w:rsidR="009E04F9" w:rsidRDefault="00000000">
            <w:pPr>
              <w:jc w:val="center"/>
            </w:pPr>
            <w:r>
              <w:t>0.154</w:t>
            </w:r>
          </w:p>
        </w:tc>
        <w:tc>
          <w:tcPr>
            <w:tcW w:w="1504" w:type="dxa"/>
            <w:vAlign w:val="center"/>
          </w:tcPr>
          <w:p w14:paraId="4AC455C8" w14:textId="77777777" w:rsidR="009E04F9" w:rsidRDefault="00000000">
            <w:pPr>
              <w:jc w:val="center"/>
            </w:pPr>
            <w:r>
              <w:t>-1.799</w:t>
            </w:r>
          </w:p>
        </w:tc>
        <w:tc>
          <w:tcPr>
            <w:tcW w:w="1504" w:type="dxa"/>
            <w:vAlign w:val="center"/>
          </w:tcPr>
          <w:p w14:paraId="691BB3DE" w14:textId="77777777" w:rsidR="009E04F9" w:rsidRDefault="00000000">
            <w:pPr>
              <w:jc w:val="center"/>
            </w:pPr>
            <w:r>
              <w:t>0.540</w:t>
            </w:r>
          </w:p>
        </w:tc>
      </w:tr>
      <w:tr w:rsidR="009E04F9" w14:paraId="29E14C49" w14:textId="77777777">
        <w:trPr>
          <w:cantSplit/>
          <w:jc w:val="center"/>
        </w:trPr>
        <w:tc>
          <w:tcPr>
            <w:tcW w:w="1504" w:type="dxa"/>
            <w:vAlign w:val="center"/>
          </w:tcPr>
          <w:p w14:paraId="5E3A500A" w14:textId="77777777" w:rsidR="009E04F9" w:rsidRDefault="00000000">
            <w:r>
              <w:t>SIZE</w:t>
            </w:r>
          </w:p>
        </w:tc>
        <w:tc>
          <w:tcPr>
            <w:tcW w:w="1504" w:type="dxa"/>
            <w:vAlign w:val="center"/>
          </w:tcPr>
          <w:p w14:paraId="7E1D8617" w14:textId="77777777" w:rsidR="009E04F9" w:rsidRDefault="00000000">
            <w:pPr>
              <w:jc w:val="center"/>
            </w:pPr>
            <w:r>
              <w:t>340</w:t>
            </w:r>
          </w:p>
        </w:tc>
        <w:tc>
          <w:tcPr>
            <w:tcW w:w="1504" w:type="dxa"/>
            <w:vAlign w:val="center"/>
          </w:tcPr>
          <w:p w14:paraId="4DAE273A" w14:textId="77777777" w:rsidR="009E04F9" w:rsidRDefault="00000000">
            <w:pPr>
              <w:jc w:val="center"/>
            </w:pPr>
            <w:r>
              <w:t>16.674</w:t>
            </w:r>
          </w:p>
        </w:tc>
        <w:tc>
          <w:tcPr>
            <w:tcW w:w="1504" w:type="dxa"/>
            <w:vAlign w:val="center"/>
          </w:tcPr>
          <w:p w14:paraId="2D23B41D" w14:textId="77777777" w:rsidR="009E04F9" w:rsidRDefault="00000000">
            <w:pPr>
              <w:jc w:val="center"/>
            </w:pPr>
            <w:r>
              <w:t>2.173</w:t>
            </w:r>
          </w:p>
        </w:tc>
        <w:tc>
          <w:tcPr>
            <w:tcW w:w="1504" w:type="dxa"/>
            <w:vAlign w:val="center"/>
          </w:tcPr>
          <w:p w14:paraId="4DC1806B" w14:textId="77777777" w:rsidR="009E04F9" w:rsidRDefault="00000000">
            <w:pPr>
              <w:jc w:val="center"/>
            </w:pPr>
            <w:r>
              <w:t>12.064</w:t>
            </w:r>
          </w:p>
        </w:tc>
        <w:tc>
          <w:tcPr>
            <w:tcW w:w="1504" w:type="dxa"/>
            <w:vAlign w:val="center"/>
          </w:tcPr>
          <w:p w14:paraId="13687871" w14:textId="77777777" w:rsidR="009E04F9" w:rsidRDefault="00000000">
            <w:pPr>
              <w:jc w:val="center"/>
            </w:pPr>
            <w:r>
              <w:t>21.428</w:t>
            </w:r>
          </w:p>
        </w:tc>
      </w:tr>
      <w:tr w:rsidR="009E04F9" w14:paraId="2A7CBA42" w14:textId="77777777">
        <w:trPr>
          <w:cantSplit/>
          <w:jc w:val="center"/>
        </w:trPr>
        <w:tc>
          <w:tcPr>
            <w:tcW w:w="1504" w:type="dxa"/>
            <w:vAlign w:val="center"/>
          </w:tcPr>
          <w:p w14:paraId="43386011" w14:textId="77777777" w:rsidR="009E04F9" w:rsidRDefault="00000000">
            <w:r>
              <w:t>AQ</w:t>
            </w:r>
          </w:p>
        </w:tc>
        <w:tc>
          <w:tcPr>
            <w:tcW w:w="1504" w:type="dxa"/>
            <w:vAlign w:val="center"/>
          </w:tcPr>
          <w:p w14:paraId="64CA33F5" w14:textId="77777777" w:rsidR="009E04F9" w:rsidRDefault="00000000">
            <w:pPr>
              <w:jc w:val="center"/>
            </w:pPr>
            <w:r>
              <w:t>340</w:t>
            </w:r>
          </w:p>
        </w:tc>
        <w:tc>
          <w:tcPr>
            <w:tcW w:w="1504" w:type="dxa"/>
            <w:vAlign w:val="center"/>
          </w:tcPr>
          <w:p w14:paraId="3C38184B" w14:textId="77777777" w:rsidR="009E04F9" w:rsidRDefault="00000000">
            <w:pPr>
              <w:jc w:val="center"/>
            </w:pPr>
            <w:r>
              <w:t>0.556</w:t>
            </w:r>
          </w:p>
        </w:tc>
        <w:tc>
          <w:tcPr>
            <w:tcW w:w="1504" w:type="dxa"/>
            <w:vAlign w:val="center"/>
          </w:tcPr>
          <w:p w14:paraId="4F08CA5D" w14:textId="77777777" w:rsidR="009E04F9" w:rsidRDefault="00000000">
            <w:pPr>
              <w:jc w:val="center"/>
            </w:pPr>
            <w:r>
              <w:t>0.498</w:t>
            </w:r>
          </w:p>
        </w:tc>
        <w:tc>
          <w:tcPr>
            <w:tcW w:w="1504" w:type="dxa"/>
            <w:vAlign w:val="center"/>
          </w:tcPr>
          <w:p w14:paraId="1F4838D0" w14:textId="77777777" w:rsidR="009E04F9" w:rsidRDefault="00000000">
            <w:pPr>
              <w:jc w:val="center"/>
            </w:pPr>
            <w:r>
              <w:t>0.000</w:t>
            </w:r>
          </w:p>
        </w:tc>
        <w:tc>
          <w:tcPr>
            <w:tcW w:w="1504" w:type="dxa"/>
            <w:vAlign w:val="center"/>
          </w:tcPr>
          <w:p w14:paraId="30B85409" w14:textId="77777777" w:rsidR="009E04F9" w:rsidRDefault="00000000">
            <w:pPr>
              <w:jc w:val="center"/>
            </w:pPr>
            <w:r>
              <w:t>1.000</w:t>
            </w:r>
          </w:p>
        </w:tc>
      </w:tr>
    </w:tbl>
    <w:p w14:paraId="0E02396A" w14:textId="77777777" w:rsidR="009E04F9" w:rsidRDefault="009E04F9">
      <w:pPr>
        <w:jc w:val="center"/>
      </w:pPr>
    </w:p>
    <w:p w14:paraId="06615D45" w14:textId="77777777" w:rsidR="009E04F9" w:rsidRDefault="00000000">
      <w:pPr>
        <w:keepNext/>
        <w:jc w:val="center"/>
      </w:pPr>
      <w:r>
        <w:rPr>
          <w:i/>
          <w:sz w:val="18"/>
        </w:rPr>
        <w:t>Figure 3. Annual proportion of firm-years classified above the Beneish M-Score threshold.</w:t>
      </w:r>
    </w:p>
    <w:p w14:paraId="6043D7A9" w14:textId="77777777" w:rsidR="009E04F9" w:rsidRDefault="00000000">
      <w:pPr>
        <w:keepNext/>
        <w:spacing w:before="80"/>
      </w:pPr>
      <w:r>
        <w:rPr>
          <w:b/>
        </w:rPr>
        <w:t>4.2 Correlation structure and multicollinearity</w:t>
      </w:r>
    </w:p>
    <w:p w14:paraId="25B5660F" w14:textId="77777777" w:rsidR="009E04F9" w:rsidRDefault="00000000">
      <w:pPr>
        <w:jc w:val="both"/>
      </w:pPr>
      <w:r>
        <w:t>The bivariate correlations with MFLAG are modest. Asset change has the largest positive correlation with the manipulation flag (r = 0.189), followed by ROA (r = 0.125) and auditor change (r = 0.117). Board independence is weakly negatively correlated with MFLAG (r = -0.056), while managerial ownership and CEO financial expertise are close to zero. VIFs for the explanatory variables range from approximately 1.01 to 1.75, far below conventional thresholds for problematic multicollinearity.</w:t>
      </w:r>
    </w:p>
    <w:p w14:paraId="3B1903FF" w14:textId="77777777" w:rsidR="009E04F9" w:rsidRDefault="00000000">
      <w:pPr>
        <w:keepNext/>
        <w:spacing w:before="80"/>
        <w:jc w:val="both"/>
      </w:pPr>
      <w:r>
        <w:rPr>
          <w:b/>
        </w:rPr>
        <w:t>Table 3. Bivariate correlations with MFLAG and variance inflation factors</w:t>
      </w:r>
    </w:p>
    <w:tbl>
      <w:tblPr>
        <w:tblStyle w:val="TableGrid"/>
        <w:tblW w:w="0" w:type="auto"/>
        <w:jc w:val="center"/>
        <w:tblLayout w:type="fixed"/>
        <w:tblLook w:val="04A0" w:firstRow="1" w:lastRow="0" w:firstColumn="1" w:lastColumn="0" w:noHBand="0" w:noVBand="1"/>
      </w:tblPr>
      <w:tblGrid>
        <w:gridCol w:w="3009"/>
        <w:gridCol w:w="4176"/>
        <w:gridCol w:w="3009"/>
      </w:tblGrid>
      <w:tr w:rsidR="009E04F9" w14:paraId="4AFFE951" w14:textId="77777777">
        <w:trPr>
          <w:cantSplit/>
          <w:jc w:val="center"/>
        </w:trPr>
        <w:tc>
          <w:tcPr>
            <w:tcW w:w="2160" w:type="dxa"/>
            <w:shd w:val="clear" w:color="auto" w:fill="D9EAF7"/>
            <w:vAlign w:val="center"/>
          </w:tcPr>
          <w:p w14:paraId="49BB3078" w14:textId="77777777" w:rsidR="009E04F9" w:rsidRDefault="00000000">
            <w:pPr>
              <w:jc w:val="center"/>
            </w:pPr>
            <w:r>
              <w:rPr>
                <w:b/>
              </w:rPr>
              <w:t>Variable</w:t>
            </w:r>
          </w:p>
        </w:tc>
        <w:tc>
          <w:tcPr>
            <w:tcW w:w="4176" w:type="dxa"/>
            <w:shd w:val="clear" w:color="auto" w:fill="D9EAF7"/>
            <w:vAlign w:val="center"/>
          </w:tcPr>
          <w:p w14:paraId="2D3F3579" w14:textId="77777777" w:rsidR="009E04F9" w:rsidRDefault="00000000">
            <w:pPr>
              <w:jc w:val="center"/>
            </w:pPr>
            <w:r>
              <w:rPr>
                <w:b/>
              </w:rPr>
              <w:t>Correlation with MFLAG</w:t>
            </w:r>
          </w:p>
        </w:tc>
        <w:tc>
          <w:tcPr>
            <w:tcW w:w="2448" w:type="dxa"/>
            <w:shd w:val="clear" w:color="auto" w:fill="D9EAF7"/>
            <w:vAlign w:val="center"/>
          </w:tcPr>
          <w:p w14:paraId="6CF3408A" w14:textId="77777777" w:rsidR="009E04F9" w:rsidRDefault="00000000">
            <w:pPr>
              <w:jc w:val="center"/>
            </w:pPr>
            <w:r>
              <w:rPr>
                <w:b/>
              </w:rPr>
              <w:t>VIF</w:t>
            </w:r>
          </w:p>
        </w:tc>
      </w:tr>
      <w:tr w:rsidR="009E04F9" w14:paraId="1DD21F30" w14:textId="77777777">
        <w:trPr>
          <w:cantSplit/>
          <w:jc w:val="center"/>
        </w:trPr>
        <w:tc>
          <w:tcPr>
            <w:tcW w:w="3009" w:type="dxa"/>
            <w:vAlign w:val="center"/>
          </w:tcPr>
          <w:p w14:paraId="56A69394" w14:textId="77777777" w:rsidR="009E04F9" w:rsidRDefault="00000000">
            <w:r>
              <w:t>ACHANGE</w:t>
            </w:r>
          </w:p>
        </w:tc>
        <w:tc>
          <w:tcPr>
            <w:tcW w:w="3009" w:type="dxa"/>
            <w:vAlign w:val="center"/>
          </w:tcPr>
          <w:p w14:paraId="4F7875B9" w14:textId="77777777" w:rsidR="009E04F9" w:rsidRDefault="00000000">
            <w:pPr>
              <w:jc w:val="center"/>
            </w:pPr>
            <w:r>
              <w:t>0.189</w:t>
            </w:r>
          </w:p>
        </w:tc>
        <w:tc>
          <w:tcPr>
            <w:tcW w:w="3009" w:type="dxa"/>
            <w:vAlign w:val="center"/>
          </w:tcPr>
          <w:p w14:paraId="5B4915B1" w14:textId="77777777" w:rsidR="009E04F9" w:rsidRDefault="00000000">
            <w:pPr>
              <w:jc w:val="center"/>
            </w:pPr>
            <w:r>
              <w:t>1.11</w:t>
            </w:r>
          </w:p>
        </w:tc>
      </w:tr>
      <w:tr w:rsidR="009E04F9" w14:paraId="6FAE140E" w14:textId="77777777">
        <w:trPr>
          <w:cantSplit/>
          <w:jc w:val="center"/>
        </w:trPr>
        <w:tc>
          <w:tcPr>
            <w:tcW w:w="3009" w:type="dxa"/>
            <w:vAlign w:val="center"/>
          </w:tcPr>
          <w:p w14:paraId="21033FE4" w14:textId="77777777" w:rsidR="009E04F9" w:rsidRDefault="00000000">
            <w:r>
              <w:t>BDOUT</w:t>
            </w:r>
          </w:p>
        </w:tc>
        <w:tc>
          <w:tcPr>
            <w:tcW w:w="3009" w:type="dxa"/>
            <w:vAlign w:val="center"/>
          </w:tcPr>
          <w:p w14:paraId="14B6E44C" w14:textId="77777777" w:rsidR="009E04F9" w:rsidRDefault="00000000">
            <w:pPr>
              <w:jc w:val="center"/>
            </w:pPr>
            <w:r>
              <w:t>-0.056</w:t>
            </w:r>
          </w:p>
        </w:tc>
        <w:tc>
          <w:tcPr>
            <w:tcW w:w="3009" w:type="dxa"/>
            <w:vAlign w:val="center"/>
          </w:tcPr>
          <w:p w14:paraId="4761029D" w14:textId="77777777" w:rsidR="009E04F9" w:rsidRDefault="00000000">
            <w:pPr>
              <w:jc w:val="center"/>
            </w:pPr>
            <w:r>
              <w:t>1.02</w:t>
            </w:r>
          </w:p>
        </w:tc>
      </w:tr>
      <w:tr w:rsidR="009E04F9" w14:paraId="39623AE3" w14:textId="77777777">
        <w:trPr>
          <w:cantSplit/>
          <w:jc w:val="center"/>
        </w:trPr>
        <w:tc>
          <w:tcPr>
            <w:tcW w:w="3009" w:type="dxa"/>
            <w:vAlign w:val="center"/>
          </w:tcPr>
          <w:p w14:paraId="044440D2" w14:textId="77777777" w:rsidR="009E04F9" w:rsidRDefault="00000000">
            <w:r>
              <w:t>IOSHIP</w:t>
            </w:r>
          </w:p>
        </w:tc>
        <w:tc>
          <w:tcPr>
            <w:tcW w:w="3009" w:type="dxa"/>
            <w:vAlign w:val="center"/>
          </w:tcPr>
          <w:p w14:paraId="497762C6" w14:textId="77777777" w:rsidR="009E04F9" w:rsidRDefault="00000000">
            <w:pPr>
              <w:jc w:val="center"/>
            </w:pPr>
            <w:r>
              <w:t>0.035</w:t>
            </w:r>
          </w:p>
        </w:tc>
        <w:tc>
          <w:tcPr>
            <w:tcW w:w="3009" w:type="dxa"/>
            <w:vAlign w:val="center"/>
          </w:tcPr>
          <w:p w14:paraId="04151F66" w14:textId="77777777" w:rsidR="009E04F9" w:rsidRDefault="00000000">
            <w:pPr>
              <w:jc w:val="center"/>
            </w:pPr>
            <w:r>
              <w:t>1.31</w:t>
            </w:r>
          </w:p>
        </w:tc>
      </w:tr>
      <w:tr w:rsidR="009E04F9" w14:paraId="5B25BBDA" w14:textId="77777777">
        <w:trPr>
          <w:cantSplit/>
          <w:jc w:val="center"/>
        </w:trPr>
        <w:tc>
          <w:tcPr>
            <w:tcW w:w="3009" w:type="dxa"/>
            <w:vAlign w:val="center"/>
          </w:tcPr>
          <w:p w14:paraId="0879DE1A" w14:textId="77777777" w:rsidR="009E04F9" w:rsidRDefault="00000000">
            <w:r>
              <w:t>AC</w:t>
            </w:r>
          </w:p>
        </w:tc>
        <w:tc>
          <w:tcPr>
            <w:tcW w:w="3009" w:type="dxa"/>
            <w:vAlign w:val="center"/>
          </w:tcPr>
          <w:p w14:paraId="464A316F" w14:textId="77777777" w:rsidR="009E04F9" w:rsidRDefault="00000000">
            <w:pPr>
              <w:jc w:val="center"/>
            </w:pPr>
            <w:r>
              <w:t>0.117</w:t>
            </w:r>
          </w:p>
        </w:tc>
        <w:tc>
          <w:tcPr>
            <w:tcW w:w="3009" w:type="dxa"/>
            <w:vAlign w:val="center"/>
          </w:tcPr>
          <w:p w14:paraId="27574CB0" w14:textId="77777777" w:rsidR="009E04F9" w:rsidRDefault="00000000">
            <w:pPr>
              <w:jc w:val="center"/>
            </w:pPr>
            <w:r>
              <w:t>1.01</w:t>
            </w:r>
          </w:p>
        </w:tc>
      </w:tr>
      <w:tr w:rsidR="009E04F9" w14:paraId="1237D17E" w14:textId="77777777">
        <w:trPr>
          <w:cantSplit/>
          <w:jc w:val="center"/>
        </w:trPr>
        <w:tc>
          <w:tcPr>
            <w:tcW w:w="3009" w:type="dxa"/>
            <w:vAlign w:val="center"/>
          </w:tcPr>
          <w:p w14:paraId="51A471B6" w14:textId="77777777" w:rsidR="009E04F9" w:rsidRDefault="00000000">
            <w:r>
              <w:t>Cap</w:t>
            </w:r>
          </w:p>
        </w:tc>
        <w:tc>
          <w:tcPr>
            <w:tcW w:w="3009" w:type="dxa"/>
            <w:vAlign w:val="center"/>
          </w:tcPr>
          <w:p w14:paraId="2CAB32F4" w14:textId="77777777" w:rsidR="009E04F9" w:rsidRDefault="00000000">
            <w:pPr>
              <w:jc w:val="center"/>
            </w:pPr>
            <w:r>
              <w:t>-0.004</w:t>
            </w:r>
          </w:p>
        </w:tc>
        <w:tc>
          <w:tcPr>
            <w:tcW w:w="3009" w:type="dxa"/>
            <w:vAlign w:val="center"/>
          </w:tcPr>
          <w:p w14:paraId="3ECE7A54" w14:textId="77777777" w:rsidR="009E04F9" w:rsidRDefault="00000000">
            <w:pPr>
              <w:jc w:val="center"/>
            </w:pPr>
            <w:r>
              <w:t>1.16</w:t>
            </w:r>
          </w:p>
        </w:tc>
      </w:tr>
      <w:tr w:rsidR="009E04F9" w14:paraId="2AD69F88" w14:textId="77777777">
        <w:trPr>
          <w:cantSplit/>
          <w:jc w:val="center"/>
        </w:trPr>
        <w:tc>
          <w:tcPr>
            <w:tcW w:w="3009" w:type="dxa"/>
            <w:vAlign w:val="center"/>
          </w:tcPr>
          <w:p w14:paraId="026C949C" w14:textId="77777777" w:rsidR="009E04F9" w:rsidRDefault="00000000">
            <w:r>
              <w:t>ROA</w:t>
            </w:r>
          </w:p>
        </w:tc>
        <w:tc>
          <w:tcPr>
            <w:tcW w:w="3009" w:type="dxa"/>
            <w:vAlign w:val="center"/>
          </w:tcPr>
          <w:p w14:paraId="1A8DE33D" w14:textId="77777777" w:rsidR="009E04F9" w:rsidRDefault="00000000">
            <w:pPr>
              <w:jc w:val="center"/>
            </w:pPr>
            <w:r>
              <w:t>0.125</w:t>
            </w:r>
          </w:p>
        </w:tc>
        <w:tc>
          <w:tcPr>
            <w:tcW w:w="3009" w:type="dxa"/>
            <w:vAlign w:val="center"/>
          </w:tcPr>
          <w:p w14:paraId="50536857" w14:textId="77777777" w:rsidR="009E04F9" w:rsidRDefault="00000000">
            <w:pPr>
              <w:jc w:val="center"/>
            </w:pPr>
            <w:r>
              <w:t>1.21</w:t>
            </w:r>
          </w:p>
        </w:tc>
      </w:tr>
      <w:tr w:rsidR="009E04F9" w14:paraId="31EB6119" w14:textId="77777777">
        <w:trPr>
          <w:cantSplit/>
          <w:jc w:val="center"/>
        </w:trPr>
        <w:tc>
          <w:tcPr>
            <w:tcW w:w="3009" w:type="dxa"/>
            <w:vAlign w:val="center"/>
          </w:tcPr>
          <w:p w14:paraId="06B2FAA7" w14:textId="77777777" w:rsidR="009E04F9" w:rsidRDefault="00000000">
            <w:r>
              <w:t>SIZE</w:t>
            </w:r>
          </w:p>
        </w:tc>
        <w:tc>
          <w:tcPr>
            <w:tcW w:w="3009" w:type="dxa"/>
            <w:vAlign w:val="center"/>
          </w:tcPr>
          <w:p w14:paraId="1B468EC5" w14:textId="77777777" w:rsidR="009E04F9" w:rsidRDefault="00000000">
            <w:pPr>
              <w:jc w:val="center"/>
            </w:pPr>
            <w:r>
              <w:t>-0.002</w:t>
            </w:r>
          </w:p>
        </w:tc>
        <w:tc>
          <w:tcPr>
            <w:tcW w:w="3009" w:type="dxa"/>
            <w:vAlign w:val="center"/>
          </w:tcPr>
          <w:p w14:paraId="7CDFD495" w14:textId="77777777" w:rsidR="009E04F9" w:rsidRDefault="00000000">
            <w:pPr>
              <w:jc w:val="center"/>
            </w:pPr>
            <w:r>
              <w:t>1.52</w:t>
            </w:r>
          </w:p>
        </w:tc>
      </w:tr>
      <w:tr w:rsidR="009E04F9" w14:paraId="46A40D44" w14:textId="77777777">
        <w:trPr>
          <w:cantSplit/>
          <w:jc w:val="center"/>
        </w:trPr>
        <w:tc>
          <w:tcPr>
            <w:tcW w:w="3009" w:type="dxa"/>
            <w:vAlign w:val="center"/>
          </w:tcPr>
          <w:p w14:paraId="2DF8D76C" w14:textId="77777777" w:rsidR="009E04F9" w:rsidRDefault="00000000">
            <w:r>
              <w:t>AQ</w:t>
            </w:r>
          </w:p>
        </w:tc>
        <w:tc>
          <w:tcPr>
            <w:tcW w:w="3009" w:type="dxa"/>
            <w:vAlign w:val="center"/>
          </w:tcPr>
          <w:p w14:paraId="3E6D0DD2" w14:textId="77777777" w:rsidR="009E04F9" w:rsidRDefault="00000000">
            <w:pPr>
              <w:jc w:val="center"/>
            </w:pPr>
            <w:r>
              <w:t>-0.037</w:t>
            </w:r>
          </w:p>
        </w:tc>
        <w:tc>
          <w:tcPr>
            <w:tcW w:w="3009" w:type="dxa"/>
            <w:vAlign w:val="center"/>
          </w:tcPr>
          <w:p w14:paraId="78B804FB" w14:textId="77777777" w:rsidR="009E04F9" w:rsidRDefault="00000000">
            <w:pPr>
              <w:jc w:val="center"/>
            </w:pPr>
            <w:r>
              <w:t>1.75</w:t>
            </w:r>
          </w:p>
        </w:tc>
      </w:tr>
    </w:tbl>
    <w:p w14:paraId="1E9DBBC1" w14:textId="77777777" w:rsidR="009E04F9" w:rsidRDefault="00000000">
      <w:pPr>
        <w:keepNext/>
        <w:spacing w:before="80"/>
      </w:pPr>
      <w:r>
        <w:rPr>
          <w:b/>
        </w:rPr>
        <w:t>4.3 Main population-averaged GEE estimates</w:t>
      </w:r>
    </w:p>
    <w:p w14:paraId="24388A9F" w14:textId="77777777" w:rsidR="009E04F9" w:rsidRDefault="00000000">
      <w:pPr>
        <w:keepNext/>
        <w:jc w:val="both"/>
      </w:pPr>
      <w:r>
        <w:t xml:space="preserve">Table 4 presents the principal contemporaneous GEE estimates. Asset change is positively associated with </w:t>
      </w:r>
      <w:proofErr w:type="spellStart"/>
      <w:r>
        <w:t>Beneish</w:t>
      </w:r>
      <w:proofErr w:type="spellEnd"/>
      <w:r>
        <w:t xml:space="preserve">-flagged manipulation risk. A one-standard-deviation increase in </w:t>
      </w:r>
      <w:proofErr w:type="spellStart"/>
      <w:r>
        <w:lastRenderedPageBreak/>
        <w:t>winsorised</w:t>
      </w:r>
      <w:proofErr w:type="spellEnd"/>
      <w:r>
        <w:t xml:space="preserve"> asset growth is associated with an odds ratio of 1.52 (95% CI: 1.01–2.29; p = .047), equivalent to approximately 51.7% higher odds. In probability terms, increasing ACHANGE by one standard deviation raises the model-implied probability of a manipulation flag by an average of approximately 8.6 percentage points, holding the remaining observed characteristics constant.</w:t>
      </w:r>
    </w:p>
    <w:p w14:paraId="282AAF62" w14:textId="77777777" w:rsidR="009E04F9" w:rsidRDefault="00000000">
      <w:pPr>
        <w:jc w:val="both"/>
      </w:pPr>
      <w:r>
        <w:t xml:space="preserve">Auditor change is the strongest result. Firm-years in which the external auditor changes have 2.53 times the odds of being </w:t>
      </w:r>
      <w:proofErr w:type="spellStart"/>
      <w:r>
        <w:t>Beneish</w:t>
      </w:r>
      <w:proofErr w:type="spellEnd"/>
      <w:r>
        <w:t>-flagged relative to observations without a change (95% CI: 1.20–5.31; p = .014). The average discrete change in predicted probability is approximately 19.6 percentage points. Board independence has the expected negative sign, with an odds ratio of 0.82, but is significant only at the 10% level (p = .073); a one-standard-deviation increase corresponds to an average 3.8-percentage-point reduction in predicted manipulation probability. Managerial ownership and CEO financial expertise are not statistically significant. None of the three controls—ROA, firm size and Big Four audit—is significant in the population-averaged contemporaneous model.</w:t>
      </w:r>
    </w:p>
    <w:p w14:paraId="0897103B" w14:textId="77777777" w:rsidR="009E04F9" w:rsidRDefault="00000000">
      <w:pPr>
        <w:keepNext/>
        <w:spacing w:before="80"/>
        <w:jc w:val="both"/>
      </w:pPr>
      <w:r>
        <w:rPr>
          <w:b/>
        </w:rPr>
        <w:t xml:space="preserve">Table 4. GEE estimates of </w:t>
      </w:r>
      <w:proofErr w:type="spellStart"/>
      <w:r>
        <w:rPr>
          <w:b/>
        </w:rPr>
        <w:t>Beneish</w:t>
      </w:r>
      <w:proofErr w:type="spellEnd"/>
      <w:r>
        <w:rPr>
          <w:b/>
        </w:rPr>
        <w:t>-flagged earnings-manipulation risk</w:t>
      </w:r>
    </w:p>
    <w:tbl>
      <w:tblPr>
        <w:tblStyle w:val="TableGrid"/>
        <w:tblW w:w="0" w:type="auto"/>
        <w:jc w:val="center"/>
        <w:tblLayout w:type="fixed"/>
        <w:tblLook w:val="04A0" w:firstRow="1" w:lastRow="0" w:firstColumn="1" w:lastColumn="0" w:noHBand="0" w:noVBand="1"/>
      </w:tblPr>
      <w:tblGrid>
        <w:gridCol w:w="2332"/>
        <w:gridCol w:w="1289"/>
        <w:gridCol w:w="1289"/>
        <w:gridCol w:w="1289"/>
        <w:gridCol w:w="1468"/>
        <w:gridCol w:w="1289"/>
        <w:gridCol w:w="1800"/>
      </w:tblGrid>
      <w:tr w:rsidR="009E04F9" w14:paraId="6435AE71" w14:textId="77777777">
        <w:trPr>
          <w:cantSplit/>
          <w:jc w:val="center"/>
        </w:trPr>
        <w:tc>
          <w:tcPr>
            <w:tcW w:w="2332" w:type="dxa"/>
            <w:shd w:val="clear" w:color="auto" w:fill="D9EAF7"/>
            <w:vAlign w:val="center"/>
          </w:tcPr>
          <w:p w14:paraId="265661CE" w14:textId="77777777" w:rsidR="009E04F9" w:rsidRDefault="00000000">
            <w:pPr>
              <w:jc w:val="center"/>
            </w:pPr>
            <w:r>
              <w:rPr>
                <w:b/>
              </w:rPr>
              <w:t>Variable</w:t>
            </w:r>
          </w:p>
        </w:tc>
        <w:tc>
          <w:tcPr>
            <w:tcW w:w="835" w:type="dxa"/>
            <w:shd w:val="clear" w:color="auto" w:fill="D9EAF7"/>
            <w:vAlign w:val="center"/>
          </w:tcPr>
          <w:p w14:paraId="5AF2E26B" w14:textId="77777777" w:rsidR="009E04F9" w:rsidRDefault="00000000">
            <w:pPr>
              <w:jc w:val="center"/>
            </w:pPr>
            <w:r>
              <w:rPr>
                <w:b/>
              </w:rPr>
              <w:t>Coef.</w:t>
            </w:r>
          </w:p>
        </w:tc>
        <w:tc>
          <w:tcPr>
            <w:tcW w:w="835" w:type="dxa"/>
            <w:shd w:val="clear" w:color="auto" w:fill="D9EAF7"/>
            <w:vAlign w:val="center"/>
          </w:tcPr>
          <w:p w14:paraId="32E500C2" w14:textId="77777777" w:rsidR="009E04F9" w:rsidRDefault="00000000">
            <w:pPr>
              <w:jc w:val="center"/>
            </w:pPr>
            <w:r>
              <w:rPr>
                <w:b/>
              </w:rPr>
              <w:t>BR-SE</w:t>
            </w:r>
          </w:p>
        </w:tc>
        <w:tc>
          <w:tcPr>
            <w:tcW w:w="792" w:type="dxa"/>
            <w:shd w:val="clear" w:color="auto" w:fill="D9EAF7"/>
            <w:vAlign w:val="center"/>
          </w:tcPr>
          <w:p w14:paraId="165ADCCF" w14:textId="77777777" w:rsidR="009E04F9" w:rsidRDefault="00000000">
            <w:pPr>
              <w:jc w:val="center"/>
            </w:pPr>
            <w:r>
              <w:rPr>
                <w:b/>
              </w:rPr>
              <w:t>OR</w:t>
            </w:r>
          </w:p>
        </w:tc>
        <w:tc>
          <w:tcPr>
            <w:tcW w:w="1468" w:type="dxa"/>
            <w:shd w:val="clear" w:color="auto" w:fill="D9EAF7"/>
            <w:vAlign w:val="center"/>
          </w:tcPr>
          <w:p w14:paraId="36D5ABDE" w14:textId="77777777" w:rsidR="009E04F9" w:rsidRDefault="00000000">
            <w:pPr>
              <w:jc w:val="center"/>
            </w:pPr>
            <w:r>
              <w:rPr>
                <w:b/>
              </w:rPr>
              <w:t>95% CI</w:t>
            </w:r>
          </w:p>
        </w:tc>
        <w:tc>
          <w:tcPr>
            <w:tcW w:w="748" w:type="dxa"/>
            <w:shd w:val="clear" w:color="auto" w:fill="D9EAF7"/>
            <w:vAlign w:val="center"/>
          </w:tcPr>
          <w:p w14:paraId="3E2F461B" w14:textId="77777777" w:rsidR="009E04F9" w:rsidRDefault="00000000">
            <w:pPr>
              <w:jc w:val="center"/>
            </w:pPr>
            <w:r>
              <w:rPr>
                <w:b/>
              </w:rPr>
              <w:t>p</w:t>
            </w:r>
          </w:p>
        </w:tc>
        <w:tc>
          <w:tcPr>
            <w:tcW w:w="1800" w:type="dxa"/>
            <w:shd w:val="clear" w:color="auto" w:fill="D9EAF7"/>
            <w:vAlign w:val="center"/>
          </w:tcPr>
          <w:p w14:paraId="36A14736" w14:textId="77777777" w:rsidR="009E04F9" w:rsidRDefault="00000000">
            <w:pPr>
              <w:jc w:val="center"/>
            </w:pPr>
            <w:r>
              <w:rPr>
                <w:b/>
              </w:rPr>
              <w:t>Inference</w:t>
            </w:r>
          </w:p>
        </w:tc>
      </w:tr>
      <w:tr w:rsidR="009E04F9" w14:paraId="2DBD1584" w14:textId="77777777">
        <w:trPr>
          <w:cantSplit/>
          <w:jc w:val="center"/>
        </w:trPr>
        <w:tc>
          <w:tcPr>
            <w:tcW w:w="1289" w:type="dxa"/>
            <w:vAlign w:val="center"/>
          </w:tcPr>
          <w:p w14:paraId="7A721E5B" w14:textId="77777777" w:rsidR="009E04F9" w:rsidRDefault="00000000">
            <w:r>
              <w:t>ACHG</w:t>
            </w:r>
          </w:p>
        </w:tc>
        <w:tc>
          <w:tcPr>
            <w:tcW w:w="1289" w:type="dxa"/>
            <w:vAlign w:val="center"/>
          </w:tcPr>
          <w:p w14:paraId="07038C30" w14:textId="77777777" w:rsidR="009E04F9" w:rsidRDefault="00000000">
            <w:pPr>
              <w:jc w:val="center"/>
            </w:pPr>
            <w:r>
              <w:t>0.417</w:t>
            </w:r>
          </w:p>
        </w:tc>
        <w:tc>
          <w:tcPr>
            <w:tcW w:w="1289" w:type="dxa"/>
            <w:vAlign w:val="center"/>
          </w:tcPr>
          <w:p w14:paraId="2E25BC1F" w14:textId="77777777" w:rsidR="009E04F9" w:rsidRDefault="00000000">
            <w:pPr>
              <w:jc w:val="center"/>
            </w:pPr>
            <w:r>
              <w:t>0.210</w:t>
            </w:r>
          </w:p>
        </w:tc>
        <w:tc>
          <w:tcPr>
            <w:tcW w:w="1289" w:type="dxa"/>
            <w:vAlign w:val="center"/>
          </w:tcPr>
          <w:p w14:paraId="78AEAAF4" w14:textId="77777777" w:rsidR="009E04F9" w:rsidRDefault="00000000">
            <w:pPr>
              <w:jc w:val="center"/>
            </w:pPr>
            <w:r>
              <w:t>1.517</w:t>
            </w:r>
          </w:p>
        </w:tc>
        <w:tc>
          <w:tcPr>
            <w:tcW w:w="1289" w:type="dxa"/>
            <w:vAlign w:val="center"/>
          </w:tcPr>
          <w:p w14:paraId="5FE14D99" w14:textId="77777777" w:rsidR="009E04F9" w:rsidRDefault="00000000">
            <w:pPr>
              <w:jc w:val="center"/>
            </w:pPr>
            <w:r>
              <w:t>1.005–2.290</w:t>
            </w:r>
          </w:p>
        </w:tc>
        <w:tc>
          <w:tcPr>
            <w:tcW w:w="1289" w:type="dxa"/>
            <w:vAlign w:val="center"/>
          </w:tcPr>
          <w:p w14:paraId="616AC344" w14:textId="77777777" w:rsidR="009E04F9" w:rsidRDefault="00000000">
            <w:pPr>
              <w:jc w:val="center"/>
            </w:pPr>
            <w:r>
              <w:t>0.047</w:t>
            </w:r>
          </w:p>
        </w:tc>
        <w:tc>
          <w:tcPr>
            <w:tcW w:w="1289" w:type="dxa"/>
            <w:vAlign w:val="center"/>
          </w:tcPr>
          <w:p w14:paraId="57D1FBFE" w14:textId="77777777" w:rsidR="009E04F9" w:rsidRDefault="00000000">
            <w:pPr>
              <w:jc w:val="center"/>
            </w:pPr>
            <w:r>
              <w:t>Significant</w:t>
            </w:r>
          </w:p>
        </w:tc>
      </w:tr>
      <w:tr w:rsidR="009E04F9" w14:paraId="6BD4D13C" w14:textId="77777777">
        <w:trPr>
          <w:cantSplit/>
          <w:jc w:val="center"/>
        </w:trPr>
        <w:tc>
          <w:tcPr>
            <w:tcW w:w="1289" w:type="dxa"/>
            <w:vAlign w:val="center"/>
          </w:tcPr>
          <w:p w14:paraId="49EF456A" w14:textId="77777777" w:rsidR="009E04F9" w:rsidRDefault="00000000">
            <w:r>
              <w:t>BDOUT</w:t>
            </w:r>
          </w:p>
        </w:tc>
        <w:tc>
          <w:tcPr>
            <w:tcW w:w="1289" w:type="dxa"/>
            <w:vAlign w:val="center"/>
          </w:tcPr>
          <w:p w14:paraId="7B46D2E3" w14:textId="77777777" w:rsidR="009E04F9" w:rsidRDefault="00000000">
            <w:pPr>
              <w:jc w:val="center"/>
            </w:pPr>
            <w:r>
              <w:t>-0.198</w:t>
            </w:r>
          </w:p>
        </w:tc>
        <w:tc>
          <w:tcPr>
            <w:tcW w:w="1289" w:type="dxa"/>
            <w:vAlign w:val="center"/>
          </w:tcPr>
          <w:p w14:paraId="6715576F" w14:textId="77777777" w:rsidR="009E04F9" w:rsidRDefault="00000000">
            <w:pPr>
              <w:jc w:val="center"/>
            </w:pPr>
            <w:r>
              <w:t>0.110</w:t>
            </w:r>
          </w:p>
        </w:tc>
        <w:tc>
          <w:tcPr>
            <w:tcW w:w="1289" w:type="dxa"/>
            <w:vAlign w:val="center"/>
          </w:tcPr>
          <w:p w14:paraId="38C818AA" w14:textId="77777777" w:rsidR="009E04F9" w:rsidRDefault="00000000">
            <w:pPr>
              <w:jc w:val="center"/>
            </w:pPr>
            <w:r>
              <w:t>0.820</w:t>
            </w:r>
          </w:p>
        </w:tc>
        <w:tc>
          <w:tcPr>
            <w:tcW w:w="1289" w:type="dxa"/>
            <w:vAlign w:val="center"/>
          </w:tcPr>
          <w:p w14:paraId="6F66F557" w14:textId="77777777" w:rsidR="009E04F9" w:rsidRDefault="00000000">
            <w:pPr>
              <w:jc w:val="center"/>
            </w:pPr>
            <w:r>
              <w:t>0.661–1.018</w:t>
            </w:r>
          </w:p>
        </w:tc>
        <w:tc>
          <w:tcPr>
            <w:tcW w:w="1289" w:type="dxa"/>
            <w:vAlign w:val="center"/>
          </w:tcPr>
          <w:p w14:paraId="5BDF04AA" w14:textId="77777777" w:rsidR="009E04F9" w:rsidRDefault="00000000">
            <w:pPr>
              <w:jc w:val="center"/>
            </w:pPr>
            <w:r>
              <w:t>0.073</w:t>
            </w:r>
          </w:p>
        </w:tc>
        <w:tc>
          <w:tcPr>
            <w:tcW w:w="1289" w:type="dxa"/>
            <w:vAlign w:val="center"/>
          </w:tcPr>
          <w:p w14:paraId="15C2C38E" w14:textId="77777777" w:rsidR="009E04F9" w:rsidRDefault="00000000">
            <w:pPr>
              <w:jc w:val="center"/>
            </w:pPr>
            <w:r>
              <w:t>Marginal</w:t>
            </w:r>
          </w:p>
        </w:tc>
      </w:tr>
      <w:tr w:rsidR="009E04F9" w14:paraId="47553FCE" w14:textId="77777777">
        <w:trPr>
          <w:cantSplit/>
          <w:jc w:val="center"/>
        </w:trPr>
        <w:tc>
          <w:tcPr>
            <w:tcW w:w="1289" w:type="dxa"/>
            <w:vAlign w:val="center"/>
          </w:tcPr>
          <w:p w14:paraId="5E6BE2E8" w14:textId="77777777" w:rsidR="009E04F9" w:rsidRDefault="00000000">
            <w:r>
              <w:t>IOSHIP</w:t>
            </w:r>
          </w:p>
        </w:tc>
        <w:tc>
          <w:tcPr>
            <w:tcW w:w="1289" w:type="dxa"/>
            <w:vAlign w:val="center"/>
          </w:tcPr>
          <w:p w14:paraId="6BECBEB6" w14:textId="77777777" w:rsidR="009E04F9" w:rsidRDefault="00000000">
            <w:pPr>
              <w:jc w:val="center"/>
            </w:pPr>
            <w:r>
              <w:t>0.143</w:t>
            </w:r>
          </w:p>
        </w:tc>
        <w:tc>
          <w:tcPr>
            <w:tcW w:w="1289" w:type="dxa"/>
            <w:vAlign w:val="center"/>
          </w:tcPr>
          <w:p w14:paraId="745D438D" w14:textId="77777777" w:rsidR="009E04F9" w:rsidRDefault="00000000">
            <w:pPr>
              <w:jc w:val="center"/>
            </w:pPr>
            <w:r>
              <w:t>0.162</w:t>
            </w:r>
          </w:p>
        </w:tc>
        <w:tc>
          <w:tcPr>
            <w:tcW w:w="1289" w:type="dxa"/>
            <w:vAlign w:val="center"/>
          </w:tcPr>
          <w:p w14:paraId="38F566BE" w14:textId="77777777" w:rsidR="009E04F9" w:rsidRDefault="00000000">
            <w:pPr>
              <w:jc w:val="center"/>
            </w:pPr>
            <w:r>
              <w:t>1.154</w:t>
            </w:r>
          </w:p>
        </w:tc>
        <w:tc>
          <w:tcPr>
            <w:tcW w:w="1289" w:type="dxa"/>
            <w:vAlign w:val="center"/>
          </w:tcPr>
          <w:p w14:paraId="39735DDE" w14:textId="77777777" w:rsidR="009E04F9" w:rsidRDefault="00000000">
            <w:pPr>
              <w:jc w:val="center"/>
            </w:pPr>
            <w:r>
              <w:t>0.841–1.584</w:t>
            </w:r>
          </w:p>
        </w:tc>
        <w:tc>
          <w:tcPr>
            <w:tcW w:w="1289" w:type="dxa"/>
            <w:vAlign w:val="center"/>
          </w:tcPr>
          <w:p w14:paraId="19E4D522" w14:textId="77777777" w:rsidR="009E04F9" w:rsidRDefault="00000000">
            <w:pPr>
              <w:jc w:val="center"/>
            </w:pPr>
            <w:r>
              <w:t>0.375</w:t>
            </w:r>
          </w:p>
        </w:tc>
        <w:tc>
          <w:tcPr>
            <w:tcW w:w="1289" w:type="dxa"/>
            <w:vAlign w:val="center"/>
          </w:tcPr>
          <w:p w14:paraId="7AD137C3" w14:textId="77777777" w:rsidR="009E04F9" w:rsidRDefault="00000000">
            <w:pPr>
              <w:jc w:val="center"/>
            </w:pPr>
            <w:r>
              <w:t>Not sig.</w:t>
            </w:r>
          </w:p>
        </w:tc>
      </w:tr>
      <w:tr w:rsidR="009E04F9" w14:paraId="12F68CF9" w14:textId="77777777">
        <w:trPr>
          <w:cantSplit/>
          <w:jc w:val="center"/>
        </w:trPr>
        <w:tc>
          <w:tcPr>
            <w:tcW w:w="1289" w:type="dxa"/>
            <w:vAlign w:val="center"/>
          </w:tcPr>
          <w:p w14:paraId="2C7DA75E" w14:textId="77777777" w:rsidR="009E04F9" w:rsidRDefault="00000000">
            <w:r>
              <w:t>AC</w:t>
            </w:r>
          </w:p>
        </w:tc>
        <w:tc>
          <w:tcPr>
            <w:tcW w:w="1289" w:type="dxa"/>
            <w:vAlign w:val="center"/>
          </w:tcPr>
          <w:p w14:paraId="6B8A7958" w14:textId="77777777" w:rsidR="009E04F9" w:rsidRDefault="00000000">
            <w:pPr>
              <w:jc w:val="center"/>
            </w:pPr>
            <w:r>
              <w:t>0.927</w:t>
            </w:r>
          </w:p>
        </w:tc>
        <w:tc>
          <w:tcPr>
            <w:tcW w:w="1289" w:type="dxa"/>
            <w:vAlign w:val="center"/>
          </w:tcPr>
          <w:p w14:paraId="3A5E07A6" w14:textId="77777777" w:rsidR="009E04F9" w:rsidRDefault="00000000">
            <w:pPr>
              <w:jc w:val="center"/>
            </w:pPr>
            <w:r>
              <w:t>0.378</w:t>
            </w:r>
          </w:p>
        </w:tc>
        <w:tc>
          <w:tcPr>
            <w:tcW w:w="1289" w:type="dxa"/>
            <w:vAlign w:val="center"/>
          </w:tcPr>
          <w:p w14:paraId="44584DB0" w14:textId="77777777" w:rsidR="009E04F9" w:rsidRDefault="00000000">
            <w:pPr>
              <w:jc w:val="center"/>
            </w:pPr>
            <w:r>
              <w:t>2.528</w:t>
            </w:r>
          </w:p>
        </w:tc>
        <w:tc>
          <w:tcPr>
            <w:tcW w:w="1289" w:type="dxa"/>
            <w:vAlign w:val="center"/>
          </w:tcPr>
          <w:p w14:paraId="0AA91F60" w14:textId="77777777" w:rsidR="009E04F9" w:rsidRDefault="00000000">
            <w:pPr>
              <w:jc w:val="center"/>
            </w:pPr>
            <w:r>
              <w:t>1.204–5.308</w:t>
            </w:r>
          </w:p>
        </w:tc>
        <w:tc>
          <w:tcPr>
            <w:tcW w:w="1289" w:type="dxa"/>
            <w:vAlign w:val="center"/>
          </w:tcPr>
          <w:p w14:paraId="15254F77" w14:textId="77777777" w:rsidR="009E04F9" w:rsidRDefault="00000000">
            <w:pPr>
              <w:jc w:val="center"/>
            </w:pPr>
            <w:r>
              <w:t>0.014</w:t>
            </w:r>
          </w:p>
        </w:tc>
        <w:tc>
          <w:tcPr>
            <w:tcW w:w="1289" w:type="dxa"/>
            <w:vAlign w:val="center"/>
          </w:tcPr>
          <w:p w14:paraId="53663470" w14:textId="77777777" w:rsidR="009E04F9" w:rsidRDefault="00000000">
            <w:pPr>
              <w:jc w:val="center"/>
            </w:pPr>
            <w:r>
              <w:t>Significant</w:t>
            </w:r>
          </w:p>
        </w:tc>
      </w:tr>
      <w:tr w:rsidR="009E04F9" w14:paraId="29BE59D0" w14:textId="77777777">
        <w:trPr>
          <w:cantSplit/>
          <w:jc w:val="center"/>
        </w:trPr>
        <w:tc>
          <w:tcPr>
            <w:tcW w:w="1289" w:type="dxa"/>
            <w:vAlign w:val="center"/>
          </w:tcPr>
          <w:p w14:paraId="178AEF98" w14:textId="77777777" w:rsidR="009E04F9" w:rsidRDefault="00000000">
            <w:r>
              <w:t>Cap</w:t>
            </w:r>
          </w:p>
        </w:tc>
        <w:tc>
          <w:tcPr>
            <w:tcW w:w="1289" w:type="dxa"/>
            <w:vAlign w:val="center"/>
          </w:tcPr>
          <w:p w14:paraId="48166A77" w14:textId="77777777" w:rsidR="009E04F9" w:rsidRDefault="00000000">
            <w:pPr>
              <w:jc w:val="center"/>
            </w:pPr>
            <w:r>
              <w:t>-0.084</w:t>
            </w:r>
          </w:p>
        </w:tc>
        <w:tc>
          <w:tcPr>
            <w:tcW w:w="1289" w:type="dxa"/>
            <w:vAlign w:val="center"/>
          </w:tcPr>
          <w:p w14:paraId="1EFF45AD" w14:textId="77777777" w:rsidR="009E04F9" w:rsidRDefault="00000000">
            <w:pPr>
              <w:jc w:val="center"/>
            </w:pPr>
            <w:r>
              <w:t>0.372</w:t>
            </w:r>
          </w:p>
        </w:tc>
        <w:tc>
          <w:tcPr>
            <w:tcW w:w="1289" w:type="dxa"/>
            <w:vAlign w:val="center"/>
          </w:tcPr>
          <w:p w14:paraId="4220CDA5" w14:textId="77777777" w:rsidR="009E04F9" w:rsidRDefault="00000000">
            <w:pPr>
              <w:jc w:val="center"/>
            </w:pPr>
            <w:r>
              <w:t>0.919</w:t>
            </w:r>
          </w:p>
        </w:tc>
        <w:tc>
          <w:tcPr>
            <w:tcW w:w="1289" w:type="dxa"/>
            <w:vAlign w:val="center"/>
          </w:tcPr>
          <w:p w14:paraId="7F7E1DEF" w14:textId="77777777" w:rsidR="009E04F9" w:rsidRDefault="00000000">
            <w:pPr>
              <w:jc w:val="center"/>
            </w:pPr>
            <w:r>
              <w:t>0.443–1.905</w:t>
            </w:r>
          </w:p>
        </w:tc>
        <w:tc>
          <w:tcPr>
            <w:tcW w:w="1289" w:type="dxa"/>
            <w:vAlign w:val="center"/>
          </w:tcPr>
          <w:p w14:paraId="244F68B7" w14:textId="77777777" w:rsidR="009E04F9" w:rsidRDefault="00000000">
            <w:pPr>
              <w:jc w:val="center"/>
            </w:pPr>
            <w:r>
              <w:t>0.820</w:t>
            </w:r>
          </w:p>
        </w:tc>
        <w:tc>
          <w:tcPr>
            <w:tcW w:w="1289" w:type="dxa"/>
            <w:vAlign w:val="center"/>
          </w:tcPr>
          <w:p w14:paraId="1570F6F2" w14:textId="77777777" w:rsidR="009E04F9" w:rsidRDefault="00000000">
            <w:pPr>
              <w:jc w:val="center"/>
            </w:pPr>
            <w:r>
              <w:t>Not sig.</w:t>
            </w:r>
          </w:p>
        </w:tc>
      </w:tr>
      <w:tr w:rsidR="009E04F9" w14:paraId="2FF7CE63" w14:textId="77777777">
        <w:trPr>
          <w:cantSplit/>
          <w:jc w:val="center"/>
        </w:trPr>
        <w:tc>
          <w:tcPr>
            <w:tcW w:w="1289" w:type="dxa"/>
            <w:vAlign w:val="center"/>
          </w:tcPr>
          <w:p w14:paraId="06884760" w14:textId="77777777" w:rsidR="009E04F9" w:rsidRDefault="00000000">
            <w:r>
              <w:t>ROA</w:t>
            </w:r>
          </w:p>
        </w:tc>
        <w:tc>
          <w:tcPr>
            <w:tcW w:w="1289" w:type="dxa"/>
            <w:vAlign w:val="center"/>
          </w:tcPr>
          <w:p w14:paraId="3526D3F1" w14:textId="77777777" w:rsidR="009E04F9" w:rsidRDefault="00000000">
            <w:pPr>
              <w:jc w:val="center"/>
            </w:pPr>
            <w:r>
              <w:t>0.283</w:t>
            </w:r>
          </w:p>
        </w:tc>
        <w:tc>
          <w:tcPr>
            <w:tcW w:w="1289" w:type="dxa"/>
            <w:vAlign w:val="center"/>
          </w:tcPr>
          <w:p w14:paraId="2D9D8285" w14:textId="77777777" w:rsidR="009E04F9" w:rsidRDefault="00000000">
            <w:pPr>
              <w:jc w:val="center"/>
            </w:pPr>
            <w:r>
              <w:t>0.305</w:t>
            </w:r>
          </w:p>
        </w:tc>
        <w:tc>
          <w:tcPr>
            <w:tcW w:w="1289" w:type="dxa"/>
            <w:vAlign w:val="center"/>
          </w:tcPr>
          <w:p w14:paraId="0EA4E41D" w14:textId="77777777" w:rsidR="009E04F9" w:rsidRDefault="00000000">
            <w:pPr>
              <w:jc w:val="center"/>
            </w:pPr>
            <w:r>
              <w:t>1.327</w:t>
            </w:r>
          </w:p>
        </w:tc>
        <w:tc>
          <w:tcPr>
            <w:tcW w:w="1289" w:type="dxa"/>
            <w:vAlign w:val="center"/>
          </w:tcPr>
          <w:p w14:paraId="66CFDE10" w14:textId="77777777" w:rsidR="009E04F9" w:rsidRDefault="00000000">
            <w:pPr>
              <w:jc w:val="center"/>
            </w:pPr>
            <w:r>
              <w:t>0.729–2.414</w:t>
            </w:r>
          </w:p>
        </w:tc>
        <w:tc>
          <w:tcPr>
            <w:tcW w:w="1289" w:type="dxa"/>
            <w:vAlign w:val="center"/>
          </w:tcPr>
          <w:p w14:paraId="4F86E820" w14:textId="77777777" w:rsidR="009E04F9" w:rsidRDefault="00000000">
            <w:pPr>
              <w:jc w:val="center"/>
            </w:pPr>
            <w:r>
              <w:t>0.354</w:t>
            </w:r>
          </w:p>
        </w:tc>
        <w:tc>
          <w:tcPr>
            <w:tcW w:w="1289" w:type="dxa"/>
            <w:vAlign w:val="center"/>
          </w:tcPr>
          <w:p w14:paraId="0583E513" w14:textId="77777777" w:rsidR="009E04F9" w:rsidRDefault="00000000">
            <w:pPr>
              <w:jc w:val="center"/>
            </w:pPr>
            <w:r>
              <w:t>Not sig.</w:t>
            </w:r>
          </w:p>
        </w:tc>
      </w:tr>
      <w:tr w:rsidR="009E04F9" w14:paraId="50BB7A9C" w14:textId="77777777">
        <w:trPr>
          <w:cantSplit/>
          <w:jc w:val="center"/>
        </w:trPr>
        <w:tc>
          <w:tcPr>
            <w:tcW w:w="1289" w:type="dxa"/>
            <w:vAlign w:val="center"/>
          </w:tcPr>
          <w:p w14:paraId="50B5868D" w14:textId="77777777" w:rsidR="009E04F9" w:rsidRDefault="00000000">
            <w:r>
              <w:t>SIZE</w:t>
            </w:r>
          </w:p>
        </w:tc>
        <w:tc>
          <w:tcPr>
            <w:tcW w:w="1289" w:type="dxa"/>
            <w:vAlign w:val="center"/>
          </w:tcPr>
          <w:p w14:paraId="5EF7C037" w14:textId="77777777" w:rsidR="009E04F9" w:rsidRDefault="00000000">
            <w:pPr>
              <w:jc w:val="center"/>
            </w:pPr>
            <w:r>
              <w:t>-0.113</w:t>
            </w:r>
          </w:p>
        </w:tc>
        <w:tc>
          <w:tcPr>
            <w:tcW w:w="1289" w:type="dxa"/>
            <w:vAlign w:val="center"/>
          </w:tcPr>
          <w:p w14:paraId="6195D485" w14:textId="77777777" w:rsidR="009E04F9" w:rsidRDefault="00000000">
            <w:pPr>
              <w:jc w:val="center"/>
            </w:pPr>
            <w:r>
              <w:t>0.175</w:t>
            </w:r>
          </w:p>
        </w:tc>
        <w:tc>
          <w:tcPr>
            <w:tcW w:w="1289" w:type="dxa"/>
            <w:vAlign w:val="center"/>
          </w:tcPr>
          <w:p w14:paraId="4C06EAA7" w14:textId="77777777" w:rsidR="009E04F9" w:rsidRDefault="00000000">
            <w:pPr>
              <w:jc w:val="center"/>
            </w:pPr>
            <w:r>
              <w:t>0.893</w:t>
            </w:r>
          </w:p>
        </w:tc>
        <w:tc>
          <w:tcPr>
            <w:tcW w:w="1289" w:type="dxa"/>
            <w:vAlign w:val="center"/>
          </w:tcPr>
          <w:p w14:paraId="4064D791" w14:textId="77777777" w:rsidR="009E04F9" w:rsidRDefault="00000000">
            <w:pPr>
              <w:jc w:val="center"/>
            </w:pPr>
            <w:r>
              <w:t>0.634–1.258</w:t>
            </w:r>
          </w:p>
        </w:tc>
        <w:tc>
          <w:tcPr>
            <w:tcW w:w="1289" w:type="dxa"/>
            <w:vAlign w:val="center"/>
          </w:tcPr>
          <w:p w14:paraId="77AEB9C7" w14:textId="77777777" w:rsidR="009E04F9" w:rsidRDefault="00000000">
            <w:pPr>
              <w:jc w:val="center"/>
            </w:pPr>
            <w:r>
              <w:t>0.516</w:t>
            </w:r>
          </w:p>
        </w:tc>
        <w:tc>
          <w:tcPr>
            <w:tcW w:w="1289" w:type="dxa"/>
            <w:vAlign w:val="center"/>
          </w:tcPr>
          <w:p w14:paraId="0519FAE9" w14:textId="77777777" w:rsidR="009E04F9" w:rsidRDefault="00000000">
            <w:pPr>
              <w:jc w:val="center"/>
            </w:pPr>
            <w:r>
              <w:t>Not sig.</w:t>
            </w:r>
          </w:p>
        </w:tc>
      </w:tr>
      <w:tr w:rsidR="009E04F9" w14:paraId="691DFB7C" w14:textId="77777777">
        <w:trPr>
          <w:cantSplit/>
          <w:jc w:val="center"/>
        </w:trPr>
        <w:tc>
          <w:tcPr>
            <w:tcW w:w="1289" w:type="dxa"/>
            <w:vAlign w:val="center"/>
          </w:tcPr>
          <w:p w14:paraId="435B94D4" w14:textId="77777777" w:rsidR="009E04F9" w:rsidRDefault="00000000">
            <w:r>
              <w:t>AQ</w:t>
            </w:r>
          </w:p>
        </w:tc>
        <w:tc>
          <w:tcPr>
            <w:tcW w:w="1289" w:type="dxa"/>
            <w:vAlign w:val="center"/>
          </w:tcPr>
          <w:p w14:paraId="2B6960E8" w14:textId="77777777" w:rsidR="009E04F9" w:rsidRDefault="00000000">
            <w:pPr>
              <w:jc w:val="center"/>
            </w:pPr>
            <w:r>
              <w:t>-0.252</w:t>
            </w:r>
          </w:p>
        </w:tc>
        <w:tc>
          <w:tcPr>
            <w:tcW w:w="1289" w:type="dxa"/>
            <w:vAlign w:val="center"/>
          </w:tcPr>
          <w:p w14:paraId="04B78099" w14:textId="77777777" w:rsidR="009E04F9" w:rsidRDefault="00000000">
            <w:pPr>
              <w:jc w:val="center"/>
            </w:pPr>
            <w:r>
              <w:t>0.358</w:t>
            </w:r>
          </w:p>
        </w:tc>
        <w:tc>
          <w:tcPr>
            <w:tcW w:w="1289" w:type="dxa"/>
            <w:vAlign w:val="center"/>
          </w:tcPr>
          <w:p w14:paraId="0ECD18AB" w14:textId="77777777" w:rsidR="009E04F9" w:rsidRDefault="00000000">
            <w:pPr>
              <w:jc w:val="center"/>
            </w:pPr>
            <w:r>
              <w:t>0.777</w:t>
            </w:r>
          </w:p>
        </w:tc>
        <w:tc>
          <w:tcPr>
            <w:tcW w:w="1289" w:type="dxa"/>
            <w:vAlign w:val="center"/>
          </w:tcPr>
          <w:p w14:paraId="6D381C9A" w14:textId="77777777" w:rsidR="009E04F9" w:rsidRDefault="00000000">
            <w:pPr>
              <w:jc w:val="center"/>
            </w:pPr>
            <w:r>
              <w:t>0.386–1.568</w:t>
            </w:r>
          </w:p>
        </w:tc>
        <w:tc>
          <w:tcPr>
            <w:tcW w:w="1289" w:type="dxa"/>
            <w:vAlign w:val="center"/>
          </w:tcPr>
          <w:p w14:paraId="1CAE40E6" w14:textId="77777777" w:rsidR="009E04F9" w:rsidRDefault="00000000">
            <w:pPr>
              <w:jc w:val="center"/>
            </w:pPr>
            <w:r>
              <w:t>0.482</w:t>
            </w:r>
          </w:p>
        </w:tc>
        <w:tc>
          <w:tcPr>
            <w:tcW w:w="1289" w:type="dxa"/>
            <w:vAlign w:val="center"/>
          </w:tcPr>
          <w:p w14:paraId="63FC8242" w14:textId="77777777" w:rsidR="009E04F9" w:rsidRDefault="00000000">
            <w:pPr>
              <w:jc w:val="center"/>
            </w:pPr>
            <w:r>
              <w:t>Not sig.</w:t>
            </w:r>
          </w:p>
        </w:tc>
      </w:tr>
    </w:tbl>
    <w:p w14:paraId="3E45B843" w14:textId="77777777" w:rsidR="009E04F9" w:rsidRDefault="00000000">
      <w:pPr>
        <w:jc w:val="both"/>
      </w:pPr>
      <w:r>
        <w:rPr>
          <w:i/>
        </w:rPr>
        <w:t xml:space="preserve">Notes: N = 340 firm-years; 40 firms. Binomial-logit GEE with exchangeable working correlation, year fixed effects and Mancl–DeRouen bias-reduced robust covariance. Continuous predictors are </w:t>
      </w:r>
      <w:proofErr w:type="spellStart"/>
      <w:r>
        <w:rPr>
          <w:i/>
        </w:rPr>
        <w:t>winsorised</w:t>
      </w:r>
      <w:proofErr w:type="spellEnd"/>
      <w:r>
        <w:rPr>
          <w:i/>
        </w:rPr>
        <w:t xml:space="preserve"> at the 1st/99th percentiles and </w:t>
      </w:r>
      <w:proofErr w:type="spellStart"/>
      <w:r>
        <w:rPr>
          <w:i/>
        </w:rPr>
        <w:t>standardised</w:t>
      </w:r>
      <w:proofErr w:type="spellEnd"/>
      <w:r>
        <w:rPr>
          <w:i/>
        </w:rPr>
        <w:t>. BR-SE = bias-reduced standard error; ACHG = asset change. Year coefficients are omitted for brevity.</w:t>
      </w:r>
    </w:p>
    <w:p w14:paraId="13BAB19E" w14:textId="77777777" w:rsidR="009E04F9" w:rsidRDefault="00000000">
      <w:pPr>
        <w:jc w:val="both"/>
      </w:pPr>
      <w:r>
        <w:t>The in-sample AUC is 0.703, indicating moderate rather than strong discrimination, and the Brier score is 0.197. The model should therefore be interpreted as an explanatory red-flag model rather than a stand-alone fraud-classification system.</w:t>
      </w:r>
    </w:p>
    <w:p w14:paraId="7C3CB49D" w14:textId="77777777" w:rsidR="009E04F9" w:rsidRDefault="00000000">
      <w:pPr>
        <w:keepNext/>
        <w:spacing w:before="80"/>
      </w:pPr>
      <w:r>
        <w:rPr>
          <w:b/>
        </w:rPr>
        <w:lastRenderedPageBreak/>
        <w:t>4.4 Temporal and fixed-effects robustness</w:t>
      </w:r>
    </w:p>
    <w:p w14:paraId="3FE9F068" w14:textId="77777777" w:rsidR="009E04F9" w:rsidRDefault="00000000">
      <w:pPr>
        <w:jc w:val="both"/>
      </w:pPr>
      <w:r>
        <w:t xml:space="preserve">The one-year-lagged GEE materially changes the interpretation. None of the five Fraud Diamond variables is significant at the 5% level when prior-year characteristics are used to explain the current manipulation flag. ACHANGE falls to an odds ratio of 1.02 (p = .885), auditor change reverses sign and becomes insignificant (OR = 0.62, p = .293), and board independence remains negative but does not reach conventional significance (OR = 0.81, p = .103). This indicates that the two significant contemporaneous variables are better </w:t>
      </w:r>
      <w:proofErr w:type="spellStart"/>
      <w:r>
        <w:t>characterised</w:t>
      </w:r>
      <w:proofErr w:type="spellEnd"/>
      <w:r>
        <w:t xml:space="preserve"> as same-period red flags than as robust one-year-ahead predictors.</w:t>
      </w:r>
    </w:p>
    <w:p w14:paraId="0CB8ABE9" w14:textId="77777777" w:rsidR="009E04F9" w:rsidRDefault="00000000">
      <w:pPr>
        <w:jc w:val="both"/>
      </w:pPr>
      <w:r>
        <w:t>The conditional firm fixed-effects logit produces the same broad conclusion. After conditioning out all time-invariant firm characteristics, lagged ACHANGE, BDOUT, IOSHIP and auditor change are statistically insignificant. Firm size is negatively associated with within-firm manipulation risk (p = .029), while ROA and Big Four audit are marginal at the 10% level. CEO financial expertise cannot be estimated in this specification because the Cap variable has no within-firm variation across any of the 40 companies in the supplied data. This feature also means that the contemporaneous GEE coefficient for CEO expertise reflects only between-firm differences and should be interpreted cautiously.</w:t>
      </w:r>
    </w:p>
    <w:p w14:paraId="23A7D33A" w14:textId="77777777" w:rsidR="009E04F9" w:rsidRDefault="00000000">
      <w:pPr>
        <w:jc w:val="both"/>
      </w:pPr>
      <w:r>
        <w:t xml:space="preserve">When the continuous </w:t>
      </w:r>
      <w:proofErr w:type="spellStart"/>
      <w:r>
        <w:t>Beneish</w:t>
      </w:r>
      <w:proofErr w:type="spellEnd"/>
      <w:r>
        <w:t xml:space="preserve"> M-Score is used as the outcome, the directions remain broadly similar: ACHANGE is positive (p = .060) and auditor change is positive (p = .095), whereas the governance and capability measures remain insignificant. A pooled logit with firm-clustered standard errors also reproduces the main conclusions, with significant positive coefficients for ACHANGE and auditor change. Replacing the source BDOUT variable with the directly reconstructed non-executive-director ratio (BDOUT2) leaves the substantive conclusions unchanged: auditor change remains significant (p = .014), ACHANGE is borderline (p = .050), and the alternative board measure is insignificant.</w:t>
      </w:r>
    </w:p>
    <w:p w14:paraId="785F19C8" w14:textId="77777777" w:rsidR="009E04F9" w:rsidRDefault="00000000">
      <w:pPr>
        <w:keepNext/>
        <w:pageBreakBefore/>
        <w:spacing w:before="80"/>
        <w:jc w:val="both"/>
      </w:pPr>
      <w:r>
        <w:rPr>
          <w:b/>
        </w:rPr>
        <w:lastRenderedPageBreak/>
        <w:t>Table 5. Robustness summary</w:t>
      </w:r>
    </w:p>
    <w:tbl>
      <w:tblPr>
        <w:tblStyle w:val="TableGrid"/>
        <w:tblW w:w="0" w:type="auto"/>
        <w:jc w:val="center"/>
        <w:tblLayout w:type="fixed"/>
        <w:tblLook w:val="04A0" w:firstRow="1" w:lastRow="0" w:firstColumn="1" w:lastColumn="0" w:noHBand="0" w:noVBand="1"/>
      </w:tblPr>
      <w:tblGrid>
        <w:gridCol w:w="2232"/>
        <w:gridCol w:w="1805"/>
        <w:gridCol w:w="1805"/>
        <w:gridCol w:w="1805"/>
        <w:gridCol w:w="1805"/>
      </w:tblGrid>
      <w:tr w:rsidR="009E04F9" w14:paraId="12F19636" w14:textId="77777777">
        <w:trPr>
          <w:cantSplit/>
          <w:jc w:val="center"/>
        </w:trPr>
        <w:tc>
          <w:tcPr>
            <w:tcW w:w="2232" w:type="dxa"/>
            <w:shd w:val="clear" w:color="auto" w:fill="D9EAF7"/>
            <w:vAlign w:val="center"/>
          </w:tcPr>
          <w:p w14:paraId="736CF2F5" w14:textId="77777777" w:rsidR="009E04F9" w:rsidRDefault="00000000">
            <w:pPr>
              <w:jc w:val="center"/>
            </w:pPr>
            <w:r>
              <w:rPr>
                <w:b/>
              </w:rPr>
              <w:t>Variable</w:t>
            </w:r>
          </w:p>
        </w:tc>
        <w:tc>
          <w:tcPr>
            <w:tcW w:w="1655" w:type="dxa"/>
            <w:shd w:val="clear" w:color="auto" w:fill="D9EAF7"/>
            <w:vAlign w:val="center"/>
          </w:tcPr>
          <w:p w14:paraId="35B19106" w14:textId="77777777" w:rsidR="009E04F9" w:rsidRDefault="00000000">
            <w:pPr>
              <w:jc w:val="center"/>
            </w:pPr>
            <w:r>
              <w:rPr>
                <w:b/>
              </w:rPr>
              <w:t>Main GEE OR (p)</w:t>
            </w:r>
          </w:p>
        </w:tc>
        <w:tc>
          <w:tcPr>
            <w:tcW w:w="1655" w:type="dxa"/>
            <w:shd w:val="clear" w:color="auto" w:fill="D9EAF7"/>
            <w:vAlign w:val="center"/>
          </w:tcPr>
          <w:p w14:paraId="78155BEF" w14:textId="77777777" w:rsidR="009E04F9" w:rsidRDefault="00000000">
            <w:pPr>
              <w:jc w:val="center"/>
            </w:pPr>
            <w:r>
              <w:rPr>
                <w:b/>
              </w:rPr>
              <w:t>Lagged GEE OR (p)</w:t>
            </w:r>
          </w:p>
        </w:tc>
        <w:tc>
          <w:tcPr>
            <w:tcW w:w="1655" w:type="dxa"/>
            <w:shd w:val="clear" w:color="auto" w:fill="D9EAF7"/>
            <w:vAlign w:val="center"/>
          </w:tcPr>
          <w:p w14:paraId="6674C7F9" w14:textId="77777777" w:rsidR="009E04F9" w:rsidRDefault="00000000">
            <w:pPr>
              <w:jc w:val="center"/>
            </w:pPr>
            <w:r>
              <w:rPr>
                <w:b/>
              </w:rPr>
              <w:t>Firm FE OR (p)</w:t>
            </w:r>
          </w:p>
        </w:tc>
        <w:tc>
          <w:tcPr>
            <w:tcW w:w="1655" w:type="dxa"/>
            <w:shd w:val="clear" w:color="auto" w:fill="D9EAF7"/>
            <w:vAlign w:val="center"/>
          </w:tcPr>
          <w:p w14:paraId="292887E1" w14:textId="77777777" w:rsidR="009E04F9" w:rsidRDefault="00000000">
            <w:pPr>
              <w:jc w:val="center"/>
            </w:pPr>
            <w:r>
              <w:rPr>
                <w:b/>
              </w:rPr>
              <w:t>M-Score beta (p)</w:t>
            </w:r>
          </w:p>
        </w:tc>
      </w:tr>
      <w:tr w:rsidR="009E04F9" w14:paraId="3FA3C592" w14:textId="77777777">
        <w:trPr>
          <w:cantSplit/>
          <w:jc w:val="center"/>
        </w:trPr>
        <w:tc>
          <w:tcPr>
            <w:tcW w:w="1805" w:type="dxa"/>
            <w:vAlign w:val="center"/>
          </w:tcPr>
          <w:p w14:paraId="591C566E" w14:textId="77777777" w:rsidR="009E04F9" w:rsidRDefault="00000000">
            <w:r>
              <w:t>Asset change</w:t>
            </w:r>
          </w:p>
        </w:tc>
        <w:tc>
          <w:tcPr>
            <w:tcW w:w="1805" w:type="dxa"/>
            <w:vAlign w:val="center"/>
          </w:tcPr>
          <w:p w14:paraId="2F2C985F" w14:textId="77777777" w:rsidR="009E04F9" w:rsidRDefault="00000000">
            <w:pPr>
              <w:jc w:val="center"/>
            </w:pPr>
            <w:r>
              <w:t>1.52 (0.047)</w:t>
            </w:r>
          </w:p>
        </w:tc>
        <w:tc>
          <w:tcPr>
            <w:tcW w:w="1805" w:type="dxa"/>
            <w:vAlign w:val="center"/>
          </w:tcPr>
          <w:p w14:paraId="5CDE4941" w14:textId="77777777" w:rsidR="009E04F9" w:rsidRDefault="00000000">
            <w:pPr>
              <w:jc w:val="center"/>
            </w:pPr>
            <w:r>
              <w:t>1.02 (0.885)</w:t>
            </w:r>
          </w:p>
        </w:tc>
        <w:tc>
          <w:tcPr>
            <w:tcW w:w="1805" w:type="dxa"/>
            <w:vAlign w:val="center"/>
          </w:tcPr>
          <w:p w14:paraId="56AD2D29" w14:textId="77777777" w:rsidR="009E04F9" w:rsidRDefault="00000000">
            <w:pPr>
              <w:jc w:val="center"/>
            </w:pPr>
            <w:r>
              <w:t>1.20 (0.274)</w:t>
            </w:r>
          </w:p>
        </w:tc>
        <w:tc>
          <w:tcPr>
            <w:tcW w:w="1805" w:type="dxa"/>
            <w:vAlign w:val="center"/>
          </w:tcPr>
          <w:p w14:paraId="4CAA62F9" w14:textId="77777777" w:rsidR="009E04F9" w:rsidRDefault="00000000">
            <w:pPr>
              <w:jc w:val="center"/>
            </w:pPr>
            <w:r>
              <w:t>0.423 (0.060)</w:t>
            </w:r>
          </w:p>
        </w:tc>
      </w:tr>
      <w:tr w:rsidR="009E04F9" w14:paraId="18722030" w14:textId="77777777">
        <w:trPr>
          <w:cantSplit/>
          <w:jc w:val="center"/>
        </w:trPr>
        <w:tc>
          <w:tcPr>
            <w:tcW w:w="1805" w:type="dxa"/>
            <w:vAlign w:val="center"/>
          </w:tcPr>
          <w:p w14:paraId="08DF4716" w14:textId="77777777" w:rsidR="009E04F9" w:rsidRDefault="00000000">
            <w:r>
              <w:t>Board independence</w:t>
            </w:r>
          </w:p>
        </w:tc>
        <w:tc>
          <w:tcPr>
            <w:tcW w:w="1805" w:type="dxa"/>
            <w:vAlign w:val="center"/>
          </w:tcPr>
          <w:p w14:paraId="78B6D0AF" w14:textId="77777777" w:rsidR="009E04F9" w:rsidRDefault="00000000">
            <w:pPr>
              <w:jc w:val="center"/>
            </w:pPr>
            <w:r>
              <w:t>0.82 (0.073)</w:t>
            </w:r>
          </w:p>
        </w:tc>
        <w:tc>
          <w:tcPr>
            <w:tcW w:w="1805" w:type="dxa"/>
            <w:vAlign w:val="center"/>
          </w:tcPr>
          <w:p w14:paraId="1870C489" w14:textId="77777777" w:rsidR="009E04F9" w:rsidRDefault="00000000">
            <w:pPr>
              <w:jc w:val="center"/>
            </w:pPr>
            <w:r>
              <w:t>0.81 (0.103)</w:t>
            </w:r>
          </w:p>
        </w:tc>
        <w:tc>
          <w:tcPr>
            <w:tcW w:w="1805" w:type="dxa"/>
            <w:vAlign w:val="center"/>
          </w:tcPr>
          <w:p w14:paraId="39307218" w14:textId="77777777" w:rsidR="009E04F9" w:rsidRDefault="00000000">
            <w:pPr>
              <w:jc w:val="center"/>
            </w:pPr>
            <w:r>
              <w:t>0.74 (0.113)</w:t>
            </w:r>
          </w:p>
        </w:tc>
        <w:tc>
          <w:tcPr>
            <w:tcW w:w="1805" w:type="dxa"/>
            <w:vAlign w:val="center"/>
          </w:tcPr>
          <w:p w14:paraId="1295D0A6" w14:textId="77777777" w:rsidR="009E04F9" w:rsidRDefault="00000000">
            <w:pPr>
              <w:jc w:val="center"/>
            </w:pPr>
            <w:r>
              <w:t>-0.168 (0.178)</w:t>
            </w:r>
          </w:p>
        </w:tc>
      </w:tr>
      <w:tr w:rsidR="009E04F9" w14:paraId="325B4F91" w14:textId="77777777">
        <w:trPr>
          <w:cantSplit/>
          <w:jc w:val="center"/>
        </w:trPr>
        <w:tc>
          <w:tcPr>
            <w:tcW w:w="1805" w:type="dxa"/>
            <w:vAlign w:val="center"/>
          </w:tcPr>
          <w:p w14:paraId="6D498789" w14:textId="77777777" w:rsidR="009E04F9" w:rsidRDefault="00000000">
            <w:r>
              <w:t>Managerial ownership</w:t>
            </w:r>
          </w:p>
        </w:tc>
        <w:tc>
          <w:tcPr>
            <w:tcW w:w="1805" w:type="dxa"/>
            <w:vAlign w:val="center"/>
          </w:tcPr>
          <w:p w14:paraId="38E17227" w14:textId="77777777" w:rsidR="009E04F9" w:rsidRDefault="00000000">
            <w:pPr>
              <w:jc w:val="center"/>
            </w:pPr>
            <w:r>
              <w:t>1.15 (0.375)</w:t>
            </w:r>
          </w:p>
        </w:tc>
        <w:tc>
          <w:tcPr>
            <w:tcW w:w="1805" w:type="dxa"/>
            <w:vAlign w:val="center"/>
          </w:tcPr>
          <w:p w14:paraId="3BE524D9" w14:textId="77777777" w:rsidR="009E04F9" w:rsidRDefault="00000000">
            <w:pPr>
              <w:jc w:val="center"/>
            </w:pPr>
            <w:r>
              <w:t>1.17 (0.318)</w:t>
            </w:r>
          </w:p>
        </w:tc>
        <w:tc>
          <w:tcPr>
            <w:tcW w:w="1805" w:type="dxa"/>
            <w:vAlign w:val="center"/>
          </w:tcPr>
          <w:p w14:paraId="60C37B23" w14:textId="77777777" w:rsidR="009E04F9" w:rsidRDefault="00000000">
            <w:pPr>
              <w:jc w:val="center"/>
            </w:pPr>
            <w:r>
              <w:t>1.21 (0.476)</w:t>
            </w:r>
          </w:p>
        </w:tc>
        <w:tc>
          <w:tcPr>
            <w:tcW w:w="1805" w:type="dxa"/>
            <w:vAlign w:val="center"/>
          </w:tcPr>
          <w:p w14:paraId="4657D38B" w14:textId="77777777" w:rsidR="009E04F9" w:rsidRDefault="00000000">
            <w:pPr>
              <w:jc w:val="center"/>
            </w:pPr>
            <w:r>
              <w:t>0.045 (0.708)</w:t>
            </w:r>
          </w:p>
        </w:tc>
      </w:tr>
      <w:tr w:rsidR="009E04F9" w14:paraId="12CADBA5" w14:textId="77777777">
        <w:trPr>
          <w:cantSplit/>
          <w:jc w:val="center"/>
        </w:trPr>
        <w:tc>
          <w:tcPr>
            <w:tcW w:w="1805" w:type="dxa"/>
            <w:vAlign w:val="center"/>
          </w:tcPr>
          <w:p w14:paraId="74083FDF" w14:textId="77777777" w:rsidR="009E04F9" w:rsidRDefault="00000000">
            <w:r>
              <w:t>Auditor change</w:t>
            </w:r>
          </w:p>
        </w:tc>
        <w:tc>
          <w:tcPr>
            <w:tcW w:w="1805" w:type="dxa"/>
            <w:vAlign w:val="center"/>
          </w:tcPr>
          <w:p w14:paraId="7B8731D0" w14:textId="77777777" w:rsidR="009E04F9" w:rsidRDefault="00000000">
            <w:pPr>
              <w:jc w:val="center"/>
            </w:pPr>
            <w:r>
              <w:t>2.53 (0.014)</w:t>
            </w:r>
          </w:p>
        </w:tc>
        <w:tc>
          <w:tcPr>
            <w:tcW w:w="1805" w:type="dxa"/>
            <w:vAlign w:val="center"/>
          </w:tcPr>
          <w:p w14:paraId="0C8EF6AC" w14:textId="77777777" w:rsidR="009E04F9" w:rsidRDefault="00000000">
            <w:pPr>
              <w:jc w:val="center"/>
            </w:pPr>
            <w:r>
              <w:t>0.62 (0.293)</w:t>
            </w:r>
          </w:p>
        </w:tc>
        <w:tc>
          <w:tcPr>
            <w:tcW w:w="1805" w:type="dxa"/>
            <w:vAlign w:val="center"/>
          </w:tcPr>
          <w:p w14:paraId="6399CC92" w14:textId="77777777" w:rsidR="009E04F9" w:rsidRDefault="00000000">
            <w:pPr>
              <w:jc w:val="center"/>
            </w:pPr>
            <w:r>
              <w:t>0.55 (0.153)</w:t>
            </w:r>
          </w:p>
        </w:tc>
        <w:tc>
          <w:tcPr>
            <w:tcW w:w="1805" w:type="dxa"/>
            <w:vAlign w:val="center"/>
          </w:tcPr>
          <w:p w14:paraId="1E49DDB3" w14:textId="77777777" w:rsidR="009E04F9" w:rsidRDefault="00000000">
            <w:pPr>
              <w:jc w:val="center"/>
            </w:pPr>
            <w:r>
              <w:t>0.477 (0.095)</w:t>
            </w:r>
          </w:p>
        </w:tc>
      </w:tr>
      <w:tr w:rsidR="009E04F9" w14:paraId="23ED88A6" w14:textId="77777777">
        <w:trPr>
          <w:cantSplit/>
          <w:jc w:val="center"/>
        </w:trPr>
        <w:tc>
          <w:tcPr>
            <w:tcW w:w="1805" w:type="dxa"/>
            <w:vAlign w:val="center"/>
          </w:tcPr>
          <w:p w14:paraId="0B590496" w14:textId="77777777" w:rsidR="009E04F9" w:rsidRDefault="00000000">
            <w:r>
              <w:t>CEO financial expertise</w:t>
            </w:r>
          </w:p>
        </w:tc>
        <w:tc>
          <w:tcPr>
            <w:tcW w:w="1805" w:type="dxa"/>
            <w:vAlign w:val="center"/>
          </w:tcPr>
          <w:p w14:paraId="7111B872" w14:textId="77777777" w:rsidR="009E04F9" w:rsidRDefault="00000000">
            <w:pPr>
              <w:jc w:val="center"/>
            </w:pPr>
            <w:r>
              <w:t>0.92 (0.820)</w:t>
            </w:r>
          </w:p>
        </w:tc>
        <w:tc>
          <w:tcPr>
            <w:tcW w:w="1805" w:type="dxa"/>
            <w:vAlign w:val="center"/>
          </w:tcPr>
          <w:p w14:paraId="4FDDD1F8" w14:textId="77777777" w:rsidR="009E04F9" w:rsidRDefault="00000000">
            <w:pPr>
              <w:jc w:val="center"/>
            </w:pPr>
            <w:r>
              <w:t>1.20 (0.540)</w:t>
            </w:r>
          </w:p>
        </w:tc>
        <w:tc>
          <w:tcPr>
            <w:tcW w:w="1805" w:type="dxa"/>
            <w:vAlign w:val="center"/>
          </w:tcPr>
          <w:p w14:paraId="0BCCE7F2" w14:textId="77777777" w:rsidR="009E04F9" w:rsidRDefault="00000000">
            <w:pPr>
              <w:jc w:val="center"/>
            </w:pPr>
            <w:r>
              <w:t>Not identified</w:t>
            </w:r>
          </w:p>
        </w:tc>
        <w:tc>
          <w:tcPr>
            <w:tcW w:w="1805" w:type="dxa"/>
            <w:vAlign w:val="center"/>
          </w:tcPr>
          <w:p w14:paraId="4EEAE204" w14:textId="77777777" w:rsidR="009E04F9" w:rsidRDefault="00000000">
            <w:pPr>
              <w:jc w:val="center"/>
            </w:pPr>
            <w:r>
              <w:t>-0.210 (0.362)</w:t>
            </w:r>
          </w:p>
        </w:tc>
      </w:tr>
      <w:tr w:rsidR="009E04F9" w14:paraId="0DC33AFF" w14:textId="77777777">
        <w:trPr>
          <w:cantSplit/>
          <w:jc w:val="center"/>
        </w:trPr>
        <w:tc>
          <w:tcPr>
            <w:tcW w:w="1805" w:type="dxa"/>
            <w:vAlign w:val="center"/>
          </w:tcPr>
          <w:p w14:paraId="6AA00FEF" w14:textId="77777777" w:rsidR="009E04F9" w:rsidRDefault="00000000">
            <w:r>
              <w:t>Return on assets</w:t>
            </w:r>
          </w:p>
        </w:tc>
        <w:tc>
          <w:tcPr>
            <w:tcW w:w="1805" w:type="dxa"/>
            <w:vAlign w:val="center"/>
          </w:tcPr>
          <w:p w14:paraId="1990368B" w14:textId="77777777" w:rsidR="009E04F9" w:rsidRDefault="00000000">
            <w:pPr>
              <w:jc w:val="center"/>
            </w:pPr>
            <w:r>
              <w:t>1.33 (0.354)</w:t>
            </w:r>
          </w:p>
        </w:tc>
        <w:tc>
          <w:tcPr>
            <w:tcW w:w="1805" w:type="dxa"/>
            <w:vAlign w:val="center"/>
          </w:tcPr>
          <w:p w14:paraId="4C89297E" w14:textId="77777777" w:rsidR="009E04F9" w:rsidRDefault="00000000">
            <w:pPr>
              <w:jc w:val="center"/>
            </w:pPr>
            <w:r>
              <w:t>1.32 (0.259)</w:t>
            </w:r>
          </w:p>
        </w:tc>
        <w:tc>
          <w:tcPr>
            <w:tcW w:w="1805" w:type="dxa"/>
            <w:vAlign w:val="center"/>
          </w:tcPr>
          <w:p w14:paraId="4509AD0D" w14:textId="77777777" w:rsidR="009E04F9" w:rsidRDefault="00000000">
            <w:pPr>
              <w:jc w:val="center"/>
            </w:pPr>
            <w:r>
              <w:t>1.46 (0.085)</w:t>
            </w:r>
          </w:p>
        </w:tc>
        <w:tc>
          <w:tcPr>
            <w:tcW w:w="1805" w:type="dxa"/>
            <w:vAlign w:val="center"/>
          </w:tcPr>
          <w:p w14:paraId="1F40A33E" w14:textId="77777777" w:rsidR="009E04F9" w:rsidRDefault="00000000">
            <w:pPr>
              <w:jc w:val="center"/>
            </w:pPr>
            <w:r>
              <w:t>0.333 (0.163)</w:t>
            </w:r>
          </w:p>
        </w:tc>
      </w:tr>
      <w:tr w:rsidR="009E04F9" w14:paraId="1E6F419B" w14:textId="77777777">
        <w:trPr>
          <w:cantSplit/>
          <w:jc w:val="center"/>
        </w:trPr>
        <w:tc>
          <w:tcPr>
            <w:tcW w:w="1805" w:type="dxa"/>
            <w:vAlign w:val="center"/>
          </w:tcPr>
          <w:p w14:paraId="15BB0854" w14:textId="77777777" w:rsidR="009E04F9" w:rsidRDefault="00000000">
            <w:r>
              <w:t>Firm size</w:t>
            </w:r>
          </w:p>
        </w:tc>
        <w:tc>
          <w:tcPr>
            <w:tcW w:w="1805" w:type="dxa"/>
            <w:vAlign w:val="center"/>
          </w:tcPr>
          <w:p w14:paraId="433B4121" w14:textId="77777777" w:rsidR="009E04F9" w:rsidRDefault="00000000">
            <w:pPr>
              <w:jc w:val="center"/>
            </w:pPr>
            <w:r>
              <w:t>0.89 (0.516)</w:t>
            </w:r>
          </w:p>
        </w:tc>
        <w:tc>
          <w:tcPr>
            <w:tcW w:w="1805" w:type="dxa"/>
            <w:vAlign w:val="center"/>
          </w:tcPr>
          <w:p w14:paraId="533E54D2" w14:textId="77777777" w:rsidR="009E04F9" w:rsidRDefault="00000000">
            <w:pPr>
              <w:jc w:val="center"/>
            </w:pPr>
            <w:r>
              <w:t>0.90 (0.524)</w:t>
            </w:r>
          </w:p>
        </w:tc>
        <w:tc>
          <w:tcPr>
            <w:tcW w:w="1805" w:type="dxa"/>
            <w:vAlign w:val="center"/>
          </w:tcPr>
          <w:p w14:paraId="1948E138" w14:textId="77777777" w:rsidR="009E04F9" w:rsidRDefault="00000000">
            <w:pPr>
              <w:jc w:val="center"/>
            </w:pPr>
            <w:r>
              <w:t>0.07 (0.029)</w:t>
            </w:r>
          </w:p>
        </w:tc>
        <w:tc>
          <w:tcPr>
            <w:tcW w:w="1805" w:type="dxa"/>
            <w:vAlign w:val="center"/>
          </w:tcPr>
          <w:p w14:paraId="1BF4EE86" w14:textId="77777777" w:rsidR="009E04F9" w:rsidRDefault="00000000">
            <w:pPr>
              <w:jc w:val="center"/>
            </w:pPr>
            <w:r>
              <w:t>-0.021 (0.847)</w:t>
            </w:r>
          </w:p>
        </w:tc>
      </w:tr>
      <w:tr w:rsidR="009E04F9" w14:paraId="4FB32142" w14:textId="77777777">
        <w:trPr>
          <w:cantSplit/>
          <w:jc w:val="center"/>
        </w:trPr>
        <w:tc>
          <w:tcPr>
            <w:tcW w:w="1805" w:type="dxa"/>
            <w:vAlign w:val="center"/>
          </w:tcPr>
          <w:p w14:paraId="2D349041" w14:textId="77777777" w:rsidR="009E04F9" w:rsidRDefault="00000000">
            <w:r>
              <w:t>Big Four audit</w:t>
            </w:r>
          </w:p>
        </w:tc>
        <w:tc>
          <w:tcPr>
            <w:tcW w:w="1805" w:type="dxa"/>
            <w:vAlign w:val="center"/>
          </w:tcPr>
          <w:p w14:paraId="548EE940" w14:textId="77777777" w:rsidR="009E04F9" w:rsidRDefault="00000000">
            <w:pPr>
              <w:jc w:val="center"/>
            </w:pPr>
            <w:r>
              <w:t>0.78 (0.482)</w:t>
            </w:r>
          </w:p>
        </w:tc>
        <w:tc>
          <w:tcPr>
            <w:tcW w:w="1805" w:type="dxa"/>
            <w:vAlign w:val="center"/>
          </w:tcPr>
          <w:p w14:paraId="09971BB6" w14:textId="77777777" w:rsidR="009E04F9" w:rsidRDefault="00000000">
            <w:pPr>
              <w:jc w:val="center"/>
            </w:pPr>
            <w:r>
              <w:t>0.94 (0.858)</w:t>
            </w:r>
          </w:p>
        </w:tc>
        <w:tc>
          <w:tcPr>
            <w:tcW w:w="1805" w:type="dxa"/>
            <w:vAlign w:val="center"/>
          </w:tcPr>
          <w:p w14:paraId="050ED855" w14:textId="77777777" w:rsidR="009E04F9" w:rsidRDefault="00000000">
            <w:pPr>
              <w:jc w:val="center"/>
            </w:pPr>
            <w:r>
              <w:t>3.08 (0.085)</w:t>
            </w:r>
          </w:p>
        </w:tc>
        <w:tc>
          <w:tcPr>
            <w:tcW w:w="1805" w:type="dxa"/>
            <w:vAlign w:val="center"/>
          </w:tcPr>
          <w:p w14:paraId="258DE5BC" w14:textId="77777777" w:rsidR="009E04F9" w:rsidRDefault="00000000">
            <w:pPr>
              <w:jc w:val="center"/>
            </w:pPr>
            <w:r>
              <w:t>-0.222 (0.342)</w:t>
            </w:r>
          </w:p>
        </w:tc>
      </w:tr>
    </w:tbl>
    <w:p w14:paraId="260FB127" w14:textId="77777777" w:rsidR="009E04F9" w:rsidRDefault="00000000">
      <w:pPr>
        <w:jc w:val="both"/>
      </w:pPr>
      <w:r>
        <w:rPr>
          <w:i/>
        </w:rPr>
        <w:t xml:space="preserve">Notes: The lagged models retain only consecutive one-year observations (N = 298). The conditional fixed-effects logit uses 292 observations across 39 firms after dropping a firm with no within-firm variation in MFLAG. Year effects are included in all models. The continuous-outcome model uses the </w:t>
      </w:r>
      <w:proofErr w:type="spellStart"/>
      <w:r>
        <w:rPr>
          <w:i/>
        </w:rPr>
        <w:t>winsorised</w:t>
      </w:r>
      <w:proofErr w:type="spellEnd"/>
      <w:r>
        <w:rPr>
          <w:i/>
        </w:rPr>
        <w:t xml:space="preserve"> </w:t>
      </w:r>
      <w:proofErr w:type="spellStart"/>
      <w:r>
        <w:rPr>
          <w:i/>
        </w:rPr>
        <w:t>Beneish</w:t>
      </w:r>
      <w:proofErr w:type="spellEnd"/>
      <w:r>
        <w:rPr>
          <w:i/>
        </w:rPr>
        <w:t xml:space="preserve"> M-Score.</w:t>
      </w:r>
    </w:p>
    <w:p w14:paraId="430BE648" w14:textId="77777777" w:rsidR="009E04F9" w:rsidRDefault="00000000">
      <w:pPr>
        <w:keepNext/>
        <w:spacing w:before="80"/>
      </w:pPr>
      <w:r>
        <w:rPr>
          <w:b/>
        </w:rPr>
        <w:t>4.5 Exploratory comparison with reported restatements</w:t>
      </w:r>
    </w:p>
    <w:p w14:paraId="3A8E2C14" w14:textId="77777777" w:rsidR="009E04F9" w:rsidRDefault="00000000">
      <w:pPr>
        <w:jc w:val="both"/>
      </w:pPr>
      <w:r>
        <w:t xml:space="preserve">The dataset contains an </w:t>
      </w:r>
      <w:proofErr w:type="spellStart"/>
      <w:r>
        <w:t>Error_Restated</w:t>
      </w:r>
      <w:proofErr w:type="spellEnd"/>
      <w:r>
        <w:t xml:space="preserve"> indicator, which provides a limited external comparison for the </w:t>
      </w:r>
      <w:proofErr w:type="spellStart"/>
      <w:r>
        <w:t>Beneish</w:t>
      </w:r>
      <w:proofErr w:type="spellEnd"/>
      <w:r>
        <w:t xml:space="preserve"> classification. Nineteen firm-years are coded as restated, but only four of those 19 observations are simultaneously </w:t>
      </w:r>
      <w:proofErr w:type="spellStart"/>
      <w:r>
        <w:t>Beneish</w:t>
      </w:r>
      <w:proofErr w:type="spellEnd"/>
      <w:r>
        <w:t xml:space="preserve">-flagged. </w:t>
      </w:r>
      <w:r>
        <w:rPr>
          <w:highlight w:val="yellow"/>
        </w:rPr>
        <w:t>Fisher's exact test</w:t>
      </w:r>
      <w:r>
        <w:t xml:space="preserve"> yields an odds ratio of 0.50 and p = 0.319. The absence of a positive statistical association should not be interpreted as evidence against the </w:t>
      </w:r>
      <w:proofErr w:type="spellStart"/>
      <w:r>
        <w:t>Beneish</w:t>
      </w:r>
      <w:proofErr w:type="spellEnd"/>
      <w:r>
        <w:t xml:space="preserve"> model because restatements encompass errors, policy corrections and other events that are not synonymous with intentional manipulation. Instead, the result reinforces the conceptual decision to treat the M-Score as a probabilistic screening signal rather than verified fraud.</w:t>
      </w:r>
    </w:p>
    <w:p w14:paraId="7B3DBF86" w14:textId="77777777" w:rsidR="009E04F9" w:rsidRDefault="00000000">
      <w:pPr>
        <w:keepNext/>
        <w:pageBreakBefore/>
        <w:spacing w:before="80"/>
      </w:pPr>
      <w:r>
        <w:rPr>
          <w:b/>
        </w:rPr>
        <w:lastRenderedPageBreak/>
        <w:t>4.6 Hypothesis assessment</w:t>
      </w:r>
    </w:p>
    <w:p w14:paraId="0AE963BB" w14:textId="77777777" w:rsidR="009E04F9" w:rsidRDefault="00000000">
      <w:pPr>
        <w:keepNext/>
        <w:spacing w:before="80"/>
        <w:jc w:val="both"/>
      </w:pPr>
      <w:r>
        <w:rPr>
          <w:b/>
        </w:rPr>
        <w:t>Table 6. Hypothesis assessment</w:t>
      </w:r>
    </w:p>
    <w:tbl>
      <w:tblPr>
        <w:tblStyle w:val="TableGrid"/>
        <w:tblW w:w="0" w:type="auto"/>
        <w:jc w:val="center"/>
        <w:tblLayout w:type="fixed"/>
        <w:tblLook w:val="04A0" w:firstRow="1" w:lastRow="0" w:firstColumn="1" w:lastColumn="0" w:noHBand="0" w:noVBand="1"/>
      </w:tblPr>
      <w:tblGrid>
        <w:gridCol w:w="2232"/>
        <w:gridCol w:w="1805"/>
        <w:gridCol w:w="1805"/>
        <w:gridCol w:w="1805"/>
        <w:gridCol w:w="2217"/>
      </w:tblGrid>
      <w:tr w:rsidR="009E04F9" w14:paraId="0A6FF995" w14:textId="77777777">
        <w:trPr>
          <w:cantSplit/>
          <w:jc w:val="center"/>
        </w:trPr>
        <w:tc>
          <w:tcPr>
            <w:tcW w:w="2232" w:type="dxa"/>
            <w:shd w:val="clear" w:color="auto" w:fill="D9EAF7"/>
            <w:vAlign w:val="center"/>
          </w:tcPr>
          <w:p w14:paraId="36A3ADB6" w14:textId="77777777" w:rsidR="009E04F9" w:rsidRDefault="00000000">
            <w:pPr>
              <w:jc w:val="center"/>
            </w:pPr>
            <w:r>
              <w:rPr>
                <w:b/>
              </w:rPr>
              <w:t>Hypothesis</w:t>
            </w:r>
          </w:p>
        </w:tc>
        <w:tc>
          <w:tcPr>
            <w:tcW w:w="1180" w:type="dxa"/>
            <w:shd w:val="clear" w:color="auto" w:fill="D9EAF7"/>
            <w:vAlign w:val="center"/>
          </w:tcPr>
          <w:p w14:paraId="404C0279" w14:textId="77777777" w:rsidR="009E04F9" w:rsidRDefault="00000000">
            <w:pPr>
              <w:jc w:val="center"/>
            </w:pPr>
            <w:r>
              <w:rPr>
                <w:b/>
              </w:rPr>
              <w:t>Prediction</w:t>
            </w:r>
          </w:p>
        </w:tc>
        <w:tc>
          <w:tcPr>
            <w:tcW w:w="1612" w:type="dxa"/>
            <w:shd w:val="clear" w:color="auto" w:fill="D9EAF7"/>
            <w:vAlign w:val="center"/>
          </w:tcPr>
          <w:p w14:paraId="3F07B040" w14:textId="77777777" w:rsidR="009E04F9" w:rsidRDefault="00000000">
            <w:pPr>
              <w:jc w:val="center"/>
            </w:pPr>
            <w:r>
              <w:rPr>
                <w:b/>
              </w:rPr>
              <w:t>Main GEE</w:t>
            </w:r>
          </w:p>
        </w:tc>
        <w:tc>
          <w:tcPr>
            <w:tcW w:w="1612" w:type="dxa"/>
            <w:shd w:val="clear" w:color="auto" w:fill="D9EAF7"/>
            <w:vAlign w:val="center"/>
          </w:tcPr>
          <w:p w14:paraId="25016E5A" w14:textId="77777777" w:rsidR="009E04F9" w:rsidRDefault="00000000">
            <w:pPr>
              <w:jc w:val="center"/>
            </w:pPr>
            <w:r>
              <w:rPr>
                <w:b/>
              </w:rPr>
              <w:t>Lagged GEE</w:t>
            </w:r>
          </w:p>
        </w:tc>
        <w:tc>
          <w:tcPr>
            <w:tcW w:w="2217" w:type="dxa"/>
            <w:shd w:val="clear" w:color="auto" w:fill="D9EAF7"/>
            <w:vAlign w:val="center"/>
          </w:tcPr>
          <w:p w14:paraId="42F34A23" w14:textId="77777777" w:rsidR="009E04F9" w:rsidRDefault="00000000">
            <w:pPr>
              <w:jc w:val="center"/>
            </w:pPr>
            <w:r>
              <w:rPr>
                <w:b/>
              </w:rPr>
              <w:t>Assessment</w:t>
            </w:r>
          </w:p>
        </w:tc>
      </w:tr>
      <w:tr w:rsidR="009E04F9" w14:paraId="400E1E1B" w14:textId="77777777">
        <w:trPr>
          <w:cantSplit/>
          <w:jc w:val="center"/>
        </w:trPr>
        <w:tc>
          <w:tcPr>
            <w:tcW w:w="1805" w:type="dxa"/>
            <w:vAlign w:val="center"/>
          </w:tcPr>
          <w:p w14:paraId="04C68CF1" w14:textId="77777777" w:rsidR="009E04F9" w:rsidRDefault="00000000">
            <w:r>
              <w:t>H1: Asset growth</w:t>
            </w:r>
          </w:p>
        </w:tc>
        <w:tc>
          <w:tcPr>
            <w:tcW w:w="1805" w:type="dxa"/>
            <w:vAlign w:val="center"/>
          </w:tcPr>
          <w:p w14:paraId="5019BBC9" w14:textId="77777777" w:rsidR="009E04F9" w:rsidRDefault="00000000">
            <w:pPr>
              <w:jc w:val="center"/>
            </w:pPr>
            <w:r>
              <w:t>Positive</w:t>
            </w:r>
          </w:p>
        </w:tc>
        <w:tc>
          <w:tcPr>
            <w:tcW w:w="1805" w:type="dxa"/>
            <w:vAlign w:val="center"/>
          </w:tcPr>
          <w:p w14:paraId="0645FDBE" w14:textId="77777777" w:rsidR="009E04F9" w:rsidRDefault="00000000">
            <w:pPr>
              <w:jc w:val="center"/>
            </w:pPr>
            <w:r>
              <w:t>Positive; p = .047</w:t>
            </w:r>
          </w:p>
        </w:tc>
        <w:tc>
          <w:tcPr>
            <w:tcW w:w="1805" w:type="dxa"/>
            <w:vAlign w:val="center"/>
          </w:tcPr>
          <w:p w14:paraId="46240ED5" w14:textId="77777777" w:rsidR="009E04F9" w:rsidRDefault="00000000">
            <w:pPr>
              <w:jc w:val="center"/>
            </w:pPr>
            <w:r>
              <w:t>p = .885</w:t>
            </w:r>
          </w:p>
        </w:tc>
        <w:tc>
          <w:tcPr>
            <w:tcW w:w="1805" w:type="dxa"/>
            <w:vAlign w:val="center"/>
          </w:tcPr>
          <w:p w14:paraId="7059CCAE" w14:textId="77777777" w:rsidR="009E04F9" w:rsidRDefault="00000000">
            <w:r>
              <w:t>Same-period only</w:t>
            </w:r>
          </w:p>
        </w:tc>
      </w:tr>
      <w:tr w:rsidR="009E04F9" w14:paraId="04AD0654" w14:textId="77777777">
        <w:trPr>
          <w:cantSplit/>
          <w:jc w:val="center"/>
        </w:trPr>
        <w:tc>
          <w:tcPr>
            <w:tcW w:w="1805" w:type="dxa"/>
            <w:vAlign w:val="center"/>
          </w:tcPr>
          <w:p w14:paraId="78A5C50D" w14:textId="77777777" w:rsidR="009E04F9" w:rsidRDefault="00000000">
            <w:r>
              <w:t>H2: Board independence</w:t>
            </w:r>
          </w:p>
        </w:tc>
        <w:tc>
          <w:tcPr>
            <w:tcW w:w="1805" w:type="dxa"/>
            <w:vAlign w:val="center"/>
          </w:tcPr>
          <w:p w14:paraId="0A857C5C" w14:textId="77777777" w:rsidR="009E04F9" w:rsidRDefault="00000000">
            <w:pPr>
              <w:jc w:val="center"/>
            </w:pPr>
            <w:r>
              <w:t>Negative</w:t>
            </w:r>
          </w:p>
        </w:tc>
        <w:tc>
          <w:tcPr>
            <w:tcW w:w="1805" w:type="dxa"/>
            <w:vAlign w:val="center"/>
          </w:tcPr>
          <w:p w14:paraId="3E0099FB" w14:textId="77777777" w:rsidR="009E04F9" w:rsidRDefault="00000000">
            <w:pPr>
              <w:jc w:val="center"/>
            </w:pPr>
            <w:r>
              <w:t>Negative; p = .073</w:t>
            </w:r>
          </w:p>
        </w:tc>
        <w:tc>
          <w:tcPr>
            <w:tcW w:w="1805" w:type="dxa"/>
            <w:vAlign w:val="center"/>
          </w:tcPr>
          <w:p w14:paraId="382013BE" w14:textId="77777777" w:rsidR="009E04F9" w:rsidRDefault="00000000">
            <w:pPr>
              <w:jc w:val="center"/>
            </w:pPr>
            <w:r>
              <w:t>Negative; p = .103</w:t>
            </w:r>
          </w:p>
        </w:tc>
        <w:tc>
          <w:tcPr>
            <w:tcW w:w="1805" w:type="dxa"/>
            <w:vAlign w:val="center"/>
          </w:tcPr>
          <w:p w14:paraId="41A22688" w14:textId="77777777" w:rsidR="009E04F9" w:rsidRDefault="00000000">
            <w:r>
              <w:t>Suggestive</w:t>
            </w:r>
          </w:p>
        </w:tc>
      </w:tr>
      <w:tr w:rsidR="009E04F9" w14:paraId="006679C9" w14:textId="77777777">
        <w:trPr>
          <w:cantSplit/>
          <w:jc w:val="center"/>
        </w:trPr>
        <w:tc>
          <w:tcPr>
            <w:tcW w:w="1805" w:type="dxa"/>
            <w:vAlign w:val="center"/>
          </w:tcPr>
          <w:p w14:paraId="7CD86C99" w14:textId="77777777" w:rsidR="009E04F9" w:rsidRDefault="00000000">
            <w:r>
              <w:t>H3: Managerial ownership</w:t>
            </w:r>
          </w:p>
        </w:tc>
        <w:tc>
          <w:tcPr>
            <w:tcW w:w="1805" w:type="dxa"/>
            <w:vAlign w:val="center"/>
          </w:tcPr>
          <w:p w14:paraId="15CB309B" w14:textId="77777777" w:rsidR="009E04F9" w:rsidRDefault="00000000">
            <w:pPr>
              <w:jc w:val="center"/>
            </w:pPr>
            <w:r>
              <w:t>Positive</w:t>
            </w:r>
          </w:p>
        </w:tc>
        <w:tc>
          <w:tcPr>
            <w:tcW w:w="1805" w:type="dxa"/>
            <w:vAlign w:val="center"/>
          </w:tcPr>
          <w:p w14:paraId="2F146A13" w14:textId="77777777" w:rsidR="009E04F9" w:rsidRDefault="00000000">
            <w:pPr>
              <w:jc w:val="center"/>
            </w:pPr>
            <w:r>
              <w:t>p = .375</w:t>
            </w:r>
          </w:p>
        </w:tc>
        <w:tc>
          <w:tcPr>
            <w:tcW w:w="1805" w:type="dxa"/>
            <w:vAlign w:val="center"/>
          </w:tcPr>
          <w:p w14:paraId="3D36247C" w14:textId="77777777" w:rsidR="009E04F9" w:rsidRDefault="00000000">
            <w:pPr>
              <w:jc w:val="center"/>
            </w:pPr>
            <w:r>
              <w:t>p = .318</w:t>
            </w:r>
          </w:p>
        </w:tc>
        <w:tc>
          <w:tcPr>
            <w:tcW w:w="1805" w:type="dxa"/>
            <w:vAlign w:val="center"/>
          </w:tcPr>
          <w:p w14:paraId="61226AC2" w14:textId="77777777" w:rsidR="009E04F9" w:rsidRDefault="00000000">
            <w:r>
              <w:t>Not supported</w:t>
            </w:r>
          </w:p>
        </w:tc>
      </w:tr>
      <w:tr w:rsidR="009E04F9" w14:paraId="542D9CB8" w14:textId="77777777">
        <w:trPr>
          <w:cantSplit/>
          <w:jc w:val="center"/>
        </w:trPr>
        <w:tc>
          <w:tcPr>
            <w:tcW w:w="1805" w:type="dxa"/>
            <w:vAlign w:val="center"/>
          </w:tcPr>
          <w:p w14:paraId="765AB74F" w14:textId="77777777" w:rsidR="009E04F9" w:rsidRDefault="00000000">
            <w:r>
              <w:t>H4: Auditor change</w:t>
            </w:r>
          </w:p>
        </w:tc>
        <w:tc>
          <w:tcPr>
            <w:tcW w:w="1805" w:type="dxa"/>
            <w:vAlign w:val="center"/>
          </w:tcPr>
          <w:p w14:paraId="113740BF" w14:textId="77777777" w:rsidR="009E04F9" w:rsidRDefault="00000000">
            <w:pPr>
              <w:jc w:val="center"/>
            </w:pPr>
            <w:r>
              <w:t>Positive</w:t>
            </w:r>
          </w:p>
        </w:tc>
        <w:tc>
          <w:tcPr>
            <w:tcW w:w="1805" w:type="dxa"/>
            <w:vAlign w:val="center"/>
          </w:tcPr>
          <w:p w14:paraId="0FBBA898" w14:textId="77777777" w:rsidR="009E04F9" w:rsidRDefault="00000000">
            <w:pPr>
              <w:jc w:val="center"/>
            </w:pPr>
            <w:r>
              <w:t>Positive; p = .014</w:t>
            </w:r>
          </w:p>
        </w:tc>
        <w:tc>
          <w:tcPr>
            <w:tcW w:w="1805" w:type="dxa"/>
            <w:vAlign w:val="center"/>
          </w:tcPr>
          <w:p w14:paraId="2D3F9474" w14:textId="77777777" w:rsidR="009E04F9" w:rsidRDefault="00000000">
            <w:pPr>
              <w:jc w:val="center"/>
            </w:pPr>
            <w:r>
              <w:t>p = .293; sign reverses</w:t>
            </w:r>
          </w:p>
        </w:tc>
        <w:tc>
          <w:tcPr>
            <w:tcW w:w="1805" w:type="dxa"/>
            <w:vAlign w:val="center"/>
          </w:tcPr>
          <w:p w14:paraId="7B2EF9AF" w14:textId="77777777" w:rsidR="009E04F9" w:rsidRDefault="00000000">
            <w:r>
              <w:t>Same-period only</w:t>
            </w:r>
          </w:p>
        </w:tc>
      </w:tr>
      <w:tr w:rsidR="009E04F9" w14:paraId="1C8A0AAD" w14:textId="77777777">
        <w:trPr>
          <w:cantSplit/>
          <w:jc w:val="center"/>
        </w:trPr>
        <w:tc>
          <w:tcPr>
            <w:tcW w:w="1805" w:type="dxa"/>
            <w:vAlign w:val="center"/>
          </w:tcPr>
          <w:p w14:paraId="74E21947" w14:textId="77777777" w:rsidR="009E04F9" w:rsidRDefault="00000000">
            <w:r>
              <w:t>H5: CEO financial expertise</w:t>
            </w:r>
          </w:p>
        </w:tc>
        <w:tc>
          <w:tcPr>
            <w:tcW w:w="1805" w:type="dxa"/>
            <w:vAlign w:val="center"/>
          </w:tcPr>
          <w:p w14:paraId="20F0C237" w14:textId="77777777" w:rsidR="009E04F9" w:rsidRDefault="00000000">
            <w:pPr>
              <w:jc w:val="center"/>
            </w:pPr>
            <w:r>
              <w:t>Positive</w:t>
            </w:r>
          </w:p>
        </w:tc>
        <w:tc>
          <w:tcPr>
            <w:tcW w:w="1805" w:type="dxa"/>
            <w:vAlign w:val="center"/>
          </w:tcPr>
          <w:p w14:paraId="4F57708D" w14:textId="77777777" w:rsidR="009E04F9" w:rsidRDefault="00000000">
            <w:pPr>
              <w:jc w:val="center"/>
            </w:pPr>
            <w:r>
              <w:t>p = .820</w:t>
            </w:r>
          </w:p>
        </w:tc>
        <w:tc>
          <w:tcPr>
            <w:tcW w:w="1805" w:type="dxa"/>
            <w:vAlign w:val="center"/>
          </w:tcPr>
          <w:p w14:paraId="6885B061" w14:textId="77777777" w:rsidR="009E04F9" w:rsidRDefault="00000000">
            <w:pPr>
              <w:jc w:val="center"/>
            </w:pPr>
            <w:r>
              <w:t>p = .540</w:t>
            </w:r>
          </w:p>
        </w:tc>
        <w:tc>
          <w:tcPr>
            <w:tcW w:w="1805" w:type="dxa"/>
            <w:vAlign w:val="center"/>
          </w:tcPr>
          <w:p w14:paraId="6BCC6D4D" w14:textId="77777777" w:rsidR="009E04F9" w:rsidRDefault="00000000">
            <w:r>
              <w:t>Not supported</w:t>
            </w:r>
          </w:p>
        </w:tc>
      </w:tr>
    </w:tbl>
    <w:p w14:paraId="76C8514E" w14:textId="77777777" w:rsidR="009E04F9" w:rsidRDefault="00000000">
      <w:pPr>
        <w:keepNext/>
        <w:spacing w:before="120"/>
        <w:jc w:val="both"/>
      </w:pPr>
      <w:r>
        <w:rPr>
          <w:b/>
        </w:rPr>
        <w:t>5. Discussion</w:t>
      </w:r>
    </w:p>
    <w:p w14:paraId="7DE421F5" w14:textId="77777777" w:rsidR="009E04F9" w:rsidRDefault="00000000">
      <w:pPr>
        <w:keepNext/>
        <w:spacing w:before="80"/>
      </w:pPr>
      <w:r>
        <w:rPr>
          <w:b/>
        </w:rPr>
        <w:t>5.1 Pressure and the role of asset growth</w:t>
      </w:r>
    </w:p>
    <w:p w14:paraId="33F7A153" w14:textId="77777777" w:rsidR="009E04F9" w:rsidRDefault="00000000">
      <w:pPr>
        <w:jc w:val="both"/>
      </w:pPr>
      <w:r>
        <w:t xml:space="preserve">The positive contemporaneous association between asset growth and the </w:t>
      </w:r>
      <w:proofErr w:type="spellStart"/>
      <w:r>
        <w:t>Beneish</w:t>
      </w:r>
      <w:proofErr w:type="spellEnd"/>
      <w:r>
        <w:t xml:space="preserve"> manipulation flag is consistent with the pressure component of Fraud Diamond Theory. Rapid expansion can create financing needs, operational complexity and expectations that management will sustain prior performance, while contraction can generate incentives to obscure deterioration. The result accords with the broader evidence that financial and performance pressures are associated with misreporting risk (</w:t>
      </w:r>
      <w:hyperlink w:anchor="ref_Burns_2006" w:history="1">
        <w:r w:rsidR="009E04F9">
          <w:rPr>
            <w:szCs w:val="24"/>
          </w:rPr>
          <w:t>Burns &amp; Kedia, 2006</w:t>
        </w:r>
      </w:hyperlink>
      <w:r>
        <w:t xml:space="preserve">; </w:t>
      </w:r>
      <w:hyperlink w:anchor="ref_Efendi_2007" w:history="1">
        <w:r w:rsidR="009E04F9">
          <w:rPr>
            <w:szCs w:val="24"/>
          </w:rPr>
          <w:t>Efendi et al., 2007</w:t>
        </w:r>
      </w:hyperlink>
      <w:r>
        <w:t xml:space="preserve">; </w:t>
      </w:r>
      <w:hyperlink w:anchor="ref_Skousen_2009" w:history="1">
        <w:r w:rsidR="009E04F9">
          <w:rPr>
            <w:szCs w:val="24"/>
          </w:rPr>
          <w:t>Skousen et al., 2009</w:t>
        </w:r>
      </w:hyperlink>
      <w:r>
        <w:t xml:space="preserve">). However, the effect disappears completely in the one-year-lagged model. This distinction is theoretically informative: unusual asset growth appears to be part of the contemporaneous environment in which the </w:t>
      </w:r>
      <w:proofErr w:type="spellStart"/>
      <w:r>
        <w:t>Beneish</w:t>
      </w:r>
      <w:proofErr w:type="spellEnd"/>
      <w:r>
        <w:t xml:space="preserve"> signal arises, but it does not provide durable one-year-ahead predictive information in this sample. The evidence therefore supports interpreting ACHANGE as a concurrent risk indicator rather than a causal driver. The same caution is reinforced by Ho et al. (2026), who find ACHANGE informative across two fraud-screening models in Vietnam, but such cross-country evidence remains associational and model-dependent.</w:t>
      </w:r>
    </w:p>
    <w:p w14:paraId="3DF4C797" w14:textId="77777777" w:rsidR="009E04F9" w:rsidRDefault="00000000">
      <w:pPr>
        <w:keepNext/>
        <w:spacing w:before="80"/>
      </w:pPr>
      <w:r>
        <w:rPr>
          <w:b/>
        </w:rPr>
        <w:t>5.2 Board monitoring and managerial ownership</w:t>
      </w:r>
    </w:p>
    <w:p w14:paraId="7299CEE8" w14:textId="77777777" w:rsidR="009E04F9" w:rsidRDefault="00000000">
      <w:pPr>
        <w:jc w:val="both"/>
      </w:pPr>
      <w:r>
        <w:t>The negative BDOUT coefficient is directionally consistent with monitoring theory and with evidence linking stronger board oversight to better financial-reporting outcomes (</w:t>
      </w:r>
      <w:hyperlink w:anchor="ref_Beasley_1996" w:history="1">
        <w:r w:rsidR="009E04F9">
          <w:rPr>
            <w:szCs w:val="24"/>
          </w:rPr>
          <w:t xml:space="preserve">Beasley, </w:t>
        </w:r>
        <w:r w:rsidR="009E04F9">
          <w:rPr>
            <w:szCs w:val="24"/>
          </w:rPr>
          <w:lastRenderedPageBreak/>
          <w:t>1996</w:t>
        </w:r>
      </w:hyperlink>
      <w:r>
        <w:t xml:space="preserve">; </w:t>
      </w:r>
      <w:hyperlink w:anchor="ref_Beasley_2000" w:history="1">
        <w:r w:rsidR="009E04F9">
          <w:rPr>
            <w:szCs w:val="24"/>
          </w:rPr>
          <w:t>Beasley et al., 2000</w:t>
        </w:r>
      </w:hyperlink>
      <w:r>
        <w:t xml:space="preserve">; </w:t>
      </w:r>
      <w:hyperlink w:anchor="ref_Klein_2002" w:history="1">
        <w:r w:rsidR="009E04F9">
          <w:rPr>
            <w:szCs w:val="24"/>
          </w:rPr>
          <w:t>Klein, 2002</w:t>
        </w:r>
      </w:hyperlink>
      <w:r>
        <w:t xml:space="preserve">; </w:t>
      </w:r>
      <w:hyperlink w:anchor="ref_Xie_2003" w:history="1">
        <w:r w:rsidR="009E04F9">
          <w:rPr>
            <w:szCs w:val="24"/>
          </w:rPr>
          <w:t>Xie et al., 2003</w:t>
        </w:r>
      </w:hyperlink>
      <w:r>
        <w:t xml:space="preserve">). Yet the association is only marginal in the main GEE and weakens further when the board ratio is lagged or reconstructed directly from the raw non-executive-director fields. This suggests that formal board composition alone is insufficient to explain manipulation risk. The quality of challenge, meeting activity, financial expertise, committee design and access to information may matter more than the numerical proportion of outside or independent directors. </w:t>
      </w:r>
      <w:hyperlink w:anchor="ref_Farber_2005" w:history="1">
        <w:r w:rsidR="009E04F9">
          <w:rPr>
            <w:szCs w:val="24"/>
          </w:rPr>
          <w:t>Farber (2005)</w:t>
        </w:r>
      </w:hyperlink>
      <w:r>
        <w:t xml:space="preserve"> similarly shows that the credibility benefits of governance improvements depend on substantive governance changes rather than labels alone. More recent evidence from Nigeria and other emerging markets similarly links substantive governance features, including committee expertise and board independence, to lower earnings management or manipulation risk (Khan &amp; Kamal, 2024; Musa et al., 2025; Chepkorir et al., 2026).</w:t>
      </w:r>
    </w:p>
    <w:p w14:paraId="11A39F6F" w14:textId="77777777" w:rsidR="009E04F9" w:rsidRDefault="00000000">
      <w:pPr>
        <w:jc w:val="both"/>
      </w:pPr>
      <w:r>
        <w:t xml:space="preserve">Managerial ownership is not significantly associated with the manipulation flag in any principal specification. This null result is consistent with the theoretical ambiguity between alignment and entrenchment. </w:t>
      </w:r>
      <w:hyperlink w:anchor="ref_Warfield_1995" w:history="1">
        <w:r w:rsidR="009E04F9">
          <w:rPr>
            <w:szCs w:val="24"/>
          </w:rPr>
          <w:t>Warfield et al. (1995)</w:t>
        </w:r>
      </w:hyperlink>
      <w:r>
        <w:t xml:space="preserve"> </w:t>
      </w:r>
      <w:proofErr w:type="spellStart"/>
      <w:r>
        <w:t>emphasise</w:t>
      </w:r>
      <w:proofErr w:type="spellEnd"/>
      <w:r>
        <w:t xml:space="preserve"> alignment benefits, whereas </w:t>
      </w:r>
      <w:hyperlink w:anchor="ref_Fan_2002" w:history="1">
        <w:r w:rsidR="009E04F9">
          <w:rPr>
            <w:szCs w:val="24"/>
          </w:rPr>
          <w:t>Fan and Wong (2002)</w:t>
        </w:r>
      </w:hyperlink>
      <w:r>
        <w:t xml:space="preserve"> show that concentrated control may reduce earnings informativeness when controlling owners possess private-benefit incentives. The Nigerian manufacturing evidence does not support a uniform entrenchment effect. One implication is that the effect of insider ownership may be nonlinear or conditional on ownership concentration, family control, institutional monitoring or board power—extensions that merit explicit testing in future research.</w:t>
      </w:r>
    </w:p>
    <w:p w14:paraId="4D281042" w14:textId="77777777" w:rsidR="009B2EF1" w:rsidRDefault="00000000">
      <w:r>
        <w:rPr>
          <w:sz w:val="20"/>
        </w:rPr>
        <w:t>This lack of a uniform effect is consistent with recent Nigerian and regional evidence. Akpadaka (2024) shows that managerial and institutional ownership have different valuation implications in NGX non-financial firms, while Edeh, Akpadaka, et al. (2025) report a positive CEO-ownership association with real earnings management only under some specifications. Together, these studies support a context-dependent interpretation of ownership rather than a simple linear entrenchment prediction.</w:t>
      </w:r>
    </w:p>
    <w:p w14:paraId="150490E4" w14:textId="77777777" w:rsidR="009E04F9" w:rsidRDefault="00000000">
      <w:pPr>
        <w:keepNext/>
        <w:spacing w:before="80"/>
      </w:pPr>
      <w:r>
        <w:rPr>
          <w:b/>
        </w:rPr>
        <w:t>5.3 Auditor change as a contemporaneous red flag</w:t>
      </w:r>
    </w:p>
    <w:p w14:paraId="6B37374B" w14:textId="77777777" w:rsidR="009E04F9" w:rsidRDefault="00000000">
      <w:pPr>
        <w:jc w:val="both"/>
      </w:pPr>
      <w:r>
        <w:t>Auditor change is the most economically pronounced contemporaneous association in the study. The result is compatible with the literature showing that auditor-switch decisions may occur around reporting disagreements, opinion-shopping incentives or changes in the auditor-client negotiation environment (</w:t>
      </w:r>
      <w:hyperlink w:anchor="ref_Lennox_2000" w:history="1">
        <w:r w:rsidR="009E04F9">
          <w:rPr>
            <w:szCs w:val="24"/>
          </w:rPr>
          <w:t>Lennox, 2000</w:t>
        </w:r>
      </w:hyperlink>
      <w:r>
        <w:t xml:space="preserve">). </w:t>
      </w:r>
      <w:hyperlink w:anchor="ref_DeFond_1998" w:history="1">
        <w:proofErr w:type="spellStart"/>
        <w:r w:rsidR="009E04F9">
          <w:rPr>
            <w:szCs w:val="24"/>
          </w:rPr>
          <w:t>DeFond</w:t>
        </w:r>
        <w:proofErr w:type="spellEnd"/>
        <w:r w:rsidR="009E04F9">
          <w:rPr>
            <w:szCs w:val="24"/>
          </w:rPr>
          <w:t xml:space="preserve"> and Subramanyam (1998)</w:t>
        </w:r>
      </w:hyperlink>
      <w:r>
        <w:t xml:space="preserve"> document systematic changes in discretionary accruals around auditor switches, while </w:t>
      </w:r>
      <w:hyperlink w:anchor="ref_Carcello_2004" w:history="1">
        <w:proofErr w:type="spellStart"/>
        <w:r w:rsidR="009E04F9">
          <w:rPr>
            <w:szCs w:val="24"/>
          </w:rPr>
          <w:t>Carcello</w:t>
        </w:r>
        <w:proofErr w:type="spellEnd"/>
        <w:r w:rsidR="009E04F9">
          <w:rPr>
            <w:szCs w:val="24"/>
          </w:rPr>
          <w:t xml:space="preserve"> and Nagy (2004)</w:t>
        </w:r>
      </w:hyperlink>
      <w:r>
        <w:t xml:space="preserve"> show that fraudulent reporting is more likely in the early years of an auditor-client relationship than during long tenure. These studies do not imply that switching auditors is itself evidence of misconduct; legitimate rotation, tendering, fee considerations and </w:t>
      </w:r>
      <w:r>
        <w:lastRenderedPageBreak/>
        <w:t>changes in business needs also produce auditor turnover. Ho et al. (2026) additionally report that auditor change is informative under the Beneish M-Score but not the F-Score, reinforcing the present interpretation of auditor turnover as a model-sensitive contextual signal rather than evidence of wrongdoing.</w:t>
      </w:r>
    </w:p>
    <w:p w14:paraId="4051287D" w14:textId="77777777" w:rsidR="009E04F9" w:rsidRDefault="00000000">
      <w:pPr>
        <w:jc w:val="both"/>
      </w:pPr>
      <w:r>
        <w:t xml:space="preserve">The disappearance and sign reversal of AC in the one-year-lagged model is therefore important. Auditor change is best understood as a same-period red flag that may coincide with financial-reporting tension rather than a predictor that independently raises subsequent manipulation risk. For regulators and audit committees, the practical implication is to </w:t>
      </w:r>
      <w:proofErr w:type="spellStart"/>
      <w:r>
        <w:t>scrutinise</w:t>
      </w:r>
      <w:proofErr w:type="spellEnd"/>
      <w:r>
        <w:t xml:space="preserve"> the reasons for auditor changes and the accompanying financial-reporting judgements, rather than treating turnover mechanically as suspicious or prescribing greater auditor continuity in every case.</w:t>
      </w:r>
    </w:p>
    <w:p w14:paraId="048B2126" w14:textId="77777777" w:rsidR="009E04F9" w:rsidRDefault="00000000">
      <w:pPr>
        <w:keepNext/>
        <w:spacing w:before="80"/>
      </w:pPr>
      <w:r>
        <w:rPr>
          <w:b/>
        </w:rPr>
        <w:t>5.4 Capability and CEO financial expertise</w:t>
      </w:r>
    </w:p>
    <w:p w14:paraId="68836B32" w14:textId="77777777" w:rsidR="009E04F9" w:rsidRDefault="00000000">
      <w:pPr>
        <w:jc w:val="both"/>
      </w:pPr>
      <w:r>
        <w:t xml:space="preserve">The study finds no evidence that CEO financial expertise increases </w:t>
      </w:r>
      <w:proofErr w:type="spellStart"/>
      <w:r>
        <w:t>Beneish</w:t>
      </w:r>
      <w:proofErr w:type="spellEnd"/>
      <w:r>
        <w:t xml:space="preserve">-flagged manipulation risk. This result is consistent with the competing view that financial knowledge can strengthen reporting quality rather than simply increase capability to manipulate. </w:t>
      </w:r>
      <w:hyperlink w:anchor="ref_Jiang_2013" w:history="1">
        <w:r w:rsidR="009E04F9">
          <w:rPr>
            <w:szCs w:val="24"/>
          </w:rPr>
          <w:t>Jiang et al. (2013)</w:t>
        </w:r>
      </w:hyperlink>
      <w:r>
        <w:t xml:space="preserve"> find that financially experienced CEOs engage in less real earnings management and find no evidence of greater accrual manipulation. In the present panel, the Cap indicator is time-invariant within firms even though named CEOs change in some observations. The variable therefore behaves more like a firm-level classification than a fully responsive CEO-year characteristic. The null finding should consequently not be treated as a decisive test of </w:t>
      </w:r>
      <w:hyperlink w:anchor="ref_Wolfe_2004" w:history="1">
        <w:r w:rsidR="009E04F9">
          <w:rPr>
            <w:szCs w:val="24"/>
          </w:rPr>
          <w:t>Wolfe and Hermanson's</w:t>
        </w:r>
      </w:hyperlink>
      <w:r>
        <w:t xml:space="preserve"> capability construct, which is broader than financial education and includes </w:t>
      </w:r>
      <w:proofErr w:type="spellStart"/>
      <w:r>
        <w:t>organisational</w:t>
      </w:r>
      <w:proofErr w:type="spellEnd"/>
      <w:r>
        <w:t xml:space="preserve"> position, confidence, coercive capacity and the ability to conceal misconduct.</w:t>
      </w:r>
    </w:p>
    <w:p w14:paraId="14B44671" w14:textId="77777777" w:rsidR="009B2EF1" w:rsidRDefault="00000000">
      <w:r>
        <w:rPr>
          <w:sz w:val="20"/>
        </w:rPr>
        <w:t>The result does not imply that executive characteristics are irrelevant to reporting behaviour. Edeh, Akpadaka, et al. (2025) document significant relationships for selected CEO characteristics in Sub-Saharan African manufacturing firms, but their evidence also varies by estimator and characteristic. The present null result should therefore be read more narrowly as evidence against this particular financial-expertise proxy, not as a rejection of executive-level capability mechanisms generally.</w:t>
      </w:r>
    </w:p>
    <w:p w14:paraId="62FF1864" w14:textId="77777777" w:rsidR="009E04F9" w:rsidRDefault="00000000">
      <w:pPr>
        <w:keepNext/>
        <w:spacing w:before="80"/>
      </w:pPr>
      <w:r>
        <w:rPr>
          <w:b/>
        </w:rPr>
        <w:t>5.5 Theoretical and methodological implications</w:t>
      </w:r>
    </w:p>
    <w:p w14:paraId="6F57AF22" w14:textId="77777777" w:rsidR="009E04F9" w:rsidRDefault="00000000">
      <w:pPr>
        <w:jc w:val="both"/>
      </w:pPr>
      <w:r>
        <w:t xml:space="preserve">The evidence refines rather than simply validates Fraud Diamond Theory. The four theoretical dimensions do not exhibit equal empirical content when translated into archival proxies. Pressure and auditor-environment indicators are informative contemporaneously; formal governance and managerial ownership are weaker; and the available capability proxy is uninformative. This pattern cautions against treating the Fraud Diamond as a checklist in </w:t>
      </w:r>
      <w:r>
        <w:lastRenderedPageBreak/>
        <w:t xml:space="preserve">which any accounting proxy is presumed to measure the corresponding psychological construct. Archival variables are risk indicators, not direct observations of pressure, </w:t>
      </w:r>
      <w:proofErr w:type="spellStart"/>
      <w:r>
        <w:t>rationalisation</w:t>
      </w:r>
      <w:proofErr w:type="spellEnd"/>
      <w:r>
        <w:t xml:space="preserve"> or capability.</w:t>
      </w:r>
    </w:p>
    <w:p w14:paraId="11E6A065" w14:textId="77777777" w:rsidR="009E04F9" w:rsidRDefault="00000000">
      <w:pPr>
        <w:jc w:val="both"/>
      </w:pPr>
      <w:r>
        <w:t>A further contribution lies in the study's longitudinal empirical design. The contrast between the contemporaneous and lagged estimates shows that statistical association in the reporting year should not automatically be interpreted as forward predictive power. Asset growth and auditor change are informative contemporaneous signals, but neither retains significance when measured one year earlier. This distinction between detection and prediction is important for Fraud Diamond research and for regulators or auditors seeking to use archival indicators as early-warning tools.</w:t>
      </w:r>
    </w:p>
    <w:p w14:paraId="57A3EBAD" w14:textId="77777777" w:rsidR="009E04F9" w:rsidRDefault="00000000">
      <w:pPr>
        <w:jc w:val="both"/>
      </w:pPr>
      <w:r>
        <w:t>Finally, the difference between contemporaneous and lagged results highlights a distinction between detection and prediction. A variable can be useful for identifying firm-years that warrant immediate scrutiny without reliably predicting manipulation a year later. Fraud-screening research should therefore be explicit about the temporal objective of a model and should not infer predictive capacity from same-period statistical significance.</w:t>
      </w:r>
    </w:p>
    <w:p w14:paraId="46953366" w14:textId="77777777" w:rsidR="009E04F9" w:rsidRDefault="00000000">
      <w:pPr>
        <w:keepNext/>
        <w:spacing w:before="80"/>
      </w:pPr>
      <w:r>
        <w:rPr>
          <w:b/>
        </w:rPr>
        <w:t>5.6 Practical implications</w:t>
      </w:r>
    </w:p>
    <w:p w14:paraId="64E1AAF1" w14:textId="77777777" w:rsidR="009E04F9" w:rsidRDefault="00000000">
      <w:pPr>
        <w:jc w:val="both"/>
      </w:pPr>
      <w:r>
        <w:t>For the Financial Reporting Council of Nigeria, the Securities and Exchange Commission, the NGX, audit committees and external auditors, the results support a risk-based rather than deterministic use of red flags. Unusually rapid asset growth and contemporaneous auditor changes may justify enhanced analytical review, particularly when they occur together with other unusual financial-statement relationships. Neither variable should be treated as proof of manipulation. The AUC of 0.703 confirms that the model has moderate discrimination but is not sufficiently accurate to function as a stand-alone enforcement or audit decision rule.</w:t>
      </w:r>
    </w:p>
    <w:p w14:paraId="4067C60E" w14:textId="77777777" w:rsidR="009E04F9" w:rsidRDefault="00000000">
      <w:pPr>
        <w:jc w:val="both"/>
      </w:pPr>
      <w:r>
        <w:t>Boards should also focus on the substance of monitoring rather than numerical independence alone. The weak negative board effect suggests potential benefits from stronger monitoring, but the evidence does not justify the claim that increasing the proportion of independent directors mechanically reduces manipulation. Director expertise, attendance, committee activity, access to information and willingness to challenge management are likely to determine whether formal independence translates into effective oversight. Similarly, the study provides no empirical basis for recommending higher managerial ownership or treating CEO financial expertise as inherently risky.</w:t>
      </w:r>
    </w:p>
    <w:p w14:paraId="6825CD24" w14:textId="77777777" w:rsidR="009E04F9" w:rsidRDefault="00000000">
      <w:pPr>
        <w:keepNext/>
        <w:spacing w:before="120"/>
        <w:jc w:val="both"/>
      </w:pPr>
      <w:r>
        <w:rPr>
          <w:b/>
        </w:rPr>
        <w:lastRenderedPageBreak/>
        <w:t>6. Conclusion</w:t>
      </w:r>
    </w:p>
    <w:p w14:paraId="0D3BD7EA" w14:textId="77777777" w:rsidR="009E04F9" w:rsidRDefault="00000000">
      <w:pPr>
        <w:jc w:val="both"/>
      </w:pPr>
      <w:r>
        <w:t xml:space="preserve">This study examines associations between observable Fraud Diamond indicators and Beneish-flagged earnings-manipulation risk among listed Nigerian manufacturing companies using panel-data methods. Based on 340 firm-year observations from 40 firms </w:t>
      </w:r>
      <w:r>
        <w:rPr>
          <w:highlight w:val="yellow"/>
        </w:rPr>
        <w:t>over 2014–2022</w:t>
      </w:r>
      <w:r>
        <w:t>, the population-averaged GEE results show that asset growth and auditor change are positively associated with contemporaneous Beneish flags, while board monitoring provides weaker negative evidence. Managerial ownership and CEO financial expertise do not display statistically significant associations.</w:t>
      </w:r>
    </w:p>
    <w:p w14:paraId="4BD6ECD2" w14:textId="77777777" w:rsidR="009E04F9" w:rsidRDefault="00000000">
      <w:pPr>
        <w:jc w:val="both"/>
      </w:pPr>
      <w:r>
        <w:t>The temporal robustness tests substantially qualify these results. None of the five Fraud Diamond indicators predicts the manipulation flag reliably one year ahead, and conditional firm fixed-effects estimates similarly provide little support for persistent within-firm effects. The most defensible conclusion is therefore not that asset growth and auditor change "cause" financial shenanigans, but that they operate as contemporaneous signals that can help identify firm-years requiring closer scrutiny. This distinction between detection and prediction is central to the study's contribution.</w:t>
      </w:r>
    </w:p>
    <w:p w14:paraId="0F4812B4" w14:textId="77777777" w:rsidR="009E04F9" w:rsidRDefault="00000000">
      <w:pPr>
        <w:jc w:val="both"/>
      </w:pPr>
      <w:r>
        <w:t>The study contributes to the emerging-market fraud literature in three ways. It provides multi-year evidence on financial shenanigans in Nigeria's listed manufacturing sector; it shows that observable Fraud Diamond indicators differ materially in their empirical informativeness; and it demonstrates that contemporaneous warning signals do not necessarily translate into one-year-ahead predictive effects. These findings support a more discriminating use of Fraud Diamond indicators in archival research and practical financial-reporting surveillance.</w:t>
      </w:r>
    </w:p>
    <w:p w14:paraId="5B0231C5" w14:textId="77777777" w:rsidR="009E04F9" w:rsidRDefault="00000000">
      <w:pPr>
        <w:keepNext/>
        <w:spacing w:before="80"/>
      </w:pPr>
      <w:r>
        <w:rPr>
          <w:b/>
        </w:rPr>
        <w:t>6.1 Limitations and directions for future research</w:t>
      </w:r>
    </w:p>
    <w:p w14:paraId="7E3C3D1C" w14:textId="77777777" w:rsidR="009E04F9" w:rsidRDefault="00000000">
      <w:pPr>
        <w:jc w:val="both"/>
      </w:pPr>
      <w:r>
        <w:t xml:space="preserve">Several limitations should frame interpretation. First, the </w:t>
      </w:r>
      <w:proofErr w:type="spellStart"/>
      <w:r>
        <w:t>Beneish</w:t>
      </w:r>
      <w:proofErr w:type="spellEnd"/>
      <w:r>
        <w:t xml:space="preserve"> M-Score is a probabilistic screening tool developed in a different institutional setting and can generate both false positives and false negatives. The weak overlap between the </w:t>
      </w:r>
      <w:proofErr w:type="spellStart"/>
      <w:r>
        <w:t>Beneish</w:t>
      </w:r>
      <w:proofErr w:type="spellEnd"/>
      <w:r>
        <w:t xml:space="preserve"> flag and the small number of reported restatements in this dataset reinforces that limitation. Second, the study is restricted to listed manufacturing firms and 40 firm clusters, limiting </w:t>
      </w:r>
      <w:proofErr w:type="spellStart"/>
      <w:r>
        <w:t>generalisability</w:t>
      </w:r>
      <w:proofErr w:type="spellEnd"/>
      <w:r>
        <w:t xml:space="preserve"> and statistical power. Third, some Fraud Diamond constructs are represented by imperfect archival proxies. Auditor change is not a direct measure of </w:t>
      </w:r>
      <w:proofErr w:type="spellStart"/>
      <w:r>
        <w:t>rationalisation</w:t>
      </w:r>
      <w:proofErr w:type="spellEnd"/>
      <w:r>
        <w:t>, and CEO financial expertise is substantially narrower than the capability construct. The absence of within-firm variation in the Cap variable further limits inference. Fourth, the study remains observational; year effects, lagging and firm fixed effects reduce but do not eliminate omitted-variable or reverse-causality concerns. Fifth, the archived documentation of BDOUT uses independent-</w:t>
      </w:r>
      <w:r>
        <w:lastRenderedPageBreak/>
        <w:t>director and non-executive-director terminology inconsistently; the BDOUT2 sensitivity check partly addresses this measurement ambiguity but does not remove it.</w:t>
      </w:r>
    </w:p>
    <w:p w14:paraId="6801669C" w14:textId="77777777" w:rsidR="009E04F9" w:rsidRDefault="00000000">
      <w:pPr>
        <w:jc w:val="both"/>
      </w:pPr>
      <w:r>
        <w:t>Future research should validate manipulation screens against Nigerian enforcement actions, qualified audit findings, restatements classified by cause, and other externally verified reporting events. Richer measures of executive capability, audit-committee expertise, board activity, internal-control quality and ownership concentration would improve construct validity. Nonlinear ownership effects, interactions among Fraud Diamond dimensions and multi-market African samples also warrant investigation. Where sufficient verified events can be assembled, out-of-sample prediction and calibration should replace in-sample significance as the principal standard for evaluating fraud-detection performance.</w:t>
      </w:r>
    </w:p>
    <w:p w14:paraId="18CA703A" w14:textId="77777777" w:rsidR="00387F9C" w:rsidRPr="00387F9C" w:rsidRDefault="00387F9C" w:rsidP="00387F9C">
      <w:pPr>
        <w:spacing w:line="240" w:lineRule="auto"/>
        <w:rPr>
          <w:rFonts w:ascii="Arial" w:eastAsia="Calibri" w:hAnsi="Arial" w:cs="Arial"/>
          <w:b/>
          <w:sz w:val="20"/>
          <w:szCs w:val="20"/>
        </w:rPr>
      </w:pPr>
      <w:bookmarkStart w:id="0" w:name="_Hlk238550938"/>
      <w:bookmarkStart w:id="1" w:name="_Hlk237856463"/>
      <w:r w:rsidRPr="00387F9C">
        <w:rPr>
          <w:rFonts w:ascii="Arial" w:eastAsia="Calibri" w:hAnsi="Arial" w:cs="Arial"/>
          <w:b/>
          <w:sz w:val="20"/>
          <w:szCs w:val="20"/>
        </w:rPr>
        <w:t>Declaration of AI Use</w:t>
      </w:r>
    </w:p>
    <w:p w14:paraId="294016B8" w14:textId="77777777" w:rsidR="00387F9C" w:rsidRPr="00387F9C" w:rsidRDefault="00387F9C" w:rsidP="00387F9C">
      <w:pPr>
        <w:spacing w:line="240" w:lineRule="auto"/>
        <w:rPr>
          <w:rFonts w:ascii="Arial" w:eastAsia="Calibri" w:hAnsi="Arial" w:cs="Arial"/>
          <w:sz w:val="20"/>
          <w:szCs w:val="20"/>
        </w:rPr>
      </w:pPr>
      <w:bookmarkStart w:id="2" w:name="_Hlk239068730"/>
    </w:p>
    <w:p w14:paraId="1AB46CC9" w14:textId="77777777" w:rsidR="00387F9C" w:rsidRPr="00387F9C" w:rsidRDefault="00387F9C" w:rsidP="00387F9C">
      <w:pPr>
        <w:spacing w:line="240" w:lineRule="auto"/>
        <w:rPr>
          <w:rFonts w:ascii="Arial" w:eastAsia="Calibri" w:hAnsi="Arial" w:cs="Arial"/>
          <w:sz w:val="20"/>
          <w:szCs w:val="20"/>
        </w:rPr>
      </w:pPr>
      <w:bookmarkStart w:id="3" w:name="_Hlk237862032"/>
      <w:r w:rsidRPr="00387F9C">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387F9C">
        <w:rPr>
          <w:rFonts w:ascii="Arial" w:eastAsia="Calibri" w:hAnsi="Arial" w:cs="Arial"/>
          <w:sz w:val="20"/>
          <w:szCs w:val="20"/>
        </w:rPr>
        <w:t>.</w:t>
      </w:r>
    </w:p>
    <w:bookmarkEnd w:id="1"/>
    <w:bookmarkEnd w:id="2"/>
    <w:bookmarkEnd w:id="3"/>
    <w:p w14:paraId="16BE09A1" w14:textId="77777777" w:rsidR="00387F9C" w:rsidRDefault="00387F9C">
      <w:pPr>
        <w:jc w:val="both"/>
      </w:pPr>
    </w:p>
    <w:p w14:paraId="13841838" w14:textId="77777777" w:rsidR="009E04F9" w:rsidRDefault="00000000">
      <w:pPr>
        <w:keepNext/>
        <w:spacing w:before="120"/>
      </w:pPr>
      <w:r>
        <w:rPr>
          <w:b/>
        </w:rPr>
        <w:t>References</w:t>
      </w:r>
    </w:p>
    <w:p w14:paraId="27ABF268" w14:textId="36188374"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Abba, M. I., </w:t>
      </w:r>
      <w:proofErr w:type="spellStart"/>
      <w:r w:rsidRPr="00C36D0E">
        <w:rPr>
          <w:szCs w:val="24"/>
        </w:rPr>
        <w:t>Akpadaka</w:t>
      </w:r>
      <w:proofErr w:type="spellEnd"/>
      <w:r w:rsidRPr="00C36D0E">
        <w:rPr>
          <w:szCs w:val="24"/>
        </w:rPr>
        <w:t xml:space="preserve">, O. S., Dang, D. Y., Farouk, M. A., &amp; Fodio, M. I. (2025). The moderating role of board independence in the credit risk–bank rating relationship: Evidence from West Africa. </w:t>
      </w:r>
      <w:r w:rsidRPr="00C36D0E">
        <w:rPr>
          <w:i/>
          <w:iCs/>
          <w:szCs w:val="24"/>
        </w:rPr>
        <w:t>African Development Finance Journal, 8</w:t>
      </w:r>
      <w:r w:rsidRPr="00C36D0E">
        <w:rPr>
          <w:szCs w:val="24"/>
        </w:rPr>
        <w:t xml:space="preserve">(8), 241–263. </w:t>
      </w:r>
      <w:hyperlink r:id="rId10" w:history="1">
        <w:r w:rsidRPr="00C36D0E">
          <w:rPr>
            <w:color w:val="0000FF"/>
            <w:szCs w:val="24"/>
            <w:u w:val="single"/>
          </w:rPr>
          <w:t>https://doi.org/10.66563/avwvc217</w:t>
        </w:r>
      </w:hyperlink>
    </w:p>
    <w:p w14:paraId="0A7F40F9" w14:textId="66B84569"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Abbott, L. J., Parker, S., &amp; Peters, G. F. (2004). Audit committee characteristics and restatements. </w:t>
      </w:r>
      <w:r w:rsidRPr="00C36D0E">
        <w:rPr>
          <w:i/>
          <w:iCs/>
          <w:szCs w:val="24"/>
        </w:rPr>
        <w:t>Auditing: A Journal of Practice &amp; Theory, 23</w:t>
      </w:r>
      <w:r w:rsidRPr="00C36D0E">
        <w:rPr>
          <w:szCs w:val="24"/>
        </w:rPr>
        <w:t xml:space="preserve">(1), 69–87. </w:t>
      </w:r>
      <w:hyperlink r:id="rId11" w:history="1">
        <w:r w:rsidRPr="00C36D0E">
          <w:rPr>
            <w:color w:val="0000FF"/>
            <w:szCs w:val="24"/>
            <w:u w:val="single"/>
          </w:rPr>
          <w:t>https://doi.org/10.2308/aud.2004.23.1.69</w:t>
        </w:r>
      </w:hyperlink>
    </w:p>
    <w:p>
      <w:pPr>
        <w:spacing w:before="100" w:beforeAutospacing="1" w:after="100" w:afterAutospacing="1" w:line="240" w:lineRule="auto"/>
        <w:ind w:left="540" w:hanging="540"/>
        <w:jc w:val="both"/>
        <w:rPr>
          <w:szCs w:val="24"/>
        </w:rPr>
      </w:pPr>
      <w:r>
        <w:rPr>
          <w:b/>
          <w:bCs/>
          <w:highlight w:val="yellow"/>
        </w:rPr>
        <w:t xml:space="preserve">Ajayi, R. O., Okafor, M., Akinmoyewa, O. M., Adeyemi, A. D., Kuola, A. J., &amp; Mobolade, O. I. (2026). Effect of internal control systems on fraud prevention in Nigerian deposit money banks. </w:t>
      </w:r>
      <w:r>
        <w:rPr>
          <w:b/>
          <w:bCs/>
          <w:i/>
          <w:iCs/>
          <w:highlight w:val="yellow"/>
        </w:rPr>
        <w:t>Journal of Global Economics, Management and Business Research, 18</w:t>
      </w:r>
      <w:r>
        <w:rPr>
          <w:b/>
          <w:bCs/>
          <w:highlight w:val="yellow"/>
        </w:rPr>
        <w:t>(3), 175–187. https://doi.org/10.56557/jgembr/2026/v18i310902</w:t>
      </w:r>
    </w:p>
    <w:p w14:paraId="4EEC44FB" w14:textId="5C48AAD9" w:rsidR="00C36D0E" w:rsidRPr="00C36D0E" w:rsidRDefault="00C36D0E" w:rsidP="00C36D0E">
      <w:pPr>
        <w:spacing w:before="100" w:beforeAutospacing="1" w:after="100" w:afterAutospacing="1" w:line="240" w:lineRule="auto"/>
        <w:ind w:left="540" w:hanging="540"/>
        <w:jc w:val="both"/>
        <w:rPr>
          <w:szCs w:val="24"/>
        </w:rPr>
      </w:pPr>
      <w:proofErr w:type="spellStart"/>
      <w:r w:rsidRPr="00C36D0E">
        <w:rPr>
          <w:szCs w:val="24"/>
        </w:rPr>
        <w:t>Akpadaka</w:t>
      </w:r>
      <w:proofErr w:type="spellEnd"/>
      <w:r w:rsidRPr="00C36D0E">
        <w:rPr>
          <w:szCs w:val="24"/>
        </w:rPr>
        <w:t xml:space="preserve">, O. S. (2024). Earnings quality and ownership structure: Moderating effect of leverage on firm value in non-financial sectors of the NGX. </w:t>
      </w:r>
      <w:r w:rsidRPr="00C36D0E">
        <w:rPr>
          <w:i/>
          <w:iCs/>
          <w:szCs w:val="24"/>
        </w:rPr>
        <w:t>European Journal of Business and Management, 16</w:t>
      </w:r>
      <w:r w:rsidRPr="00C36D0E">
        <w:rPr>
          <w:szCs w:val="24"/>
        </w:rPr>
        <w:t xml:space="preserve">(5), 12–24. </w:t>
      </w:r>
      <w:hyperlink r:id="rId12" w:history="1">
        <w:r w:rsidRPr="00C36D0E">
          <w:rPr>
            <w:color w:val="0000FF"/>
            <w:szCs w:val="24"/>
            <w:u w:val="single"/>
          </w:rPr>
          <w:t>https://doi.org/10.7176/EJBM/16-5-02</w:t>
        </w:r>
      </w:hyperlink>
    </w:p>
    <w:p>
      <w:pPr>
        <w:spacing w:before="100" w:beforeAutospacing="1" w:after="100" w:afterAutospacing="1" w:line="240" w:lineRule="auto"/>
        <w:ind w:left="540" w:hanging="540"/>
        <w:jc w:val="both"/>
        <w:rPr>
          <w:szCs w:val="24"/>
        </w:rPr>
      </w:pPr>
      <w:r>
        <w:rPr>
          <w:b/>
          <w:bCs/>
          <w:highlight w:val="yellow"/>
        </w:rPr>
        <w:t xml:space="preserve">Alao, A. I., Adebiyi, O. O., &amp; Olaniyi, O. O. (2024). The interconnectedness of earnings management, corporate governance failures, and global economic stability: A critical examination of the impact of earnings manipulation on financial crises and investor trust in global markets. </w:t>
      </w:r>
      <w:r>
        <w:rPr>
          <w:b/>
          <w:bCs/>
          <w:i/>
          <w:iCs/>
          <w:highlight w:val="yellow"/>
        </w:rPr>
        <w:t>Asian Journal of Economics, Business and Accounting, 24</w:t>
      </w:r>
      <w:r>
        <w:rPr>
          <w:b/>
          <w:bCs/>
          <w:highlight w:val="yellow"/>
        </w:rPr>
        <w:t>(11), 47–73. https://doi.org/10.9734/ajeba/2024/v24i111542</w:t>
      </w:r>
    </w:p>
    <w:p w14:paraId="591F37AF" w14:textId="43D037A8"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Beasley, M. S. (1996). An empirical analysis of the relation between the board of director composition and financial statement fraud. </w:t>
      </w:r>
      <w:r w:rsidRPr="00C36D0E">
        <w:rPr>
          <w:i/>
          <w:iCs/>
          <w:szCs w:val="24"/>
        </w:rPr>
        <w:t>The Accounting Review, 71</w:t>
      </w:r>
      <w:r w:rsidRPr="00C36D0E">
        <w:rPr>
          <w:szCs w:val="24"/>
        </w:rPr>
        <w:t xml:space="preserve">(4), 443–465. </w:t>
      </w:r>
      <w:hyperlink r:id="rId13" w:history="1">
        <w:r w:rsidRPr="00C36D0E">
          <w:rPr>
            <w:color w:val="0000FF"/>
            <w:szCs w:val="24"/>
            <w:u w:val="single"/>
          </w:rPr>
          <w:t>https://doi.org/10.2308/TAR-9611271988</w:t>
        </w:r>
      </w:hyperlink>
      <w:r w:rsidRPr="00C36D0E">
        <w:rPr>
          <w:szCs w:val="24"/>
        </w:rPr>
        <w:t xml:space="preserve"> </w:t>
      </w:r>
      <w:hyperlink r:id="rId14" w:history="1">
        <w:proofErr w:type="spellStart"/>
        <w:r w:rsidRPr="00C36D0E">
          <w:rPr>
            <w:color w:val="0000FF"/>
            <w:szCs w:val="24"/>
            <w:u w:val="single"/>
          </w:rPr>
          <w:t>Bishtref</w:t>
        </w:r>
        <w:proofErr w:type="spellEnd"/>
      </w:hyperlink>
    </w:p>
    <w:p w14:paraId="1DA820FF" w14:textId="5A299902"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Beasley, M. S., </w:t>
      </w:r>
      <w:proofErr w:type="spellStart"/>
      <w:r w:rsidRPr="00C36D0E">
        <w:rPr>
          <w:szCs w:val="24"/>
        </w:rPr>
        <w:t>Carcello</w:t>
      </w:r>
      <w:proofErr w:type="spellEnd"/>
      <w:r w:rsidRPr="00C36D0E">
        <w:rPr>
          <w:szCs w:val="24"/>
        </w:rPr>
        <w:t xml:space="preserve">, J. V., Hermanson, D. R., &amp; Lapides, P. D. (2000). Fraudulent financial reporting: Consideration of industry traits and corporate governance mechanisms. </w:t>
      </w:r>
      <w:r w:rsidRPr="00C36D0E">
        <w:rPr>
          <w:i/>
          <w:iCs/>
          <w:szCs w:val="24"/>
        </w:rPr>
        <w:t>Accounting Horizons, 14</w:t>
      </w:r>
      <w:r w:rsidRPr="00C36D0E">
        <w:rPr>
          <w:szCs w:val="24"/>
        </w:rPr>
        <w:t xml:space="preserve">(4), 441–454. </w:t>
      </w:r>
      <w:hyperlink r:id="rId15" w:history="1">
        <w:r w:rsidRPr="00C36D0E">
          <w:rPr>
            <w:color w:val="0000FF"/>
            <w:szCs w:val="24"/>
            <w:u w:val="single"/>
          </w:rPr>
          <w:t>https://doi.org/10.2308/acch.2000.14.4.441</w:t>
        </w:r>
      </w:hyperlink>
    </w:p>
    <w:p w14:paraId="5606AA1B" w14:textId="219FB90B"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Becker, C. L., </w:t>
      </w:r>
      <w:proofErr w:type="spellStart"/>
      <w:r w:rsidRPr="00C36D0E">
        <w:rPr>
          <w:szCs w:val="24"/>
        </w:rPr>
        <w:t>DeFond</w:t>
      </w:r>
      <w:proofErr w:type="spellEnd"/>
      <w:r w:rsidRPr="00C36D0E">
        <w:rPr>
          <w:szCs w:val="24"/>
        </w:rPr>
        <w:t xml:space="preserve">, M. L., </w:t>
      </w:r>
      <w:proofErr w:type="spellStart"/>
      <w:r w:rsidRPr="00C36D0E">
        <w:rPr>
          <w:szCs w:val="24"/>
        </w:rPr>
        <w:t>Jiambalvo</w:t>
      </w:r>
      <w:proofErr w:type="spellEnd"/>
      <w:r w:rsidRPr="00C36D0E">
        <w:rPr>
          <w:szCs w:val="24"/>
        </w:rPr>
        <w:t xml:space="preserve">, J., &amp; Subramanyam, K. R. (1998). The effect of audit quality on earnings management. </w:t>
      </w:r>
      <w:r w:rsidRPr="00C36D0E">
        <w:rPr>
          <w:i/>
          <w:iCs/>
          <w:szCs w:val="24"/>
        </w:rPr>
        <w:t>Contemporary Accounting Research, 15</w:t>
      </w:r>
      <w:r w:rsidRPr="00C36D0E">
        <w:rPr>
          <w:szCs w:val="24"/>
        </w:rPr>
        <w:t xml:space="preserve">(1), 1–24. </w:t>
      </w:r>
      <w:hyperlink r:id="rId16" w:history="1">
        <w:r w:rsidRPr="00C36D0E">
          <w:rPr>
            <w:color w:val="0000FF"/>
            <w:szCs w:val="24"/>
            <w:u w:val="single"/>
          </w:rPr>
          <w:t>https://doi.org/10.1111/j.1911-3846.1998.tb00547.x</w:t>
        </w:r>
      </w:hyperlink>
    </w:p>
    <w:p w14:paraId="58B8B4FC" w14:textId="1E1F1012" w:rsidR="00C36D0E" w:rsidRPr="00C36D0E" w:rsidRDefault="00C36D0E" w:rsidP="00C36D0E">
      <w:pPr>
        <w:spacing w:before="100" w:beforeAutospacing="1" w:after="100" w:afterAutospacing="1" w:line="240" w:lineRule="auto"/>
        <w:ind w:left="540" w:hanging="540"/>
        <w:jc w:val="both"/>
        <w:rPr>
          <w:szCs w:val="24"/>
        </w:rPr>
      </w:pPr>
      <w:proofErr w:type="spellStart"/>
      <w:r w:rsidRPr="00C36D0E">
        <w:rPr>
          <w:szCs w:val="24"/>
        </w:rPr>
        <w:lastRenderedPageBreak/>
        <w:t>Beneish</w:t>
      </w:r>
      <w:proofErr w:type="spellEnd"/>
      <w:r w:rsidRPr="00C36D0E">
        <w:rPr>
          <w:szCs w:val="24"/>
        </w:rPr>
        <w:t xml:space="preserve">, M. D. (1999). The detection of earnings manipulation. </w:t>
      </w:r>
      <w:r w:rsidRPr="00C36D0E">
        <w:rPr>
          <w:i/>
          <w:iCs/>
          <w:szCs w:val="24"/>
        </w:rPr>
        <w:t>Financial Analysts Journal, 55</w:t>
      </w:r>
      <w:r w:rsidRPr="00C36D0E">
        <w:rPr>
          <w:szCs w:val="24"/>
        </w:rPr>
        <w:t xml:space="preserve">(5), 24–36. </w:t>
      </w:r>
      <w:hyperlink r:id="rId17" w:history="1">
        <w:r w:rsidRPr="00C36D0E">
          <w:rPr>
            <w:color w:val="0000FF"/>
            <w:szCs w:val="24"/>
            <w:u w:val="single"/>
          </w:rPr>
          <w:t>https://doi.org/10.2469/faj.v55.n5.2296</w:t>
        </w:r>
      </w:hyperlink>
    </w:p>
    <w:p w14:paraId="410405F5" w14:textId="3E22EFBB" w:rsidR="00C36D0E" w:rsidRPr="00C36D0E" w:rsidRDefault="00C36D0E" w:rsidP="00C36D0E">
      <w:pPr>
        <w:spacing w:before="100" w:beforeAutospacing="1" w:after="100" w:afterAutospacing="1" w:line="240" w:lineRule="auto"/>
        <w:ind w:left="540" w:hanging="540"/>
        <w:jc w:val="both"/>
        <w:rPr>
          <w:szCs w:val="24"/>
        </w:rPr>
      </w:pPr>
      <w:r w:rsidRPr="00C36D0E">
        <w:rPr>
          <w:szCs w:val="24"/>
          <w:lang w:val="nl-BE"/>
        </w:rPr>
        <w:t xml:space="preserve">Brazel, J. F., Jones, K. L., &amp; Zimbelman, M. F. (2009). </w:t>
      </w:r>
      <w:r w:rsidRPr="00C36D0E">
        <w:rPr>
          <w:szCs w:val="24"/>
        </w:rPr>
        <w:t xml:space="preserve">Using nonfinancial measures to assess fraud risk. </w:t>
      </w:r>
      <w:r w:rsidRPr="00C36D0E">
        <w:rPr>
          <w:i/>
          <w:iCs/>
          <w:szCs w:val="24"/>
        </w:rPr>
        <w:t>Journal of Accounting Research, 47</w:t>
      </w:r>
      <w:r w:rsidRPr="00C36D0E">
        <w:rPr>
          <w:szCs w:val="24"/>
        </w:rPr>
        <w:t xml:space="preserve">(5), 1135–1166. </w:t>
      </w:r>
      <w:hyperlink r:id="rId18" w:history="1">
        <w:r w:rsidRPr="00C36D0E">
          <w:rPr>
            <w:color w:val="0000FF"/>
            <w:szCs w:val="24"/>
            <w:u w:val="single"/>
          </w:rPr>
          <w:t>https://doi.org/10.1111/j.1475-679X.2009.00349.x</w:t>
        </w:r>
      </w:hyperlink>
    </w:p>
    <w:p w14:paraId="52655CBF" w14:textId="4B1D7C78"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Burns, N., &amp; Kedia, S. (2006). The impact of performance-based compensation on misreporting. </w:t>
      </w:r>
      <w:r w:rsidRPr="00C36D0E">
        <w:rPr>
          <w:i/>
          <w:iCs/>
          <w:szCs w:val="24"/>
        </w:rPr>
        <w:t>Journal of Financial Economics, 79</w:t>
      </w:r>
      <w:r w:rsidRPr="00C36D0E">
        <w:rPr>
          <w:szCs w:val="24"/>
        </w:rPr>
        <w:t xml:space="preserve">(1), 35–67. </w:t>
      </w:r>
      <w:hyperlink r:id="rId19" w:history="1">
        <w:r w:rsidRPr="00C36D0E">
          <w:rPr>
            <w:color w:val="0000FF"/>
            <w:szCs w:val="24"/>
            <w:u w:val="single"/>
          </w:rPr>
          <w:t>https://doi.org/10.1016/j.jfineco.2004.12.003</w:t>
        </w:r>
      </w:hyperlink>
    </w:p>
    <w:p w14:paraId="15A3F5F0" w14:textId="2282D07A"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Cameron, A. C., &amp; Miller, D. L. (2015). A practitioner's guide to cluster-robust inference. </w:t>
      </w:r>
      <w:r w:rsidRPr="00C36D0E">
        <w:rPr>
          <w:i/>
          <w:iCs/>
          <w:szCs w:val="24"/>
        </w:rPr>
        <w:t>Journal of Human Resources, 50</w:t>
      </w:r>
      <w:r w:rsidRPr="00C36D0E">
        <w:rPr>
          <w:szCs w:val="24"/>
        </w:rPr>
        <w:t xml:space="preserve">(2), 317–372. </w:t>
      </w:r>
      <w:hyperlink r:id="rId20" w:history="1">
        <w:r w:rsidRPr="00C36D0E">
          <w:rPr>
            <w:color w:val="0000FF"/>
            <w:szCs w:val="24"/>
            <w:u w:val="single"/>
          </w:rPr>
          <w:t>https://doi.org/10.3368/jhr.50.2.317</w:t>
        </w:r>
      </w:hyperlink>
    </w:p>
    <w:p>
      <w:pPr>
        <w:spacing w:before="100" w:beforeAutospacing="1" w:after="100" w:afterAutospacing="1" w:line="240" w:lineRule="auto"/>
        <w:ind w:left="540" w:hanging="540"/>
        <w:jc w:val="both"/>
        <w:rPr>
          <w:szCs w:val="24"/>
        </w:rPr>
      </w:pPr>
      <w:r>
        <w:rPr>
          <w:b/>
          <w:bCs/>
          <w:highlight w:val="yellow"/>
        </w:rPr>
        <w:t xml:space="preserve">Capraș, I. L., Achim, M. V., Rahat, B., &amp; Nicolò, G. (2025). Sustainable auditing governance in a changing landscape: Cross-country evidence on the effect of traditional and innovative audit mechanisms on fraud risk. </w:t>
      </w:r>
      <w:r>
        <w:rPr>
          <w:b/>
          <w:bCs/>
          <w:i/>
          <w:iCs/>
          <w:highlight w:val="yellow"/>
        </w:rPr>
        <w:t>Journal of Innovation &amp; Knowledge, 10</w:t>
      </w:r>
      <w:r>
        <w:rPr>
          <w:b/>
          <w:bCs/>
          <w:highlight w:val="yellow"/>
        </w:rPr>
        <w:t>(5), 100798. https://doi.org/10.1016/j.jik.2025.100798</w:t>
      </w:r>
    </w:p>
    <w:p w14:paraId="4E1EB6E7" w14:textId="6DCE87DB" w:rsidR="00C36D0E" w:rsidRPr="00C36D0E" w:rsidRDefault="00C36D0E" w:rsidP="00C36D0E">
      <w:pPr>
        <w:spacing w:before="100" w:beforeAutospacing="1" w:after="100" w:afterAutospacing="1" w:line="240" w:lineRule="auto"/>
        <w:ind w:left="540" w:hanging="540"/>
        <w:jc w:val="both"/>
        <w:rPr>
          <w:szCs w:val="24"/>
        </w:rPr>
      </w:pPr>
      <w:proofErr w:type="spellStart"/>
      <w:r w:rsidRPr="00C36D0E">
        <w:rPr>
          <w:szCs w:val="24"/>
        </w:rPr>
        <w:t>Carcello</w:t>
      </w:r>
      <w:proofErr w:type="spellEnd"/>
      <w:r w:rsidRPr="00C36D0E">
        <w:rPr>
          <w:szCs w:val="24"/>
        </w:rPr>
        <w:t xml:space="preserve">, J. V., &amp; Nagy, A. L. (2004). Audit firm tenure and fraudulent financial reporting. </w:t>
      </w:r>
      <w:r w:rsidRPr="00C36D0E">
        <w:rPr>
          <w:i/>
          <w:iCs/>
          <w:szCs w:val="24"/>
        </w:rPr>
        <w:t>Auditing: A Journal of Practice &amp; Theory, 23</w:t>
      </w:r>
      <w:r w:rsidRPr="00C36D0E">
        <w:rPr>
          <w:szCs w:val="24"/>
        </w:rPr>
        <w:t xml:space="preserve">(2), 55–69. </w:t>
      </w:r>
      <w:hyperlink r:id="rId21" w:history="1">
        <w:r w:rsidRPr="00C36D0E">
          <w:rPr>
            <w:color w:val="0000FF"/>
            <w:szCs w:val="24"/>
            <w:u w:val="single"/>
          </w:rPr>
          <w:t>https://doi.org/10.2308/aud.2004.23.2.55</w:t>
        </w:r>
      </w:hyperlink>
    </w:p>
    <w:p w14:paraId="0B5B9709" w14:textId="20DE4F00"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Chamberlain, G. (1980). Analysis of covariance with qualitative data. </w:t>
      </w:r>
      <w:r w:rsidRPr="00C36D0E">
        <w:rPr>
          <w:i/>
          <w:iCs/>
          <w:szCs w:val="24"/>
        </w:rPr>
        <w:t>The Review of Economic Studies, 47</w:t>
      </w:r>
      <w:r w:rsidRPr="00C36D0E">
        <w:rPr>
          <w:szCs w:val="24"/>
        </w:rPr>
        <w:t xml:space="preserve">(1), 225–238. </w:t>
      </w:r>
      <w:hyperlink r:id="rId22" w:history="1">
        <w:r w:rsidRPr="00C36D0E">
          <w:rPr>
            <w:color w:val="0000FF"/>
            <w:szCs w:val="24"/>
            <w:u w:val="single"/>
          </w:rPr>
          <w:t>https://doi.org/10.2307/2297110</w:t>
        </w:r>
      </w:hyperlink>
    </w:p>
    <w:p w14:paraId="53BDE2F3" w14:textId="6C8E1534"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Chepkorir, B., </w:t>
      </w:r>
      <w:proofErr w:type="spellStart"/>
      <w:r w:rsidRPr="00C36D0E">
        <w:rPr>
          <w:szCs w:val="24"/>
        </w:rPr>
        <w:t>Nyakarimi</w:t>
      </w:r>
      <w:proofErr w:type="spellEnd"/>
      <w:r w:rsidRPr="00C36D0E">
        <w:rPr>
          <w:szCs w:val="24"/>
        </w:rPr>
        <w:t xml:space="preserve">, S. N., &amp; Kariuki, P. W. (2026). Do board structure and director compensation influence financial reporting quality? Evidence from nonfinancial listed firms in Anglophone Sub-Saharan Africa. </w:t>
      </w:r>
      <w:r w:rsidRPr="00C36D0E">
        <w:rPr>
          <w:i/>
          <w:iCs/>
          <w:szCs w:val="24"/>
        </w:rPr>
        <w:t>African Journal of Economic and Management Studies</w:t>
      </w:r>
      <w:r w:rsidRPr="00C36D0E">
        <w:rPr>
          <w:szCs w:val="24"/>
        </w:rPr>
        <w:t xml:space="preserve">, 1–15. </w:t>
      </w:r>
      <w:hyperlink r:id="rId23" w:history="1">
        <w:r w:rsidRPr="00C36D0E">
          <w:rPr>
            <w:color w:val="0000FF"/>
            <w:szCs w:val="24"/>
            <w:u w:val="single"/>
          </w:rPr>
          <w:t>https://doi.org/10.1108/AJEMS-07-2025-0548</w:t>
        </w:r>
      </w:hyperlink>
    </w:p>
    <w:p w14:paraId="36B86456" w14:textId="1484A9B9"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Coleman, M., Abdul-Rahaman, A.-R., Takyi, L. N., &amp; </w:t>
      </w:r>
      <w:proofErr w:type="spellStart"/>
      <w:r w:rsidRPr="00C36D0E">
        <w:rPr>
          <w:szCs w:val="24"/>
        </w:rPr>
        <w:t>Anfom</w:t>
      </w:r>
      <w:proofErr w:type="spellEnd"/>
      <w:r w:rsidRPr="00C36D0E">
        <w:rPr>
          <w:szCs w:val="24"/>
        </w:rPr>
        <w:t xml:space="preserve">, K. </w:t>
      </w:r>
      <w:r w:rsidRPr="00C36D0E">
        <w:rPr>
          <w:szCs w:val="24"/>
          <w:highlight w:val="yellow"/>
        </w:rPr>
        <w:t>(2026a). Corporate governance</w:t>
      </w:r>
      <w:r w:rsidRPr="00C36D0E">
        <w:rPr>
          <w:szCs w:val="24"/>
        </w:rPr>
        <w:t xml:space="preserve"> and corporate earnings misconduct. </w:t>
      </w:r>
      <w:r w:rsidRPr="00C36D0E">
        <w:rPr>
          <w:i/>
          <w:iCs/>
          <w:szCs w:val="24"/>
        </w:rPr>
        <w:t>International Journal of Productivity and Performance Management, 75</w:t>
      </w:r>
      <w:r w:rsidRPr="00C36D0E">
        <w:rPr>
          <w:szCs w:val="24"/>
        </w:rPr>
        <w:t xml:space="preserve">(3), 973–1003. </w:t>
      </w:r>
      <w:hyperlink r:id="rId24" w:history="1">
        <w:r w:rsidRPr="00C36D0E">
          <w:rPr>
            <w:color w:val="0000FF"/>
            <w:szCs w:val="24"/>
            <w:u w:val="single"/>
          </w:rPr>
          <w:t>https://doi.org/10.1108/IJPPM-05-2024-0343</w:t>
        </w:r>
      </w:hyperlink>
    </w:p>
    <w:p>
      <w:pPr>
        <w:spacing w:before="100" w:beforeAutospacing="1" w:after="100" w:afterAutospacing="1" w:line="240" w:lineRule="auto"/>
        <w:ind w:left="540" w:hanging="540"/>
        <w:jc w:val="both"/>
        <w:rPr>
          <w:szCs w:val="24"/>
        </w:rPr>
      </w:pPr>
      <w:r>
        <w:rPr>
          <w:b/>
          <w:bCs/>
          <w:highlight w:val="yellow"/>
        </w:rPr>
        <w:t xml:space="preserve">Coleman, M., Abdul-Rahaman, A.-R., Takyi, L. N., &amp; Anfom, K. </w:t>
      </w:r>
      <w:r>
        <w:rPr>
          <w:b/>
          <w:bCs/>
          <w:highlight w:val="yellow"/>
        </w:rPr>
        <w:t>(2026b). Economic uncertainty</w:t>
      </w:r>
      <w:r>
        <w:rPr>
          <w:b/>
          <w:bCs/>
          <w:highlight w:val="yellow"/>
        </w:rPr>
        <w:t xml:space="preserve"> and earnings management coupled with corruption in developing economies. </w:t>
      </w:r>
      <w:r>
        <w:rPr>
          <w:b/>
          <w:bCs/>
          <w:i/>
          <w:iCs/>
          <w:highlight w:val="yellow"/>
        </w:rPr>
        <w:t>Journal of Accounting in Emerging Economies</w:t>
      </w:r>
      <w:r>
        <w:rPr>
          <w:b/>
          <w:bCs/>
          <w:highlight w:val="yellow"/>
        </w:rPr>
        <w:t>. Advance online publication. https://doi.org/10.1108/JAEE-05-2025-0250</w:t>
      </w:r>
    </w:p>
    <w:p w14:paraId="5AEE0BD6" w14:textId="099C375B"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Cressey, D. R. (1953). </w:t>
      </w:r>
      <w:r w:rsidRPr="00C36D0E">
        <w:rPr>
          <w:i/>
          <w:iCs/>
          <w:szCs w:val="24"/>
        </w:rPr>
        <w:t>Other people's money: A study in the social psychology of embezzlement</w:t>
      </w:r>
      <w:r w:rsidRPr="00C36D0E">
        <w:rPr>
          <w:szCs w:val="24"/>
        </w:rPr>
        <w:t xml:space="preserve">. Free Press. </w:t>
      </w:r>
    </w:p>
    <w:p w14:paraId="7948ED5A" w14:textId="57D74B11"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Dechow, P. M., Ge, W., Larson, C. R., &amp; Sloan, R. G. (2011). Predicting material accounting misstatements. </w:t>
      </w:r>
      <w:r w:rsidRPr="00C36D0E">
        <w:rPr>
          <w:i/>
          <w:iCs/>
          <w:szCs w:val="24"/>
        </w:rPr>
        <w:t>Contemporary Accounting Research, 28</w:t>
      </w:r>
      <w:r w:rsidRPr="00C36D0E">
        <w:rPr>
          <w:szCs w:val="24"/>
        </w:rPr>
        <w:t xml:space="preserve">(1), 17–82. </w:t>
      </w:r>
      <w:hyperlink r:id="rId25" w:history="1">
        <w:r w:rsidRPr="00C36D0E">
          <w:rPr>
            <w:color w:val="0000FF"/>
            <w:szCs w:val="24"/>
            <w:u w:val="single"/>
          </w:rPr>
          <w:t>https://doi.org/10.1111/j.1911-3846.2010.01041.x</w:t>
        </w:r>
      </w:hyperlink>
    </w:p>
    <w:p w14:paraId="7DC68303" w14:textId="2A3E8D34"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Dechow, P. M., Sloan, R. G., &amp; Sweeney, A. P. (1995). Detecting earnings management. </w:t>
      </w:r>
      <w:r w:rsidRPr="00C36D0E">
        <w:rPr>
          <w:i/>
          <w:iCs/>
          <w:szCs w:val="24"/>
        </w:rPr>
        <w:t>The Accounting Review, 70</w:t>
      </w:r>
      <w:r w:rsidRPr="00C36D0E">
        <w:rPr>
          <w:szCs w:val="24"/>
        </w:rPr>
        <w:t xml:space="preserve">(2), 193–225. </w:t>
      </w:r>
      <w:hyperlink r:id="rId26" w:history="1">
        <w:r w:rsidRPr="00C36D0E">
          <w:rPr>
            <w:color w:val="0000FF"/>
            <w:szCs w:val="24"/>
            <w:u w:val="single"/>
          </w:rPr>
          <w:t>https://doi.org/10.2308/TAR-9505096112</w:t>
        </w:r>
      </w:hyperlink>
      <w:r w:rsidRPr="00C36D0E">
        <w:rPr>
          <w:szCs w:val="24"/>
        </w:rPr>
        <w:t xml:space="preserve"> </w:t>
      </w:r>
      <w:hyperlink r:id="rId27" w:history="1">
        <w:r w:rsidRPr="00C36D0E">
          <w:rPr>
            <w:color w:val="0000FF"/>
            <w:szCs w:val="24"/>
            <w:u w:val="single"/>
          </w:rPr>
          <w:t>DOI</w:t>
        </w:r>
      </w:hyperlink>
    </w:p>
    <w:p w14:paraId="439D0AE4" w14:textId="6D0C0B3B" w:rsidR="00C36D0E" w:rsidRPr="00C36D0E" w:rsidRDefault="00C36D0E" w:rsidP="00C36D0E">
      <w:pPr>
        <w:spacing w:before="100" w:beforeAutospacing="1" w:after="100" w:afterAutospacing="1" w:line="240" w:lineRule="auto"/>
        <w:ind w:left="540" w:hanging="540"/>
        <w:jc w:val="both"/>
        <w:rPr>
          <w:szCs w:val="24"/>
        </w:rPr>
      </w:pPr>
      <w:proofErr w:type="spellStart"/>
      <w:r w:rsidRPr="00C36D0E">
        <w:rPr>
          <w:szCs w:val="24"/>
        </w:rPr>
        <w:t>DeFond</w:t>
      </w:r>
      <w:proofErr w:type="spellEnd"/>
      <w:r w:rsidRPr="00C36D0E">
        <w:rPr>
          <w:szCs w:val="24"/>
        </w:rPr>
        <w:t xml:space="preserve">, M. L., &amp; Subramanyam, K. R. (1998). Auditor changes and discretionary accruals. </w:t>
      </w:r>
      <w:r w:rsidRPr="00C36D0E">
        <w:rPr>
          <w:i/>
          <w:iCs/>
          <w:szCs w:val="24"/>
        </w:rPr>
        <w:t>Journal of Accounting and Economics, 25</w:t>
      </w:r>
      <w:r w:rsidRPr="00C36D0E">
        <w:rPr>
          <w:szCs w:val="24"/>
        </w:rPr>
        <w:t xml:space="preserve">(1), 35–67. </w:t>
      </w:r>
      <w:hyperlink r:id="rId28" w:history="1">
        <w:r w:rsidRPr="00C36D0E">
          <w:rPr>
            <w:color w:val="0000FF"/>
            <w:szCs w:val="24"/>
            <w:u w:val="single"/>
          </w:rPr>
          <w:t>https://doi.org/10.1016/S0165-4101(98)00018-4</w:t>
        </w:r>
      </w:hyperlink>
    </w:p>
    <w:p w14:paraId="7AB7AFF4" w14:textId="4EFF288D"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Donelson, D. C., Ege, M., &amp; McInnis, J. M. (2017). Internal control weaknesses and financial reporting fraud. </w:t>
      </w:r>
      <w:r w:rsidRPr="00C36D0E">
        <w:rPr>
          <w:i/>
          <w:iCs/>
          <w:szCs w:val="24"/>
        </w:rPr>
        <w:t>Auditing: A Journal of Practice &amp; Theory, 36</w:t>
      </w:r>
      <w:r w:rsidRPr="00C36D0E">
        <w:rPr>
          <w:szCs w:val="24"/>
        </w:rPr>
        <w:t xml:space="preserve">(3), 45–69. </w:t>
      </w:r>
      <w:hyperlink r:id="rId29" w:history="1">
        <w:r w:rsidRPr="00C36D0E">
          <w:rPr>
            <w:color w:val="0000FF"/>
            <w:szCs w:val="24"/>
            <w:u w:val="single"/>
          </w:rPr>
          <w:t>https://doi.org/10.2308/ajpt-51608</w:t>
        </w:r>
      </w:hyperlink>
    </w:p>
    <w:p w14:paraId="60C2F2BA" w14:textId="418675CF"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Edeh, O. P., </w:t>
      </w:r>
      <w:proofErr w:type="spellStart"/>
      <w:r w:rsidRPr="00C36D0E">
        <w:rPr>
          <w:szCs w:val="24"/>
        </w:rPr>
        <w:t>Akpadaka</w:t>
      </w:r>
      <w:proofErr w:type="spellEnd"/>
      <w:r w:rsidRPr="00C36D0E">
        <w:rPr>
          <w:szCs w:val="24"/>
        </w:rPr>
        <w:t xml:space="preserve">, O. S., Farouk, M. A., &amp; Fodio, M. I. (2025). CEO dynamics and real earnings management: A gender diversity perspective from Sub-Saharan Africa. </w:t>
      </w:r>
      <w:r w:rsidRPr="00C36D0E">
        <w:rPr>
          <w:i/>
          <w:iCs/>
          <w:szCs w:val="24"/>
        </w:rPr>
        <w:t>Journal of Risk and Financial Management, 18</w:t>
      </w:r>
      <w:r w:rsidRPr="00C36D0E">
        <w:rPr>
          <w:szCs w:val="24"/>
        </w:rPr>
        <w:t xml:space="preserve">(7), 378. </w:t>
      </w:r>
      <w:hyperlink r:id="rId31" w:history="1">
        <w:r w:rsidRPr="00C36D0E">
          <w:rPr>
            <w:color w:val="0000FF"/>
            <w:szCs w:val="24"/>
            <w:u w:val="single"/>
          </w:rPr>
          <w:t>https://doi.org/10.3390/jrfm18070378</w:t>
        </w:r>
      </w:hyperlink>
    </w:p>
    <w:p w14:paraId="31E6ADE7" w14:textId="2FB44411" w:rsidR="00C36D0E" w:rsidRPr="00C36D0E" w:rsidRDefault="00C36D0E" w:rsidP="00C36D0E">
      <w:pPr>
        <w:spacing w:before="100" w:beforeAutospacing="1" w:after="100" w:afterAutospacing="1" w:line="240" w:lineRule="auto"/>
        <w:ind w:left="540" w:hanging="540"/>
        <w:jc w:val="both"/>
        <w:rPr>
          <w:szCs w:val="24"/>
        </w:rPr>
      </w:pPr>
      <w:r w:rsidRPr="00C36D0E">
        <w:rPr>
          <w:szCs w:val="24"/>
          <w:lang w:val="nl-BE"/>
        </w:rPr>
        <w:t xml:space="preserve">Edeh, O. P., Suleiman, A. S., &amp; Akpadaka, O. S. (2025). </w:t>
      </w:r>
      <w:r w:rsidRPr="00C36D0E">
        <w:rPr>
          <w:szCs w:val="24"/>
        </w:rPr>
        <w:t xml:space="preserve">Effect of information asymmetry, institutional ownership and related party transaction on real earnings management in listed companies in Nigeria. </w:t>
      </w:r>
      <w:r w:rsidRPr="00C36D0E">
        <w:rPr>
          <w:i/>
          <w:iCs/>
          <w:szCs w:val="24"/>
        </w:rPr>
        <w:t>Asian Journal of Economics, Finance and Management, 7</w:t>
      </w:r>
      <w:r w:rsidRPr="00C36D0E">
        <w:rPr>
          <w:szCs w:val="24"/>
        </w:rPr>
        <w:t xml:space="preserve">(1), 575–586. </w:t>
      </w:r>
      <w:hyperlink r:id="rId32" w:history="1">
        <w:r w:rsidRPr="00C36D0E">
          <w:rPr>
            <w:color w:val="0000FF"/>
            <w:szCs w:val="24"/>
            <w:u w:val="single"/>
          </w:rPr>
          <w:t>https://doi.org/10.56557/ajefm/2025/v7i1296</w:t>
        </w:r>
      </w:hyperlink>
    </w:p>
    <w:p w14:paraId="73E62FC1" w14:textId="7AB332A0" w:rsidR="00C36D0E" w:rsidRPr="00C36D0E" w:rsidRDefault="00C36D0E" w:rsidP="00C36D0E">
      <w:pPr>
        <w:spacing w:before="100" w:beforeAutospacing="1" w:after="100" w:afterAutospacing="1" w:line="240" w:lineRule="auto"/>
        <w:ind w:left="540" w:hanging="540"/>
        <w:jc w:val="both"/>
        <w:rPr>
          <w:szCs w:val="24"/>
        </w:rPr>
      </w:pPr>
      <w:r w:rsidRPr="00C36D0E">
        <w:rPr>
          <w:szCs w:val="24"/>
        </w:rPr>
        <w:lastRenderedPageBreak/>
        <w:t xml:space="preserve">Efendi, J., Srivastava, A., &amp; Swanson, E. P. (2007). Why do corporate managers misstate financial statements? The role of option compensation and other factors. </w:t>
      </w:r>
      <w:r w:rsidRPr="00C36D0E">
        <w:rPr>
          <w:i/>
          <w:iCs/>
          <w:szCs w:val="24"/>
        </w:rPr>
        <w:t>Journal of Financial Economics, 85</w:t>
      </w:r>
      <w:r w:rsidRPr="00C36D0E">
        <w:rPr>
          <w:szCs w:val="24"/>
        </w:rPr>
        <w:t xml:space="preserve">(3), 667–708. </w:t>
      </w:r>
      <w:hyperlink r:id="rId30" w:history="1">
        <w:r w:rsidRPr="00C36D0E">
          <w:rPr>
            <w:color w:val="0000FF"/>
            <w:szCs w:val="24"/>
            <w:u w:val="single"/>
          </w:rPr>
          <w:t>https://doi.org/10.1016/j.jfineco.2006.05.009</w:t>
        </w:r>
      </w:hyperlink>
    </w:p>
    <w:p w14:paraId="79AA32B5" w14:textId="17B203A8"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Fan, J. P. H., &amp; Wong, T. J. (2002). Corporate ownership structure and the informativeness of accounting earnings in East Asia. </w:t>
      </w:r>
      <w:r w:rsidRPr="00C36D0E">
        <w:rPr>
          <w:i/>
          <w:iCs/>
          <w:szCs w:val="24"/>
        </w:rPr>
        <w:t>Journal of Accounting and Economics, 33</w:t>
      </w:r>
      <w:r w:rsidRPr="00C36D0E">
        <w:rPr>
          <w:szCs w:val="24"/>
        </w:rPr>
        <w:t xml:space="preserve">(3), 401–425. </w:t>
      </w:r>
      <w:hyperlink r:id="rId33" w:history="1">
        <w:r w:rsidRPr="00C36D0E">
          <w:rPr>
            <w:color w:val="0000FF"/>
            <w:szCs w:val="24"/>
            <w:u w:val="single"/>
          </w:rPr>
          <w:t>https://doi.org/10.1016/S0165-4101(02)00047-2</w:t>
        </w:r>
      </w:hyperlink>
    </w:p>
    <w:p w14:paraId="11684803" w14:textId="40AC2292"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Farber, D. B. (2005). Restoring trust after fraud: Does corporate governance matter? </w:t>
      </w:r>
      <w:r w:rsidRPr="00C36D0E">
        <w:rPr>
          <w:i/>
          <w:iCs/>
          <w:szCs w:val="24"/>
        </w:rPr>
        <w:t>The Accounting Review, 80</w:t>
      </w:r>
      <w:r w:rsidRPr="00C36D0E">
        <w:rPr>
          <w:szCs w:val="24"/>
        </w:rPr>
        <w:t xml:space="preserve">(2), 539–561. </w:t>
      </w:r>
      <w:hyperlink r:id="rId34" w:history="1">
        <w:r w:rsidRPr="00C36D0E">
          <w:rPr>
            <w:color w:val="0000FF"/>
            <w:szCs w:val="24"/>
            <w:u w:val="single"/>
          </w:rPr>
          <w:t>https://doi.org/10.2308/accr.2005.80.2.539</w:t>
        </w:r>
      </w:hyperlink>
    </w:p>
    <w:p w14:paraId="689F511C" w14:textId="440122CC"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Feng, M., Ge, W., Luo, S., &amp; Shevlin, T. (2011). Why do CFOs become involved in material accounting manipulations? </w:t>
      </w:r>
      <w:r w:rsidRPr="00C36D0E">
        <w:rPr>
          <w:i/>
          <w:iCs/>
          <w:szCs w:val="24"/>
        </w:rPr>
        <w:t>Journal of Accounting and Economics, 51</w:t>
      </w:r>
      <w:r w:rsidRPr="00C36D0E">
        <w:rPr>
          <w:szCs w:val="24"/>
        </w:rPr>
        <w:t xml:space="preserve">(1–2), 21–36. </w:t>
      </w:r>
      <w:hyperlink r:id="rId35" w:history="1">
        <w:r w:rsidRPr="00C36D0E">
          <w:rPr>
            <w:color w:val="0000FF"/>
            <w:szCs w:val="24"/>
            <w:u w:val="single"/>
          </w:rPr>
          <w:t>https://doi.org/10.1016/j.jacceco.2010.09.005</w:t>
        </w:r>
      </w:hyperlink>
    </w:p>
    <w:p w14:paraId="42F79DF3" w14:textId="61084F88"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Financial Reporting Council of Nigeria. (2018). </w:t>
      </w:r>
      <w:r w:rsidRPr="00C36D0E">
        <w:rPr>
          <w:i/>
          <w:iCs/>
          <w:szCs w:val="24"/>
        </w:rPr>
        <w:t>Nigerian code of corporate governance 2018</w:t>
      </w:r>
      <w:r w:rsidRPr="00C36D0E">
        <w:rPr>
          <w:szCs w:val="24"/>
        </w:rPr>
        <w:t xml:space="preserve">. </w:t>
      </w:r>
      <w:hyperlink r:id="rId36" w:history="1">
        <w:r w:rsidRPr="00C36D0E">
          <w:rPr>
            <w:color w:val="0000FF"/>
            <w:szCs w:val="24"/>
            <w:u w:val="single"/>
          </w:rPr>
          <w:t>https://frcnigeria.gov.ng/wp-content/uploads/2025/04/Nigerian-Code-of-Corporate-Governance-2018.pdf</w:t>
        </w:r>
      </w:hyperlink>
    </w:p>
    <w:p w14:paraId="30735A01" w14:textId="4DF62C82" w:rsidR="00C36D0E" w:rsidRPr="00C36D0E" w:rsidRDefault="00C36D0E" w:rsidP="00C36D0E">
      <w:pPr>
        <w:spacing w:before="100" w:beforeAutospacing="1" w:after="100" w:afterAutospacing="1" w:line="240" w:lineRule="auto"/>
        <w:ind w:left="540" w:hanging="540"/>
        <w:jc w:val="both"/>
        <w:rPr>
          <w:szCs w:val="24"/>
        </w:rPr>
      </w:pPr>
      <w:r w:rsidRPr="00C36D0E">
        <w:rPr>
          <w:szCs w:val="24"/>
          <w:lang w:val="nl-BE"/>
        </w:rPr>
        <w:t xml:space="preserve">Gbadebo, A. D., Akande, J. O., &amp; Adekunle, A. O. (2023). </w:t>
      </w:r>
      <w:r w:rsidRPr="00C36D0E">
        <w:rPr>
          <w:szCs w:val="24"/>
        </w:rPr>
        <w:t xml:space="preserve">Financial statements fraud of banks and other financial institutions in Nigeria. </w:t>
      </w:r>
      <w:r w:rsidRPr="00C36D0E">
        <w:rPr>
          <w:i/>
          <w:iCs/>
          <w:szCs w:val="24"/>
        </w:rPr>
        <w:t>International Journal of Professional Business Review, 8</w:t>
      </w:r>
      <w:r w:rsidRPr="00C36D0E">
        <w:rPr>
          <w:szCs w:val="24"/>
        </w:rPr>
        <w:t xml:space="preserve">(9), e03074. </w:t>
      </w:r>
      <w:hyperlink r:id="rId37" w:history="1">
        <w:r w:rsidRPr="00C36D0E">
          <w:rPr>
            <w:color w:val="0000FF"/>
            <w:szCs w:val="24"/>
            <w:u w:val="single"/>
          </w:rPr>
          <w:t>https://doi.org/10.26668/businessreview/2023.v8i9.3074</w:t>
        </w:r>
      </w:hyperlink>
    </w:p>
    <w:p w14:paraId="5450B353" w14:textId="4D30A816"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Healy, P. M., &amp; Wahlen, J. M. (1999). A review of the earnings management literature and its implications for standard setting. </w:t>
      </w:r>
      <w:r w:rsidRPr="00C36D0E">
        <w:rPr>
          <w:i/>
          <w:iCs/>
          <w:szCs w:val="24"/>
        </w:rPr>
        <w:t>Accounting Horizons, 13</w:t>
      </w:r>
      <w:r w:rsidRPr="00C36D0E">
        <w:rPr>
          <w:szCs w:val="24"/>
        </w:rPr>
        <w:t xml:space="preserve">(4), 365–383. </w:t>
      </w:r>
      <w:hyperlink r:id="rId38" w:history="1">
        <w:r w:rsidRPr="00C36D0E">
          <w:rPr>
            <w:color w:val="0000FF"/>
            <w:szCs w:val="24"/>
            <w:u w:val="single"/>
          </w:rPr>
          <w:t>https://doi.org/10.2308/acch.1999.13.4.365</w:t>
        </w:r>
      </w:hyperlink>
    </w:p>
    <w:p w14:paraId="36FC64A0" w14:textId="52CC7CDF" w:rsidR="00C36D0E" w:rsidRPr="00C36D0E" w:rsidRDefault="00C36D0E" w:rsidP="00C36D0E">
      <w:pPr>
        <w:spacing w:before="100" w:beforeAutospacing="1" w:after="100" w:afterAutospacing="1" w:line="240" w:lineRule="auto"/>
        <w:ind w:left="540" w:hanging="540"/>
        <w:jc w:val="both"/>
        <w:rPr>
          <w:szCs w:val="24"/>
          <w:lang w:val="nl-BE"/>
        </w:rPr>
      </w:pPr>
      <w:r w:rsidRPr="00C36D0E">
        <w:rPr>
          <w:szCs w:val="24"/>
        </w:rPr>
        <w:t xml:space="preserve">Ho, X. T., Linh, D. V., Thu, P. V. A., Ngan, N. K., Tu, N. T. M., &amp; Ngoc, L. T. H. (2026). Financial statement fraud detection with </w:t>
      </w:r>
      <w:proofErr w:type="spellStart"/>
      <w:r w:rsidRPr="00C36D0E">
        <w:rPr>
          <w:szCs w:val="24"/>
        </w:rPr>
        <w:t>Beneish</w:t>
      </w:r>
      <w:proofErr w:type="spellEnd"/>
      <w:r w:rsidRPr="00C36D0E">
        <w:rPr>
          <w:szCs w:val="24"/>
        </w:rPr>
        <w:t xml:space="preserve"> M-score and F-score model: An analysis of fraud diamond theory in Vietnam. </w:t>
      </w:r>
      <w:r w:rsidRPr="00C36D0E">
        <w:rPr>
          <w:i/>
          <w:iCs/>
          <w:szCs w:val="24"/>
        </w:rPr>
        <w:t>International Journal of Accounting, Auditing and Performance Evaluation</w:t>
      </w:r>
      <w:r w:rsidRPr="00C36D0E">
        <w:rPr>
          <w:szCs w:val="24"/>
        </w:rPr>
        <w:t xml:space="preserve">. Advance online publication. </w:t>
      </w:r>
      <w:hyperlink r:id="rId39" w:history="1">
        <w:r w:rsidRPr="00C36D0E">
          <w:rPr>
            <w:color w:val="0000FF"/>
            <w:szCs w:val="24"/>
            <w:u w:val="single"/>
            <w:lang w:val="nl-BE"/>
          </w:rPr>
          <w:t>https://doi.org/10.1504/IJAAPE.2026.10079605</w:t>
        </w:r>
      </w:hyperlink>
    </w:p>
    <w:p w14:paraId="0BAD1011" w14:textId="4DA79AAB" w:rsidR="00C36D0E" w:rsidRPr="00C36D0E" w:rsidRDefault="00C36D0E" w:rsidP="00C36D0E">
      <w:pPr>
        <w:spacing w:before="100" w:beforeAutospacing="1" w:after="100" w:afterAutospacing="1" w:line="240" w:lineRule="auto"/>
        <w:ind w:left="540" w:hanging="540"/>
        <w:jc w:val="both"/>
        <w:rPr>
          <w:szCs w:val="24"/>
        </w:rPr>
      </w:pPr>
      <w:r w:rsidRPr="00C36D0E">
        <w:rPr>
          <w:szCs w:val="24"/>
          <w:lang w:val="nl-BE"/>
        </w:rPr>
        <w:t xml:space="preserve">Jiang, F., Zhu, B., &amp; Huang, J. (2013). </w:t>
      </w:r>
      <w:r w:rsidRPr="00C36D0E">
        <w:rPr>
          <w:szCs w:val="24"/>
        </w:rPr>
        <w:t xml:space="preserve">CEO's financial experience and earnings management. </w:t>
      </w:r>
      <w:r w:rsidRPr="00C36D0E">
        <w:rPr>
          <w:i/>
          <w:iCs/>
          <w:szCs w:val="24"/>
        </w:rPr>
        <w:t>Journal of Multinational Financial Management, 23</w:t>
      </w:r>
      <w:r w:rsidRPr="00C36D0E">
        <w:rPr>
          <w:szCs w:val="24"/>
        </w:rPr>
        <w:t xml:space="preserve">(3), 134–145. </w:t>
      </w:r>
      <w:hyperlink r:id="rId40" w:history="1">
        <w:r w:rsidRPr="00C36D0E">
          <w:rPr>
            <w:color w:val="0000FF"/>
            <w:szCs w:val="24"/>
            <w:u w:val="single"/>
          </w:rPr>
          <w:t>https://doi.org/10.1016/j.mulfin.2013.03.005</w:t>
        </w:r>
      </w:hyperlink>
    </w:p>
    <w:p w14:paraId="094E09A9" w14:textId="194BBB5D"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Khan, S., &amp; Kamal, Y. (2024). Corporate board, audit committee and earnings manipulation: Does the corporate regulation matter? An emerging economy perspective. </w:t>
      </w:r>
      <w:r w:rsidRPr="00C36D0E">
        <w:rPr>
          <w:i/>
          <w:iCs/>
          <w:szCs w:val="24"/>
        </w:rPr>
        <w:t xml:space="preserve">Corporate </w:t>
      </w:r>
      <w:r w:rsidRPr="00C36D0E">
        <w:rPr>
          <w:i/>
          <w:iCs/>
          <w:szCs w:val="24"/>
        </w:rPr>
        <w:lastRenderedPageBreak/>
        <w:t>Governance: The International Journal of Business in Society, 24</w:t>
      </w:r>
      <w:r w:rsidRPr="00C36D0E">
        <w:rPr>
          <w:szCs w:val="24"/>
        </w:rPr>
        <w:t xml:space="preserve">(4), 831–864. </w:t>
      </w:r>
      <w:hyperlink r:id="rId41" w:history="1">
        <w:r w:rsidRPr="00C36D0E">
          <w:rPr>
            <w:color w:val="0000FF"/>
            <w:szCs w:val="24"/>
            <w:u w:val="single"/>
          </w:rPr>
          <w:t>https://doi.org/10.1108/CG-01-2023-0013</w:t>
        </w:r>
      </w:hyperlink>
    </w:p>
    <w:p w14:paraId="11D555B0" w14:textId="4CA6376D"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Klein, A. (2002). Audit committee, board of director characteristics, and earnings management. </w:t>
      </w:r>
      <w:r w:rsidRPr="00C36D0E">
        <w:rPr>
          <w:i/>
          <w:iCs/>
          <w:szCs w:val="24"/>
        </w:rPr>
        <w:t>Journal of Accounting and Economics, 33</w:t>
      </w:r>
      <w:r w:rsidRPr="00C36D0E">
        <w:rPr>
          <w:szCs w:val="24"/>
        </w:rPr>
        <w:t xml:space="preserve">(3), 375–400. </w:t>
      </w:r>
      <w:hyperlink r:id="rId42" w:history="1">
        <w:r w:rsidRPr="00C36D0E">
          <w:rPr>
            <w:color w:val="0000FF"/>
            <w:szCs w:val="24"/>
            <w:u w:val="single"/>
          </w:rPr>
          <w:t>https://doi.org/10.1016/S0165-4101(02)00059-9</w:t>
        </w:r>
      </w:hyperlink>
    </w:p>
    <w:p w14:paraId="40450ABE" w14:textId="6342EC2D"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Lennox, C. S. (2000). Do companies successfully engage in opinion-shopping? Evidence from the UK. </w:t>
      </w:r>
      <w:r w:rsidRPr="00C36D0E">
        <w:rPr>
          <w:i/>
          <w:iCs/>
          <w:szCs w:val="24"/>
        </w:rPr>
        <w:t>Journal of Accounting and Economics, 29</w:t>
      </w:r>
      <w:r w:rsidRPr="00C36D0E">
        <w:rPr>
          <w:szCs w:val="24"/>
        </w:rPr>
        <w:t xml:space="preserve">(3), 321–337. </w:t>
      </w:r>
      <w:hyperlink r:id="rId43" w:history="1">
        <w:r w:rsidRPr="00C36D0E">
          <w:rPr>
            <w:color w:val="0000FF"/>
            <w:szCs w:val="24"/>
            <w:u w:val="single"/>
          </w:rPr>
          <w:t>https://doi.org/10.1016/S0165-4101(00)00025-2</w:t>
        </w:r>
      </w:hyperlink>
    </w:p>
    <w:p w14:paraId="33B9F1A4" w14:textId="7B176E76" w:rsidR="00C36D0E" w:rsidRPr="00C36D0E" w:rsidRDefault="00C36D0E" w:rsidP="00C36D0E">
      <w:pPr>
        <w:spacing w:before="100" w:beforeAutospacing="1" w:after="100" w:afterAutospacing="1" w:line="240" w:lineRule="auto"/>
        <w:ind w:left="540" w:hanging="540"/>
        <w:jc w:val="both"/>
        <w:rPr>
          <w:szCs w:val="24"/>
          <w:lang w:val="nl-BE"/>
        </w:rPr>
      </w:pPr>
      <w:r w:rsidRPr="00C36D0E">
        <w:rPr>
          <w:szCs w:val="24"/>
          <w:lang w:val="nl-BE"/>
        </w:rPr>
        <w:t xml:space="preserve">Liang, K.-Y., &amp; Zeger, S. L. (1986). </w:t>
      </w:r>
      <w:r w:rsidRPr="00C36D0E">
        <w:rPr>
          <w:szCs w:val="24"/>
        </w:rPr>
        <w:t xml:space="preserve">Longitudinal data analysis using generalized linear models. </w:t>
      </w:r>
      <w:r w:rsidRPr="00C36D0E">
        <w:rPr>
          <w:i/>
          <w:iCs/>
          <w:szCs w:val="24"/>
          <w:lang w:val="nl-BE"/>
        </w:rPr>
        <w:t>Biometrika, 73</w:t>
      </w:r>
      <w:r w:rsidRPr="00C36D0E">
        <w:rPr>
          <w:szCs w:val="24"/>
          <w:lang w:val="nl-BE"/>
        </w:rPr>
        <w:t xml:space="preserve">(1), 13–22. </w:t>
      </w:r>
      <w:r w:rsidRPr="00C36D0E">
        <w:rPr>
          <w:szCs w:val="24"/>
        </w:rPr>
        <w:fldChar w:fldCharType="begin"/>
      </w:r>
      <w:r w:rsidRPr="00C36D0E">
        <w:rPr>
          <w:szCs w:val="24"/>
          <w:lang w:val="nl-BE"/>
        </w:rPr>
        <w:instrText>HYPERLINK "https://doi.org/10.1093/biomet/73.1.13"</w:instrText>
      </w:r>
      <w:r w:rsidRPr="00C36D0E">
        <w:rPr>
          <w:szCs w:val="24"/>
        </w:rPr>
        <w:fldChar w:fldCharType="separate"/>
      </w:r>
      <w:r w:rsidRPr="00C36D0E">
        <w:rPr>
          <w:color w:val="0000FF"/>
          <w:szCs w:val="24"/>
          <w:u w:val="single"/>
          <w:lang w:val="nl-BE"/>
        </w:rPr>
        <w:t>https://doi.org/10.1093/biomet/73.1.13</w:t>
      </w:r>
      <w:r w:rsidRPr="00C36D0E">
        <w:rPr>
          <w:szCs w:val="24"/>
        </w:rPr>
        <w:fldChar w:fldCharType="end"/>
      </w:r>
    </w:p>
    <w:p w14:paraId="7F77F984" w14:textId="25E5D3CA" w:rsidR="00C36D0E" w:rsidRPr="00C36D0E" w:rsidRDefault="00C36D0E" w:rsidP="00C36D0E">
      <w:pPr>
        <w:spacing w:before="100" w:beforeAutospacing="1" w:after="100" w:afterAutospacing="1" w:line="240" w:lineRule="auto"/>
        <w:ind w:left="540" w:hanging="540"/>
        <w:jc w:val="both"/>
        <w:rPr>
          <w:szCs w:val="24"/>
        </w:rPr>
      </w:pPr>
      <w:r w:rsidRPr="00C36D0E">
        <w:rPr>
          <w:szCs w:val="24"/>
          <w:lang w:val="nl-BE"/>
        </w:rPr>
        <w:t xml:space="preserve">Mancl, L. A., &amp; DeRouen, T. A. (2001). </w:t>
      </w:r>
      <w:r w:rsidRPr="00C36D0E">
        <w:rPr>
          <w:szCs w:val="24"/>
        </w:rPr>
        <w:t xml:space="preserve">A covariance estimator for GEE with improved small-sample properties. </w:t>
      </w:r>
      <w:r w:rsidRPr="00C36D0E">
        <w:rPr>
          <w:i/>
          <w:iCs/>
          <w:szCs w:val="24"/>
        </w:rPr>
        <w:t>Biometrics, 57</w:t>
      </w:r>
      <w:r w:rsidRPr="00C36D0E">
        <w:rPr>
          <w:szCs w:val="24"/>
        </w:rPr>
        <w:t xml:space="preserve">(1), 126–134. </w:t>
      </w:r>
      <w:hyperlink r:id="rId44" w:history="1">
        <w:r w:rsidRPr="00C36D0E">
          <w:rPr>
            <w:color w:val="0000FF"/>
            <w:szCs w:val="24"/>
            <w:u w:val="single"/>
          </w:rPr>
          <w:t>https://doi.org/10.1111/j.0006-341X.2001.00126.x</w:t>
        </w:r>
      </w:hyperlink>
    </w:p>
    <w:p w14:paraId="38AC2E18" w14:textId="6821F5A5"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Musa, A., Abdul Latif, R., &amp; Abdul Majid, J. (2025). Risk management committee and earnings management: Evidence from an emerging market. </w:t>
      </w:r>
      <w:r w:rsidRPr="00C36D0E">
        <w:rPr>
          <w:i/>
          <w:iCs/>
          <w:szCs w:val="24"/>
        </w:rPr>
        <w:t>Journal of Accounting in Emerging Economies, 15</w:t>
      </w:r>
      <w:r w:rsidRPr="00C36D0E">
        <w:rPr>
          <w:szCs w:val="24"/>
        </w:rPr>
        <w:t xml:space="preserve">(2), 273–305. </w:t>
      </w:r>
      <w:hyperlink r:id="rId45" w:history="1">
        <w:r w:rsidRPr="00C36D0E">
          <w:rPr>
            <w:color w:val="0000FF"/>
            <w:szCs w:val="24"/>
            <w:u w:val="single"/>
          </w:rPr>
          <w:t>https://doi.org/10.1108/JAEE-07-2023-0212</w:t>
        </w:r>
      </w:hyperlink>
    </w:p>
    <w:p w14:paraId="40713359" w14:textId="07F9DDBE"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Ogbodo, C. O., </w:t>
      </w:r>
      <w:proofErr w:type="spellStart"/>
      <w:r w:rsidRPr="00C36D0E">
        <w:rPr>
          <w:szCs w:val="24"/>
        </w:rPr>
        <w:t>Ogala</w:t>
      </w:r>
      <w:proofErr w:type="spellEnd"/>
      <w:r w:rsidRPr="00C36D0E">
        <w:rPr>
          <w:szCs w:val="24"/>
        </w:rPr>
        <w:t xml:space="preserve">, I. I., &amp; </w:t>
      </w:r>
      <w:proofErr w:type="spellStart"/>
      <w:r w:rsidRPr="00C36D0E">
        <w:rPr>
          <w:szCs w:val="24"/>
        </w:rPr>
        <w:t>Falope</w:t>
      </w:r>
      <w:proofErr w:type="spellEnd"/>
      <w:r w:rsidRPr="00C36D0E">
        <w:rPr>
          <w:szCs w:val="24"/>
        </w:rPr>
        <w:t xml:space="preserve">, F. J. (2023). Foreign and institutional ownership and financial statement fraud among non-financial listed firms on the Nigeria Exchange Group. </w:t>
      </w:r>
      <w:r w:rsidRPr="00C36D0E">
        <w:rPr>
          <w:i/>
          <w:iCs/>
          <w:szCs w:val="24"/>
        </w:rPr>
        <w:t>Journal of Global Accounting, 9</w:t>
      </w:r>
      <w:r w:rsidRPr="00C36D0E">
        <w:rPr>
          <w:szCs w:val="24"/>
        </w:rPr>
        <w:t xml:space="preserve">(4), 101–117. </w:t>
      </w:r>
      <w:hyperlink r:id="rId46" w:history="1">
        <w:r w:rsidRPr="00C36D0E">
          <w:rPr>
            <w:color w:val="0000FF"/>
            <w:szCs w:val="24"/>
            <w:u w:val="single"/>
          </w:rPr>
          <w:t>https://journals.unizik.edu.ng/joga/article/view/2901</w:t>
        </w:r>
      </w:hyperlink>
    </w:p>
    <w:p w14:paraId="51CBB4FF" w14:textId="2A027E13" w:rsidR="00C36D0E" w:rsidRPr="00C36D0E" w:rsidRDefault="00C36D0E" w:rsidP="00C36D0E">
      <w:pPr>
        <w:spacing w:before="100" w:beforeAutospacing="1" w:after="100" w:afterAutospacing="1" w:line="240" w:lineRule="auto"/>
        <w:ind w:left="540" w:hanging="540"/>
        <w:jc w:val="both"/>
        <w:rPr>
          <w:szCs w:val="24"/>
        </w:rPr>
      </w:pPr>
      <w:proofErr w:type="spellStart"/>
      <w:r w:rsidRPr="00C36D0E">
        <w:rPr>
          <w:szCs w:val="24"/>
        </w:rPr>
        <w:t>Oluwagbade</w:t>
      </w:r>
      <w:proofErr w:type="spellEnd"/>
      <w:r w:rsidRPr="00C36D0E">
        <w:rPr>
          <w:szCs w:val="24"/>
        </w:rPr>
        <w:t xml:space="preserve">, O. I., </w:t>
      </w:r>
      <w:proofErr w:type="spellStart"/>
      <w:r w:rsidRPr="00C36D0E">
        <w:rPr>
          <w:szCs w:val="24"/>
        </w:rPr>
        <w:t>Oshatimi</w:t>
      </w:r>
      <w:proofErr w:type="spellEnd"/>
      <w:r w:rsidRPr="00C36D0E">
        <w:rPr>
          <w:szCs w:val="24"/>
        </w:rPr>
        <w:t xml:space="preserve">, O. O., </w:t>
      </w:r>
      <w:proofErr w:type="spellStart"/>
      <w:r w:rsidRPr="00C36D0E">
        <w:rPr>
          <w:szCs w:val="24"/>
        </w:rPr>
        <w:t>Omomeji</w:t>
      </w:r>
      <w:proofErr w:type="spellEnd"/>
      <w:r w:rsidRPr="00C36D0E">
        <w:rPr>
          <w:szCs w:val="24"/>
        </w:rPr>
        <w:t xml:space="preserve">, J. O., &amp; </w:t>
      </w:r>
      <w:proofErr w:type="spellStart"/>
      <w:r w:rsidRPr="00C36D0E">
        <w:rPr>
          <w:szCs w:val="24"/>
        </w:rPr>
        <w:t>Fasanmi</w:t>
      </w:r>
      <w:proofErr w:type="spellEnd"/>
      <w:r w:rsidRPr="00C36D0E">
        <w:rPr>
          <w:szCs w:val="24"/>
        </w:rPr>
        <w:t xml:space="preserve">, M. M. (2023). Fraud diamond model and fraudulent financial reporting: Evidence from deposit money banks in Nigeria. </w:t>
      </w:r>
      <w:r w:rsidRPr="00C36D0E">
        <w:rPr>
          <w:i/>
          <w:iCs/>
          <w:szCs w:val="24"/>
        </w:rPr>
        <w:t>Journal of Contemporary Issues in Accounting, 4</w:t>
      </w:r>
      <w:r w:rsidRPr="00C36D0E">
        <w:rPr>
          <w:szCs w:val="24"/>
        </w:rPr>
        <w:t xml:space="preserve">(1), 142–155. </w:t>
      </w:r>
      <w:hyperlink r:id="rId47" w:history="1">
        <w:r w:rsidRPr="00C36D0E">
          <w:rPr>
            <w:color w:val="0000FF"/>
            <w:szCs w:val="24"/>
            <w:u w:val="single"/>
          </w:rPr>
          <w:t>https://journals.unizik.edu.ng/jocia/article/view/2514</w:t>
        </w:r>
      </w:hyperlink>
    </w:p>
    <w:p w14:paraId="0EEB8869" w14:textId="75E4F35B" w:rsidR="00C36D0E" w:rsidRPr="00C36D0E" w:rsidRDefault="00C36D0E" w:rsidP="00C36D0E">
      <w:pPr>
        <w:spacing w:before="100" w:beforeAutospacing="1" w:after="100" w:afterAutospacing="1" w:line="240" w:lineRule="auto"/>
        <w:ind w:left="540" w:hanging="540"/>
        <w:jc w:val="both"/>
        <w:rPr>
          <w:szCs w:val="24"/>
        </w:rPr>
      </w:pPr>
      <w:proofErr w:type="spellStart"/>
      <w:r w:rsidRPr="00C36D0E">
        <w:rPr>
          <w:szCs w:val="24"/>
        </w:rPr>
        <w:t>Perols</w:t>
      </w:r>
      <w:proofErr w:type="spellEnd"/>
      <w:r w:rsidRPr="00C36D0E">
        <w:rPr>
          <w:szCs w:val="24"/>
        </w:rPr>
        <w:t xml:space="preserve">, J. L., &amp; Lougee, B. A. (2011). The relation between earnings management and financial statement fraud. </w:t>
      </w:r>
      <w:r w:rsidRPr="00C36D0E">
        <w:rPr>
          <w:i/>
          <w:iCs/>
          <w:szCs w:val="24"/>
        </w:rPr>
        <w:t>Advances in Accounting, 27</w:t>
      </w:r>
      <w:r w:rsidRPr="00C36D0E">
        <w:rPr>
          <w:szCs w:val="24"/>
        </w:rPr>
        <w:t xml:space="preserve">(1), 39–53. </w:t>
      </w:r>
      <w:hyperlink r:id="rId48" w:history="1">
        <w:r w:rsidRPr="00C36D0E">
          <w:rPr>
            <w:color w:val="0000FF"/>
            <w:szCs w:val="24"/>
            <w:u w:val="single"/>
          </w:rPr>
          <w:t>https://doi.org/10.1016/j.adiac.2010.10.004</w:t>
        </w:r>
      </w:hyperlink>
    </w:p>
    <w:p w14:paraId="7CDCDB97" w14:textId="210460CF"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Petersen, M. A. (2009). Estimating standard errors in finance panel data sets: Comparing approaches. </w:t>
      </w:r>
      <w:r w:rsidRPr="00C36D0E">
        <w:rPr>
          <w:i/>
          <w:iCs/>
          <w:szCs w:val="24"/>
        </w:rPr>
        <w:t>The Review of Financial Studies, 22</w:t>
      </w:r>
      <w:r w:rsidRPr="00C36D0E">
        <w:rPr>
          <w:szCs w:val="24"/>
        </w:rPr>
        <w:t xml:space="preserve">(1), 435–480. </w:t>
      </w:r>
      <w:hyperlink r:id="rId49" w:history="1">
        <w:r w:rsidRPr="00C36D0E">
          <w:rPr>
            <w:color w:val="0000FF"/>
            <w:szCs w:val="24"/>
            <w:u w:val="single"/>
          </w:rPr>
          <w:t>https://doi.org/10.1093/rfs/hhn053</w:t>
        </w:r>
      </w:hyperlink>
    </w:p>
    <w:p w14:paraId="3FE11994" w14:textId="49044AA4" w:rsidR="00C36D0E" w:rsidRPr="00C36D0E" w:rsidRDefault="00C36D0E" w:rsidP="00C36D0E">
      <w:pPr>
        <w:spacing w:before="100" w:beforeAutospacing="1" w:after="100" w:afterAutospacing="1" w:line="240" w:lineRule="auto"/>
        <w:ind w:left="540" w:hanging="540"/>
        <w:jc w:val="both"/>
        <w:rPr>
          <w:szCs w:val="24"/>
        </w:rPr>
      </w:pPr>
      <w:r w:rsidRPr="00C36D0E">
        <w:rPr>
          <w:szCs w:val="24"/>
          <w:lang w:val="nl-BE"/>
        </w:rPr>
        <w:t xml:space="preserve">Schilit, H. M., Perler, J., &amp; Engelhart, Y. (2018). </w:t>
      </w:r>
      <w:r w:rsidRPr="00C36D0E">
        <w:rPr>
          <w:i/>
          <w:iCs/>
          <w:szCs w:val="24"/>
        </w:rPr>
        <w:t>Financial shenanigans: How to detect accounting gimmicks and fraud in financial reports</w:t>
      </w:r>
      <w:r w:rsidRPr="00C36D0E">
        <w:rPr>
          <w:szCs w:val="24"/>
        </w:rPr>
        <w:t xml:space="preserve"> (4th ed.). McGraw-Hill. </w:t>
      </w:r>
    </w:p>
    <w:p w14:paraId="399F27FF" w14:textId="73B2CC3A"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Skousen, C. J., Smith, K. R., &amp; Wright, C. J. (2009). Detecting and predicting financial statement fraud: The effectiveness of the fraud triangle and SAS No. 99. </w:t>
      </w:r>
      <w:r w:rsidRPr="00C36D0E">
        <w:rPr>
          <w:i/>
          <w:iCs/>
          <w:szCs w:val="24"/>
        </w:rPr>
        <w:t>Advances in Financial Economics, 13</w:t>
      </w:r>
      <w:r w:rsidRPr="00C36D0E">
        <w:rPr>
          <w:szCs w:val="24"/>
        </w:rPr>
        <w:t xml:space="preserve">, 53–81. </w:t>
      </w:r>
      <w:hyperlink r:id="rId50" w:history="1">
        <w:r w:rsidRPr="00C36D0E">
          <w:rPr>
            <w:color w:val="0000FF"/>
            <w:szCs w:val="24"/>
            <w:u w:val="single"/>
          </w:rPr>
          <w:t>https://doi.org/10.1108/S1569-3732(2009)0000013005</w:t>
        </w:r>
      </w:hyperlink>
    </w:p>
    <w:p w14:paraId="29CE2453" w14:textId="4D9A8777" w:rsidR="00C36D0E" w:rsidRPr="00C36D0E" w:rsidRDefault="00C36D0E" w:rsidP="00C36D0E">
      <w:pPr>
        <w:spacing w:before="100" w:beforeAutospacing="1" w:after="100" w:afterAutospacing="1" w:line="240" w:lineRule="auto"/>
        <w:ind w:left="540" w:hanging="540"/>
        <w:jc w:val="both"/>
        <w:rPr>
          <w:szCs w:val="24"/>
        </w:rPr>
      </w:pPr>
      <w:r w:rsidRPr="00C36D0E">
        <w:rPr>
          <w:szCs w:val="24"/>
        </w:rPr>
        <w:lastRenderedPageBreak/>
        <w:t xml:space="preserve">Warfield, T. D., Wild, J. J., &amp; Wild, K. L. (1995). Managerial ownership, accounting choices, and informativeness of earnings. </w:t>
      </w:r>
      <w:r w:rsidRPr="00C36D0E">
        <w:rPr>
          <w:i/>
          <w:iCs/>
          <w:szCs w:val="24"/>
        </w:rPr>
        <w:t>Journal of Accounting and Economics, 20</w:t>
      </w:r>
      <w:r w:rsidRPr="00C36D0E">
        <w:rPr>
          <w:szCs w:val="24"/>
        </w:rPr>
        <w:t xml:space="preserve">(1), 61–91. </w:t>
      </w:r>
      <w:hyperlink r:id="rId51" w:history="1">
        <w:r w:rsidRPr="00C36D0E">
          <w:rPr>
            <w:color w:val="0000FF"/>
            <w:szCs w:val="24"/>
            <w:u w:val="single"/>
          </w:rPr>
          <w:t>https://doi.org/10.1016/0165-4101(94)00393-J</w:t>
        </w:r>
      </w:hyperlink>
    </w:p>
    <w:p w14:paraId="645450F4" w14:textId="48EB049C"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Wolfe, D. T., &amp; Hermanson, D. R. (2004). The fraud diamond: Considering the four elements of fraud. </w:t>
      </w:r>
      <w:r w:rsidRPr="00C36D0E">
        <w:rPr>
          <w:i/>
          <w:iCs/>
          <w:szCs w:val="24"/>
        </w:rPr>
        <w:t>The CPA Journal, 74</w:t>
      </w:r>
      <w:r w:rsidRPr="00C36D0E">
        <w:rPr>
          <w:szCs w:val="24"/>
        </w:rPr>
        <w:t xml:space="preserve">(12), 38–42. </w:t>
      </w:r>
      <w:hyperlink r:id="rId52" w:history="1">
        <w:r w:rsidRPr="00C36D0E">
          <w:rPr>
            <w:color w:val="0000FF"/>
            <w:szCs w:val="24"/>
            <w:u w:val="single"/>
          </w:rPr>
          <w:t>https://www.cpajournal.com/2024/05/01/the-fraud-diamond-considering-the-four-elements-of-fraud/</w:t>
        </w:r>
      </w:hyperlink>
      <w:r w:rsidRPr="00C36D0E">
        <w:rPr>
          <w:szCs w:val="24"/>
        </w:rPr>
        <w:t xml:space="preserve"> </w:t>
      </w:r>
      <w:hyperlink r:id="rId53" w:history="1">
        <w:r w:rsidRPr="00C36D0E">
          <w:rPr>
            <w:color w:val="0000FF"/>
            <w:szCs w:val="24"/>
            <w:u w:val="single"/>
          </w:rPr>
          <w:t>The CPA Journal</w:t>
        </w:r>
      </w:hyperlink>
    </w:p>
    <w:p w14:paraId="11B28173" w14:textId="7CF16F1D" w:rsidR="00C36D0E" w:rsidRPr="00C36D0E" w:rsidRDefault="00C36D0E" w:rsidP="00C36D0E">
      <w:pPr>
        <w:spacing w:before="100" w:beforeAutospacing="1" w:after="100" w:afterAutospacing="1" w:line="240" w:lineRule="auto"/>
        <w:ind w:left="540" w:hanging="540"/>
        <w:jc w:val="both"/>
        <w:rPr>
          <w:szCs w:val="24"/>
        </w:rPr>
      </w:pPr>
      <w:r w:rsidRPr="00C36D0E">
        <w:rPr>
          <w:szCs w:val="24"/>
        </w:rPr>
        <w:t xml:space="preserve">Xie, B., Davidson, W. N., III, &amp; DaDalt, P. J. (2003). Earnings management and corporate governance: The role of the board and the audit committee. </w:t>
      </w:r>
      <w:r w:rsidRPr="00C36D0E">
        <w:rPr>
          <w:i/>
          <w:iCs/>
          <w:szCs w:val="24"/>
        </w:rPr>
        <w:t>Journal of Corporate Finance, 9</w:t>
      </w:r>
      <w:r w:rsidRPr="00C36D0E">
        <w:rPr>
          <w:szCs w:val="24"/>
        </w:rPr>
        <w:t xml:space="preserve">(3), 295–316. </w:t>
      </w:r>
      <w:hyperlink r:id="rId54" w:history="1">
        <w:r w:rsidRPr="00C36D0E">
          <w:rPr>
            <w:color w:val="0000FF"/>
            <w:szCs w:val="24"/>
            <w:u w:val="single"/>
          </w:rPr>
          <w:t>https://doi.org/10.1016/S0929-1199(02)00006-8</w:t>
        </w:r>
      </w:hyperlink>
    </w:p>
    <w:p w14:paraId="355742C6" w14:textId="77777777" w:rsidR="009E04F9" w:rsidRDefault="00000000">
      <w:pPr>
        <w:keepNext/>
        <w:pageBreakBefore/>
        <w:spacing w:before="120"/>
      </w:pPr>
      <w:r>
        <w:rPr>
          <w:b/>
        </w:rPr>
        <w:lastRenderedPageBreak/>
        <w:t xml:space="preserve">Appendix A. Annual </w:t>
      </w:r>
      <w:proofErr w:type="spellStart"/>
      <w:r>
        <w:rPr>
          <w:b/>
        </w:rPr>
        <w:t>Beneish</w:t>
      </w:r>
      <w:proofErr w:type="spellEnd"/>
      <w:r>
        <w:rPr>
          <w:b/>
        </w:rPr>
        <w:t>-flag prevalence</w:t>
      </w:r>
    </w:p>
    <w:tbl>
      <w:tblPr>
        <w:tblStyle w:val="TableGrid"/>
        <w:tblW w:w="0" w:type="auto"/>
        <w:jc w:val="center"/>
        <w:tblLook w:val="04A0" w:firstRow="1" w:lastRow="0" w:firstColumn="1" w:lastColumn="0" w:noHBand="0" w:noVBand="1"/>
      </w:tblPr>
      <w:tblGrid>
        <w:gridCol w:w="2256"/>
        <w:gridCol w:w="2256"/>
        <w:gridCol w:w="2256"/>
        <w:gridCol w:w="2256"/>
      </w:tblGrid>
      <w:tr w:rsidR="009E04F9" w14:paraId="799CA924" w14:textId="77777777">
        <w:trPr>
          <w:cantSplit/>
          <w:jc w:val="center"/>
        </w:trPr>
        <w:tc>
          <w:tcPr>
            <w:tcW w:w="2256" w:type="dxa"/>
            <w:shd w:val="clear" w:color="auto" w:fill="D9EAF7"/>
            <w:vAlign w:val="center"/>
          </w:tcPr>
          <w:p w14:paraId="6FA984C9" w14:textId="77777777" w:rsidR="009E04F9" w:rsidRDefault="00000000">
            <w:pPr>
              <w:jc w:val="center"/>
            </w:pPr>
            <w:r>
              <w:rPr>
                <w:b/>
              </w:rPr>
              <w:t>Year</w:t>
            </w:r>
          </w:p>
        </w:tc>
        <w:tc>
          <w:tcPr>
            <w:tcW w:w="2256" w:type="dxa"/>
            <w:shd w:val="clear" w:color="auto" w:fill="D9EAF7"/>
            <w:vAlign w:val="center"/>
          </w:tcPr>
          <w:p w14:paraId="55581193" w14:textId="77777777" w:rsidR="009E04F9" w:rsidRDefault="00000000">
            <w:pPr>
              <w:jc w:val="center"/>
            </w:pPr>
            <w:r>
              <w:rPr>
                <w:b/>
              </w:rPr>
              <w:t>Firm-years</w:t>
            </w:r>
          </w:p>
        </w:tc>
        <w:tc>
          <w:tcPr>
            <w:tcW w:w="2256" w:type="dxa"/>
            <w:shd w:val="clear" w:color="auto" w:fill="D9EAF7"/>
            <w:vAlign w:val="center"/>
          </w:tcPr>
          <w:p w14:paraId="2EA7064D" w14:textId="77777777" w:rsidR="009E04F9" w:rsidRDefault="00000000">
            <w:pPr>
              <w:jc w:val="center"/>
            </w:pPr>
            <w:r>
              <w:rPr>
                <w:b/>
              </w:rPr>
              <w:t>Flagged</w:t>
            </w:r>
          </w:p>
        </w:tc>
        <w:tc>
          <w:tcPr>
            <w:tcW w:w="2256" w:type="dxa"/>
            <w:shd w:val="clear" w:color="auto" w:fill="D9EAF7"/>
            <w:vAlign w:val="center"/>
          </w:tcPr>
          <w:p w14:paraId="58A97FE7" w14:textId="77777777" w:rsidR="009E04F9" w:rsidRDefault="00000000">
            <w:pPr>
              <w:jc w:val="center"/>
            </w:pPr>
            <w:r>
              <w:rPr>
                <w:b/>
              </w:rPr>
              <w:t>Flag rate (%)</w:t>
            </w:r>
          </w:p>
        </w:tc>
      </w:tr>
      <w:tr w:rsidR="009E04F9" w14:paraId="3A24810D" w14:textId="77777777">
        <w:trPr>
          <w:cantSplit/>
          <w:jc w:val="center"/>
        </w:trPr>
        <w:tc>
          <w:tcPr>
            <w:tcW w:w="2256" w:type="dxa"/>
            <w:vAlign w:val="center"/>
          </w:tcPr>
          <w:p w14:paraId="0A11BD52" w14:textId="77777777" w:rsidR="009E04F9" w:rsidRDefault="00000000">
            <w:pPr>
              <w:jc w:val="center"/>
            </w:pPr>
            <w:r>
              <w:t>2014</w:t>
            </w:r>
          </w:p>
        </w:tc>
        <w:tc>
          <w:tcPr>
            <w:tcW w:w="2256" w:type="dxa"/>
            <w:vAlign w:val="center"/>
          </w:tcPr>
          <w:p w14:paraId="6598B459" w14:textId="77777777" w:rsidR="009E04F9" w:rsidRDefault="00000000">
            <w:pPr>
              <w:jc w:val="center"/>
            </w:pPr>
            <w:r>
              <w:t>40</w:t>
            </w:r>
          </w:p>
        </w:tc>
        <w:tc>
          <w:tcPr>
            <w:tcW w:w="2256" w:type="dxa"/>
            <w:vAlign w:val="center"/>
          </w:tcPr>
          <w:p w14:paraId="2E4BB810" w14:textId="77777777" w:rsidR="009E04F9" w:rsidRDefault="00000000">
            <w:pPr>
              <w:jc w:val="center"/>
            </w:pPr>
            <w:r>
              <w:t>14</w:t>
            </w:r>
          </w:p>
        </w:tc>
        <w:tc>
          <w:tcPr>
            <w:tcW w:w="2256" w:type="dxa"/>
            <w:vAlign w:val="center"/>
          </w:tcPr>
          <w:p w14:paraId="29E10FB6" w14:textId="77777777" w:rsidR="009E04F9" w:rsidRDefault="00000000">
            <w:pPr>
              <w:jc w:val="center"/>
            </w:pPr>
            <w:r>
              <w:t>35.0</w:t>
            </w:r>
          </w:p>
        </w:tc>
      </w:tr>
      <w:tr w:rsidR="009E04F9" w14:paraId="0D34570E" w14:textId="77777777">
        <w:trPr>
          <w:cantSplit/>
          <w:jc w:val="center"/>
        </w:trPr>
        <w:tc>
          <w:tcPr>
            <w:tcW w:w="2256" w:type="dxa"/>
            <w:vAlign w:val="center"/>
          </w:tcPr>
          <w:p w14:paraId="25779196" w14:textId="77777777" w:rsidR="009E04F9" w:rsidRDefault="00000000">
            <w:pPr>
              <w:jc w:val="center"/>
            </w:pPr>
            <w:r>
              <w:t>2015</w:t>
            </w:r>
          </w:p>
        </w:tc>
        <w:tc>
          <w:tcPr>
            <w:tcW w:w="2256" w:type="dxa"/>
            <w:vAlign w:val="center"/>
          </w:tcPr>
          <w:p w14:paraId="7718F45E" w14:textId="77777777" w:rsidR="009E04F9" w:rsidRDefault="00000000">
            <w:pPr>
              <w:jc w:val="center"/>
            </w:pPr>
            <w:r>
              <w:t>40</w:t>
            </w:r>
          </w:p>
        </w:tc>
        <w:tc>
          <w:tcPr>
            <w:tcW w:w="2256" w:type="dxa"/>
            <w:vAlign w:val="center"/>
          </w:tcPr>
          <w:p w14:paraId="1363A1ED" w14:textId="77777777" w:rsidR="009E04F9" w:rsidRDefault="00000000">
            <w:pPr>
              <w:jc w:val="center"/>
            </w:pPr>
            <w:r>
              <w:t>9</w:t>
            </w:r>
          </w:p>
        </w:tc>
        <w:tc>
          <w:tcPr>
            <w:tcW w:w="2256" w:type="dxa"/>
            <w:vAlign w:val="center"/>
          </w:tcPr>
          <w:p w14:paraId="7047CA9A" w14:textId="77777777" w:rsidR="009E04F9" w:rsidRDefault="00000000">
            <w:pPr>
              <w:jc w:val="center"/>
            </w:pPr>
            <w:r>
              <w:t>22.5</w:t>
            </w:r>
          </w:p>
        </w:tc>
      </w:tr>
      <w:tr w:rsidR="009E04F9" w14:paraId="33BEC803" w14:textId="77777777">
        <w:trPr>
          <w:cantSplit/>
          <w:jc w:val="center"/>
        </w:trPr>
        <w:tc>
          <w:tcPr>
            <w:tcW w:w="2256" w:type="dxa"/>
            <w:vAlign w:val="center"/>
          </w:tcPr>
          <w:p w14:paraId="2BFC7726" w14:textId="77777777" w:rsidR="009E04F9" w:rsidRDefault="00000000">
            <w:pPr>
              <w:jc w:val="center"/>
            </w:pPr>
            <w:r>
              <w:t>2016</w:t>
            </w:r>
          </w:p>
        </w:tc>
        <w:tc>
          <w:tcPr>
            <w:tcW w:w="2256" w:type="dxa"/>
            <w:vAlign w:val="center"/>
          </w:tcPr>
          <w:p w14:paraId="0F73B616" w14:textId="77777777" w:rsidR="009E04F9" w:rsidRDefault="00000000">
            <w:pPr>
              <w:jc w:val="center"/>
            </w:pPr>
            <w:r>
              <w:t>39</w:t>
            </w:r>
          </w:p>
        </w:tc>
        <w:tc>
          <w:tcPr>
            <w:tcW w:w="2256" w:type="dxa"/>
            <w:vAlign w:val="center"/>
          </w:tcPr>
          <w:p w14:paraId="651D3631" w14:textId="77777777" w:rsidR="009E04F9" w:rsidRDefault="00000000">
            <w:pPr>
              <w:jc w:val="center"/>
            </w:pPr>
            <w:r>
              <w:t>16</w:t>
            </w:r>
          </w:p>
        </w:tc>
        <w:tc>
          <w:tcPr>
            <w:tcW w:w="2256" w:type="dxa"/>
            <w:vAlign w:val="center"/>
          </w:tcPr>
          <w:p w14:paraId="2CB4EB97" w14:textId="77777777" w:rsidR="009E04F9" w:rsidRDefault="00000000">
            <w:pPr>
              <w:jc w:val="center"/>
            </w:pPr>
            <w:r>
              <w:t>41.0</w:t>
            </w:r>
          </w:p>
        </w:tc>
      </w:tr>
      <w:tr w:rsidR="009E04F9" w14:paraId="57A088DF" w14:textId="77777777">
        <w:trPr>
          <w:cantSplit/>
          <w:jc w:val="center"/>
        </w:trPr>
        <w:tc>
          <w:tcPr>
            <w:tcW w:w="2256" w:type="dxa"/>
            <w:vAlign w:val="center"/>
          </w:tcPr>
          <w:p w14:paraId="390BF1DC" w14:textId="77777777" w:rsidR="009E04F9" w:rsidRDefault="00000000">
            <w:pPr>
              <w:jc w:val="center"/>
            </w:pPr>
            <w:r>
              <w:t>2017</w:t>
            </w:r>
          </w:p>
        </w:tc>
        <w:tc>
          <w:tcPr>
            <w:tcW w:w="2256" w:type="dxa"/>
            <w:vAlign w:val="center"/>
          </w:tcPr>
          <w:p w14:paraId="1A4A4570" w14:textId="77777777" w:rsidR="009E04F9" w:rsidRDefault="00000000">
            <w:pPr>
              <w:jc w:val="center"/>
            </w:pPr>
            <w:r>
              <w:t>38</w:t>
            </w:r>
          </w:p>
        </w:tc>
        <w:tc>
          <w:tcPr>
            <w:tcW w:w="2256" w:type="dxa"/>
            <w:vAlign w:val="center"/>
          </w:tcPr>
          <w:p w14:paraId="2E569C3A" w14:textId="77777777" w:rsidR="009E04F9" w:rsidRDefault="00000000">
            <w:pPr>
              <w:jc w:val="center"/>
            </w:pPr>
            <w:r>
              <w:t>12</w:t>
            </w:r>
          </w:p>
        </w:tc>
        <w:tc>
          <w:tcPr>
            <w:tcW w:w="2256" w:type="dxa"/>
            <w:vAlign w:val="center"/>
          </w:tcPr>
          <w:p w14:paraId="4BB41BEF" w14:textId="77777777" w:rsidR="009E04F9" w:rsidRDefault="00000000">
            <w:pPr>
              <w:jc w:val="center"/>
            </w:pPr>
            <w:r>
              <w:t>31.6</w:t>
            </w:r>
          </w:p>
        </w:tc>
      </w:tr>
      <w:tr w:rsidR="009E04F9" w14:paraId="1AE87D66" w14:textId="77777777">
        <w:trPr>
          <w:cantSplit/>
          <w:jc w:val="center"/>
        </w:trPr>
        <w:tc>
          <w:tcPr>
            <w:tcW w:w="2256" w:type="dxa"/>
            <w:vAlign w:val="center"/>
          </w:tcPr>
          <w:p w14:paraId="44AFC62D" w14:textId="77777777" w:rsidR="009E04F9" w:rsidRDefault="00000000">
            <w:pPr>
              <w:jc w:val="center"/>
            </w:pPr>
            <w:r>
              <w:t>2018</w:t>
            </w:r>
          </w:p>
        </w:tc>
        <w:tc>
          <w:tcPr>
            <w:tcW w:w="2256" w:type="dxa"/>
            <w:vAlign w:val="center"/>
          </w:tcPr>
          <w:p w14:paraId="26528D28" w14:textId="77777777" w:rsidR="009E04F9" w:rsidRDefault="00000000">
            <w:pPr>
              <w:jc w:val="center"/>
            </w:pPr>
            <w:r>
              <w:t>39</w:t>
            </w:r>
          </w:p>
        </w:tc>
        <w:tc>
          <w:tcPr>
            <w:tcW w:w="2256" w:type="dxa"/>
            <w:vAlign w:val="center"/>
          </w:tcPr>
          <w:p w14:paraId="47FE0515" w14:textId="77777777" w:rsidR="009E04F9" w:rsidRDefault="00000000">
            <w:pPr>
              <w:jc w:val="center"/>
            </w:pPr>
            <w:r>
              <w:t>11</w:t>
            </w:r>
          </w:p>
        </w:tc>
        <w:tc>
          <w:tcPr>
            <w:tcW w:w="2256" w:type="dxa"/>
            <w:vAlign w:val="center"/>
          </w:tcPr>
          <w:p w14:paraId="7715D064" w14:textId="77777777" w:rsidR="009E04F9" w:rsidRDefault="00000000">
            <w:pPr>
              <w:jc w:val="center"/>
            </w:pPr>
            <w:r>
              <w:t>28.2</w:t>
            </w:r>
          </w:p>
        </w:tc>
      </w:tr>
      <w:tr w:rsidR="009E04F9" w14:paraId="0039FB2F" w14:textId="77777777">
        <w:trPr>
          <w:cantSplit/>
          <w:jc w:val="center"/>
        </w:trPr>
        <w:tc>
          <w:tcPr>
            <w:tcW w:w="2256" w:type="dxa"/>
            <w:vAlign w:val="center"/>
          </w:tcPr>
          <w:p w14:paraId="641F6946" w14:textId="77777777" w:rsidR="009E04F9" w:rsidRDefault="00000000">
            <w:pPr>
              <w:jc w:val="center"/>
            </w:pPr>
            <w:r>
              <w:t>2019</w:t>
            </w:r>
          </w:p>
        </w:tc>
        <w:tc>
          <w:tcPr>
            <w:tcW w:w="2256" w:type="dxa"/>
            <w:vAlign w:val="center"/>
          </w:tcPr>
          <w:p w14:paraId="24169D9D" w14:textId="77777777" w:rsidR="009E04F9" w:rsidRDefault="00000000">
            <w:pPr>
              <w:jc w:val="center"/>
            </w:pPr>
            <w:r>
              <w:t>39</w:t>
            </w:r>
          </w:p>
        </w:tc>
        <w:tc>
          <w:tcPr>
            <w:tcW w:w="2256" w:type="dxa"/>
            <w:vAlign w:val="center"/>
          </w:tcPr>
          <w:p w14:paraId="12A95B31" w14:textId="77777777" w:rsidR="009E04F9" w:rsidRDefault="00000000">
            <w:pPr>
              <w:jc w:val="center"/>
            </w:pPr>
            <w:r>
              <w:t>15</w:t>
            </w:r>
          </w:p>
        </w:tc>
        <w:tc>
          <w:tcPr>
            <w:tcW w:w="2256" w:type="dxa"/>
            <w:vAlign w:val="center"/>
          </w:tcPr>
          <w:p w14:paraId="061C2166" w14:textId="77777777" w:rsidR="009E04F9" w:rsidRDefault="00000000">
            <w:pPr>
              <w:jc w:val="center"/>
            </w:pPr>
            <w:r>
              <w:t>38.5</w:t>
            </w:r>
          </w:p>
        </w:tc>
      </w:tr>
      <w:tr w:rsidR="009E04F9" w14:paraId="365102F0" w14:textId="77777777">
        <w:trPr>
          <w:cantSplit/>
          <w:jc w:val="center"/>
        </w:trPr>
        <w:tc>
          <w:tcPr>
            <w:tcW w:w="2256" w:type="dxa"/>
            <w:vAlign w:val="center"/>
          </w:tcPr>
          <w:p w14:paraId="4B65E53C" w14:textId="77777777" w:rsidR="009E04F9" w:rsidRDefault="00000000">
            <w:pPr>
              <w:jc w:val="center"/>
            </w:pPr>
            <w:r>
              <w:t>2020</w:t>
            </w:r>
          </w:p>
        </w:tc>
        <w:tc>
          <w:tcPr>
            <w:tcW w:w="2256" w:type="dxa"/>
            <w:vAlign w:val="center"/>
          </w:tcPr>
          <w:p w14:paraId="1F17FA41" w14:textId="77777777" w:rsidR="009E04F9" w:rsidRDefault="00000000">
            <w:pPr>
              <w:jc w:val="center"/>
            </w:pPr>
            <w:r>
              <w:t>39</w:t>
            </w:r>
          </w:p>
        </w:tc>
        <w:tc>
          <w:tcPr>
            <w:tcW w:w="2256" w:type="dxa"/>
            <w:vAlign w:val="center"/>
          </w:tcPr>
          <w:p w14:paraId="75E84E1A" w14:textId="77777777" w:rsidR="009E04F9" w:rsidRDefault="00000000">
            <w:pPr>
              <w:jc w:val="center"/>
            </w:pPr>
            <w:r>
              <w:t>10</w:t>
            </w:r>
          </w:p>
        </w:tc>
        <w:tc>
          <w:tcPr>
            <w:tcW w:w="2256" w:type="dxa"/>
            <w:vAlign w:val="center"/>
          </w:tcPr>
          <w:p w14:paraId="6C092804" w14:textId="77777777" w:rsidR="009E04F9" w:rsidRDefault="00000000">
            <w:pPr>
              <w:jc w:val="center"/>
            </w:pPr>
            <w:r>
              <w:t>25.6</w:t>
            </w:r>
          </w:p>
        </w:tc>
      </w:tr>
      <w:tr w:rsidR="009E04F9" w14:paraId="56392D43" w14:textId="77777777">
        <w:trPr>
          <w:cantSplit/>
          <w:jc w:val="center"/>
        </w:trPr>
        <w:tc>
          <w:tcPr>
            <w:tcW w:w="2256" w:type="dxa"/>
            <w:vAlign w:val="center"/>
          </w:tcPr>
          <w:p w14:paraId="5CEA70CD" w14:textId="77777777" w:rsidR="009E04F9" w:rsidRDefault="00000000">
            <w:pPr>
              <w:jc w:val="center"/>
            </w:pPr>
            <w:r>
              <w:t>2021</w:t>
            </w:r>
          </w:p>
        </w:tc>
        <w:tc>
          <w:tcPr>
            <w:tcW w:w="2256" w:type="dxa"/>
            <w:vAlign w:val="center"/>
          </w:tcPr>
          <w:p w14:paraId="28F64A7B" w14:textId="77777777" w:rsidR="009E04F9" w:rsidRDefault="00000000">
            <w:pPr>
              <w:jc w:val="center"/>
            </w:pPr>
            <w:r>
              <w:t>35</w:t>
            </w:r>
          </w:p>
        </w:tc>
        <w:tc>
          <w:tcPr>
            <w:tcW w:w="2256" w:type="dxa"/>
            <w:vAlign w:val="center"/>
          </w:tcPr>
          <w:p w14:paraId="0B941AA4" w14:textId="77777777" w:rsidR="009E04F9" w:rsidRDefault="00000000">
            <w:pPr>
              <w:jc w:val="center"/>
            </w:pPr>
            <w:r>
              <w:t>10</w:t>
            </w:r>
          </w:p>
        </w:tc>
        <w:tc>
          <w:tcPr>
            <w:tcW w:w="2256" w:type="dxa"/>
            <w:vAlign w:val="center"/>
          </w:tcPr>
          <w:p w14:paraId="4BCEC3C5" w14:textId="77777777" w:rsidR="009E04F9" w:rsidRDefault="00000000">
            <w:pPr>
              <w:jc w:val="center"/>
            </w:pPr>
            <w:r>
              <w:t>28.6</w:t>
            </w:r>
          </w:p>
        </w:tc>
      </w:tr>
      <w:tr w:rsidR="009E04F9" w14:paraId="163BD0B4" w14:textId="77777777">
        <w:trPr>
          <w:cantSplit/>
          <w:jc w:val="center"/>
        </w:trPr>
        <w:tc>
          <w:tcPr>
            <w:tcW w:w="2256" w:type="dxa"/>
            <w:vAlign w:val="center"/>
          </w:tcPr>
          <w:p w14:paraId="6A8A553B" w14:textId="77777777" w:rsidR="009E04F9" w:rsidRDefault="00000000">
            <w:pPr>
              <w:jc w:val="center"/>
            </w:pPr>
            <w:r>
              <w:t>2022</w:t>
            </w:r>
          </w:p>
        </w:tc>
        <w:tc>
          <w:tcPr>
            <w:tcW w:w="2256" w:type="dxa"/>
            <w:vAlign w:val="center"/>
          </w:tcPr>
          <w:p w14:paraId="57F495DE" w14:textId="77777777" w:rsidR="009E04F9" w:rsidRDefault="00000000">
            <w:pPr>
              <w:jc w:val="center"/>
            </w:pPr>
            <w:r>
              <w:t>31</w:t>
            </w:r>
          </w:p>
        </w:tc>
        <w:tc>
          <w:tcPr>
            <w:tcW w:w="2256" w:type="dxa"/>
            <w:vAlign w:val="center"/>
          </w:tcPr>
          <w:p w14:paraId="5D2652E4" w14:textId="77777777" w:rsidR="009E04F9" w:rsidRDefault="00000000">
            <w:pPr>
              <w:jc w:val="center"/>
            </w:pPr>
            <w:r>
              <w:t>18</w:t>
            </w:r>
          </w:p>
        </w:tc>
        <w:tc>
          <w:tcPr>
            <w:tcW w:w="2256" w:type="dxa"/>
            <w:vAlign w:val="center"/>
          </w:tcPr>
          <w:p w14:paraId="2246EE97" w14:textId="77777777" w:rsidR="009E04F9" w:rsidRDefault="00000000">
            <w:pPr>
              <w:jc w:val="center"/>
            </w:pPr>
            <w:r>
              <w:t>58.1</w:t>
            </w:r>
          </w:p>
        </w:tc>
      </w:tr>
    </w:tbl>
    <w:p w14:paraId="0FC24590" w14:textId="77777777" w:rsidR="009E04F9" w:rsidRDefault="009E04F9"/>
    <w:sectPr w:rsidR="009E04F9" w:rsidSect="00034616">
      <w:headerReference w:type="even" r:id="rId55"/>
      <w:headerReference w:type="default" r:id="rId56"/>
      <w:footerReference w:type="even" r:id="rId57"/>
      <w:footerReference w:type="default" r:id="rId58"/>
      <w:headerReference w:type="first" r:id="rId59"/>
      <w:footerReference w:type="first" r:id="rId6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2ADBD" w14:textId="77777777" w:rsidR="00AA2A6F" w:rsidRDefault="00AA2A6F">
      <w:pPr>
        <w:spacing w:line="240" w:lineRule="auto"/>
      </w:pPr>
      <w:r>
        <w:separator/>
      </w:r>
    </w:p>
  </w:endnote>
  <w:endnote w:type="continuationSeparator" w:id="0">
    <w:p w14:paraId="5C540F8C" w14:textId="77777777" w:rsidR="00AA2A6F" w:rsidRDefault="00AA2A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714A7" w14:textId="77777777" w:rsidR="00833A6C" w:rsidRDefault="00833A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93B5" w14:textId="77777777" w:rsidR="009E04F9" w:rsidRDefault="00000000">
    <w:pPr>
      <w:pStyle w:val="Footer"/>
      <w:jc w:val="center"/>
    </w:pPr>
    <w:r>
      <w:fldChar w:fldCharType="begin"/>
    </w:r>
    <w:r>
      <w:instrText xml:space="preserve"> PAGE </w:instrText>
    </w:r>
    <w:r>
      <w:fldChar w:fldCharType="separate"/>
    </w:r>
    <w:r w:rsidR="007F2ABD">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A18F" w14:textId="77777777" w:rsidR="00833A6C" w:rsidRDefault="00833A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F584F" w14:textId="77777777" w:rsidR="00AA2A6F" w:rsidRDefault="00AA2A6F">
      <w:pPr>
        <w:spacing w:line="240" w:lineRule="auto"/>
      </w:pPr>
      <w:r>
        <w:separator/>
      </w:r>
    </w:p>
  </w:footnote>
  <w:footnote w:type="continuationSeparator" w:id="0">
    <w:p w14:paraId="0C8EA1AC" w14:textId="77777777" w:rsidR="00AA2A6F" w:rsidRDefault="00AA2A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3E641" w14:textId="77777777" w:rsidR="00833A6C" w:rsidRDefault="00000000">
    <w:pPr>
      <w:pStyle w:val="Header"/>
    </w:pPr>
    <w:r>
      <w:rPr>
        <w:noProof/>
      </w:rPr>
      <w:pict w14:anchorId="0C6A22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865172"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4A4C2" w14:textId="77777777" w:rsidR="00833A6C" w:rsidRDefault="00000000">
    <w:pPr>
      <w:pStyle w:val="Header"/>
    </w:pPr>
    <w:r>
      <w:rPr>
        <w:noProof/>
      </w:rPr>
      <w:pict w14:anchorId="171113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865173"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176D3" w14:textId="77777777" w:rsidR="00833A6C" w:rsidRDefault="00000000">
    <w:pPr>
      <w:pStyle w:val="Header"/>
    </w:pPr>
    <w:r>
      <w:rPr>
        <w:noProof/>
      </w:rPr>
      <w:pict w14:anchorId="60B2F4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865171"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746A48"/>
    <w:multiLevelType w:val="hybridMultilevel"/>
    <w:tmpl w:val="047C749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E931C2"/>
    <w:multiLevelType w:val="hybridMultilevel"/>
    <w:tmpl w:val="385CA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5428608">
    <w:abstractNumId w:val="8"/>
  </w:num>
  <w:num w:numId="2" w16cid:durableId="1207570504">
    <w:abstractNumId w:val="6"/>
  </w:num>
  <w:num w:numId="3" w16cid:durableId="161626010">
    <w:abstractNumId w:val="5"/>
  </w:num>
  <w:num w:numId="4" w16cid:durableId="1401444513">
    <w:abstractNumId w:val="4"/>
  </w:num>
  <w:num w:numId="5" w16cid:durableId="1188829973">
    <w:abstractNumId w:val="7"/>
  </w:num>
  <w:num w:numId="6" w16cid:durableId="206644624">
    <w:abstractNumId w:val="3"/>
  </w:num>
  <w:num w:numId="7" w16cid:durableId="315500468">
    <w:abstractNumId w:val="2"/>
  </w:num>
  <w:num w:numId="8" w16cid:durableId="1747722324">
    <w:abstractNumId w:val="1"/>
  </w:num>
  <w:num w:numId="9" w16cid:durableId="1783912015">
    <w:abstractNumId w:val="0"/>
  </w:num>
  <w:num w:numId="10" w16cid:durableId="1633097445">
    <w:abstractNumId w:val="10"/>
  </w:num>
  <w:num w:numId="11" w16cid:durableId="4367575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D84"/>
    <w:rsid w:val="00034616"/>
    <w:rsid w:val="0006063C"/>
    <w:rsid w:val="00077817"/>
    <w:rsid w:val="0015074B"/>
    <w:rsid w:val="0015279D"/>
    <w:rsid w:val="00183E68"/>
    <w:rsid w:val="00193D69"/>
    <w:rsid w:val="0029639D"/>
    <w:rsid w:val="002E66D5"/>
    <w:rsid w:val="00326F90"/>
    <w:rsid w:val="00387F9C"/>
    <w:rsid w:val="00393B30"/>
    <w:rsid w:val="003E423B"/>
    <w:rsid w:val="004D674A"/>
    <w:rsid w:val="006D49FB"/>
    <w:rsid w:val="007F2ABD"/>
    <w:rsid w:val="00833A6C"/>
    <w:rsid w:val="009B2EF1"/>
    <w:rsid w:val="009E04F9"/>
    <w:rsid w:val="00A260D0"/>
    <w:rsid w:val="00AA1D8D"/>
    <w:rsid w:val="00AA2A6F"/>
    <w:rsid w:val="00AF4C8D"/>
    <w:rsid w:val="00B16D72"/>
    <w:rsid w:val="00B47730"/>
    <w:rsid w:val="00C36D0E"/>
    <w:rsid w:val="00CB0664"/>
    <w:rsid w:val="00D47E97"/>
    <w:rsid w:val="00D76396"/>
    <w:rsid w:val="00FC47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A8E059"/>
  <w14:defaultImageDpi w14:val="300"/>
  <w15:docId w15:val="{92F1897C-205B-435B-80DF-8FD9B07A1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pPr>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imes New Roman" w:eastAsia="Times New Roman" w:hAnsi="Times New Roman" w:cs="Times New Roman"/>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eastAsia="Times New Roman" w:hAnsi="Times New Roman" w:cs="Times New Roman"/>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F4C8D"/>
    <w:rPr>
      <w:color w:val="0000FF" w:themeColor="hyperlink"/>
      <w:u w:val="single"/>
    </w:rPr>
  </w:style>
  <w:style w:type="character" w:styleId="UnresolvedMention">
    <w:name w:val="Unresolved Mention"/>
    <w:basedOn w:val="DefaultParagraphFont"/>
    <w:uiPriority w:val="99"/>
    <w:semiHidden/>
    <w:unhideWhenUsed/>
    <w:rsid w:val="00393B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308/TAR-9611271988" TargetMode="External"/><Relationship Id="rId18" Type="http://schemas.openxmlformats.org/officeDocument/2006/relationships/hyperlink" Target="https://doi.org/10.1111/j.1475-679X.2009.00349.x" TargetMode="External"/><Relationship Id="rId26" Type="http://schemas.openxmlformats.org/officeDocument/2006/relationships/hyperlink" Target="https://doi.org/10.2308/TAR-9505096112" TargetMode="External"/><Relationship Id="rId39" Type="http://schemas.openxmlformats.org/officeDocument/2006/relationships/hyperlink" Target="https://doi.org/10.1504/IJAAPE.2026.10079605" TargetMode="External"/><Relationship Id="rId21" Type="http://schemas.openxmlformats.org/officeDocument/2006/relationships/hyperlink" Target="https://doi.org/10.2308/aud.2004.23.2.55" TargetMode="External"/><Relationship Id="rId34" Type="http://schemas.openxmlformats.org/officeDocument/2006/relationships/hyperlink" Target="https://doi.org/10.2308/accr.2005.80.2.539" TargetMode="External"/><Relationship Id="rId42" Type="http://schemas.openxmlformats.org/officeDocument/2006/relationships/hyperlink" Target="https://doi.org/10.1016/S0165-4101%2802%2900059-9" TargetMode="External"/><Relationship Id="rId47" Type="http://schemas.openxmlformats.org/officeDocument/2006/relationships/hyperlink" Target="https://journals.unizik.edu.ng/jocia/article/view/2514?utm_source=chatgpt.com" TargetMode="External"/><Relationship Id="rId50" Type="http://schemas.openxmlformats.org/officeDocument/2006/relationships/hyperlink" Target="https://doi.org/10.1108/S1569-3732%282009%290000013005"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11/j.1911-3846.1998.tb00547.x" TargetMode="External"/><Relationship Id="rId29" Type="http://schemas.openxmlformats.org/officeDocument/2006/relationships/hyperlink" Target="https://doi.org/10.2308/ajpt-51608?utm_source=chatgpt.com" TargetMode="External"/><Relationship Id="rId11" Type="http://schemas.openxmlformats.org/officeDocument/2006/relationships/hyperlink" Target="https://doi.org/10.2308/aud.2004.23.1.69" TargetMode="External"/><Relationship Id="rId24" Type="http://schemas.openxmlformats.org/officeDocument/2006/relationships/hyperlink" Target="https://doi.org/10.1108/IJPPM-05-2024-0343" TargetMode="External"/><Relationship Id="rId32" Type="http://schemas.openxmlformats.org/officeDocument/2006/relationships/hyperlink" Target="https://doi.org/10.56557/ajefm/2025/v7i1296" TargetMode="External"/><Relationship Id="rId37" Type="http://schemas.openxmlformats.org/officeDocument/2006/relationships/hyperlink" Target="https://doi.org/10.26668/businessreview/2023.v8i9.3074" TargetMode="External"/><Relationship Id="rId40" Type="http://schemas.openxmlformats.org/officeDocument/2006/relationships/hyperlink" Target="https://doi.org/10.1016/j.mulfin.2013.03.005" TargetMode="External"/><Relationship Id="rId45" Type="http://schemas.openxmlformats.org/officeDocument/2006/relationships/hyperlink" Target="https://doi.org/10.1108/JAEE-07-2023-0212" TargetMode="External"/><Relationship Id="rId53" Type="http://schemas.openxmlformats.org/officeDocument/2006/relationships/hyperlink" Target="https://www.cpajournal.com/2024/05/01/the-fraud-diamond-considering-the-four-elements-of-fraud/?utm_source=chatgpt.com" TargetMode="External"/><Relationship Id="rId58"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doi.org/10.1016/j.jfineco.2004.12.003" TargetMode="External"/><Relationship Id="rId14" Type="http://schemas.openxmlformats.org/officeDocument/2006/relationships/hyperlink" Target="https://bishtref.com/articles/10.2308/tar-9611271988?utm_source=chatgpt.com" TargetMode="External"/><Relationship Id="rId22" Type="http://schemas.openxmlformats.org/officeDocument/2006/relationships/hyperlink" Target="https://doi.org/10.2307/2297110" TargetMode="External"/><Relationship Id="rId27" Type="http://schemas.openxmlformats.org/officeDocument/2006/relationships/hyperlink" Target="https://doi.org/10.2308/tar-9505096112?utm_source=chatgpt.com" TargetMode="External"/><Relationship Id="rId30" Type="http://schemas.openxmlformats.org/officeDocument/2006/relationships/hyperlink" Target="https://doi.org/10.1016/j.jfineco.2006.05.009" TargetMode="External"/><Relationship Id="rId35" Type="http://schemas.openxmlformats.org/officeDocument/2006/relationships/hyperlink" Target="https://doi.org/10.1016/j.jacceco.2010.09.005" TargetMode="External"/><Relationship Id="rId43" Type="http://schemas.openxmlformats.org/officeDocument/2006/relationships/hyperlink" Target="https://doi.org/10.1016/S0165-4101%2800%2900025-2" TargetMode="External"/><Relationship Id="rId48" Type="http://schemas.openxmlformats.org/officeDocument/2006/relationships/hyperlink" Target="https://doi.org/10.1016/j.adiac.2010.10.004" TargetMode="External"/><Relationship Id="rId56"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doi.org/10.1016/0165-4101%2894%2900393-J" TargetMode="External"/><Relationship Id="rId3" Type="http://schemas.openxmlformats.org/officeDocument/2006/relationships/styles" Target="styles.xml"/><Relationship Id="rId12" Type="http://schemas.openxmlformats.org/officeDocument/2006/relationships/hyperlink" Target="https://doi.org/10.7176/EJBM/16-5-02" TargetMode="External"/><Relationship Id="rId17" Type="http://schemas.openxmlformats.org/officeDocument/2006/relationships/hyperlink" Target="https://doi.org/10.2469/faj.v55.n5.2296" TargetMode="External"/><Relationship Id="rId25" Type="http://schemas.openxmlformats.org/officeDocument/2006/relationships/hyperlink" Target="https://doi.org/10.1111/j.1911-3846.2010.01041.x" TargetMode="External"/><Relationship Id="rId33" Type="http://schemas.openxmlformats.org/officeDocument/2006/relationships/hyperlink" Target="https://doi.org/10.1016/S0165-4101%2802%2900047-2?utm_source=chatgpt.com" TargetMode="External"/><Relationship Id="rId38" Type="http://schemas.openxmlformats.org/officeDocument/2006/relationships/hyperlink" Target="https://doi.org/10.2308/acch.1999.13.4.365" TargetMode="External"/><Relationship Id="rId46" Type="http://schemas.openxmlformats.org/officeDocument/2006/relationships/hyperlink" Target="https://journals.unizik.edu.ng/joga/article/view/2901?utm_source=chatgpt.com" TargetMode="External"/><Relationship Id="rId59" Type="http://schemas.openxmlformats.org/officeDocument/2006/relationships/header" Target="header3.xml"/><Relationship Id="rId20" Type="http://schemas.openxmlformats.org/officeDocument/2006/relationships/hyperlink" Target="https://doi.org/10.3368/jhr.50.2.317" TargetMode="External"/><Relationship Id="rId41" Type="http://schemas.openxmlformats.org/officeDocument/2006/relationships/hyperlink" Target="https://doi.org/10.1108/CG-01-2023-0013" TargetMode="External"/><Relationship Id="rId54" Type="http://schemas.openxmlformats.org/officeDocument/2006/relationships/hyperlink" Target="https://doi.org/10.1016/S0929-1199%2802%2900006-8?utm_source=chatgpt.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2308/acch.2000.14.4.441" TargetMode="External"/><Relationship Id="rId23" Type="http://schemas.openxmlformats.org/officeDocument/2006/relationships/hyperlink" Target="https://doi.org/10.1108/AJEMS-07-2025-0548?utm_source=chatgpt.com" TargetMode="External"/><Relationship Id="rId28" Type="http://schemas.openxmlformats.org/officeDocument/2006/relationships/hyperlink" Target="https://doi.org/10.1016/S0165-4101%2898%2900018-4" TargetMode="External"/><Relationship Id="rId36" Type="http://schemas.openxmlformats.org/officeDocument/2006/relationships/hyperlink" Target="https://frcnigeria.gov.ng/wp-content/uploads/2025/04/Nigerian-Code-of-Corporate-Governance-2018.pdf" TargetMode="External"/><Relationship Id="rId49" Type="http://schemas.openxmlformats.org/officeDocument/2006/relationships/hyperlink" Target="https://doi.org/10.1093/rfs/hhn053" TargetMode="External"/><Relationship Id="rId57" Type="http://schemas.openxmlformats.org/officeDocument/2006/relationships/footer" Target="footer1.xml"/><Relationship Id="rId10" Type="http://schemas.openxmlformats.org/officeDocument/2006/relationships/hyperlink" Target="https://doi.org/10.66563/avwvc217" TargetMode="External"/><Relationship Id="rId31" Type="http://schemas.openxmlformats.org/officeDocument/2006/relationships/hyperlink" Target="https://doi.org/10.3390/jrfm18070378" TargetMode="External"/><Relationship Id="rId44" Type="http://schemas.openxmlformats.org/officeDocument/2006/relationships/hyperlink" Target="https://doi.org/10.1111/j.0006-341X.2001.00126.x" TargetMode="External"/><Relationship Id="rId52" Type="http://schemas.openxmlformats.org/officeDocument/2006/relationships/hyperlink" Target="https://www.cpajournal.com/2024/05/01/the-fraud-diamond-considering-the-four-elements-of-fraud/?utm_source=chatgpt.com" TargetMode="External"/><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34</Pages>
  <Words>12754</Words>
  <Characters>72700</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Fraud-Diamond Indicators and Beneish-Flagged Earnings Manipulation: Evidence from Listed Manufacturing Firms in Nigeria</vt:lpstr>
    </vt:vector>
  </TitlesOfParts>
  <Manager/>
  <Company/>
  <LinksUpToDate>false</LinksUpToDate>
  <CharactersWithSpaces>85284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Fraud Diamond Indicators and Beneish-Flagged Earnings Manipulation: Evidence from Listed Manufacturing Firms in Nigeria</dc:title>
  <dc:subject>Complete revised research manuscript</dc:subject>
  <dc:creator>Simon Akpadaka</dc:creator>
  <cp:keywords>Beneish M-Score, Fraud Diamond Theory, earnings manipulation, Nigeria, GEE</cp:keywords>
  <dc:description>generated by python-docx</dc:description>
  <cp:lastModifiedBy>Editor-90</cp:lastModifiedBy>
  <cp:revision>9</cp:revision>
  <dcterms:created xsi:type="dcterms:W3CDTF">2026-09-12T09:43:00Z</dcterms:created>
  <dcterms:modified xsi:type="dcterms:W3CDTF">2026-10-05T07:41:00Z</dcterms:modified>
  <cp:category/>
</cp:coreProperties>
</file>