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D4CE" w14:textId="77777777" w:rsidR="00DF27C6" w:rsidRDefault="00000000">
      <w:pPr>
        <w:jc w:val="center"/>
      </w:pPr>
      <w:r>
        <w:rPr>
          <w:b/>
        </w:rPr>
        <w:t>GENERAL GOVERNMENT FINAL CONSUMPTION EXPENDITURE AND NOMINAL GDP PER CAPITA IN FIVE EAST AFRICAN COUNTRIES: A PANEL ASSOCIATION ANALYSIS</w:t>
      </w:r>
    </w:p>
    <w:p w14:paraId="1D9AA826" w14:textId="77777777" w:rsidR="00DF27C6" w:rsidRDefault="00000000">
      <w:pPr>
        <w:pStyle w:val="Heading1"/>
        <w:spacing w:before="160" w:after="80"/>
      </w:pPr>
      <w:r>
        <w:rPr>
          <w:rFonts w:ascii="Times New Roman" w:eastAsia="Times New Roman" w:hAnsi="Times New Roman"/>
        </w:rPr>
        <w:t>ABSTRACT</w:t>
      </w:r>
    </w:p>
    <w:p w14:paraId="51316DF4" w14:textId="77777777" w:rsidR="00DF27C6" w:rsidRDefault="00000000">
      <w:pPr>
        <w:spacing w:after="100"/>
        <w:jc w:val="both"/>
      </w:pPr>
      <w:r>
        <w:t xml:space="preserve">This study examines within-country associations between general government final consumption expenditure and nominal gross domestic product (GDP) per capita in Kenya, Uganda, Tanzania, Burundi, and Rwanda over 2005–2024 using annual World Development Indicators data. GDP per capita in current US dollars is the outcome, and general government final consumption expenditure as a percentage of GDP is the principal explanatory variable; the latter measures government current consumption rather than total public expenditure. Foreign direct investment, population growth, inflation, the official exchange rate, and official development assistance are included as controls. Descriptive and correlation analyses use 100 country-year observations, whereas the log specification is estimated on 84 observations because natural logarithms are undefined for nonpositive values. Country fixed effects are </w:t>
      </w:r>
      <w:r>
        <w:rPr>
          <w:highlight w:val="yellow"/>
        </w:rPr>
        <w:t>emphasised</w:t>
      </w:r>
      <w:r>
        <w:t xml:space="preserve"> because persistent country-specific heterogeneity is plausibly correlated with fiscal and macroeconomic covariates. The Hausman comparison is reported, but its non-positive-definite covariance-difference warning means it is not treated as a decisive model-selection test. In the conventional fixed-effects estimates, the coefficient on government final consumption is -0.5811; foreign direct investment and the official exchange rate have positive coefficients, population growth and official development assistance have negative coefficients, and the inflation coefficient is close to zero. These estimates use conventional covariance estimates. Heteroskedasticity is detected, the panel contains only five countries, some variables display nonstationary </w:t>
      </w:r>
      <w:r>
        <w:rPr>
          <w:highlight w:val="yellow"/>
        </w:rPr>
        <w:t>behaviour</w:t>
      </w:r>
      <w:r>
        <w:t>, and supplementary cointegration output does not establish a long-run equilibrium relationship. The results are therefore interpreted as exploratory within-sample associations rather than causal, structural, or long-run effects. Particular caution is required because the outcome is nominal and US-dollar denominated and because the fiscal regressor is expressed as a share of GDP.</w:t>
      </w:r>
    </w:p>
    <w:p w14:paraId="705413A9" w14:textId="77777777" w:rsidR="00DF27C6" w:rsidRDefault="00000000">
      <w:pPr>
        <w:spacing w:after="160"/>
      </w:pPr>
      <w:r>
        <w:rPr>
          <w:rFonts w:eastAsia="Times New Roman"/>
          <w:b/>
        </w:rPr>
        <w:t xml:space="preserve">Keywords: </w:t>
      </w:r>
      <w:r>
        <w:rPr>
          <w:rFonts w:eastAsia="Times New Roman"/>
        </w:rPr>
        <w:t>GDP per capita; government final consumption expenditure; panel data; East Africa; fixed effects; fiscal policy</w:t>
      </w:r>
    </w:p>
    <w:p w14:paraId="64833B6B" w14:textId="77777777" w:rsidR="00DF27C6" w:rsidRDefault="00000000">
      <w:pPr>
        <w:pStyle w:val="Heading1"/>
        <w:spacing w:before="160" w:after="80"/>
      </w:pPr>
      <w:r>
        <w:rPr>
          <w:rFonts w:ascii="Times New Roman" w:eastAsia="Times New Roman" w:hAnsi="Times New Roman"/>
        </w:rPr>
        <w:t>1. INTRODUCTION</w:t>
      </w:r>
    </w:p>
    <w:p w14:paraId="198B6FFC" w14:textId="77777777" w:rsidR="00DF27C6" w:rsidRDefault="00000000">
      <w:pPr>
        <w:spacing w:after="100"/>
        <w:ind w:firstLine="360"/>
        <w:jc w:val="both"/>
      </w:pPr>
      <w:r>
        <w:rPr>
          <w:rFonts w:eastAsia="Times New Roman"/>
        </w:rPr>
        <w:t xml:space="preserve">Public expenditure is a central instrument of fiscal policy because governments provide public services, finance administration and security, and influence aggregate demand and the allocation of resources. The theoretical relationship between government activity and economic performance is nevertheless ambiguous. Keynesian reasoning </w:t>
      </w:r>
      <w:r>
        <w:rPr>
          <w:rFonts w:eastAsia="Times New Roman"/>
          <w:highlight w:val="yellow"/>
        </w:rPr>
        <w:t>emphasises</w:t>
      </w:r>
      <w:r>
        <w:rPr>
          <w:rFonts w:eastAsia="Times New Roman"/>
        </w:rPr>
        <w:t xml:space="preserve"> the demand-side role of public spending, while Wagnerian arguments reverse the direction of causality by treating the expansion of public activity as partly endogenous to rising income (Ansari et al., 1997; Chletsos &amp; Kollias, 1997; Peacock &amp; Scott, 2000). Endogenous-growth models additionally </w:t>
      </w:r>
      <w:r>
        <w:rPr>
          <w:rFonts w:eastAsia="Times New Roman"/>
          <w:highlight w:val="yellow"/>
        </w:rPr>
        <w:t>emphasise</w:t>
      </w:r>
      <w:r>
        <w:rPr>
          <w:rFonts w:eastAsia="Times New Roman"/>
        </w:rPr>
        <w:t xml:space="preserve"> that the growth consequences of government activity depend on whether spending supports productive inputs, public services, or distortionary financing arrangements (Barro, 1990; Ram, 1986).</w:t>
      </w:r>
    </w:p>
    <w:p w14:paraId="1553D08B" w14:textId="77777777" w:rsidR="00DF27C6" w:rsidRDefault="00000000">
      <w:pPr>
        <w:spacing w:after="100"/>
        <w:ind w:firstLine="360"/>
        <w:jc w:val="both"/>
      </w:pPr>
      <w:r>
        <w:rPr>
          <w:rFonts w:eastAsia="Times New Roman"/>
        </w:rPr>
        <w:t>Empirical evidence is similarly heterogeneous. Cross-country evidence has long shown that the relationship between government consumption and economic performance depends on the spending concept, income measure, country sample, and econometric specification (Landau, 1983). More recent African studies also report mixed results. Mose (2020) identifies long-run relationships between government expenditure and regional growth in Kenya, whereas Ahmadu et al. (2026) report different short- and long-run effects of government expenditure on per capita income in Nigeria. Salifu and Oduro-Mensah (2026) find that fiscal outcomes in Ghana depend not only on expenditure but also on revenue performance and the efficiency of budget execution. These differences caution against interpreting a single aggregate spending coefficient as a universal fiscal multiplier.</w:t>
      </w:r>
    </w:p>
    <w:p w14:paraId="4B742E9A" w14:textId="77777777" w:rsidR="00DF27C6" w:rsidRDefault="00000000">
      <w:pPr>
        <w:spacing w:after="100"/>
        <w:ind w:firstLine="360"/>
        <w:jc w:val="both"/>
      </w:pPr>
      <w:r>
        <w:rPr>
          <w:rFonts w:eastAsia="Times New Roman"/>
        </w:rPr>
        <w:lastRenderedPageBreak/>
        <w:t>Measurement is especially important in the present context. The World Bank indicator used in this study, general government final consumption expenditure as a percentage of GDP (NE.CON.GOVT.ZS), captures current government purchases of goods and services, including compensation of employees, rather than total public expenditure or government capital formation (World Bank, 2026). The dependent variable, GDP per capita in current US dollars (NY.GDP.PCAP.CD), is a nominal income-level measure; it is not a GDP growth rate and is not adjusted for changes in prices over time (World Bank, 2026). Accordingly, the empirical question is framed here as an association between government final consumption and nominal GDP per capita, not as a direct causal estimate of economic growth.</w:t>
      </w:r>
    </w:p>
    <w:p w14:paraId="432C9613" w14:textId="32BEC84C" w:rsidR="00FE617E" w:rsidRDefault="00000000">
      <w:pPr>
        <w:spacing w:after="100"/>
        <w:ind w:firstLine="360"/>
        <w:jc w:val="both"/>
      </w:pPr>
      <w:r>
        <w:t xml:space="preserve">The selected countries—Kenya, Uganda, Tanzania, Burundi, and Rwanda—share regional linkages but differ markedly in fiscal structure, income levels, exchange-rate regimes, aid dependence, demographic trends, and exposure to external shocks. A panel approach can control for time-invariant country characteristics that would otherwise confound pooled comparisons. At the same time, a five-country macro-panel cannot by itself eliminate simultaneity, time-varying omitted variables, common regional shocks, or dependence generated by shared global conditions. The contribution of the present study is therefore deliberately narrow: it quantifies a within-country association using </w:t>
      </w:r>
      <w:r>
        <w:rPr>
          <w:highlight w:val="yellow"/>
        </w:rPr>
        <w:t>harmonised</w:t>
      </w:r>
      <w:r>
        <w:t xml:space="preserve"> WDI measures while explicitly separating government final consumption from total public expenditure and nominal GDP per capita from real economic growth. The analysis does not identify a fiscal multiplier or an exogenous policy effect.</w:t>
      </w:r>
      <w:r w:rsidR="00CC2ECC">
        <w:t xml:space="preserve"> </w:t>
      </w:r>
    </w:p>
    <w:p w14:paraId="20861F5C" w14:textId="77777777" w:rsidR="00DF27C6" w:rsidRDefault="00000000">
      <w:pPr>
        <w:spacing w:after="100"/>
        <w:ind w:firstLine="360"/>
        <w:jc w:val="both"/>
      </w:pPr>
      <w:r>
        <w:t>The objective of the study is to estimate the conditional within-country association between general government final consumption expenditure and nominal GDP per capita in the five selected East African countries during 2005–2024 while controlling for foreign direct investment (FDI), population growth, inflation, the official exchange rate, and official development assistance (ODA). The reported fixed-effects equation is treated as an exploratory association model. Its conventional hypothesis tests are presented for transparency but are not used as definitive evidence because the available covariance estimate does not address all features of the error structure and the panel contains only five countries.</w:t>
      </w:r>
    </w:p>
    <w:p w14:paraId="546DD8B3" w14:textId="77777777" w:rsidR="00DF27C6" w:rsidRDefault="00000000">
      <w:pPr>
        <w:pStyle w:val="Heading1"/>
        <w:spacing w:before="160" w:after="80"/>
      </w:pPr>
      <w:r>
        <w:rPr>
          <w:rFonts w:ascii="Times New Roman" w:eastAsia="Times New Roman" w:hAnsi="Times New Roman"/>
        </w:rPr>
        <w:t>2. LITERATURE REVIEW</w:t>
      </w:r>
    </w:p>
    <w:p w14:paraId="151F216C" w14:textId="77777777" w:rsidR="00DF27C6" w:rsidRDefault="00000000">
      <w:pPr>
        <w:pStyle w:val="Heading2"/>
        <w:spacing w:before="120" w:after="80"/>
      </w:pPr>
      <w:r>
        <w:rPr>
          <w:rFonts w:ascii="Times New Roman" w:eastAsia="Times New Roman" w:hAnsi="Times New Roman"/>
        </w:rPr>
        <w:t>2.1 Theoretical framework</w:t>
      </w:r>
    </w:p>
    <w:p w14:paraId="6651F044" w14:textId="77777777" w:rsidR="00DF27C6" w:rsidRDefault="00000000">
      <w:pPr>
        <w:spacing w:after="100"/>
        <w:ind w:firstLine="360"/>
        <w:jc w:val="both"/>
      </w:pPr>
      <w:r>
        <w:rPr>
          <w:rFonts w:eastAsia="Times New Roman"/>
        </w:rPr>
        <w:t xml:space="preserve">The fiscal–income relationship can be approached from three complementary perspectives. First, Keynesian analysis treats government spending as an exogenous policy instrument capable of influencing aggregate demand, output, and employment, particularly when resources are </w:t>
      </w:r>
      <w:r>
        <w:rPr>
          <w:rFonts w:eastAsia="Times New Roman"/>
          <w:highlight w:val="yellow"/>
        </w:rPr>
        <w:t>underutilised</w:t>
      </w:r>
      <w:r>
        <w:rPr>
          <w:rFonts w:eastAsia="Times New Roman"/>
        </w:rPr>
        <w:t>. Second, Wagnerian reasoning proposes that public expenditure expands as income and the complexity of economic activity increase. Ansari et al. (1997) and Chletsos and Kollias (1997) demonstrate why empirical work must consider the possibility that income and public expenditure influence each other rather than assuming a one-way causal mechanism.</w:t>
      </w:r>
    </w:p>
    <w:p w14:paraId="707B5E35" w14:textId="77777777" w:rsidR="00DF27C6" w:rsidRDefault="00000000">
      <w:pPr>
        <w:spacing w:after="100"/>
        <w:ind w:firstLine="360"/>
        <w:jc w:val="both"/>
      </w:pPr>
      <w:r>
        <w:rPr>
          <w:rFonts w:eastAsia="Times New Roman"/>
        </w:rPr>
        <w:t xml:space="preserve">Third, endogenous-growth approaches distinguish productive public services from other categories of expenditure. Barro (1990) shows that the relationship between government activity and growth can be nonlinear because productive public inputs may raise private-sector productivity while taxation and unproductive expenditure can reduce incentives or crowd out private activity. Ram (1986) similarly </w:t>
      </w:r>
      <w:r>
        <w:rPr>
          <w:rFonts w:eastAsia="Times New Roman"/>
          <w:highlight w:val="yellow"/>
        </w:rPr>
        <w:t>formalises</w:t>
      </w:r>
      <w:r>
        <w:rPr>
          <w:rFonts w:eastAsia="Times New Roman"/>
        </w:rPr>
        <w:t xml:space="preserve"> interactions between government and private-sector production. These models support the inclusion of country-specific heterogeneity because institutional quality, expenditure composition, revenue systems, and implementation efficiency can modify the observed relationship between public consumption and income.</w:t>
      </w:r>
    </w:p>
    <w:p w14:paraId="47D9FA9C" w14:textId="77777777" w:rsidR="00DF27C6" w:rsidRDefault="00000000">
      <w:pPr>
        <w:spacing w:after="100"/>
        <w:ind w:firstLine="360"/>
        <w:jc w:val="both"/>
      </w:pPr>
      <w:r>
        <w:rPr>
          <w:rFonts w:eastAsia="Times New Roman"/>
        </w:rPr>
        <w:t xml:space="preserve">For the present study, these theories motivate an empirical fixed-effects model rather than a structural causal model. Because the measured fiscal variable is government final consumption as a share of GDP, the coefficient should be interpreted as the conditional association between the current government-consumption </w:t>
      </w:r>
      <w:r>
        <w:rPr>
          <w:rFonts w:eastAsia="Times New Roman"/>
        </w:rPr>
        <w:lastRenderedPageBreak/>
        <w:t>share and nominal GDP per capita within countries over time. It does not identify the effect of total expenditure, capital expenditure, sector-specific spending, or an exogenous fiscal shock.</w:t>
      </w:r>
    </w:p>
    <w:p w14:paraId="1070071F" w14:textId="77777777" w:rsidR="00DF27C6" w:rsidRDefault="00000000">
      <w:pPr>
        <w:pStyle w:val="Heading2"/>
        <w:spacing w:before="120" w:after="80"/>
      </w:pPr>
      <w:r>
        <w:rPr>
          <w:rFonts w:ascii="Times New Roman" w:eastAsia="Times New Roman" w:hAnsi="Times New Roman"/>
        </w:rPr>
        <w:t>2.2 Empirical evidence</w:t>
      </w:r>
    </w:p>
    <w:p w14:paraId="34CDD893" w14:textId="77777777" w:rsidR="00DF27C6" w:rsidRDefault="00000000">
      <w:pPr>
        <w:spacing w:after="100"/>
        <w:ind w:firstLine="360"/>
        <w:jc w:val="both"/>
      </w:pPr>
      <w:r>
        <w:rPr>
          <w:rFonts w:eastAsia="Times New Roman"/>
        </w:rPr>
        <w:t xml:space="preserve">The empirical literature provides no single sign for the public-expenditure–income relationship. Landau (1983) reported a negative relationship between government consumption and real per capita growth in a broad cross-country setting, illustrating that government consumption and productive public investment need not have identical macroeconomic implications. In Kenya, Mose (2020) found evidence of long-run links between expenditure and regional economic growth, while recent Nigerian evidence shows that government expenditure can have different short-run and long-run relationships with per capita income (Ahmadu et al., 2026). In Ghana, Salifu and Oduro-Mensah (2026) similarly report that expenditure effects are intertwined with revenue </w:t>
      </w:r>
      <w:r>
        <w:rPr>
          <w:rFonts w:eastAsia="Times New Roman"/>
          <w:highlight w:val="yellow"/>
        </w:rPr>
        <w:t>mobilisation</w:t>
      </w:r>
      <w:r>
        <w:rPr>
          <w:rFonts w:eastAsia="Times New Roman"/>
        </w:rPr>
        <w:t xml:space="preserve"> and fiscal sustainability. The diversity of these findings reinforces the importance of matching theory to the exact expenditure measure used.</w:t>
      </w:r>
    </w:p>
    <w:p w14:paraId="57FA4E9A" w14:textId="77777777" w:rsidR="00DF27C6" w:rsidRDefault="00000000">
      <w:pPr>
        <w:spacing w:after="100"/>
        <w:ind w:firstLine="360"/>
        <w:jc w:val="both"/>
      </w:pPr>
      <w:r>
        <w:t xml:space="preserve">FDI is included because it can augment capital accumulation, technology transfer, and external financing, although its growth effects depend on domestic absorptive capacity. Mose and Kipchirchir (2024) report a positive relationship between FDI and economic growth in Kenya. By contrast, Mawutor et al. (2023) report negative short- and long-run FDI coefficients in Ghana when FDI is </w:t>
      </w:r>
      <w:r>
        <w:rPr>
          <w:highlight w:val="yellow"/>
        </w:rPr>
        <w:t>modelled</w:t>
      </w:r>
      <w:r>
        <w:t xml:space="preserve"> jointly with remittances, imports, and the real exchange rate. Nwaogu and Ryan (2015), using a broader developing-country framework, </w:t>
      </w:r>
      <w:r>
        <w:rPr>
          <w:highlight w:val="yellow"/>
        </w:rPr>
        <w:t>likewise show</w:t>
      </w:r>
      <w:r>
        <w:t xml:space="preserve"> that the contribution of FDI and aid can differ across regions and model specifications.</w:t>
      </w:r>
    </w:p>
    <w:p w14:paraId="38A6438F" w14:textId="77777777" w:rsidR="00DF27C6" w:rsidRDefault="00000000">
      <w:pPr>
        <w:spacing w:after="100"/>
        <w:ind w:firstLine="360"/>
        <w:jc w:val="both"/>
      </w:pPr>
      <w:r>
        <w:rPr>
          <w:rFonts w:eastAsia="Times New Roman"/>
        </w:rPr>
        <w:t>Exchange-rate movements can affect nominal GDP per capita measured in US dollars through both macroeconomic and accounting channels. Depreciation can influence competitiveness, import costs, inflation, and the US-dollar conversion of local-currency income. Eshetu and Girma (2026) find significant exchange-rate–growth relationships in Ethiopia, while Koroma et al. (2023) report a positive relationship between exchange-rate depreciation and growth in Sierra Leone. Because the present dependent variable is expressed in current US dollars, the exchange-rate coefficient should be interpreted particularly cautiously: part of the association may reflect currency conversion rather than a pure real-output channel.</w:t>
      </w:r>
    </w:p>
    <w:p w14:paraId="5D7AA814" w14:textId="77777777" w:rsidR="00DF27C6" w:rsidRDefault="00000000">
      <w:pPr>
        <w:spacing w:after="100"/>
        <w:ind w:firstLine="360"/>
        <w:jc w:val="both"/>
      </w:pPr>
      <w:r>
        <w:rPr>
          <w:rFonts w:eastAsia="Times New Roman"/>
        </w:rPr>
        <w:t xml:space="preserve">ODA is also included because external assistance can relax fiscal and foreign-exchange constraints but may operate through heterogeneous channels. The aid-effectiveness literature is mixed. Doucouliagos and Paldam (2008) find a small and statistically weak average aid-growth effect across a large meta-analytic evidence base, while Arndt et al. (2015) find more </w:t>
      </w:r>
      <w:r>
        <w:rPr>
          <w:rFonts w:eastAsia="Times New Roman"/>
          <w:highlight w:val="yellow"/>
        </w:rPr>
        <w:t>favourable</w:t>
      </w:r>
      <w:r>
        <w:rPr>
          <w:rFonts w:eastAsia="Times New Roman"/>
        </w:rPr>
        <w:t xml:space="preserve"> long-run contributions of aid after addressing endogeneity and multiple development outcomes. These findings suggest that the sign of an aggregate ODA coefficient should not be interpreted as evidence that all aid is beneficial or harmful.</w:t>
      </w:r>
    </w:p>
    <w:p w14:paraId="458EED05" w14:textId="77777777" w:rsidR="00DF27C6" w:rsidRDefault="00000000">
      <w:pPr>
        <w:spacing w:after="100"/>
        <w:ind w:firstLine="360"/>
        <w:jc w:val="both"/>
      </w:pPr>
      <w:r>
        <w:rPr>
          <w:rFonts w:eastAsia="Times New Roman"/>
        </w:rPr>
        <w:t xml:space="preserve">Demographic and inflation variables are controls rather than the main focus. Demographic structure can influence savings, </w:t>
      </w:r>
      <w:r>
        <w:rPr>
          <w:rFonts w:eastAsia="Times New Roman"/>
          <w:highlight w:val="yellow"/>
        </w:rPr>
        <w:t>labour</w:t>
      </w:r>
      <w:r>
        <w:rPr>
          <w:rFonts w:eastAsia="Times New Roman"/>
        </w:rPr>
        <w:t xml:space="preserve"> supply, public-service demand, and per capita income, with nonlinear relationships documented across countries (Lee &amp; Shin, 2019; Mamun et al., 2020). Inflation can reduce real purchasing power and complicate nominal comparisons, but the current-US-dollar outcome used here also embeds price and exchange-rate movements. Consequently, the control coefficients are discussed as conditional associations rather than structural effects.</w:t>
      </w:r>
    </w:p>
    <w:p w14:paraId="1727A5EC" w14:textId="77777777" w:rsidR="00DF27C6" w:rsidRDefault="00000000">
      <w:r>
        <w:lastRenderedPageBreak/>
        <w:t>The econometric literature also identifies several issues that are particularly relevant to a short macro-panel. The Levin–Lin–Chu procedure is a first-generation panel unit-root test whose properties are developed by Levin et al. (2002), whereas cross-sectional dependence can motivate second-generation procedures such as Pesaran's (2007) cross-sectionally augmented test. Fisher-type combination methods provide a general framework for pooling evidence across panel units (Maddala &amp; Wu, 1999). Inference is also delicate when the number of clusters is very small because conventional cluster-robust asymptotics can over-reject (Cameron et al., 2008). Finally, ratio variables require care when regressors and outcomes share accounting components; Kronmal (1993) shows that such constructions can generate misleading statistical relationships. These considerations motivate the deliberately cautious interpretation adopted below.</w:t>
      </w:r>
    </w:p>
    <w:p w14:paraId="6714FEB0" w14:textId="77777777" w:rsidR="00DF27C6" w:rsidRDefault="00000000">
      <w:pPr>
        <w:pStyle w:val="Heading1"/>
        <w:spacing w:before="160" w:after="80"/>
      </w:pPr>
      <w:r>
        <w:rPr>
          <w:rFonts w:ascii="Times New Roman" w:eastAsia="Times New Roman" w:hAnsi="Times New Roman"/>
        </w:rPr>
        <w:t>3. METHODOLOGY</w:t>
      </w:r>
    </w:p>
    <w:p w14:paraId="2B7B895E" w14:textId="77777777" w:rsidR="00DF27C6" w:rsidRDefault="00000000">
      <w:pPr>
        <w:pStyle w:val="Heading2"/>
        <w:spacing w:before="120" w:after="80"/>
      </w:pPr>
      <w:r>
        <w:rPr>
          <w:rFonts w:ascii="Times New Roman" w:eastAsia="Times New Roman" w:hAnsi="Times New Roman"/>
        </w:rPr>
        <w:t>3.1 Research design, sample, and data source</w:t>
      </w:r>
    </w:p>
    <w:p w14:paraId="3D51B669" w14:textId="77777777" w:rsidR="00DF27C6" w:rsidRDefault="00000000">
      <w:pPr>
        <w:spacing w:after="100"/>
        <w:ind w:firstLine="360"/>
        <w:jc w:val="both"/>
      </w:pPr>
      <w:r>
        <w:rPr>
          <w:rFonts w:eastAsia="Times New Roman"/>
        </w:rPr>
        <w:t>The study uses a longitudinal macro-panel design covering Kenya, Uganda, Tanzania, Burundi, and Rwanda for 2005–2024. The balanced country-year frame contains 100 potential observations (5 countries × 20 years). The indicators were drawn from the World Bank World Development Indicators (WDI), a standard cross-country source for national accounts, balance-of-payments, demographic, price, exchange-rate, and development-assistance series (World Bank, 2026).</w:t>
      </w:r>
    </w:p>
    <w:p w14:paraId="02CFBD21" w14:textId="77777777" w:rsidR="00DF27C6" w:rsidRDefault="00000000">
      <w:pPr>
        <w:spacing w:after="100"/>
        <w:ind w:firstLine="360"/>
        <w:jc w:val="both"/>
      </w:pPr>
      <w:r>
        <w:t>The study population comprises the five selected countries rather than all East African economies. Country selection is based on the availability of the specified WDI series over the study window. All numerical analyses use the study dataset, and variable definitions follow current WDI metadata.</w:t>
      </w:r>
    </w:p>
    <w:p w14:paraId="76974C70" w14:textId="77777777" w:rsidR="00DF27C6" w:rsidRDefault="00000000">
      <w:r>
        <w:t>The analytic file retains the 100 country-year rows used for descriptive analysis. Nonpositive values are not shifted by adding arbitrary constants. Values recorded as zero in the analytic file are treated only as nonpositive observations for transformation purposes and are not assigned a substantive economic interpretation merely because they appear numerically as zero. This distinction is especially important for macroeconomic series in which zero, missingness, and extraction conventions can have different meanings.</w:t>
      </w:r>
    </w:p>
    <w:p w14:paraId="255C6066" w14:textId="77777777" w:rsidR="00DF27C6" w:rsidRDefault="00000000">
      <w:pPr>
        <w:pStyle w:val="Heading2"/>
        <w:spacing w:before="120" w:after="80"/>
      </w:pPr>
      <w:r>
        <w:rPr>
          <w:rFonts w:ascii="Times New Roman" w:eastAsia="Times New Roman" w:hAnsi="Times New Roman"/>
        </w:rPr>
        <w:t>3.2 Variables and measurement</w:t>
      </w:r>
    </w:p>
    <w:p w14:paraId="63EAEF43" w14:textId="77777777" w:rsidR="00DF27C6" w:rsidRDefault="00000000">
      <w:pPr>
        <w:keepNext/>
        <w:spacing w:after="40"/>
        <w:ind w:firstLine="360"/>
        <w:jc w:val="both"/>
      </w:pPr>
      <w:r>
        <w:t>Table 1 defines each variable, its WDI indicator code, unit of measurement, and empirical role. Nominal GDP per capita is distinguished from economic growth, and general government final consumption expenditure is distinguished from total government expenditure. This distinction is essential because coefficient interpretation must follow the variables actually observed. A further measurement issue is that GGFCE is expressed as a percentage of GDP while the dependent variable is itself derived from GDP. Regressions involving ratios with shared accounting components can be affected by mathematical coupling (Kronmal, 1993). Accordingly, the GGFCE coefficient is interpreted as an association with the government-consumption share, not as the marginal effect of an exogenous change in government spending.</w:t>
      </w:r>
    </w:p>
    <w:p w14:paraId="46E9BEBF" w14:textId="77777777" w:rsidR="00DF27C6" w:rsidRDefault="00000000">
      <w:pPr>
        <w:keepNext/>
        <w:spacing w:before="80" w:after="40"/>
      </w:pPr>
      <w:r>
        <w:rPr>
          <w:rFonts w:eastAsia="Times New Roman"/>
          <w:b/>
          <w:sz w:val="20"/>
        </w:rPr>
        <w:t>Table 1. Definition and measurement of study variables</w:t>
      </w:r>
    </w:p>
    <w:tbl>
      <w:tblPr>
        <w:tblStyle w:val="TableGrid"/>
        <w:tblW w:w="0" w:type="auto"/>
        <w:jc w:val="center"/>
        <w:tblLayout w:type="fixed"/>
        <w:tblLook w:val="04A0" w:firstRow="1" w:lastRow="0" w:firstColumn="1" w:lastColumn="0" w:noHBand="0" w:noVBand="1"/>
      </w:tblPr>
      <w:tblGrid>
        <w:gridCol w:w="2520"/>
        <w:gridCol w:w="2015"/>
        <w:gridCol w:w="4464"/>
        <w:gridCol w:w="1440"/>
      </w:tblGrid>
      <w:tr w:rsidR="00DF27C6" w14:paraId="65DCB824" w14:textId="77777777">
        <w:trPr>
          <w:tblHeader/>
          <w:jc w:val="center"/>
        </w:trPr>
        <w:tc>
          <w:tcPr>
            <w:tcW w:w="2520" w:type="dxa"/>
            <w:shd w:val="clear" w:color="auto" w:fill="D9E2F3"/>
            <w:tcMar>
              <w:top w:w="55" w:type="dxa"/>
              <w:left w:w="90" w:type="dxa"/>
              <w:bottom w:w="55" w:type="dxa"/>
              <w:right w:w="90" w:type="dxa"/>
            </w:tcMar>
            <w:vAlign w:val="center"/>
          </w:tcPr>
          <w:p w14:paraId="10478453" w14:textId="77777777" w:rsidR="00DF27C6" w:rsidRDefault="00000000">
            <w:pPr>
              <w:jc w:val="center"/>
            </w:pPr>
            <w:r>
              <w:rPr>
                <w:rFonts w:eastAsia="Times New Roman"/>
                <w:b/>
                <w:sz w:val="16"/>
              </w:rPr>
              <w:t>Variable</w:t>
            </w:r>
          </w:p>
        </w:tc>
        <w:tc>
          <w:tcPr>
            <w:tcW w:w="2015" w:type="dxa"/>
            <w:shd w:val="clear" w:color="auto" w:fill="D9E2F3"/>
            <w:tcMar>
              <w:top w:w="55" w:type="dxa"/>
              <w:left w:w="90" w:type="dxa"/>
              <w:bottom w:w="55" w:type="dxa"/>
              <w:right w:w="90" w:type="dxa"/>
            </w:tcMar>
            <w:vAlign w:val="center"/>
          </w:tcPr>
          <w:p w14:paraId="22AC1CF3" w14:textId="77777777" w:rsidR="00DF27C6" w:rsidRDefault="00000000">
            <w:pPr>
              <w:jc w:val="center"/>
            </w:pPr>
            <w:r>
              <w:rPr>
                <w:rFonts w:eastAsia="Times New Roman"/>
                <w:b/>
                <w:sz w:val="16"/>
              </w:rPr>
              <w:t>WDI code</w:t>
            </w:r>
          </w:p>
        </w:tc>
        <w:tc>
          <w:tcPr>
            <w:tcW w:w="4464" w:type="dxa"/>
            <w:shd w:val="clear" w:color="auto" w:fill="D9E2F3"/>
            <w:tcMar>
              <w:top w:w="55" w:type="dxa"/>
              <w:left w:w="90" w:type="dxa"/>
              <w:bottom w:w="55" w:type="dxa"/>
              <w:right w:w="90" w:type="dxa"/>
            </w:tcMar>
            <w:vAlign w:val="center"/>
          </w:tcPr>
          <w:p w14:paraId="3FDF63FA" w14:textId="77777777" w:rsidR="00DF27C6" w:rsidRDefault="00000000">
            <w:pPr>
              <w:jc w:val="center"/>
            </w:pPr>
            <w:r>
              <w:rPr>
                <w:rFonts w:eastAsia="Times New Roman"/>
                <w:b/>
                <w:sz w:val="16"/>
              </w:rPr>
              <w:t>Measurement</w:t>
            </w:r>
          </w:p>
        </w:tc>
        <w:tc>
          <w:tcPr>
            <w:tcW w:w="1440" w:type="dxa"/>
            <w:shd w:val="clear" w:color="auto" w:fill="D9E2F3"/>
            <w:tcMar>
              <w:top w:w="55" w:type="dxa"/>
              <w:left w:w="90" w:type="dxa"/>
              <w:bottom w:w="55" w:type="dxa"/>
              <w:right w:w="90" w:type="dxa"/>
            </w:tcMar>
            <w:vAlign w:val="center"/>
          </w:tcPr>
          <w:p w14:paraId="780B5585" w14:textId="77777777" w:rsidR="00DF27C6" w:rsidRDefault="00000000">
            <w:pPr>
              <w:jc w:val="center"/>
            </w:pPr>
            <w:r>
              <w:rPr>
                <w:rFonts w:eastAsia="Times New Roman"/>
                <w:b/>
                <w:sz w:val="16"/>
              </w:rPr>
              <w:t>Empirical role</w:t>
            </w:r>
          </w:p>
        </w:tc>
      </w:tr>
      <w:tr w:rsidR="00DF27C6" w14:paraId="6E930BB1" w14:textId="77777777">
        <w:trPr>
          <w:jc w:val="center"/>
        </w:trPr>
        <w:tc>
          <w:tcPr>
            <w:tcW w:w="2520" w:type="dxa"/>
            <w:tcMar>
              <w:top w:w="55" w:type="dxa"/>
              <w:left w:w="90" w:type="dxa"/>
              <w:bottom w:w="55" w:type="dxa"/>
              <w:right w:w="90" w:type="dxa"/>
            </w:tcMar>
            <w:vAlign w:val="center"/>
          </w:tcPr>
          <w:p w14:paraId="5F911B69" w14:textId="77777777" w:rsidR="00DF27C6" w:rsidRDefault="00000000">
            <w:r>
              <w:rPr>
                <w:rFonts w:eastAsia="Times New Roman"/>
                <w:sz w:val="16"/>
              </w:rPr>
              <w:t>Nominal GDP per capita</w:t>
            </w:r>
          </w:p>
        </w:tc>
        <w:tc>
          <w:tcPr>
            <w:tcW w:w="2015" w:type="dxa"/>
            <w:tcMar>
              <w:top w:w="55" w:type="dxa"/>
              <w:left w:w="90" w:type="dxa"/>
              <w:bottom w:w="55" w:type="dxa"/>
              <w:right w:w="90" w:type="dxa"/>
            </w:tcMar>
            <w:vAlign w:val="center"/>
          </w:tcPr>
          <w:p w14:paraId="5CD57F48" w14:textId="77777777" w:rsidR="00DF27C6" w:rsidRDefault="00000000">
            <w:pPr>
              <w:jc w:val="center"/>
            </w:pPr>
            <w:r>
              <w:rPr>
                <w:rFonts w:eastAsia="Times New Roman"/>
                <w:sz w:val="16"/>
              </w:rPr>
              <w:t>NY.GDP.PCAP.CD</w:t>
            </w:r>
          </w:p>
        </w:tc>
        <w:tc>
          <w:tcPr>
            <w:tcW w:w="4464" w:type="dxa"/>
            <w:tcMar>
              <w:top w:w="55" w:type="dxa"/>
              <w:left w:w="90" w:type="dxa"/>
              <w:bottom w:w="55" w:type="dxa"/>
              <w:right w:w="90" w:type="dxa"/>
            </w:tcMar>
            <w:vAlign w:val="center"/>
          </w:tcPr>
          <w:p w14:paraId="0580DBD4" w14:textId="77777777" w:rsidR="00DF27C6" w:rsidRDefault="00000000">
            <w:r>
              <w:rPr>
                <w:rFonts w:eastAsia="Times New Roman"/>
                <w:sz w:val="16"/>
              </w:rPr>
              <w:t>GDP per capita (current US$)</w:t>
            </w:r>
          </w:p>
        </w:tc>
        <w:tc>
          <w:tcPr>
            <w:tcW w:w="1440" w:type="dxa"/>
            <w:tcMar>
              <w:top w:w="55" w:type="dxa"/>
              <w:left w:w="90" w:type="dxa"/>
              <w:bottom w:w="55" w:type="dxa"/>
              <w:right w:w="90" w:type="dxa"/>
            </w:tcMar>
            <w:vAlign w:val="center"/>
          </w:tcPr>
          <w:p w14:paraId="3B7E125B" w14:textId="77777777" w:rsidR="00DF27C6" w:rsidRDefault="00000000">
            <w:pPr>
              <w:jc w:val="center"/>
            </w:pPr>
            <w:r>
              <w:rPr>
                <w:rFonts w:eastAsia="Times New Roman"/>
                <w:sz w:val="16"/>
              </w:rPr>
              <w:t>Dependent variable</w:t>
            </w:r>
          </w:p>
        </w:tc>
      </w:tr>
      <w:tr w:rsidR="00DF27C6" w14:paraId="6B079A5A" w14:textId="77777777">
        <w:trPr>
          <w:jc w:val="center"/>
        </w:trPr>
        <w:tc>
          <w:tcPr>
            <w:tcW w:w="2520" w:type="dxa"/>
            <w:tcMar>
              <w:top w:w="55" w:type="dxa"/>
              <w:left w:w="90" w:type="dxa"/>
              <w:bottom w:w="55" w:type="dxa"/>
              <w:right w:w="90" w:type="dxa"/>
            </w:tcMar>
            <w:vAlign w:val="center"/>
          </w:tcPr>
          <w:p w14:paraId="1A346EF4" w14:textId="77777777" w:rsidR="00DF27C6" w:rsidRDefault="00000000">
            <w:r>
              <w:rPr>
                <w:rFonts w:eastAsia="Times New Roman"/>
                <w:sz w:val="16"/>
              </w:rPr>
              <w:t>General government final consumption expenditure (GGFCE)</w:t>
            </w:r>
          </w:p>
        </w:tc>
        <w:tc>
          <w:tcPr>
            <w:tcW w:w="2015" w:type="dxa"/>
            <w:tcMar>
              <w:top w:w="55" w:type="dxa"/>
              <w:left w:w="90" w:type="dxa"/>
              <w:bottom w:w="55" w:type="dxa"/>
              <w:right w:w="90" w:type="dxa"/>
            </w:tcMar>
            <w:vAlign w:val="center"/>
          </w:tcPr>
          <w:p w14:paraId="68913E9C" w14:textId="77777777" w:rsidR="00DF27C6" w:rsidRDefault="00000000">
            <w:pPr>
              <w:jc w:val="center"/>
            </w:pPr>
            <w:r>
              <w:rPr>
                <w:rFonts w:eastAsia="Times New Roman"/>
                <w:sz w:val="16"/>
              </w:rPr>
              <w:t>NE.CON.GOVT.ZS</w:t>
            </w:r>
          </w:p>
        </w:tc>
        <w:tc>
          <w:tcPr>
            <w:tcW w:w="4464" w:type="dxa"/>
            <w:tcMar>
              <w:top w:w="55" w:type="dxa"/>
              <w:left w:w="90" w:type="dxa"/>
              <w:bottom w:w="55" w:type="dxa"/>
              <w:right w:w="90" w:type="dxa"/>
            </w:tcMar>
            <w:vAlign w:val="center"/>
          </w:tcPr>
          <w:p w14:paraId="271BDAD0" w14:textId="77777777" w:rsidR="00DF27C6" w:rsidRDefault="00000000">
            <w:r>
              <w:rPr>
                <w:rFonts w:eastAsia="Times New Roman"/>
                <w:sz w:val="16"/>
              </w:rPr>
              <w:t>General government final consumption expenditure (% of GDP)</w:t>
            </w:r>
          </w:p>
        </w:tc>
        <w:tc>
          <w:tcPr>
            <w:tcW w:w="1440" w:type="dxa"/>
            <w:tcMar>
              <w:top w:w="55" w:type="dxa"/>
              <w:left w:w="90" w:type="dxa"/>
              <w:bottom w:w="55" w:type="dxa"/>
              <w:right w:w="90" w:type="dxa"/>
            </w:tcMar>
            <w:vAlign w:val="center"/>
          </w:tcPr>
          <w:p w14:paraId="72A625DE" w14:textId="77777777" w:rsidR="00DF27C6" w:rsidRDefault="00000000">
            <w:pPr>
              <w:jc w:val="center"/>
            </w:pPr>
            <w:r>
              <w:rPr>
                <w:rFonts w:eastAsia="Times New Roman"/>
                <w:sz w:val="16"/>
              </w:rPr>
              <w:t>Main explanatory variable</w:t>
            </w:r>
          </w:p>
        </w:tc>
      </w:tr>
      <w:tr w:rsidR="00DF27C6" w14:paraId="49E9CD5D" w14:textId="77777777">
        <w:trPr>
          <w:jc w:val="center"/>
        </w:trPr>
        <w:tc>
          <w:tcPr>
            <w:tcW w:w="2520" w:type="dxa"/>
            <w:tcMar>
              <w:top w:w="55" w:type="dxa"/>
              <w:left w:w="90" w:type="dxa"/>
              <w:bottom w:w="55" w:type="dxa"/>
              <w:right w:w="90" w:type="dxa"/>
            </w:tcMar>
            <w:vAlign w:val="center"/>
          </w:tcPr>
          <w:p w14:paraId="1DB94D55" w14:textId="77777777" w:rsidR="00DF27C6" w:rsidRDefault="00000000">
            <w:r>
              <w:rPr>
                <w:rFonts w:eastAsia="Times New Roman"/>
                <w:sz w:val="16"/>
              </w:rPr>
              <w:t>Foreign direct investment (FDI)</w:t>
            </w:r>
          </w:p>
        </w:tc>
        <w:tc>
          <w:tcPr>
            <w:tcW w:w="2015" w:type="dxa"/>
            <w:tcMar>
              <w:top w:w="55" w:type="dxa"/>
              <w:left w:w="90" w:type="dxa"/>
              <w:bottom w:w="55" w:type="dxa"/>
              <w:right w:w="90" w:type="dxa"/>
            </w:tcMar>
            <w:vAlign w:val="center"/>
          </w:tcPr>
          <w:p w14:paraId="68D8793D" w14:textId="77777777" w:rsidR="00DF27C6" w:rsidRDefault="00000000">
            <w:pPr>
              <w:jc w:val="center"/>
            </w:pPr>
            <w:r>
              <w:rPr>
                <w:rFonts w:eastAsia="Times New Roman"/>
                <w:sz w:val="16"/>
              </w:rPr>
              <w:t>BX.KLT.DINV.CD.WD</w:t>
            </w:r>
          </w:p>
        </w:tc>
        <w:tc>
          <w:tcPr>
            <w:tcW w:w="4464" w:type="dxa"/>
            <w:tcMar>
              <w:top w:w="55" w:type="dxa"/>
              <w:left w:w="90" w:type="dxa"/>
              <w:bottom w:w="55" w:type="dxa"/>
              <w:right w:w="90" w:type="dxa"/>
            </w:tcMar>
            <w:vAlign w:val="center"/>
          </w:tcPr>
          <w:p w14:paraId="53AFFE50" w14:textId="77777777" w:rsidR="00DF27C6" w:rsidRDefault="00000000">
            <w:r>
              <w:rPr>
                <w:rFonts w:eastAsia="Times New Roman"/>
                <w:sz w:val="16"/>
              </w:rPr>
              <w:t>FDI, net inflows (BoP, current US$)</w:t>
            </w:r>
          </w:p>
        </w:tc>
        <w:tc>
          <w:tcPr>
            <w:tcW w:w="1440" w:type="dxa"/>
            <w:tcMar>
              <w:top w:w="55" w:type="dxa"/>
              <w:left w:w="90" w:type="dxa"/>
              <w:bottom w:w="55" w:type="dxa"/>
              <w:right w:w="90" w:type="dxa"/>
            </w:tcMar>
            <w:vAlign w:val="center"/>
          </w:tcPr>
          <w:p w14:paraId="21BC2525" w14:textId="77777777" w:rsidR="00DF27C6" w:rsidRDefault="00000000">
            <w:pPr>
              <w:jc w:val="center"/>
            </w:pPr>
            <w:r>
              <w:rPr>
                <w:rFonts w:eastAsia="Times New Roman"/>
                <w:sz w:val="16"/>
              </w:rPr>
              <w:t>Control</w:t>
            </w:r>
          </w:p>
        </w:tc>
      </w:tr>
      <w:tr w:rsidR="00DF27C6" w14:paraId="499B1BCB" w14:textId="77777777">
        <w:trPr>
          <w:jc w:val="center"/>
        </w:trPr>
        <w:tc>
          <w:tcPr>
            <w:tcW w:w="2520" w:type="dxa"/>
            <w:tcMar>
              <w:top w:w="55" w:type="dxa"/>
              <w:left w:w="90" w:type="dxa"/>
              <w:bottom w:w="55" w:type="dxa"/>
              <w:right w:w="90" w:type="dxa"/>
            </w:tcMar>
            <w:vAlign w:val="center"/>
          </w:tcPr>
          <w:p w14:paraId="29784938" w14:textId="77777777" w:rsidR="00DF27C6" w:rsidRDefault="00000000">
            <w:r>
              <w:rPr>
                <w:rFonts w:eastAsia="Times New Roman"/>
                <w:sz w:val="16"/>
              </w:rPr>
              <w:t>Population growth</w:t>
            </w:r>
          </w:p>
        </w:tc>
        <w:tc>
          <w:tcPr>
            <w:tcW w:w="2015" w:type="dxa"/>
            <w:tcMar>
              <w:top w:w="55" w:type="dxa"/>
              <w:left w:w="90" w:type="dxa"/>
              <w:bottom w:w="55" w:type="dxa"/>
              <w:right w:w="90" w:type="dxa"/>
            </w:tcMar>
            <w:vAlign w:val="center"/>
          </w:tcPr>
          <w:p w14:paraId="069DBA6C" w14:textId="77777777" w:rsidR="00DF27C6" w:rsidRDefault="00000000">
            <w:pPr>
              <w:jc w:val="center"/>
            </w:pPr>
            <w:r>
              <w:rPr>
                <w:rFonts w:eastAsia="Times New Roman"/>
                <w:sz w:val="16"/>
              </w:rPr>
              <w:t>SP.POP.GROW</w:t>
            </w:r>
          </w:p>
        </w:tc>
        <w:tc>
          <w:tcPr>
            <w:tcW w:w="4464" w:type="dxa"/>
            <w:tcMar>
              <w:top w:w="55" w:type="dxa"/>
              <w:left w:w="90" w:type="dxa"/>
              <w:bottom w:w="55" w:type="dxa"/>
              <w:right w:w="90" w:type="dxa"/>
            </w:tcMar>
            <w:vAlign w:val="center"/>
          </w:tcPr>
          <w:p w14:paraId="6C0562E0" w14:textId="77777777" w:rsidR="00DF27C6" w:rsidRDefault="00000000">
            <w:r>
              <w:rPr>
                <w:rFonts w:eastAsia="Times New Roman"/>
                <w:sz w:val="16"/>
              </w:rPr>
              <w:t>Population growth (annual %)</w:t>
            </w:r>
          </w:p>
        </w:tc>
        <w:tc>
          <w:tcPr>
            <w:tcW w:w="1440" w:type="dxa"/>
            <w:tcMar>
              <w:top w:w="55" w:type="dxa"/>
              <w:left w:w="90" w:type="dxa"/>
              <w:bottom w:w="55" w:type="dxa"/>
              <w:right w:w="90" w:type="dxa"/>
            </w:tcMar>
            <w:vAlign w:val="center"/>
          </w:tcPr>
          <w:p w14:paraId="25AF1A92" w14:textId="77777777" w:rsidR="00DF27C6" w:rsidRDefault="00000000">
            <w:pPr>
              <w:jc w:val="center"/>
            </w:pPr>
            <w:r>
              <w:rPr>
                <w:rFonts w:eastAsia="Times New Roman"/>
                <w:sz w:val="16"/>
              </w:rPr>
              <w:t>Control</w:t>
            </w:r>
          </w:p>
        </w:tc>
      </w:tr>
      <w:tr w:rsidR="00DF27C6" w14:paraId="1DD426A4" w14:textId="77777777">
        <w:trPr>
          <w:jc w:val="center"/>
        </w:trPr>
        <w:tc>
          <w:tcPr>
            <w:tcW w:w="2520" w:type="dxa"/>
            <w:tcMar>
              <w:top w:w="55" w:type="dxa"/>
              <w:left w:w="90" w:type="dxa"/>
              <w:bottom w:w="55" w:type="dxa"/>
              <w:right w:w="90" w:type="dxa"/>
            </w:tcMar>
            <w:vAlign w:val="center"/>
          </w:tcPr>
          <w:p w14:paraId="5E8622E5" w14:textId="77777777" w:rsidR="00DF27C6" w:rsidRDefault="00000000">
            <w:r>
              <w:rPr>
                <w:rFonts w:eastAsia="Times New Roman"/>
                <w:sz w:val="16"/>
              </w:rPr>
              <w:t>Inflation</w:t>
            </w:r>
          </w:p>
        </w:tc>
        <w:tc>
          <w:tcPr>
            <w:tcW w:w="2015" w:type="dxa"/>
            <w:tcMar>
              <w:top w:w="55" w:type="dxa"/>
              <w:left w:w="90" w:type="dxa"/>
              <w:bottom w:w="55" w:type="dxa"/>
              <w:right w:w="90" w:type="dxa"/>
            </w:tcMar>
            <w:vAlign w:val="center"/>
          </w:tcPr>
          <w:p w14:paraId="5AF59776" w14:textId="77777777" w:rsidR="00DF27C6" w:rsidRDefault="00000000">
            <w:pPr>
              <w:jc w:val="center"/>
            </w:pPr>
            <w:r>
              <w:rPr>
                <w:rFonts w:eastAsia="Times New Roman"/>
                <w:sz w:val="16"/>
              </w:rPr>
              <w:t>FP.CPI.TOTL.ZG</w:t>
            </w:r>
          </w:p>
        </w:tc>
        <w:tc>
          <w:tcPr>
            <w:tcW w:w="4464" w:type="dxa"/>
            <w:tcMar>
              <w:top w:w="55" w:type="dxa"/>
              <w:left w:w="90" w:type="dxa"/>
              <w:bottom w:w="55" w:type="dxa"/>
              <w:right w:w="90" w:type="dxa"/>
            </w:tcMar>
            <w:vAlign w:val="center"/>
          </w:tcPr>
          <w:p w14:paraId="1AC075C4" w14:textId="77777777" w:rsidR="00DF27C6" w:rsidRDefault="00000000">
            <w:r>
              <w:rPr>
                <w:rFonts w:eastAsia="Times New Roman"/>
                <w:sz w:val="16"/>
              </w:rPr>
              <w:t>Inflation, consumer prices (annual %)</w:t>
            </w:r>
          </w:p>
        </w:tc>
        <w:tc>
          <w:tcPr>
            <w:tcW w:w="1440" w:type="dxa"/>
            <w:tcMar>
              <w:top w:w="55" w:type="dxa"/>
              <w:left w:w="90" w:type="dxa"/>
              <w:bottom w:w="55" w:type="dxa"/>
              <w:right w:w="90" w:type="dxa"/>
            </w:tcMar>
            <w:vAlign w:val="center"/>
          </w:tcPr>
          <w:p w14:paraId="6472A942" w14:textId="77777777" w:rsidR="00DF27C6" w:rsidRDefault="00000000">
            <w:pPr>
              <w:jc w:val="center"/>
            </w:pPr>
            <w:r>
              <w:rPr>
                <w:rFonts w:eastAsia="Times New Roman"/>
                <w:sz w:val="16"/>
              </w:rPr>
              <w:t>Control</w:t>
            </w:r>
          </w:p>
        </w:tc>
      </w:tr>
      <w:tr w:rsidR="00DF27C6" w14:paraId="6BBF00B8" w14:textId="77777777">
        <w:trPr>
          <w:jc w:val="center"/>
        </w:trPr>
        <w:tc>
          <w:tcPr>
            <w:tcW w:w="2520" w:type="dxa"/>
            <w:tcMar>
              <w:top w:w="55" w:type="dxa"/>
              <w:left w:w="90" w:type="dxa"/>
              <w:bottom w:w="55" w:type="dxa"/>
              <w:right w:w="90" w:type="dxa"/>
            </w:tcMar>
            <w:vAlign w:val="center"/>
          </w:tcPr>
          <w:p w14:paraId="6EDB1700" w14:textId="77777777" w:rsidR="00DF27C6" w:rsidRDefault="00000000">
            <w:r>
              <w:rPr>
                <w:rFonts w:eastAsia="Times New Roman"/>
                <w:sz w:val="16"/>
              </w:rPr>
              <w:t>Official exchange rate</w:t>
            </w:r>
          </w:p>
        </w:tc>
        <w:tc>
          <w:tcPr>
            <w:tcW w:w="2015" w:type="dxa"/>
            <w:tcMar>
              <w:top w:w="55" w:type="dxa"/>
              <w:left w:w="90" w:type="dxa"/>
              <w:bottom w:w="55" w:type="dxa"/>
              <w:right w:w="90" w:type="dxa"/>
            </w:tcMar>
            <w:vAlign w:val="center"/>
          </w:tcPr>
          <w:p w14:paraId="660E4865" w14:textId="77777777" w:rsidR="00DF27C6" w:rsidRDefault="00000000">
            <w:pPr>
              <w:jc w:val="center"/>
            </w:pPr>
            <w:r>
              <w:rPr>
                <w:rFonts w:eastAsia="Times New Roman"/>
                <w:sz w:val="16"/>
              </w:rPr>
              <w:t>PA.NUS.FCRF</w:t>
            </w:r>
          </w:p>
        </w:tc>
        <w:tc>
          <w:tcPr>
            <w:tcW w:w="4464" w:type="dxa"/>
            <w:tcMar>
              <w:top w:w="55" w:type="dxa"/>
              <w:left w:w="90" w:type="dxa"/>
              <w:bottom w:w="55" w:type="dxa"/>
              <w:right w:w="90" w:type="dxa"/>
            </w:tcMar>
            <w:vAlign w:val="center"/>
          </w:tcPr>
          <w:p w14:paraId="4CFC2C06" w14:textId="77777777" w:rsidR="00DF27C6" w:rsidRDefault="00000000">
            <w:r>
              <w:rPr>
                <w:rFonts w:eastAsia="Times New Roman"/>
                <w:sz w:val="16"/>
              </w:rPr>
              <w:t>Official exchange rate (LCU per US$, period average)</w:t>
            </w:r>
          </w:p>
        </w:tc>
        <w:tc>
          <w:tcPr>
            <w:tcW w:w="1440" w:type="dxa"/>
            <w:tcMar>
              <w:top w:w="55" w:type="dxa"/>
              <w:left w:w="90" w:type="dxa"/>
              <w:bottom w:w="55" w:type="dxa"/>
              <w:right w:w="90" w:type="dxa"/>
            </w:tcMar>
            <w:vAlign w:val="center"/>
          </w:tcPr>
          <w:p w14:paraId="0131BA26" w14:textId="77777777" w:rsidR="00DF27C6" w:rsidRDefault="00000000">
            <w:pPr>
              <w:jc w:val="center"/>
            </w:pPr>
            <w:r>
              <w:rPr>
                <w:rFonts w:eastAsia="Times New Roman"/>
                <w:sz w:val="16"/>
              </w:rPr>
              <w:t>Control</w:t>
            </w:r>
          </w:p>
        </w:tc>
      </w:tr>
      <w:tr w:rsidR="00DF27C6" w14:paraId="53ECF02C" w14:textId="77777777">
        <w:trPr>
          <w:jc w:val="center"/>
        </w:trPr>
        <w:tc>
          <w:tcPr>
            <w:tcW w:w="2520" w:type="dxa"/>
            <w:tcMar>
              <w:top w:w="55" w:type="dxa"/>
              <w:left w:w="90" w:type="dxa"/>
              <w:bottom w:w="55" w:type="dxa"/>
              <w:right w:w="90" w:type="dxa"/>
            </w:tcMar>
            <w:vAlign w:val="center"/>
          </w:tcPr>
          <w:p w14:paraId="198B8689" w14:textId="77777777" w:rsidR="00DF27C6" w:rsidRDefault="00000000">
            <w:r>
              <w:rPr>
                <w:rFonts w:eastAsia="Times New Roman"/>
                <w:sz w:val="16"/>
              </w:rPr>
              <w:lastRenderedPageBreak/>
              <w:t>Official development assistance (ODA)</w:t>
            </w:r>
          </w:p>
        </w:tc>
        <w:tc>
          <w:tcPr>
            <w:tcW w:w="2015" w:type="dxa"/>
            <w:tcMar>
              <w:top w:w="55" w:type="dxa"/>
              <w:left w:w="90" w:type="dxa"/>
              <w:bottom w:w="55" w:type="dxa"/>
              <w:right w:w="90" w:type="dxa"/>
            </w:tcMar>
            <w:vAlign w:val="center"/>
          </w:tcPr>
          <w:p w14:paraId="18B5062C" w14:textId="77777777" w:rsidR="00DF27C6" w:rsidRDefault="00000000">
            <w:pPr>
              <w:jc w:val="center"/>
            </w:pPr>
            <w:r>
              <w:rPr>
                <w:rFonts w:eastAsia="Times New Roman"/>
                <w:sz w:val="16"/>
              </w:rPr>
              <w:t>DT.ODA.ODAT.GN.ZS</w:t>
            </w:r>
          </w:p>
        </w:tc>
        <w:tc>
          <w:tcPr>
            <w:tcW w:w="4464" w:type="dxa"/>
            <w:tcMar>
              <w:top w:w="55" w:type="dxa"/>
              <w:left w:w="90" w:type="dxa"/>
              <w:bottom w:w="55" w:type="dxa"/>
              <w:right w:w="90" w:type="dxa"/>
            </w:tcMar>
            <w:vAlign w:val="center"/>
          </w:tcPr>
          <w:p w14:paraId="73BA75A3" w14:textId="77777777" w:rsidR="00DF27C6" w:rsidRDefault="00000000">
            <w:r>
              <w:rPr>
                <w:rFonts w:eastAsia="Times New Roman"/>
                <w:sz w:val="16"/>
              </w:rPr>
              <w:t>Net ODA received (% of GNI)</w:t>
            </w:r>
          </w:p>
        </w:tc>
        <w:tc>
          <w:tcPr>
            <w:tcW w:w="1440" w:type="dxa"/>
            <w:tcMar>
              <w:top w:w="55" w:type="dxa"/>
              <w:left w:w="90" w:type="dxa"/>
              <w:bottom w:w="55" w:type="dxa"/>
              <w:right w:w="90" w:type="dxa"/>
            </w:tcMar>
            <w:vAlign w:val="center"/>
          </w:tcPr>
          <w:p w14:paraId="533FDC22" w14:textId="77777777" w:rsidR="00DF27C6" w:rsidRDefault="00000000">
            <w:pPr>
              <w:jc w:val="center"/>
            </w:pPr>
            <w:r>
              <w:rPr>
                <w:rFonts w:eastAsia="Times New Roman"/>
                <w:sz w:val="16"/>
              </w:rPr>
              <w:t>Control</w:t>
            </w:r>
          </w:p>
        </w:tc>
      </w:tr>
    </w:tbl>
    <w:p w14:paraId="43C6B06F" w14:textId="77777777" w:rsidR="00DF27C6" w:rsidRDefault="00000000">
      <w:pPr>
        <w:spacing w:before="40" w:after="120"/>
      </w:pPr>
      <w:r>
        <w:rPr>
          <w:rFonts w:eastAsia="Times New Roman"/>
          <w:i/>
          <w:sz w:val="17"/>
        </w:rPr>
        <w:t>Source: World Development Indicators metadata (World Bank, 2026).</w:t>
      </w:r>
    </w:p>
    <w:p w14:paraId="386B741B" w14:textId="77777777" w:rsidR="00DF27C6" w:rsidRDefault="00000000">
      <w:pPr>
        <w:pStyle w:val="Heading2"/>
        <w:spacing w:before="120" w:after="80"/>
      </w:pPr>
      <w:r>
        <w:rPr>
          <w:rFonts w:ascii="Times New Roman" w:eastAsia="Times New Roman" w:hAnsi="Times New Roman"/>
        </w:rPr>
        <w:t>3.3 Empirical specification and transformation rule</w:t>
      </w:r>
    </w:p>
    <w:p w14:paraId="0D520B39" w14:textId="77777777" w:rsidR="00DF27C6" w:rsidRDefault="00000000">
      <w:pPr>
        <w:spacing w:after="100"/>
        <w:ind w:firstLine="360"/>
        <w:jc w:val="both"/>
      </w:pPr>
      <w:r>
        <w:rPr>
          <w:rFonts w:eastAsia="Times New Roman"/>
        </w:rPr>
        <w:t>The principal model is a country fixed-effects specification in which the natural logarithm of nominal GDP per capita is regressed on the natural logarithms of the fiscal variable and the controls. The model can be written as:</w:t>
      </w:r>
    </w:p>
    <w:p w14:paraId="1F855443" w14:textId="77777777" w:rsidR="00DF27C6" w:rsidRDefault="00000000">
      <w:pPr>
        <w:spacing w:before="80" w:after="80"/>
        <w:jc w:val="center"/>
      </w:pPr>
      <w:r>
        <w:rPr>
          <w:rFonts w:eastAsia="Times New Roman"/>
          <w:i/>
          <w:sz w:val="20"/>
        </w:rPr>
        <w:t>ln(GDPpc_it) = α_i + β₁ln(GGFCE_it) + β₂ln(FDI_it) + β₃ln(POP_it) + β₄ln(INFL_it) + β₅ln(EXCH_it) + β₆ln(ODA_it) + ε_it</w:t>
      </w:r>
    </w:p>
    <w:p w14:paraId="58FE5DEA" w14:textId="77777777" w:rsidR="00DF27C6" w:rsidRDefault="00000000">
      <w:pPr>
        <w:spacing w:after="100"/>
        <w:ind w:firstLine="360"/>
        <w:jc w:val="both"/>
      </w:pPr>
      <w:r>
        <w:rPr>
          <w:rFonts w:eastAsia="Times New Roman"/>
        </w:rPr>
        <w:t>where i indexes countries, t indexes years, α_i represents time-invariant country effects, and ε_it is the idiosyncratic error. The coefficients in this log–log specification are interpreted as conditional elasticities within the estimation sample, subject to the measurement and diagnostic limitations described below.</w:t>
      </w:r>
    </w:p>
    <w:p w14:paraId="3165B01A" w14:textId="77777777" w:rsidR="00DF27C6" w:rsidRDefault="00000000">
      <w:pPr>
        <w:spacing w:after="100"/>
        <w:ind w:firstLine="360"/>
        <w:jc w:val="both"/>
      </w:pPr>
      <w:r>
        <w:t xml:space="preserve">A natural logarithm is defined only for strictly positive values. Table 2 shows that the analytic file contains negative FDI and inflation observations and zero values for GGFCE, the exchange rate, and ODA. Negative net FDI and deflation are economically possible, whereas the substantive meaning of zero-coded macroeconomic observations depends on data provenance. No arbitrary constant was added because ad hoc shifts change scale and coefficient interpretation. Consequently, country-years with nonpositive values in variables used in logarithmic form do not enter the log specification, producing 84 usable observations in the fixed- and random-effects models compared with 100 observations in the descriptive and correlation analyses. This is a positive-value-subsample estimand, not a full-panel estimand. Log-like alternatives such as the inverse hyperbolic sine can retain zero values, but their elasticity interpretation also requires explicit care (Bellemare &amp; Wichman, 2020). The present coefficients therefore should not be </w:t>
      </w:r>
      <w:r>
        <w:rPr>
          <w:highlight w:val="yellow"/>
        </w:rPr>
        <w:t>generalised</w:t>
      </w:r>
      <w:r>
        <w:t xml:space="preserve"> mechanically to excluded country-years.</w:t>
      </w:r>
    </w:p>
    <w:p w14:paraId="2521A3F9" w14:textId="77777777" w:rsidR="00DF27C6" w:rsidRDefault="00000000">
      <w:pPr>
        <w:pStyle w:val="Heading2"/>
        <w:spacing w:before="120" w:after="80"/>
      </w:pPr>
      <w:r>
        <w:rPr>
          <w:rFonts w:ascii="Times New Roman" w:eastAsia="Times New Roman" w:hAnsi="Times New Roman"/>
        </w:rPr>
        <w:t>3.4 Estimation and diagnostic strategy</w:t>
      </w:r>
    </w:p>
    <w:p w14:paraId="169C48B9" w14:textId="77777777" w:rsidR="00DF27C6" w:rsidRDefault="00000000">
      <w:pPr>
        <w:spacing w:after="100"/>
        <w:ind w:firstLine="360"/>
        <w:jc w:val="both"/>
      </w:pPr>
      <w:r>
        <w:t xml:space="preserve">The analysis proceeds through descriptive statistics, pairwise correlations, panel unit-root diagnostics, multicollinearity assessment, heteroskedasticity testing, supplementary panel cointegration output, model comparison, and fixed-effects estimation. The Jarque–Bera statistic is used descriptively to </w:t>
      </w:r>
      <w:r>
        <w:rPr>
          <w:highlight w:val="yellow"/>
        </w:rPr>
        <w:t>summarise</w:t>
      </w:r>
      <w:r>
        <w:t xml:space="preserve"> departures from normality (Jarque &amp; Bera, 1980); normality of the raw regressors is not required for consistency of the fixed-effects slope estimator. The Levin–Lin–Chu test is reported as a first-generation panel unit-root diagnostic (Levin et al., 2002). Because common regional and global shocks are plausible, the unit-root results are treated as supplementary rather than definitive; cross-sectionally augmented approaches are more appropriate when cross-sectional dependence is material (Pesaran, 2007). Fisher combination logic, including its use in panel unit-root and cointegration settings, is discussed by Maddala and Wu (1999).</w:t>
      </w:r>
    </w:p>
    <w:p w14:paraId="049E9CB4" w14:textId="77777777" w:rsidR="00DF27C6" w:rsidRDefault="00000000">
      <w:pPr>
        <w:spacing w:after="100"/>
        <w:ind w:firstLine="360"/>
        <w:jc w:val="both"/>
      </w:pPr>
      <w:r>
        <w:t>Variance inflation factors (VIFs) are used as a practical collinearity diagnostic. The Breusch–Pagan/Cook–Weisberg test evaluates constant error variance (Breusch &amp; Pagan, 1979). The Hausman specification test is reported because it is commonly used to compare fixed- and random-effects estimators (Hausman, 1978), but the covariance-difference matrix warning in the output means the test is not treated as mechanically decisive. Fixed effects are retained primarily because persistent unobserved country characteristics are plausibly correlated with fiscal and macroeconomic covariates. The reported equation contains country effects but not a full set of year effects; consequently, common time shocks are not fully absorbed and the estimates should not be interpreted as isolating country-specific policy shocks.</w:t>
      </w:r>
    </w:p>
    <w:p w14:paraId="53EE6168" w14:textId="77777777" w:rsidR="00DF27C6" w:rsidRDefault="00000000">
      <w:pPr>
        <w:spacing w:after="100"/>
        <w:ind w:firstLine="360"/>
        <w:jc w:val="both"/>
      </w:pPr>
      <w:r>
        <w:lastRenderedPageBreak/>
        <w:t xml:space="preserve">The reported Breusch–Pagan result indicates heteroskedasticity. Macro-panel errors may also exhibit within-country serial correlation and cross-sectional dependence due to shared regional and global shocks (Pesaran, 2021). Cluster-robust or cross-sectionally robust covariance estimators are commonly used in panel settings (Cameron &amp; Miller, 2015; Driscoll &amp; Kraay, 1998; Hoechle, 2007), but their asymptotic justification can be weak when the number of clusters is very small. Cameron et al. (2008) show that conventional clustered tests can over-reject with few clusters. Because the available fixed-effects output uses conventional standard errors and contains only five countries, its p-values and confidence intervals are retained for reproducibility but are not treated as definitive inferential evidence. Interpretation therefore </w:t>
      </w:r>
      <w:r>
        <w:rPr>
          <w:highlight w:val="yellow"/>
        </w:rPr>
        <w:t>emphasises</w:t>
      </w:r>
      <w:r>
        <w:t xml:space="preserve"> coefficient direction, magnitude, sample definition, and measurement limitations rather than binary significance decisions.</w:t>
      </w:r>
    </w:p>
    <w:p w14:paraId="7B1BBF93" w14:textId="77777777" w:rsidR="00DF27C6" w:rsidRDefault="00000000">
      <w:pPr>
        <w:pStyle w:val="Heading1"/>
        <w:spacing w:before="160" w:after="80"/>
      </w:pPr>
      <w:r>
        <w:rPr>
          <w:rFonts w:ascii="Times New Roman" w:eastAsia="Times New Roman" w:hAnsi="Times New Roman"/>
        </w:rPr>
        <w:t>4. RESULTS AND DISCUSSION</w:t>
      </w:r>
    </w:p>
    <w:p w14:paraId="729160B6" w14:textId="77777777" w:rsidR="00DF27C6" w:rsidRDefault="00000000">
      <w:pPr>
        <w:pStyle w:val="Heading2"/>
        <w:spacing w:before="120" w:after="80"/>
      </w:pPr>
      <w:r>
        <w:rPr>
          <w:rFonts w:ascii="Times New Roman" w:eastAsia="Times New Roman" w:hAnsi="Times New Roman"/>
        </w:rPr>
        <w:t>4.1 Descriptive statistics</w:t>
      </w:r>
    </w:p>
    <w:p w14:paraId="4E381F20" w14:textId="77777777" w:rsidR="00DF27C6" w:rsidRDefault="00000000">
      <w:pPr>
        <w:keepNext/>
        <w:spacing w:after="40"/>
        <w:ind w:firstLine="360"/>
        <w:jc w:val="both"/>
      </w:pPr>
      <w:r>
        <w:t xml:space="preserve">Table 2 </w:t>
      </w:r>
      <w:r>
        <w:rPr>
          <w:highlight w:val="yellow"/>
        </w:rPr>
        <w:t>summarises</w:t>
      </w:r>
      <w:r>
        <w:t xml:space="preserve"> the 100 country-year observations in the analytic file. Nominal GDP per capita averaged US$807.23 and ranged from US$147.23 to US$2,206.14. GGFCE averaged 14.02% of GDP, while FDI, inflation, the official exchange rate, and ODA displayed substantial dispersion. The negative minimum values for FDI and inflation and the zero minima for several other variables are important because they explain why all 100 observations cannot enter a natural-log specification. The zero-coded values are reported transparently but are not interpreted as necessarily representing economically meaningful zeros. Positive skewness indicates longer right tails; it does not imply that values were necessarily higher in earlier years. Kurtosis above three indicates heavier tails than a normal distribution, while the exchange-rate series is comparatively flatter. The Jarque–Bera statistics indicate statistically detectable departures from normality for all variables at the 5% level, although raw-variable normality is not an assumption required for the fixed-effects slope coefficients.</w:t>
      </w:r>
    </w:p>
    <w:p w14:paraId="5A0EF5F3" w14:textId="77777777" w:rsidR="00DF27C6" w:rsidRDefault="00000000">
      <w:pPr>
        <w:keepNext/>
        <w:spacing w:before="80" w:after="40"/>
      </w:pPr>
      <w:r>
        <w:rPr>
          <w:rFonts w:eastAsia="Times New Roman"/>
          <w:b/>
          <w:sz w:val="20"/>
        </w:rPr>
        <w:t>Table 2. Descriptive statistics</w:t>
      </w:r>
    </w:p>
    <w:tbl>
      <w:tblPr>
        <w:tblStyle w:val="TableGrid"/>
        <w:tblW w:w="0" w:type="auto"/>
        <w:jc w:val="center"/>
        <w:tblLayout w:type="fixed"/>
        <w:tblLook w:val="04A0" w:firstRow="1" w:lastRow="0" w:firstColumn="1" w:lastColumn="0" w:noHBand="0" w:noVBand="1"/>
      </w:tblPr>
      <w:tblGrid>
        <w:gridCol w:w="1512"/>
        <w:gridCol w:w="1296"/>
        <w:gridCol w:w="1512"/>
        <w:gridCol w:w="1296"/>
        <w:gridCol w:w="1224"/>
        <w:gridCol w:w="1224"/>
        <w:gridCol w:w="1296"/>
        <w:gridCol w:w="1296"/>
      </w:tblGrid>
      <w:tr w:rsidR="00DF27C6" w14:paraId="0D55445C" w14:textId="77777777">
        <w:trPr>
          <w:tblHeader/>
          <w:jc w:val="center"/>
        </w:trPr>
        <w:tc>
          <w:tcPr>
            <w:tcW w:w="1512" w:type="dxa"/>
            <w:shd w:val="clear" w:color="auto" w:fill="D9E2F3"/>
            <w:tcMar>
              <w:top w:w="55" w:type="dxa"/>
              <w:left w:w="90" w:type="dxa"/>
              <w:bottom w:w="55" w:type="dxa"/>
              <w:right w:w="90" w:type="dxa"/>
            </w:tcMar>
            <w:vAlign w:val="center"/>
          </w:tcPr>
          <w:p w14:paraId="0AFE57A1" w14:textId="77777777" w:rsidR="00DF27C6" w:rsidRDefault="00000000">
            <w:pPr>
              <w:jc w:val="center"/>
            </w:pPr>
            <w:r>
              <w:rPr>
                <w:rFonts w:eastAsia="Times New Roman"/>
                <w:b/>
                <w:sz w:val="15"/>
              </w:rPr>
              <w:t>Statistic</w:t>
            </w:r>
          </w:p>
        </w:tc>
        <w:tc>
          <w:tcPr>
            <w:tcW w:w="1296" w:type="dxa"/>
            <w:shd w:val="clear" w:color="auto" w:fill="D9E2F3"/>
            <w:tcMar>
              <w:top w:w="55" w:type="dxa"/>
              <w:left w:w="90" w:type="dxa"/>
              <w:bottom w:w="55" w:type="dxa"/>
              <w:right w:w="90" w:type="dxa"/>
            </w:tcMar>
            <w:vAlign w:val="center"/>
          </w:tcPr>
          <w:p w14:paraId="5A7461A0" w14:textId="77777777" w:rsidR="00DF27C6" w:rsidRDefault="00000000">
            <w:pPr>
              <w:jc w:val="center"/>
            </w:pPr>
            <w:r>
              <w:rPr>
                <w:rFonts w:eastAsia="Times New Roman"/>
                <w:b/>
                <w:sz w:val="15"/>
              </w:rPr>
              <w:t>GDP</w:t>
            </w:r>
          </w:p>
        </w:tc>
        <w:tc>
          <w:tcPr>
            <w:tcW w:w="1512" w:type="dxa"/>
            <w:shd w:val="clear" w:color="auto" w:fill="D9E2F3"/>
            <w:tcMar>
              <w:top w:w="55" w:type="dxa"/>
              <w:left w:w="90" w:type="dxa"/>
              <w:bottom w:w="55" w:type="dxa"/>
              <w:right w:w="90" w:type="dxa"/>
            </w:tcMar>
            <w:vAlign w:val="center"/>
          </w:tcPr>
          <w:p w14:paraId="3DD2226C" w14:textId="77777777" w:rsidR="00DF27C6" w:rsidRDefault="00000000">
            <w:pPr>
              <w:jc w:val="center"/>
            </w:pPr>
            <w:r>
              <w:rPr>
                <w:rFonts w:eastAsia="Times New Roman"/>
                <w:b/>
                <w:sz w:val="15"/>
              </w:rPr>
              <w:t>FDI</w:t>
            </w:r>
          </w:p>
        </w:tc>
        <w:tc>
          <w:tcPr>
            <w:tcW w:w="1296" w:type="dxa"/>
            <w:shd w:val="clear" w:color="auto" w:fill="D9E2F3"/>
            <w:tcMar>
              <w:top w:w="55" w:type="dxa"/>
              <w:left w:w="90" w:type="dxa"/>
              <w:bottom w:w="55" w:type="dxa"/>
              <w:right w:w="90" w:type="dxa"/>
            </w:tcMar>
            <w:vAlign w:val="center"/>
          </w:tcPr>
          <w:p w14:paraId="417F6745" w14:textId="77777777" w:rsidR="00DF27C6" w:rsidRDefault="00000000">
            <w:pPr>
              <w:jc w:val="center"/>
            </w:pPr>
            <w:r>
              <w:rPr>
                <w:rFonts w:eastAsia="Times New Roman"/>
                <w:b/>
                <w:sz w:val="15"/>
              </w:rPr>
              <w:t>GGFCE</w:t>
            </w:r>
          </w:p>
        </w:tc>
        <w:tc>
          <w:tcPr>
            <w:tcW w:w="1224" w:type="dxa"/>
            <w:shd w:val="clear" w:color="auto" w:fill="D9E2F3"/>
            <w:tcMar>
              <w:top w:w="55" w:type="dxa"/>
              <w:left w:w="90" w:type="dxa"/>
              <w:bottom w:w="55" w:type="dxa"/>
              <w:right w:w="90" w:type="dxa"/>
            </w:tcMar>
            <w:vAlign w:val="center"/>
          </w:tcPr>
          <w:p w14:paraId="4FA99A55" w14:textId="77777777" w:rsidR="00DF27C6" w:rsidRDefault="00000000">
            <w:pPr>
              <w:jc w:val="center"/>
            </w:pPr>
            <w:r>
              <w:rPr>
                <w:rFonts w:eastAsia="Times New Roman"/>
                <w:b/>
                <w:sz w:val="15"/>
              </w:rPr>
              <w:t>PPLN</w:t>
            </w:r>
          </w:p>
        </w:tc>
        <w:tc>
          <w:tcPr>
            <w:tcW w:w="1224" w:type="dxa"/>
            <w:shd w:val="clear" w:color="auto" w:fill="D9E2F3"/>
            <w:tcMar>
              <w:top w:w="55" w:type="dxa"/>
              <w:left w:w="90" w:type="dxa"/>
              <w:bottom w:w="55" w:type="dxa"/>
              <w:right w:w="90" w:type="dxa"/>
            </w:tcMar>
            <w:vAlign w:val="center"/>
          </w:tcPr>
          <w:p w14:paraId="389287AB" w14:textId="77777777" w:rsidR="00DF27C6" w:rsidRDefault="00000000">
            <w:pPr>
              <w:jc w:val="center"/>
            </w:pPr>
            <w:r>
              <w:rPr>
                <w:rFonts w:eastAsia="Times New Roman"/>
                <w:b/>
                <w:sz w:val="15"/>
              </w:rPr>
              <w:t>INFL</w:t>
            </w:r>
          </w:p>
        </w:tc>
        <w:tc>
          <w:tcPr>
            <w:tcW w:w="1296" w:type="dxa"/>
            <w:shd w:val="clear" w:color="auto" w:fill="D9E2F3"/>
            <w:tcMar>
              <w:top w:w="55" w:type="dxa"/>
              <w:left w:w="90" w:type="dxa"/>
              <w:bottom w:w="55" w:type="dxa"/>
              <w:right w:w="90" w:type="dxa"/>
            </w:tcMar>
            <w:vAlign w:val="center"/>
          </w:tcPr>
          <w:p w14:paraId="686B8E53" w14:textId="77777777" w:rsidR="00DF27C6" w:rsidRDefault="00000000">
            <w:pPr>
              <w:jc w:val="center"/>
            </w:pPr>
            <w:r>
              <w:rPr>
                <w:rFonts w:eastAsia="Times New Roman"/>
                <w:b/>
                <w:sz w:val="15"/>
              </w:rPr>
              <w:t>EXCH</w:t>
            </w:r>
          </w:p>
        </w:tc>
        <w:tc>
          <w:tcPr>
            <w:tcW w:w="1296" w:type="dxa"/>
            <w:shd w:val="clear" w:color="auto" w:fill="D9E2F3"/>
            <w:tcMar>
              <w:top w:w="55" w:type="dxa"/>
              <w:left w:w="90" w:type="dxa"/>
              <w:bottom w:w="55" w:type="dxa"/>
              <w:right w:w="90" w:type="dxa"/>
            </w:tcMar>
            <w:vAlign w:val="center"/>
          </w:tcPr>
          <w:p w14:paraId="013FF2E1" w14:textId="77777777" w:rsidR="00DF27C6" w:rsidRDefault="00000000">
            <w:pPr>
              <w:jc w:val="center"/>
            </w:pPr>
            <w:r>
              <w:rPr>
                <w:rFonts w:eastAsia="Times New Roman"/>
                <w:b/>
                <w:sz w:val="15"/>
              </w:rPr>
              <w:t>ODA</w:t>
            </w:r>
          </w:p>
        </w:tc>
      </w:tr>
      <w:tr w:rsidR="00DF27C6" w14:paraId="3392DC51" w14:textId="77777777">
        <w:trPr>
          <w:jc w:val="center"/>
        </w:trPr>
        <w:tc>
          <w:tcPr>
            <w:tcW w:w="1512" w:type="dxa"/>
            <w:tcMar>
              <w:top w:w="55" w:type="dxa"/>
              <w:left w:w="90" w:type="dxa"/>
              <w:bottom w:w="55" w:type="dxa"/>
              <w:right w:w="90" w:type="dxa"/>
            </w:tcMar>
            <w:vAlign w:val="center"/>
          </w:tcPr>
          <w:p w14:paraId="1B2C2DC1" w14:textId="77777777" w:rsidR="00DF27C6" w:rsidRDefault="00000000">
            <w:r>
              <w:rPr>
                <w:rFonts w:eastAsia="Times New Roman"/>
                <w:sz w:val="15"/>
              </w:rPr>
              <w:t>Mean</w:t>
            </w:r>
          </w:p>
        </w:tc>
        <w:tc>
          <w:tcPr>
            <w:tcW w:w="1296" w:type="dxa"/>
            <w:tcMar>
              <w:top w:w="55" w:type="dxa"/>
              <w:left w:w="90" w:type="dxa"/>
              <w:bottom w:w="55" w:type="dxa"/>
              <w:right w:w="90" w:type="dxa"/>
            </w:tcMar>
            <w:vAlign w:val="center"/>
          </w:tcPr>
          <w:p w14:paraId="08E40A2A" w14:textId="77777777" w:rsidR="00DF27C6" w:rsidRDefault="00000000">
            <w:pPr>
              <w:jc w:val="center"/>
            </w:pPr>
            <w:r>
              <w:rPr>
                <w:rFonts w:eastAsia="Times New Roman"/>
                <w:sz w:val="15"/>
              </w:rPr>
              <w:t>807.2264</w:t>
            </w:r>
          </w:p>
        </w:tc>
        <w:tc>
          <w:tcPr>
            <w:tcW w:w="1512" w:type="dxa"/>
            <w:tcMar>
              <w:top w:w="55" w:type="dxa"/>
              <w:left w:w="90" w:type="dxa"/>
              <w:bottom w:w="55" w:type="dxa"/>
              <w:right w:w="90" w:type="dxa"/>
            </w:tcMar>
            <w:vAlign w:val="center"/>
          </w:tcPr>
          <w:p w14:paraId="2F669C34" w14:textId="77777777" w:rsidR="00DF27C6" w:rsidRDefault="00000000">
            <w:pPr>
              <w:jc w:val="center"/>
            </w:pPr>
            <w:r>
              <w:rPr>
                <w:rFonts w:eastAsia="Times New Roman"/>
                <w:sz w:val="15"/>
              </w:rPr>
              <w:t>6.09E+08</w:t>
            </w:r>
          </w:p>
        </w:tc>
        <w:tc>
          <w:tcPr>
            <w:tcW w:w="1296" w:type="dxa"/>
            <w:tcMar>
              <w:top w:w="55" w:type="dxa"/>
              <w:left w:w="90" w:type="dxa"/>
              <w:bottom w:w="55" w:type="dxa"/>
              <w:right w:w="90" w:type="dxa"/>
            </w:tcMar>
            <w:vAlign w:val="center"/>
          </w:tcPr>
          <w:p w14:paraId="0E8335CC" w14:textId="77777777" w:rsidR="00DF27C6" w:rsidRDefault="00000000">
            <w:pPr>
              <w:jc w:val="center"/>
            </w:pPr>
            <w:r>
              <w:rPr>
                <w:rFonts w:eastAsia="Times New Roman"/>
                <w:sz w:val="15"/>
              </w:rPr>
              <w:t>14.01619</w:t>
            </w:r>
          </w:p>
        </w:tc>
        <w:tc>
          <w:tcPr>
            <w:tcW w:w="1224" w:type="dxa"/>
            <w:tcMar>
              <w:top w:w="55" w:type="dxa"/>
              <w:left w:w="90" w:type="dxa"/>
              <w:bottom w:w="55" w:type="dxa"/>
              <w:right w:w="90" w:type="dxa"/>
            </w:tcMar>
            <w:vAlign w:val="center"/>
          </w:tcPr>
          <w:p w14:paraId="5AB38619" w14:textId="77777777" w:rsidR="00DF27C6" w:rsidRDefault="00000000">
            <w:pPr>
              <w:jc w:val="center"/>
            </w:pPr>
            <w:r>
              <w:rPr>
                <w:rFonts w:eastAsia="Times New Roman"/>
                <w:sz w:val="15"/>
              </w:rPr>
              <w:t>2.817636</w:t>
            </w:r>
          </w:p>
        </w:tc>
        <w:tc>
          <w:tcPr>
            <w:tcW w:w="1224" w:type="dxa"/>
            <w:tcMar>
              <w:top w:w="55" w:type="dxa"/>
              <w:left w:w="90" w:type="dxa"/>
              <w:bottom w:w="55" w:type="dxa"/>
              <w:right w:w="90" w:type="dxa"/>
            </w:tcMar>
            <w:vAlign w:val="center"/>
          </w:tcPr>
          <w:p w14:paraId="342C4B01" w14:textId="77777777" w:rsidR="00DF27C6" w:rsidRDefault="00000000">
            <w:pPr>
              <w:jc w:val="center"/>
            </w:pPr>
            <w:r>
              <w:rPr>
                <w:rFonts w:eastAsia="Times New Roman"/>
                <w:sz w:val="15"/>
              </w:rPr>
              <w:t>7.932707</w:t>
            </w:r>
          </w:p>
        </w:tc>
        <w:tc>
          <w:tcPr>
            <w:tcW w:w="1296" w:type="dxa"/>
            <w:tcMar>
              <w:top w:w="55" w:type="dxa"/>
              <w:left w:w="90" w:type="dxa"/>
              <w:bottom w:w="55" w:type="dxa"/>
              <w:right w:w="90" w:type="dxa"/>
            </w:tcMar>
            <w:vAlign w:val="center"/>
          </w:tcPr>
          <w:p w14:paraId="22464653" w14:textId="77777777" w:rsidR="00DF27C6" w:rsidRDefault="00000000">
            <w:pPr>
              <w:jc w:val="center"/>
            </w:pPr>
            <w:r>
              <w:rPr>
                <w:rFonts w:eastAsia="Times New Roman"/>
                <w:sz w:val="15"/>
              </w:rPr>
              <w:t>1414.715</w:t>
            </w:r>
          </w:p>
        </w:tc>
        <w:tc>
          <w:tcPr>
            <w:tcW w:w="1296" w:type="dxa"/>
            <w:tcMar>
              <w:top w:w="55" w:type="dxa"/>
              <w:left w:w="90" w:type="dxa"/>
              <w:bottom w:w="55" w:type="dxa"/>
              <w:right w:w="90" w:type="dxa"/>
            </w:tcMar>
            <w:vAlign w:val="center"/>
          </w:tcPr>
          <w:p w14:paraId="7D049346" w14:textId="77777777" w:rsidR="00DF27C6" w:rsidRDefault="00000000">
            <w:pPr>
              <w:jc w:val="center"/>
            </w:pPr>
            <w:r>
              <w:rPr>
                <w:rFonts w:eastAsia="Times New Roman"/>
                <w:sz w:val="15"/>
              </w:rPr>
              <w:t>10.06866</w:t>
            </w:r>
          </w:p>
        </w:tc>
      </w:tr>
      <w:tr w:rsidR="00DF27C6" w14:paraId="66C07F01" w14:textId="77777777">
        <w:trPr>
          <w:jc w:val="center"/>
        </w:trPr>
        <w:tc>
          <w:tcPr>
            <w:tcW w:w="1512" w:type="dxa"/>
            <w:tcMar>
              <w:top w:w="55" w:type="dxa"/>
              <w:left w:w="90" w:type="dxa"/>
              <w:bottom w:w="55" w:type="dxa"/>
              <w:right w:w="90" w:type="dxa"/>
            </w:tcMar>
            <w:vAlign w:val="center"/>
          </w:tcPr>
          <w:p w14:paraId="241ADAE1" w14:textId="77777777" w:rsidR="00DF27C6" w:rsidRDefault="00000000">
            <w:r>
              <w:rPr>
                <w:rFonts w:eastAsia="Times New Roman"/>
                <w:sz w:val="15"/>
              </w:rPr>
              <w:t>Maximum</w:t>
            </w:r>
          </w:p>
        </w:tc>
        <w:tc>
          <w:tcPr>
            <w:tcW w:w="1296" w:type="dxa"/>
            <w:tcMar>
              <w:top w:w="55" w:type="dxa"/>
              <w:left w:w="90" w:type="dxa"/>
              <w:bottom w:w="55" w:type="dxa"/>
              <w:right w:w="90" w:type="dxa"/>
            </w:tcMar>
            <w:vAlign w:val="center"/>
          </w:tcPr>
          <w:p w14:paraId="354BC035" w14:textId="77777777" w:rsidR="00DF27C6" w:rsidRDefault="00000000">
            <w:pPr>
              <w:jc w:val="center"/>
            </w:pPr>
            <w:r>
              <w:rPr>
                <w:rFonts w:eastAsia="Times New Roman"/>
                <w:sz w:val="15"/>
              </w:rPr>
              <w:t>2206.135</w:t>
            </w:r>
          </w:p>
        </w:tc>
        <w:tc>
          <w:tcPr>
            <w:tcW w:w="1512" w:type="dxa"/>
            <w:tcMar>
              <w:top w:w="55" w:type="dxa"/>
              <w:left w:w="90" w:type="dxa"/>
              <w:bottom w:w="55" w:type="dxa"/>
              <w:right w:w="90" w:type="dxa"/>
            </w:tcMar>
            <w:vAlign w:val="center"/>
          </w:tcPr>
          <w:p w14:paraId="36197C42" w14:textId="77777777" w:rsidR="00DF27C6" w:rsidRDefault="00000000">
            <w:pPr>
              <w:jc w:val="center"/>
            </w:pPr>
            <w:r>
              <w:rPr>
                <w:rFonts w:eastAsia="Times New Roman"/>
                <w:sz w:val="15"/>
              </w:rPr>
              <w:t>2.99E+09</w:t>
            </w:r>
          </w:p>
        </w:tc>
        <w:tc>
          <w:tcPr>
            <w:tcW w:w="1296" w:type="dxa"/>
            <w:tcMar>
              <w:top w:w="55" w:type="dxa"/>
              <w:left w:w="90" w:type="dxa"/>
              <w:bottom w:w="55" w:type="dxa"/>
              <w:right w:w="90" w:type="dxa"/>
            </w:tcMar>
            <w:vAlign w:val="center"/>
          </w:tcPr>
          <w:p w14:paraId="0AC0C300" w14:textId="77777777" w:rsidR="00DF27C6" w:rsidRDefault="00000000">
            <w:pPr>
              <w:jc w:val="center"/>
            </w:pPr>
            <w:r>
              <w:rPr>
                <w:rFonts w:eastAsia="Times New Roman"/>
                <w:sz w:val="15"/>
              </w:rPr>
              <w:t>31.34430</w:t>
            </w:r>
          </w:p>
        </w:tc>
        <w:tc>
          <w:tcPr>
            <w:tcW w:w="1224" w:type="dxa"/>
            <w:tcMar>
              <w:top w:w="55" w:type="dxa"/>
              <w:left w:w="90" w:type="dxa"/>
              <w:bottom w:w="55" w:type="dxa"/>
              <w:right w:w="90" w:type="dxa"/>
            </w:tcMar>
            <w:vAlign w:val="center"/>
          </w:tcPr>
          <w:p w14:paraId="2005945E" w14:textId="77777777" w:rsidR="00DF27C6" w:rsidRDefault="00000000">
            <w:pPr>
              <w:jc w:val="center"/>
            </w:pPr>
            <w:r>
              <w:rPr>
                <w:rFonts w:eastAsia="Times New Roman"/>
                <w:sz w:val="15"/>
              </w:rPr>
              <w:t>5.066136</w:t>
            </w:r>
          </w:p>
        </w:tc>
        <w:tc>
          <w:tcPr>
            <w:tcW w:w="1224" w:type="dxa"/>
            <w:tcMar>
              <w:top w:w="55" w:type="dxa"/>
              <w:left w:w="90" w:type="dxa"/>
              <w:bottom w:w="55" w:type="dxa"/>
              <w:right w:w="90" w:type="dxa"/>
            </w:tcMar>
            <w:vAlign w:val="center"/>
          </w:tcPr>
          <w:p w14:paraId="1119AAED" w14:textId="77777777" w:rsidR="00DF27C6" w:rsidRDefault="00000000">
            <w:pPr>
              <w:jc w:val="center"/>
            </w:pPr>
            <w:r>
              <w:rPr>
                <w:rFonts w:eastAsia="Times New Roman"/>
                <w:sz w:val="15"/>
              </w:rPr>
              <w:t>26.94148</w:t>
            </w:r>
          </w:p>
        </w:tc>
        <w:tc>
          <w:tcPr>
            <w:tcW w:w="1296" w:type="dxa"/>
            <w:tcMar>
              <w:top w:w="55" w:type="dxa"/>
              <w:left w:w="90" w:type="dxa"/>
              <w:bottom w:w="55" w:type="dxa"/>
              <w:right w:w="90" w:type="dxa"/>
            </w:tcMar>
            <w:vAlign w:val="center"/>
          </w:tcPr>
          <w:p w14:paraId="20BEF23C" w14:textId="77777777" w:rsidR="00DF27C6" w:rsidRDefault="00000000">
            <w:pPr>
              <w:jc w:val="center"/>
            </w:pPr>
            <w:r>
              <w:rPr>
                <w:rFonts w:eastAsia="Times New Roman"/>
                <w:sz w:val="15"/>
              </w:rPr>
              <w:t>3757.263</w:t>
            </w:r>
          </w:p>
        </w:tc>
        <w:tc>
          <w:tcPr>
            <w:tcW w:w="1296" w:type="dxa"/>
            <w:tcMar>
              <w:top w:w="55" w:type="dxa"/>
              <w:left w:w="90" w:type="dxa"/>
              <w:bottom w:w="55" w:type="dxa"/>
              <w:right w:w="90" w:type="dxa"/>
            </w:tcMar>
            <w:vAlign w:val="center"/>
          </w:tcPr>
          <w:p w14:paraId="585F9ABF" w14:textId="77777777" w:rsidR="00DF27C6" w:rsidRDefault="00000000">
            <w:pPr>
              <w:jc w:val="center"/>
            </w:pPr>
            <w:r>
              <w:rPr>
                <w:rFonts w:eastAsia="Times New Roman"/>
                <w:sz w:val="15"/>
              </w:rPr>
              <w:t>34.16393</w:t>
            </w:r>
          </w:p>
        </w:tc>
      </w:tr>
      <w:tr w:rsidR="00DF27C6" w14:paraId="206E7CC4" w14:textId="77777777">
        <w:trPr>
          <w:jc w:val="center"/>
        </w:trPr>
        <w:tc>
          <w:tcPr>
            <w:tcW w:w="1512" w:type="dxa"/>
            <w:tcMar>
              <w:top w:w="55" w:type="dxa"/>
              <w:left w:w="90" w:type="dxa"/>
              <w:bottom w:w="55" w:type="dxa"/>
              <w:right w:w="90" w:type="dxa"/>
            </w:tcMar>
            <w:vAlign w:val="center"/>
          </w:tcPr>
          <w:p w14:paraId="01D53F9B" w14:textId="77777777" w:rsidR="00DF27C6" w:rsidRDefault="00000000">
            <w:r>
              <w:rPr>
                <w:rFonts w:eastAsia="Times New Roman"/>
                <w:sz w:val="15"/>
              </w:rPr>
              <w:t>Minimum</w:t>
            </w:r>
          </w:p>
        </w:tc>
        <w:tc>
          <w:tcPr>
            <w:tcW w:w="1296" w:type="dxa"/>
            <w:tcMar>
              <w:top w:w="55" w:type="dxa"/>
              <w:left w:w="90" w:type="dxa"/>
              <w:bottom w:w="55" w:type="dxa"/>
              <w:right w:w="90" w:type="dxa"/>
            </w:tcMar>
            <w:vAlign w:val="center"/>
          </w:tcPr>
          <w:p w14:paraId="6CF5C28C" w14:textId="77777777" w:rsidR="00DF27C6" w:rsidRDefault="00000000">
            <w:pPr>
              <w:jc w:val="center"/>
            </w:pPr>
            <w:r>
              <w:rPr>
                <w:rFonts w:eastAsia="Times New Roman"/>
                <w:sz w:val="15"/>
              </w:rPr>
              <w:t>147.2346</w:t>
            </w:r>
          </w:p>
        </w:tc>
        <w:tc>
          <w:tcPr>
            <w:tcW w:w="1512" w:type="dxa"/>
            <w:tcMar>
              <w:top w:w="55" w:type="dxa"/>
              <w:left w:w="90" w:type="dxa"/>
              <w:bottom w:w="55" w:type="dxa"/>
              <w:right w:w="90" w:type="dxa"/>
            </w:tcMar>
            <w:vAlign w:val="center"/>
          </w:tcPr>
          <w:p w14:paraId="2B355944" w14:textId="77777777" w:rsidR="00DF27C6" w:rsidRDefault="00000000">
            <w:pPr>
              <w:jc w:val="center"/>
            </w:pPr>
            <w:r>
              <w:rPr>
                <w:rFonts w:eastAsia="Times New Roman"/>
                <w:sz w:val="15"/>
              </w:rPr>
              <w:t>-5403752</w:t>
            </w:r>
          </w:p>
        </w:tc>
        <w:tc>
          <w:tcPr>
            <w:tcW w:w="1296" w:type="dxa"/>
            <w:tcMar>
              <w:top w:w="55" w:type="dxa"/>
              <w:left w:w="90" w:type="dxa"/>
              <w:bottom w:w="55" w:type="dxa"/>
              <w:right w:w="90" w:type="dxa"/>
            </w:tcMar>
            <w:vAlign w:val="center"/>
          </w:tcPr>
          <w:p w14:paraId="38AE5F8B" w14:textId="77777777" w:rsidR="00DF27C6" w:rsidRDefault="00000000">
            <w:pPr>
              <w:jc w:val="center"/>
            </w:pPr>
            <w:r>
              <w:rPr>
                <w:rFonts w:eastAsia="Times New Roman"/>
                <w:sz w:val="15"/>
              </w:rPr>
              <w:t>0.000000</w:t>
            </w:r>
          </w:p>
        </w:tc>
        <w:tc>
          <w:tcPr>
            <w:tcW w:w="1224" w:type="dxa"/>
            <w:tcMar>
              <w:top w:w="55" w:type="dxa"/>
              <w:left w:w="90" w:type="dxa"/>
              <w:bottom w:w="55" w:type="dxa"/>
              <w:right w:w="90" w:type="dxa"/>
            </w:tcMar>
            <w:vAlign w:val="center"/>
          </w:tcPr>
          <w:p w14:paraId="1494292C" w14:textId="77777777" w:rsidR="00DF27C6" w:rsidRDefault="00000000">
            <w:pPr>
              <w:jc w:val="center"/>
            </w:pPr>
            <w:r>
              <w:rPr>
                <w:rFonts w:eastAsia="Times New Roman"/>
                <w:sz w:val="15"/>
              </w:rPr>
              <w:t>1.721860</w:t>
            </w:r>
          </w:p>
        </w:tc>
        <w:tc>
          <w:tcPr>
            <w:tcW w:w="1224" w:type="dxa"/>
            <w:tcMar>
              <w:top w:w="55" w:type="dxa"/>
              <w:left w:w="90" w:type="dxa"/>
              <w:bottom w:w="55" w:type="dxa"/>
              <w:right w:w="90" w:type="dxa"/>
            </w:tcMar>
            <w:vAlign w:val="center"/>
          </w:tcPr>
          <w:p w14:paraId="12FC3003" w14:textId="77777777" w:rsidR="00DF27C6" w:rsidRDefault="00000000">
            <w:pPr>
              <w:jc w:val="center"/>
            </w:pPr>
            <w:r>
              <w:rPr>
                <w:rFonts w:eastAsia="Times New Roman"/>
                <w:sz w:val="15"/>
              </w:rPr>
              <w:t>-2.814698</w:t>
            </w:r>
          </w:p>
        </w:tc>
        <w:tc>
          <w:tcPr>
            <w:tcW w:w="1296" w:type="dxa"/>
            <w:tcMar>
              <w:top w:w="55" w:type="dxa"/>
              <w:left w:w="90" w:type="dxa"/>
              <w:bottom w:w="55" w:type="dxa"/>
              <w:right w:w="90" w:type="dxa"/>
            </w:tcMar>
            <w:vAlign w:val="center"/>
          </w:tcPr>
          <w:p w14:paraId="6FCAB150" w14:textId="77777777" w:rsidR="00DF27C6" w:rsidRDefault="00000000">
            <w:pPr>
              <w:jc w:val="center"/>
            </w:pPr>
            <w:r>
              <w:rPr>
                <w:rFonts w:eastAsia="Times New Roman"/>
                <w:sz w:val="15"/>
              </w:rPr>
              <w:t>0.000000</w:t>
            </w:r>
          </w:p>
        </w:tc>
        <w:tc>
          <w:tcPr>
            <w:tcW w:w="1296" w:type="dxa"/>
            <w:tcMar>
              <w:top w:w="55" w:type="dxa"/>
              <w:left w:w="90" w:type="dxa"/>
              <w:bottom w:w="55" w:type="dxa"/>
              <w:right w:w="90" w:type="dxa"/>
            </w:tcMar>
            <w:vAlign w:val="center"/>
          </w:tcPr>
          <w:p w14:paraId="4E013C2E" w14:textId="77777777" w:rsidR="00DF27C6" w:rsidRDefault="00000000">
            <w:pPr>
              <w:jc w:val="center"/>
            </w:pPr>
            <w:r>
              <w:rPr>
                <w:rFonts w:eastAsia="Times New Roman"/>
                <w:sz w:val="15"/>
              </w:rPr>
              <w:t>0.000000</w:t>
            </w:r>
          </w:p>
        </w:tc>
      </w:tr>
      <w:tr w:rsidR="00DF27C6" w14:paraId="24E8F833" w14:textId="77777777">
        <w:trPr>
          <w:jc w:val="center"/>
        </w:trPr>
        <w:tc>
          <w:tcPr>
            <w:tcW w:w="1512" w:type="dxa"/>
            <w:tcMar>
              <w:top w:w="55" w:type="dxa"/>
              <w:left w:w="90" w:type="dxa"/>
              <w:bottom w:w="55" w:type="dxa"/>
              <w:right w:w="90" w:type="dxa"/>
            </w:tcMar>
            <w:vAlign w:val="center"/>
          </w:tcPr>
          <w:p w14:paraId="49B52CB1" w14:textId="77777777" w:rsidR="00DF27C6" w:rsidRDefault="00000000">
            <w:r>
              <w:rPr>
                <w:rFonts w:eastAsia="Times New Roman"/>
                <w:sz w:val="15"/>
              </w:rPr>
              <w:t>Std. dev.</w:t>
            </w:r>
          </w:p>
        </w:tc>
        <w:tc>
          <w:tcPr>
            <w:tcW w:w="1296" w:type="dxa"/>
            <w:tcMar>
              <w:top w:w="55" w:type="dxa"/>
              <w:left w:w="90" w:type="dxa"/>
              <w:bottom w:w="55" w:type="dxa"/>
              <w:right w:w="90" w:type="dxa"/>
            </w:tcMar>
            <w:vAlign w:val="center"/>
          </w:tcPr>
          <w:p w14:paraId="468052B3" w14:textId="77777777" w:rsidR="00DF27C6" w:rsidRDefault="00000000">
            <w:pPr>
              <w:jc w:val="center"/>
            </w:pPr>
            <w:r>
              <w:rPr>
                <w:rFonts w:eastAsia="Times New Roman"/>
                <w:sz w:val="15"/>
              </w:rPr>
              <w:t>487.0307</w:t>
            </w:r>
          </w:p>
        </w:tc>
        <w:tc>
          <w:tcPr>
            <w:tcW w:w="1512" w:type="dxa"/>
            <w:tcMar>
              <w:top w:w="55" w:type="dxa"/>
              <w:left w:w="90" w:type="dxa"/>
              <w:bottom w:w="55" w:type="dxa"/>
              <w:right w:w="90" w:type="dxa"/>
            </w:tcMar>
            <w:vAlign w:val="center"/>
          </w:tcPr>
          <w:p w14:paraId="43F1730C" w14:textId="77777777" w:rsidR="00DF27C6" w:rsidRDefault="00000000">
            <w:pPr>
              <w:jc w:val="center"/>
            </w:pPr>
            <w:r>
              <w:rPr>
                <w:rFonts w:eastAsia="Times New Roman"/>
                <w:sz w:val="15"/>
              </w:rPr>
              <w:t>6.40E+08</w:t>
            </w:r>
          </w:p>
        </w:tc>
        <w:tc>
          <w:tcPr>
            <w:tcW w:w="1296" w:type="dxa"/>
            <w:tcMar>
              <w:top w:w="55" w:type="dxa"/>
              <w:left w:w="90" w:type="dxa"/>
              <w:bottom w:w="55" w:type="dxa"/>
              <w:right w:w="90" w:type="dxa"/>
            </w:tcMar>
            <w:vAlign w:val="center"/>
          </w:tcPr>
          <w:p w14:paraId="20D75AEB" w14:textId="77777777" w:rsidR="00DF27C6" w:rsidRDefault="00000000">
            <w:pPr>
              <w:jc w:val="center"/>
            </w:pPr>
            <w:r>
              <w:rPr>
                <w:rFonts w:eastAsia="Times New Roman"/>
                <w:sz w:val="15"/>
              </w:rPr>
              <w:t>5.983736</w:t>
            </w:r>
          </w:p>
        </w:tc>
        <w:tc>
          <w:tcPr>
            <w:tcW w:w="1224" w:type="dxa"/>
            <w:tcMar>
              <w:top w:w="55" w:type="dxa"/>
              <w:left w:w="90" w:type="dxa"/>
              <w:bottom w:w="55" w:type="dxa"/>
              <w:right w:w="90" w:type="dxa"/>
            </w:tcMar>
            <w:vAlign w:val="center"/>
          </w:tcPr>
          <w:p w14:paraId="00C7AEC2" w14:textId="77777777" w:rsidR="00DF27C6" w:rsidRDefault="00000000">
            <w:pPr>
              <w:jc w:val="center"/>
            </w:pPr>
            <w:r>
              <w:rPr>
                <w:rFonts w:eastAsia="Times New Roman"/>
                <w:sz w:val="15"/>
              </w:rPr>
              <w:t>0.558930</w:t>
            </w:r>
          </w:p>
        </w:tc>
        <w:tc>
          <w:tcPr>
            <w:tcW w:w="1224" w:type="dxa"/>
            <w:tcMar>
              <w:top w:w="55" w:type="dxa"/>
              <w:left w:w="90" w:type="dxa"/>
              <w:bottom w:w="55" w:type="dxa"/>
              <w:right w:w="90" w:type="dxa"/>
            </w:tcMar>
            <w:vAlign w:val="center"/>
          </w:tcPr>
          <w:p w14:paraId="07880399" w14:textId="77777777" w:rsidR="00DF27C6" w:rsidRDefault="00000000">
            <w:pPr>
              <w:jc w:val="center"/>
            </w:pPr>
            <w:r>
              <w:rPr>
                <w:rFonts w:eastAsia="Times New Roman"/>
                <w:sz w:val="15"/>
              </w:rPr>
              <w:t>5.644865</w:t>
            </w:r>
          </w:p>
        </w:tc>
        <w:tc>
          <w:tcPr>
            <w:tcW w:w="1296" w:type="dxa"/>
            <w:tcMar>
              <w:top w:w="55" w:type="dxa"/>
              <w:left w:w="90" w:type="dxa"/>
              <w:bottom w:w="55" w:type="dxa"/>
              <w:right w:w="90" w:type="dxa"/>
            </w:tcMar>
            <w:vAlign w:val="center"/>
          </w:tcPr>
          <w:p w14:paraId="07FEC420" w14:textId="77777777" w:rsidR="00DF27C6" w:rsidRDefault="00000000">
            <w:pPr>
              <w:jc w:val="center"/>
            </w:pPr>
            <w:r>
              <w:rPr>
                <w:rFonts w:eastAsia="Times New Roman"/>
                <w:sz w:val="15"/>
              </w:rPr>
              <w:t>1068.091</w:t>
            </w:r>
          </w:p>
        </w:tc>
        <w:tc>
          <w:tcPr>
            <w:tcW w:w="1296" w:type="dxa"/>
            <w:tcMar>
              <w:top w:w="55" w:type="dxa"/>
              <w:left w:w="90" w:type="dxa"/>
              <w:bottom w:w="55" w:type="dxa"/>
              <w:right w:w="90" w:type="dxa"/>
            </w:tcMar>
            <w:vAlign w:val="center"/>
          </w:tcPr>
          <w:p w14:paraId="53B6BFCD" w14:textId="77777777" w:rsidR="00DF27C6" w:rsidRDefault="00000000">
            <w:pPr>
              <w:jc w:val="center"/>
            </w:pPr>
            <w:r>
              <w:rPr>
                <w:rFonts w:eastAsia="Times New Roman"/>
                <w:sz w:val="15"/>
              </w:rPr>
              <w:t>8.335921</w:t>
            </w:r>
          </w:p>
        </w:tc>
      </w:tr>
      <w:tr w:rsidR="00DF27C6" w14:paraId="74556A24" w14:textId="77777777">
        <w:trPr>
          <w:jc w:val="center"/>
        </w:trPr>
        <w:tc>
          <w:tcPr>
            <w:tcW w:w="1512" w:type="dxa"/>
            <w:tcMar>
              <w:top w:w="55" w:type="dxa"/>
              <w:left w:w="90" w:type="dxa"/>
              <w:bottom w:w="55" w:type="dxa"/>
              <w:right w:w="90" w:type="dxa"/>
            </w:tcMar>
            <w:vAlign w:val="center"/>
          </w:tcPr>
          <w:p w14:paraId="18867AB8" w14:textId="77777777" w:rsidR="00DF27C6" w:rsidRDefault="00000000">
            <w:r>
              <w:rPr>
                <w:rFonts w:eastAsia="Times New Roman"/>
                <w:sz w:val="15"/>
              </w:rPr>
              <w:t>Skewness</w:t>
            </w:r>
          </w:p>
        </w:tc>
        <w:tc>
          <w:tcPr>
            <w:tcW w:w="1296" w:type="dxa"/>
            <w:tcMar>
              <w:top w:w="55" w:type="dxa"/>
              <w:left w:w="90" w:type="dxa"/>
              <w:bottom w:w="55" w:type="dxa"/>
              <w:right w:w="90" w:type="dxa"/>
            </w:tcMar>
            <w:vAlign w:val="center"/>
          </w:tcPr>
          <w:p w14:paraId="7A1EB58A" w14:textId="77777777" w:rsidR="00DF27C6" w:rsidRDefault="00000000">
            <w:pPr>
              <w:jc w:val="center"/>
            </w:pPr>
            <w:r>
              <w:rPr>
                <w:rFonts w:eastAsia="Times New Roman"/>
                <w:sz w:val="15"/>
              </w:rPr>
              <w:t>0.865304</w:t>
            </w:r>
          </w:p>
        </w:tc>
        <w:tc>
          <w:tcPr>
            <w:tcW w:w="1512" w:type="dxa"/>
            <w:tcMar>
              <w:top w:w="55" w:type="dxa"/>
              <w:left w:w="90" w:type="dxa"/>
              <w:bottom w:w="55" w:type="dxa"/>
              <w:right w:w="90" w:type="dxa"/>
            </w:tcMar>
            <w:vAlign w:val="center"/>
          </w:tcPr>
          <w:p w14:paraId="07276107" w14:textId="77777777" w:rsidR="00DF27C6" w:rsidRDefault="00000000">
            <w:pPr>
              <w:jc w:val="center"/>
            </w:pPr>
            <w:r>
              <w:rPr>
                <w:rFonts w:eastAsia="Times New Roman"/>
                <w:sz w:val="15"/>
              </w:rPr>
              <w:t>1.304622</w:t>
            </w:r>
          </w:p>
        </w:tc>
        <w:tc>
          <w:tcPr>
            <w:tcW w:w="1296" w:type="dxa"/>
            <w:tcMar>
              <w:top w:w="55" w:type="dxa"/>
              <w:left w:w="90" w:type="dxa"/>
              <w:bottom w:w="55" w:type="dxa"/>
              <w:right w:w="90" w:type="dxa"/>
            </w:tcMar>
            <w:vAlign w:val="center"/>
          </w:tcPr>
          <w:p w14:paraId="0CC2009E" w14:textId="77777777" w:rsidR="00DF27C6" w:rsidRDefault="00000000">
            <w:pPr>
              <w:jc w:val="center"/>
            </w:pPr>
            <w:r>
              <w:rPr>
                <w:rFonts w:eastAsia="Times New Roman"/>
                <w:sz w:val="15"/>
              </w:rPr>
              <w:t>1.144739</w:t>
            </w:r>
          </w:p>
        </w:tc>
        <w:tc>
          <w:tcPr>
            <w:tcW w:w="1224" w:type="dxa"/>
            <w:tcMar>
              <w:top w:w="55" w:type="dxa"/>
              <w:left w:w="90" w:type="dxa"/>
              <w:bottom w:w="55" w:type="dxa"/>
              <w:right w:w="90" w:type="dxa"/>
            </w:tcMar>
            <w:vAlign w:val="center"/>
          </w:tcPr>
          <w:p w14:paraId="099E7449" w14:textId="77777777" w:rsidR="00DF27C6" w:rsidRDefault="00000000">
            <w:pPr>
              <w:jc w:val="center"/>
            </w:pPr>
            <w:r>
              <w:rPr>
                <w:rFonts w:eastAsia="Times New Roman"/>
                <w:sz w:val="15"/>
              </w:rPr>
              <w:t>0.939423</w:t>
            </w:r>
          </w:p>
        </w:tc>
        <w:tc>
          <w:tcPr>
            <w:tcW w:w="1224" w:type="dxa"/>
            <w:tcMar>
              <w:top w:w="55" w:type="dxa"/>
              <w:left w:w="90" w:type="dxa"/>
              <w:bottom w:w="55" w:type="dxa"/>
              <w:right w:w="90" w:type="dxa"/>
            </w:tcMar>
            <w:vAlign w:val="center"/>
          </w:tcPr>
          <w:p w14:paraId="1EDFC18E" w14:textId="77777777" w:rsidR="00DF27C6" w:rsidRDefault="00000000">
            <w:pPr>
              <w:jc w:val="center"/>
            </w:pPr>
            <w:r>
              <w:rPr>
                <w:rFonts w:eastAsia="Times New Roman"/>
                <w:sz w:val="15"/>
              </w:rPr>
              <w:t>1.206930</w:t>
            </w:r>
          </w:p>
        </w:tc>
        <w:tc>
          <w:tcPr>
            <w:tcW w:w="1296" w:type="dxa"/>
            <w:tcMar>
              <w:top w:w="55" w:type="dxa"/>
              <w:left w:w="90" w:type="dxa"/>
              <w:bottom w:w="55" w:type="dxa"/>
              <w:right w:w="90" w:type="dxa"/>
            </w:tcMar>
            <w:vAlign w:val="center"/>
          </w:tcPr>
          <w:p w14:paraId="09111E6F" w14:textId="77777777" w:rsidR="00DF27C6" w:rsidRDefault="00000000">
            <w:pPr>
              <w:jc w:val="center"/>
            </w:pPr>
            <w:r>
              <w:rPr>
                <w:rFonts w:eastAsia="Times New Roman"/>
                <w:sz w:val="15"/>
              </w:rPr>
              <w:t>0.572601</w:t>
            </w:r>
          </w:p>
        </w:tc>
        <w:tc>
          <w:tcPr>
            <w:tcW w:w="1296" w:type="dxa"/>
            <w:tcMar>
              <w:top w:w="55" w:type="dxa"/>
              <w:left w:w="90" w:type="dxa"/>
              <w:bottom w:w="55" w:type="dxa"/>
              <w:right w:w="90" w:type="dxa"/>
            </w:tcMar>
            <w:vAlign w:val="center"/>
          </w:tcPr>
          <w:p w14:paraId="70C9447D" w14:textId="77777777" w:rsidR="00DF27C6" w:rsidRDefault="00000000">
            <w:pPr>
              <w:jc w:val="center"/>
            </w:pPr>
            <w:r>
              <w:rPr>
                <w:rFonts w:eastAsia="Times New Roman"/>
                <w:sz w:val="15"/>
              </w:rPr>
              <w:t>1.066020</w:t>
            </w:r>
          </w:p>
        </w:tc>
      </w:tr>
      <w:tr w:rsidR="00DF27C6" w14:paraId="5CFCA00A" w14:textId="77777777">
        <w:trPr>
          <w:jc w:val="center"/>
        </w:trPr>
        <w:tc>
          <w:tcPr>
            <w:tcW w:w="1512" w:type="dxa"/>
            <w:tcMar>
              <w:top w:w="55" w:type="dxa"/>
              <w:left w:w="90" w:type="dxa"/>
              <w:bottom w:w="55" w:type="dxa"/>
              <w:right w:w="90" w:type="dxa"/>
            </w:tcMar>
            <w:vAlign w:val="center"/>
          </w:tcPr>
          <w:p w14:paraId="0BD5D54D" w14:textId="77777777" w:rsidR="00DF27C6" w:rsidRDefault="00000000">
            <w:r>
              <w:rPr>
                <w:rFonts w:eastAsia="Times New Roman"/>
                <w:sz w:val="15"/>
              </w:rPr>
              <w:t>Kurtosis</w:t>
            </w:r>
          </w:p>
        </w:tc>
        <w:tc>
          <w:tcPr>
            <w:tcW w:w="1296" w:type="dxa"/>
            <w:tcMar>
              <w:top w:w="55" w:type="dxa"/>
              <w:left w:w="90" w:type="dxa"/>
              <w:bottom w:w="55" w:type="dxa"/>
              <w:right w:w="90" w:type="dxa"/>
            </w:tcMar>
            <w:vAlign w:val="center"/>
          </w:tcPr>
          <w:p w14:paraId="2564A5F1" w14:textId="77777777" w:rsidR="00DF27C6" w:rsidRDefault="00000000">
            <w:pPr>
              <w:jc w:val="center"/>
            </w:pPr>
            <w:r>
              <w:rPr>
                <w:rFonts w:eastAsia="Times New Roman"/>
                <w:sz w:val="15"/>
              </w:rPr>
              <w:t>3.592085</w:t>
            </w:r>
          </w:p>
        </w:tc>
        <w:tc>
          <w:tcPr>
            <w:tcW w:w="1512" w:type="dxa"/>
            <w:tcMar>
              <w:top w:w="55" w:type="dxa"/>
              <w:left w:w="90" w:type="dxa"/>
              <w:bottom w:w="55" w:type="dxa"/>
              <w:right w:w="90" w:type="dxa"/>
            </w:tcMar>
            <w:vAlign w:val="center"/>
          </w:tcPr>
          <w:p w14:paraId="213EE685" w14:textId="77777777" w:rsidR="00DF27C6" w:rsidRDefault="00000000">
            <w:pPr>
              <w:jc w:val="center"/>
            </w:pPr>
            <w:r>
              <w:rPr>
                <w:rFonts w:eastAsia="Times New Roman"/>
                <w:sz w:val="15"/>
              </w:rPr>
              <w:t>4.977008</w:t>
            </w:r>
          </w:p>
        </w:tc>
        <w:tc>
          <w:tcPr>
            <w:tcW w:w="1296" w:type="dxa"/>
            <w:tcMar>
              <w:top w:w="55" w:type="dxa"/>
              <w:left w:w="90" w:type="dxa"/>
              <w:bottom w:w="55" w:type="dxa"/>
              <w:right w:w="90" w:type="dxa"/>
            </w:tcMar>
            <w:vAlign w:val="center"/>
          </w:tcPr>
          <w:p w14:paraId="051E393D" w14:textId="77777777" w:rsidR="00DF27C6" w:rsidRDefault="00000000">
            <w:pPr>
              <w:jc w:val="center"/>
            </w:pPr>
            <w:r>
              <w:rPr>
                <w:rFonts w:eastAsia="Times New Roman"/>
                <w:sz w:val="15"/>
              </w:rPr>
              <w:t>4.221391</w:t>
            </w:r>
          </w:p>
        </w:tc>
        <w:tc>
          <w:tcPr>
            <w:tcW w:w="1224" w:type="dxa"/>
            <w:tcMar>
              <w:top w:w="55" w:type="dxa"/>
              <w:left w:w="90" w:type="dxa"/>
              <w:bottom w:w="55" w:type="dxa"/>
              <w:right w:w="90" w:type="dxa"/>
            </w:tcMar>
            <w:vAlign w:val="center"/>
          </w:tcPr>
          <w:p w14:paraId="7386801F" w14:textId="77777777" w:rsidR="00DF27C6" w:rsidRDefault="00000000">
            <w:pPr>
              <w:jc w:val="center"/>
            </w:pPr>
            <w:r>
              <w:rPr>
                <w:rFonts w:eastAsia="Times New Roman"/>
                <w:sz w:val="15"/>
              </w:rPr>
              <w:t>5.363264</w:t>
            </w:r>
          </w:p>
        </w:tc>
        <w:tc>
          <w:tcPr>
            <w:tcW w:w="1224" w:type="dxa"/>
            <w:tcMar>
              <w:top w:w="55" w:type="dxa"/>
              <w:left w:w="90" w:type="dxa"/>
              <w:bottom w:w="55" w:type="dxa"/>
              <w:right w:w="90" w:type="dxa"/>
            </w:tcMar>
            <w:vAlign w:val="center"/>
          </w:tcPr>
          <w:p w14:paraId="09EE107D" w14:textId="77777777" w:rsidR="00DF27C6" w:rsidRDefault="00000000">
            <w:pPr>
              <w:jc w:val="center"/>
            </w:pPr>
            <w:r>
              <w:rPr>
                <w:rFonts w:eastAsia="Times New Roman"/>
                <w:sz w:val="15"/>
              </w:rPr>
              <w:t>4.656002</w:t>
            </w:r>
          </w:p>
        </w:tc>
        <w:tc>
          <w:tcPr>
            <w:tcW w:w="1296" w:type="dxa"/>
            <w:tcMar>
              <w:top w:w="55" w:type="dxa"/>
              <w:left w:w="90" w:type="dxa"/>
              <w:bottom w:w="55" w:type="dxa"/>
              <w:right w:w="90" w:type="dxa"/>
            </w:tcMar>
            <w:vAlign w:val="center"/>
          </w:tcPr>
          <w:p w14:paraId="0CFB3C31" w14:textId="77777777" w:rsidR="00DF27C6" w:rsidRDefault="00000000">
            <w:pPr>
              <w:jc w:val="center"/>
            </w:pPr>
            <w:r>
              <w:rPr>
                <w:rFonts w:eastAsia="Times New Roman"/>
                <w:sz w:val="15"/>
              </w:rPr>
              <w:t>2.578803</w:t>
            </w:r>
          </w:p>
        </w:tc>
        <w:tc>
          <w:tcPr>
            <w:tcW w:w="1296" w:type="dxa"/>
            <w:tcMar>
              <w:top w:w="55" w:type="dxa"/>
              <w:left w:w="90" w:type="dxa"/>
              <w:bottom w:w="55" w:type="dxa"/>
              <w:right w:w="90" w:type="dxa"/>
            </w:tcMar>
            <w:vAlign w:val="center"/>
          </w:tcPr>
          <w:p w14:paraId="1D40E0CB" w14:textId="77777777" w:rsidR="00DF27C6" w:rsidRDefault="00000000">
            <w:pPr>
              <w:jc w:val="center"/>
            </w:pPr>
            <w:r>
              <w:rPr>
                <w:rFonts w:eastAsia="Times New Roman"/>
                <w:sz w:val="15"/>
              </w:rPr>
              <w:t>3.478070</w:t>
            </w:r>
          </w:p>
        </w:tc>
      </w:tr>
      <w:tr w:rsidR="00DF27C6" w14:paraId="7F01A98C" w14:textId="77777777">
        <w:trPr>
          <w:jc w:val="center"/>
        </w:trPr>
        <w:tc>
          <w:tcPr>
            <w:tcW w:w="1512" w:type="dxa"/>
            <w:tcMar>
              <w:top w:w="55" w:type="dxa"/>
              <w:left w:w="90" w:type="dxa"/>
              <w:bottom w:w="55" w:type="dxa"/>
              <w:right w:w="90" w:type="dxa"/>
            </w:tcMar>
            <w:vAlign w:val="center"/>
          </w:tcPr>
          <w:p w14:paraId="629486BB" w14:textId="77777777" w:rsidR="00DF27C6" w:rsidRDefault="00000000">
            <w:r>
              <w:rPr>
                <w:rFonts w:eastAsia="Times New Roman"/>
                <w:sz w:val="15"/>
              </w:rPr>
              <w:t>Jarque–Bera</w:t>
            </w:r>
          </w:p>
        </w:tc>
        <w:tc>
          <w:tcPr>
            <w:tcW w:w="1296" w:type="dxa"/>
            <w:tcMar>
              <w:top w:w="55" w:type="dxa"/>
              <w:left w:w="90" w:type="dxa"/>
              <w:bottom w:w="55" w:type="dxa"/>
              <w:right w:w="90" w:type="dxa"/>
            </w:tcMar>
            <w:vAlign w:val="center"/>
          </w:tcPr>
          <w:p w14:paraId="7701B1BC" w14:textId="77777777" w:rsidR="00DF27C6" w:rsidRDefault="00000000">
            <w:pPr>
              <w:jc w:val="center"/>
            </w:pPr>
            <w:r>
              <w:rPr>
                <w:rFonts w:eastAsia="Times New Roman"/>
                <w:sz w:val="15"/>
              </w:rPr>
              <w:t>13.93987</w:t>
            </w:r>
          </w:p>
        </w:tc>
        <w:tc>
          <w:tcPr>
            <w:tcW w:w="1512" w:type="dxa"/>
            <w:tcMar>
              <w:top w:w="55" w:type="dxa"/>
              <w:left w:w="90" w:type="dxa"/>
              <w:bottom w:w="55" w:type="dxa"/>
              <w:right w:w="90" w:type="dxa"/>
            </w:tcMar>
            <w:vAlign w:val="center"/>
          </w:tcPr>
          <w:p w14:paraId="170C7887" w14:textId="77777777" w:rsidR="00DF27C6" w:rsidRDefault="00000000">
            <w:pPr>
              <w:jc w:val="center"/>
            </w:pPr>
            <w:r>
              <w:rPr>
                <w:rFonts w:eastAsia="Times New Roman"/>
                <w:sz w:val="15"/>
              </w:rPr>
              <w:t>44.65299</w:t>
            </w:r>
          </w:p>
        </w:tc>
        <w:tc>
          <w:tcPr>
            <w:tcW w:w="1296" w:type="dxa"/>
            <w:tcMar>
              <w:top w:w="55" w:type="dxa"/>
              <w:left w:w="90" w:type="dxa"/>
              <w:bottom w:w="55" w:type="dxa"/>
              <w:right w:w="90" w:type="dxa"/>
            </w:tcMar>
            <w:vAlign w:val="center"/>
          </w:tcPr>
          <w:p w14:paraId="54789701" w14:textId="77777777" w:rsidR="00DF27C6" w:rsidRDefault="00000000">
            <w:pPr>
              <w:jc w:val="center"/>
            </w:pPr>
            <w:r>
              <w:rPr>
                <w:rFonts w:eastAsia="Times New Roman"/>
                <w:sz w:val="15"/>
              </w:rPr>
              <w:t>28.05628</w:t>
            </w:r>
          </w:p>
        </w:tc>
        <w:tc>
          <w:tcPr>
            <w:tcW w:w="1224" w:type="dxa"/>
            <w:tcMar>
              <w:top w:w="55" w:type="dxa"/>
              <w:left w:w="90" w:type="dxa"/>
              <w:bottom w:w="55" w:type="dxa"/>
              <w:right w:w="90" w:type="dxa"/>
            </w:tcMar>
            <w:vAlign w:val="center"/>
          </w:tcPr>
          <w:p w14:paraId="3145D18A" w14:textId="77777777" w:rsidR="00DF27C6" w:rsidRDefault="00000000">
            <w:pPr>
              <w:jc w:val="center"/>
            </w:pPr>
            <w:r>
              <w:rPr>
                <w:rFonts w:eastAsia="Times New Roman"/>
                <w:sz w:val="15"/>
              </w:rPr>
              <w:t>37.97949</w:t>
            </w:r>
          </w:p>
        </w:tc>
        <w:tc>
          <w:tcPr>
            <w:tcW w:w="1224" w:type="dxa"/>
            <w:tcMar>
              <w:top w:w="55" w:type="dxa"/>
              <w:left w:w="90" w:type="dxa"/>
              <w:bottom w:w="55" w:type="dxa"/>
              <w:right w:w="90" w:type="dxa"/>
            </w:tcMar>
            <w:vAlign w:val="center"/>
          </w:tcPr>
          <w:p w14:paraId="5E845C3E" w14:textId="77777777" w:rsidR="00DF27C6" w:rsidRDefault="00000000">
            <w:pPr>
              <w:jc w:val="center"/>
            </w:pPr>
            <w:r>
              <w:rPr>
                <w:rFonts w:eastAsia="Times New Roman"/>
                <w:sz w:val="15"/>
              </w:rPr>
              <w:t>35.70440</w:t>
            </w:r>
          </w:p>
        </w:tc>
        <w:tc>
          <w:tcPr>
            <w:tcW w:w="1296" w:type="dxa"/>
            <w:tcMar>
              <w:top w:w="55" w:type="dxa"/>
              <w:left w:w="90" w:type="dxa"/>
              <w:bottom w:w="55" w:type="dxa"/>
              <w:right w:w="90" w:type="dxa"/>
            </w:tcMar>
            <w:vAlign w:val="center"/>
          </w:tcPr>
          <w:p w14:paraId="16D3B0CF" w14:textId="77777777" w:rsidR="00DF27C6" w:rsidRDefault="00000000">
            <w:pPr>
              <w:jc w:val="center"/>
            </w:pPr>
            <w:r>
              <w:rPr>
                <w:rFonts w:eastAsia="Times New Roman"/>
                <w:sz w:val="15"/>
              </w:rPr>
              <w:t>6.203725</w:t>
            </w:r>
          </w:p>
        </w:tc>
        <w:tc>
          <w:tcPr>
            <w:tcW w:w="1296" w:type="dxa"/>
            <w:tcMar>
              <w:top w:w="55" w:type="dxa"/>
              <w:left w:w="90" w:type="dxa"/>
              <w:bottom w:w="55" w:type="dxa"/>
              <w:right w:w="90" w:type="dxa"/>
            </w:tcMar>
            <w:vAlign w:val="center"/>
          </w:tcPr>
          <w:p w14:paraId="5232B975" w14:textId="77777777" w:rsidR="00DF27C6" w:rsidRDefault="00000000">
            <w:pPr>
              <w:jc w:val="center"/>
            </w:pPr>
            <w:r>
              <w:rPr>
                <w:rFonts w:eastAsia="Times New Roman"/>
                <w:sz w:val="15"/>
              </w:rPr>
              <w:t>19.89226</w:t>
            </w:r>
          </w:p>
        </w:tc>
      </w:tr>
      <w:tr w:rsidR="00DF27C6" w14:paraId="6AE0B2E6" w14:textId="77777777">
        <w:trPr>
          <w:jc w:val="center"/>
        </w:trPr>
        <w:tc>
          <w:tcPr>
            <w:tcW w:w="1512" w:type="dxa"/>
            <w:tcMar>
              <w:top w:w="55" w:type="dxa"/>
              <w:left w:w="90" w:type="dxa"/>
              <w:bottom w:w="55" w:type="dxa"/>
              <w:right w:w="90" w:type="dxa"/>
            </w:tcMar>
            <w:vAlign w:val="center"/>
          </w:tcPr>
          <w:p w14:paraId="7DD25D36" w14:textId="77777777" w:rsidR="00DF27C6" w:rsidRDefault="00000000">
            <w:r>
              <w:rPr>
                <w:rFonts w:eastAsia="Times New Roman"/>
                <w:sz w:val="15"/>
              </w:rPr>
              <w:t>JB p-value</w:t>
            </w:r>
          </w:p>
        </w:tc>
        <w:tc>
          <w:tcPr>
            <w:tcW w:w="1296" w:type="dxa"/>
            <w:tcMar>
              <w:top w:w="55" w:type="dxa"/>
              <w:left w:w="90" w:type="dxa"/>
              <w:bottom w:w="55" w:type="dxa"/>
              <w:right w:w="90" w:type="dxa"/>
            </w:tcMar>
            <w:vAlign w:val="center"/>
          </w:tcPr>
          <w:p w14:paraId="0A4EDC7A" w14:textId="77777777" w:rsidR="00DF27C6" w:rsidRDefault="00000000">
            <w:pPr>
              <w:jc w:val="center"/>
            </w:pPr>
            <w:r>
              <w:rPr>
                <w:rFonts w:eastAsia="Times New Roman"/>
                <w:sz w:val="15"/>
              </w:rPr>
              <w:t>0.00094</w:t>
            </w:r>
          </w:p>
        </w:tc>
        <w:tc>
          <w:tcPr>
            <w:tcW w:w="1512" w:type="dxa"/>
            <w:tcMar>
              <w:top w:w="55" w:type="dxa"/>
              <w:left w:w="90" w:type="dxa"/>
              <w:bottom w:w="55" w:type="dxa"/>
              <w:right w:w="90" w:type="dxa"/>
            </w:tcMar>
            <w:vAlign w:val="center"/>
          </w:tcPr>
          <w:p w14:paraId="0E6CF18A" w14:textId="77777777" w:rsidR="00DF27C6" w:rsidRDefault="00000000">
            <w:pPr>
              <w:jc w:val="center"/>
            </w:pPr>
            <w:r>
              <w:rPr>
                <w:rFonts w:eastAsia="Times New Roman"/>
                <w:sz w:val="15"/>
              </w:rPr>
              <w:t>&lt;0.00001</w:t>
            </w:r>
          </w:p>
        </w:tc>
        <w:tc>
          <w:tcPr>
            <w:tcW w:w="1296" w:type="dxa"/>
            <w:tcMar>
              <w:top w:w="55" w:type="dxa"/>
              <w:left w:w="90" w:type="dxa"/>
              <w:bottom w:w="55" w:type="dxa"/>
              <w:right w:w="90" w:type="dxa"/>
            </w:tcMar>
            <w:vAlign w:val="center"/>
          </w:tcPr>
          <w:p w14:paraId="047AFDF9" w14:textId="77777777" w:rsidR="00DF27C6" w:rsidRDefault="00000000">
            <w:pPr>
              <w:jc w:val="center"/>
            </w:pPr>
            <w:r>
              <w:rPr>
                <w:rFonts w:eastAsia="Times New Roman"/>
                <w:sz w:val="15"/>
              </w:rPr>
              <w:t>0.000001</w:t>
            </w:r>
          </w:p>
        </w:tc>
        <w:tc>
          <w:tcPr>
            <w:tcW w:w="1224" w:type="dxa"/>
            <w:tcMar>
              <w:top w:w="55" w:type="dxa"/>
              <w:left w:w="90" w:type="dxa"/>
              <w:bottom w:w="55" w:type="dxa"/>
              <w:right w:w="90" w:type="dxa"/>
            </w:tcMar>
            <w:vAlign w:val="center"/>
          </w:tcPr>
          <w:p w14:paraId="7D6DEDD4" w14:textId="77777777" w:rsidR="00DF27C6" w:rsidRDefault="00000000">
            <w:pPr>
              <w:jc w:val="center"/>
            </w:pPr>
            <w:r>
              <w:rPr>
                <w:rFonts w:eastAsia="Times New Roman"/>
                <w:sz w:val="15"/>
              </w:rPr>
              <w:t>&lt;0.00001</w:t>
            </w:r>
          </w:p>
        </w:tc>
        <w:tc>
          <w:tcPr>
            <w:tcW w:w="1224" w:type="dxa"/>
            <w:tcMar>
              <w:top w:w="55" w:type="dxa"/>
              <w:left w:w="90" w:type="dxa"/>
              <w:bottom w:w="55" w:type="dxa"/>
              <w:right w:w="90" w:type="dxa"/>
            </w:tcMar>
            <w:vAlign w:val="center"/>
          </w:tcPr>
          <w:p w14:paraId="7D49DCF1" w14:textId="77777777" w:rsidR="00DF27C6" w:rsidRDefault="00000000">
            <w:pPr>
              <w:jc w:val="center"/>
            </w:pPr>
            <w:r>
              <w:rPr>
                <w:rFonts w:eastAsia="Times New Roman"/>
                <w:sz w:val="15"/>
              </w:rPr>
              <w:t>&lt;0.00001</w:t>
            </w:r>
          </w:p>
        </w:tc>
        <w:tc>
          <w:tcPr>
            <w:tcW w:w="1296" w:type="dxa"/>
            <w:tcMar>
              <w:top w:w="55" w:type="dxa"/>
              <w:left w:w="90" w:type="dxa"/>
              <w:bottom w:w="55" w:type="dxa"/>
              <w:right w:w="90" w:type="dxa"/>
            </w:tcMar>
            <w:vAlign w:val="center"/>
          </w:tcPr>
          <w:p w14:paraId="15ADFE5E" w14:textId="77777777" w:rsidR="00DF27C6" w:rsidRDefault="00000000">
            <w:pPr>
              <w:jc w:val="center"/>
            </w:pPr>
            <w:r>
              <w:rPr>
                <w:rFonts w:eastAsia="Times New Roman"/>
                <w:sz w:val="15"/>
              </w:rPr>
              <w:t>0.04497</w:t>
            </w:r>
          </w:p>
        </w:tc>
        <w:tc>
          <w:tcPr>
            <w:tcW w:w="1296" w:type="dxa"/>
            <w:tcMar>
              <w:top w:w="55" w:type="dxa"/>
              <w:left w:w="90" w:type="dxa"/>
              <w:bottom w:w="55" w:type="dxa"/>
              <w:right w:w="90" w:type="dxa"/>
            </w:tcMar>
            <w:vAlign w:val="center"/>
          </w:tcPr>
          <w:p w14:paraId="4F041684" w14:textId="77777777" w:rsidR="00DF27C6" w:rsidRDefault="00000000">
            <w:pPr>
              <w:jc w:val="center"/>
            </w:pPr>
            <w:r>
              <w:rPr>
                <w:rFonts w:eastAsia="Times New Roman"/>
                <w:sz w:val="15"/>
              </w:rPr>
              <w:t>0.000048</w:t>
            </w:r>
          </w:p>
        </w:tc>
      </w:tr>
      <w:tr w:rsidR="00DF27C6" w14:paraId="28A63CF4" w14:textId="77777777">
        <w:trPr>
          <w:jc w:val="center"/>
        </w:trPr>
        <w:tc>
          <w:tcPr>
            <w:tcW w:w="1512" w:type="dxa"/>
            <w:tcMar>
              <w:top w:w="55" w:type="dxa"/>
              <w:left w:w="90" w:type="dxa"/>
              <w:bottom w:w="55" w:type="dxa"/>
              <w:right w:w="90" w:type="dxa"/>
            </w:tcMar>
            <w:vAlign w:val="center"/>
          </w:tcPr>
          <w:p w14:paraId="493BFF71" w14:textId="77777777" w:rsidR="00DF27C6" w:rsidRDefault="00000000">
            <w:r>
              <w:rPr>
                <w:rFonts w:eastAsia="Times New Roman"/>
                <w:sz w:val="15"/>
              </w:rPr>
              <w:t>Observations</w:t>
            </w:r>
          </w:p>
        </w:tc>
        <w:tc>
          <w:tcPr>
            <w:tcW w:w="1296" w:type="dxa"/>
            <w:tcMar>
              <w:top w:w="55" w:type="dxa"/>
              <w:left w:w="90" w:type="dxa"/>
              <w:bottom w:w="55" w:type="dxa"/>
              <w:right w:w="90" w:type="dxa"/>
            </w:tcMar>
            <w:vAlign w:val="center"/>
          </w:tcPr>
          <w:p w14:paraId="1DC35C75" w14:textId="77777777" w:rsidR="00DF27C6" w:rsidRDefault="00000000">
            <w:pPr>
              <w:jc w:val="center"/>
            </w:pPr>
            <w:r>
              <w:rPr>
                <w:rFonts w:eastAsia="Times New Roman"/>
                <w:sz w:val="15"/>
              </w:rPr>
              <w:t>100</w:t>
            </w:r>
          </w:p>
        </w:tc>
        <w:tc>
          <w:tcPr>
            <w:tcW w:w="1512" w:type="dxa"/>
            <w:tcMar>
              <w:top w:w="55" w:type="dxa"/>
              <w:left w:w="90" w:type="dxa"/>
              <w:bottom w:w="55" w:type="dxa"/>
              <w:right w:w="90" w:type="dxa"/>
            </w:tcMar>
            <w:vAlign w:val="center"/>
          </w:tcPr>
          <w:p w14:paraId="6ABEB624" w14:textId="77777777" w:rsidR="00DF27C6" w:rsidRDefault="00000000">
            <w:pPr>
              <w:jc w:val="center"/>
            </w:pPr>
            <w:r>
              <w:rPr>
                <w:rFonts w:eastAsia="Times New Roman"/>
                <w:sz w:val="15"/>
              </w:rPr>
              <w:t>100</w:t>
            </w:r>
          </w:p>
        </w:tc>
        <w:tc>
          <w:tcPr>
            <w:tcW w:w="1296" w:type="dxa"/>
            <w:tcMar>
              <w:top w:w="55" w:type="dxa"/>
              <w:left w:w="90" w:type="dxa"/>
              <w:bottom w:w="55" w:type="dxa"/>
              <w:right w:w="90" w:type="dxa"/>
            </w:tcMar>
            <w:vAlign w:val="center"/>
          </w:tcPr>
          <w:p w14:paraId="315E616A" w14:textId="77777777" w:rsidR="00DF27C6" w:rsidRDefault="00000000">
            <w:pPr>
              <w:jc w:val="center"/>
            </w:pPr>
            <w:r>
              <w:rPr>
                <w:rFonts w:eastAsia="Times New Roman"/>
                <w:sz w:val="15"/>
              </w:rPr>
              <w:t>100</w:t>
            </w:r>
          </w:p>
        </w:tc>
        <w:tc>
          <w:tcPr>
            <w:tcW w:w="1224" w:type="dxa"/>
            <w:tcMar>
              <w:top w:w="55" w:type="dxa"/>
              <w:left w:w="90" w:type="dxa"/>
              <w:bottom w:w="55" w:type="dxa"/>
              <w:right w:w="90" w:type="dxa"/>
            </w:tcMar>
            <w:vAlign w:val="center"/>
          </w:tcPr>
          <w:p w14:paraId="0CCBED49" w14:textId="77777777" w:rsidR="00DF27C6" w:rsidRDefault="00000000">
            <w:pPr>
              <w:jc w:val="center"/>
            </w:pPr>
            <w:r>
              <w:rPr>
                <w:rFonts w:eastAsia="Times New Roman"/>
                <w:sz w:val="15"/>
              </w:rPr>
              <w:t>100</w:t>
            </w:r>
          </w:p>
        </w:tc>
        <w:tc>
          <w:tcPr>
            <w:tcW w:w="1224" w:type="dxa"/>
            <w:tcMar>
              <w:top w:w="55" w:type="dxa"/>
              <w:left w:w="90" w:type="dxa"/>
              <w:bottom w:w="55" w:type="dxa"/>
              <w:right w:w="90" w:type="dxa"/>
            </w:tcMar>
            <w:vAlign w:val="center"/>
          </w:tcPr>
          <w:p w14:paraId="065AD1D4" w14:textId="77777777" w:rsidR="00DF27C6" w:rsidRDefault="00000000">
            <w:pPr>
              <w:jc w:val="center"/>
            </w:pPr>
            <w:r>
              <w:rPr>
                <w:rFonts w:eastAsia="Times New Roman"/>
                <w:sz w:val="15"/>
              </w:rPr>
              <w:t>100</w:t>
            </w:r>
          </w:p>
        </w:tc>
        <w:tc>
          <w:tcPr>
            <w:tcW w:w="1296" w:type="dxa"/>
            <w:tcMar>
              <w:top w:w="55" w:type="dxa"/>
              <w:left w:w="90" w:type="dxa"/>
              <w:bottom w:w="55" w:type="dxa"/>
              <w:right w:w="90" w:type="dxa"/>
            </w:tcMar>
            <w:vAlign w:val="center"/>
          </w:tcPr>
          <w:p w14:paraId="6530705B" w14:textId="77777777" w:rsidR="00DF27C6" w:rsidRDefault="00000000">
            <w:pPr>
              <w:jc w:val="center"/>
            </w:pPr>
            <w:r>
              <w:rPr>
                <w:rFonts w:eastAsia="Times New Roman"/>
                <w:sz w:val="15"/>
              </w:rPr>
              <w:t>100</w:t>
            </w:r>
          </w:p>
        </w:tc>
        <w:tc>
          <w:tcPr>
            <w:tcW w:w="1296" w:type="dxa"/>
            <w:tcMar>
              <w:top w:w="55" w:type="dxa"/>
              <w:left w:w="90" w:type="dxa"/>
              <w:bottom w:w="55" w:type="dxa"/>
              <w:right w:w="90" w:type="dxa"/>
            </w:tcMar>
            <w:vAlign w:val="center"/>
          </w:tcPr>
          <w:p w14:paraId="0E5331B2" w14:textId="77777777" w:rsidR="00DF27C6" w:rsidRDefault="00000000">
            <w:pPr>
              <w:jc w:val="center"/>
            </w:pPr>
            <w:r>
              <w:rPr>
                <w:rFonts w:eastAsia="Times New Roman"/>
                <w:sz w:val="15"/>
              </w:rPr>
              <w:t>100</w:t>
            </w:r>
          </w:p>
        </w:tc>
      </w:tr>
    </w:tbl>
    <w:p w14:paraId="0C7D1477" w14:textId="77777777" w:rsidR="00DF27C6" w:rsidRDefault="00000000">
      <w:pPr>
        <w:spacing w:before="40" w:after="120"/>
      </w:pPr>
      <w:r>
        <w:rPr>
          <w:rFonts w:eastAsia="Times New Roman"/>
          <w:i/>
          <w:sz w:val="17"/>
        </w:rPr>
        <w:t>Source: Study data (2026). JB p-values computed from the reported Jarque–Bera statistics using a chi-square distribution with 2 degrees of freedom.</w:t>
      </w:r>
    </w:p>
    <w:p w14:paraId="3586D912" w14:textId="77777777" w:rsidR="00DF27C6" w:rsidRDefault="00000000">
      <w:pPr>
        <w:pStyle w:val="Heading2"/>
        <w:spacing w:before="120" w:after="80"/>
      </w:pPr>
      <w:r>
        <w:rPr>
          <w:rFonts w:ascii="Times New Roman" w:eastAsia="Times New Roman" w:hAnsi="Times New Roman"/>
        </w:rPr>
        <w:t>4.2 Correlation analysis</w:t>
      </w:r>
    </w:p>
    <w:p w14:paraId="11425817" w14:textId="77777777" w:rsidR="00DF27C6" w:rsidRDefault="00000000">
      <w:pPr>
        <w:keepNext/>
        <w:spacing w:after="40"/>
        <w:ind w:firstLine="360"/>
        <w:jc w:val="both"/>
      </w:pPr>
      <w:r>
        <w:t xml:space="preserve">Table 3 presents pairwise correlations for the 100-observation descriptive panel. Nominal GDP per capita is positively correlated with FDI (r = 0.339) and negatively correlated with GGFCE (r = -0.492), population growth (r = -0.515), inflation (r = -0.233), the official exchange rate (r = -0.224), and ODA (r = -0.703). These coefficients are descriptive associations only. They do not control for country fixed effects, common time shocks, simultaneity, or other covariates. They also use a larger sample than the 84-observation log regression, so differences between raw correlations and regression coefficients can reflect both conditioning and sample </w:t>
      </w:r>
      <w:r>
        <w:lastRenderedPageBreak/>
        <w:t>composition. Direct causal or numerical comparison between the two sets of estimates is therefore inappropriate.</w:t>
      </w:r>
    </w:p>
    <w:p w14:paraId="393A27F3" w14:textId="77777777" w:rsidR="00DF27C6" w:rsidRDefault="00000000">
      <w:pPr>
        <w:keepNext/>
        <w:spacing w:before="80" w:after="40"/>
      </w:pPr>
      <w:r>
        <w:rPr>
          <w:rFonts w:eastAsia="Times New Roman"/>
          <w:b/>
          <w:sz w:val="20"/>
        </w:rPr>
        <w:t>Table 3. Correlation matrix (p-values in parentheses)</w:t>
      </w:r>
    </w:p>
    <w:tbl>
      <w:tblPr>
        <w:tblStyle w:val="TableGrid"/>
        <w:tblW w:w="0" w:type="auto"/>
        <w:jc w:val="center"/>
        <w:tblLayout w:type="fixed"/>
        <w:tblLook w:val="04A0" w:firstRow="1" w:lastRow="0" w:firstColumn="1" w:lastColumn="0" w:noHBand="0" w:noVBand="1"/>
      </w:tblPr>
      <w:tblGrid>
        <w:gridCol w:w="1368"/>
        <w:gridCol w:w="1296"/>
        <w:gridCol w:w="1296"/>
        <w:gridCol w:w="1368"/>
        <w:gridCol w:w="1296"/>
        <w:gridCol w:w="1296"/>
        <w:gridCol w:w="1296"/>
        <w:gridCol w:w="1296"/>
      </w:tblGrid>
      <w:tr w:rsidR="00DF27C6" w14:paraId="1F0531DD" w14:textId="77777777">
        <w:trPr>
          <w:tblHeader/>
          <w:jc w:val="center"/>
        </w:trPr>
        <w:tc>
          <w:tcPr>
            <w:tcW w:w="1368" w:type="dxa"/>
            <w:shd w:val="clear" w:color="auto" w:fill="D9E2F3"/>
            <w:tcMar>
              <w:top w:w="55" w:type="dxa"/>
              <w:left w:w="90" w:type="dxa"/>
              <w:bottom w:w="55" w:type="dxa"/>
              <w:right w:w="90" w:type="dxa"/>
            </w:tcMar>
            <w:vAlign w:val="center"/>
          </w:tcPr>
          <w:p w14:paraId="071B5498" w14:textId="77777777" w:rsidR="00DF27C6" w:rsidRDefault="00000000">
            <w:pPr>
              <w:jc w:val="center"/>
            </w:pPr>
            <w:r>
              <w:rPr>
                <w:rFonts w:eastAsia="Times New Roman"/>
                <w:b/>
                <w:sz w:val="14"/>
              </w:rPr>
              <w:t>Variable</w:t>
            </w:r>
          </w:p>
        </w:tc>
        <w:tc>
          <w:tcPr>
            <w:tcW w:w="1296" w:type="dxa"/>
            <w:shd w:val="clear" w:color="auto" w:fill="D9E2F3"/>
            <w:tcMar>
              <w:top w:w="55" w:type="dxa"/>
              <w:left w:w="90" w:type="dxa"/>
              <w:bottom w:w="55" w:type="dxa"/>
              <w:right w:w="90" w:type="dxa"/>
            </w:tcMar>
            <w:vAlign w:val="center"/>
          </w:tcPr>
          <w:p w14:paraId="3E89115A" w14:textId="77777777" w:rsidR="00DF27C6" w:rsidRDefault="00000000">
            <w:pPr>
              <w:jc w:val="center"/>
            </w:pPr>
            <w:r>
              <w:rPr>
                <w:rFonts w:eastAsia="Times New Roman"/>
                <w:b/>
                <w:sz w:val="14"/>
              </w:rPr>
              <w:t>GDP</w:t>
            </w:r>
          </w:p>
        </w:tc>
        <w:tc>
          <w:tcPr>
            <w:tcW w:w="1296" w:type="dxa"/>
            <w:shd w:val="clear" w:color="auto" w:fill="D9E2F3"/>
            <w:tcMar>
              <w:top w:w="55" w:type="dxa"/>
              <w:left w:w="90" w:type="dxa"/>
              <w:bottom w:w="55" w:type="dxa"/>
              <w:right w:w="90" w:type="dxa"/>
            </w:tcMar>
            <w:vAlign w:val="center"/>
          </w:tcPr>
          <w:p w14:paraId="2B6B8423" w14:textId="77777777" w:rsidR="00DF27C6" w:rsidRDefault="00000000">
            <w:pPr>
              <w:jc w:val="center"/>
            </w:pPr>
            <w:r>
              <w:rPr>
                <w:rFonts w:eastAsia="Times New Roman"/>
                <w:b/>
                <w:sz w:val="14"/>
              </w:rPr>
              <w:t>FDI</w:t>
            </w:r>
          </w:p>
        </w:tc>
        <w:tc>
          <w:tcPr>
            <w:tcW w:w="1368" w:type="dxa"/>
            <w:shd w:val="clear" w:color="auto" w:fill="D9E2F3"/>
            <w:tcMar>
              <w:top w:w="55" w:type="dxa"/>
              <w:left w:w="90" w:type="dxa"/>
              <w:bottom w:w="55" w:type="dxa"/>
              <w:right w:w="90" w:type="dxa"/>
            </w:tcMar>
            <w:vAlign w:val="center"/>
          </w:tcPr>
          <w:p w14:paraId="56B8EF68" w14:textId="77777777" w:rsidR="00DF27C6" w:rsidRDefault="00000000">
            <w:pPr>
              <w:jc w:val="center"/>
            </w:pPr>
            <w:r>
              <w:rPr>
                <w:rFonts w:eastAsia="Times New Roman"/>
                <w:b/>
                <w:sz w:val="14"/>
              </w:rPr>
              <w:t>GGFCE</w:t>
            </w:r>
          </w:p>
        </w:tc>
        <w:tc>
          <w:tcPr>
            <w:tcW w:w="1296" w:type="dxa"/>
            <w:shd w:val="clear" w:color="auto" w:fill="D9E2F3"/>
            <w:tcMar>
              <w:top w:w="55" w:type="dxa"/>
              <w:left w:w="90" w:type="dxa"/>
              <w:bottom w:w="55" w:type="dxa"/>
              <w:right w:w="90" w:type="dxa"/>
            </w:tcMar>
            <w:vAlign w:val="center"/>
          </w:tcPr>
          <w:p w14:paraId="0FC54792" w14:textId="77777777" w:rsidR="00DF27C6" w:rsidRDefault="00000000">
            <w:pPr>
              <w:jc w:val="center"/>
            </w:pPr>
            <w:r>
              <w:rPr>
                <w:rFonts w:eastAsia="Times New Roman"/>
                <w:b/>
                <w:sz w:val="14"/>
              </w:rPr>
              <w:t>PPLN</w:t>
            </w:r>
          </w:p>
        </w:tc>
        <w:tc>
          <w:tcPr>
            <w:tcW w:w="1296" w:type="dxa"/>
            <w:shd w:val="clear" w:color="auto" w:fill="D9E2F3"/>
            <w:tcMar>
              <w:top w:w="55" w:type="dxa"/>
              <w:left w:w="90" w:type="dxa"/>
              <w:bottom w:w="55" w:type="dxa"/>
              <w:right w:w="90" w:type="dxa"/>
            </w:tcMar>
            <w:vAlign w:val="center"/>
          </w:tcPr>
          <w:p w14:paraId="1E5756E7" w14:textId="77777777" w:rsidR="00DF27C6" w:rsidRDefault="00000000">
            <w:pPr>
              <w:jc w:val="center"/>
            </w:pPr>
            <w:r>
              <w:rPr>
                <w:rFonts w:eastAsia="Times New Roman"/>
                <w:b/>
                <w:sz w:val="14"/>
              </w:rPr>
              <w:t>INFL</w:t>
            </w:r>
          </w:p>
        </w:tc>
        <w:tc>
          <w:tcPr>
            <w:tcW w:w="1296" w:type="dxa"/>
            <w:shd w:val="clear" w:color="auto" w:fill="D9E2F3"/>
            <w:tcMar>
              <w:top w:w="55" w:type="dxa"/>
              <w:left w:w="90" w:type="dxa"/>
              <w:bottom w:w="55" w:type="dxa"/>
              <w:right w:w="90" w:type="dxa"/>
            </w:tcMar>
            <w:vAlign w:val="center"/>
          </w:tcPr>
          <w:p w14:paraId="17AD8B80" w14:textId="77777777" w:rsidR="00DF27C6" w:rsidRDefault="00000000">
            <w:pPr>
              <w:jc w:val="center"/>
            </w:pPr>
            <w:r>
              <w:rPr>
                <w:rFonts w:eastAsia="Times New Roman"/>
                <w:b/>
                <w:sz w:val="14"/>
              </w:rPr>
              <w:t>EXCH</w:t>
            </w:r>
          </w:p>
        </w:tc>
        <w:tc>
          <w:tcPr>
            <w:tcW w:w="1296" w:type="dxa"/>
            <w:shd w:val="clear" w:color="auto" w:fill="D9E2F3"/>
            <w:tcMar>
              <w:top w:w="55" w:type="dxa"/>
              <w:left w:w="90" w:type="dxa"/>
              <w:bottom w:w="55" w:type="dxa"/>
              <w:right w:w="90" w:type="dxa"/>
            </w:tcMar>
            <w:vAlign w:val="center"/>
          </w:tcPr>
          <w:p w14:paraId="77CD6E16" w14:textId="77777777" w:rsidR="00DF27C6" w:rsidRDefault="00000000">
            <w:pPr>
              <w:jc w:val="center"/>
            </w:pPr>
            <w:r>
              <w:rPr>
                <w:rFonts w:eastAsia="Times New Roman"/>
                <w:b/>
                <w:sz w:val="14"/>
              </w:rPr>
              <w:t>ODA</w:t>
            </w:r>
          </w:p>
        </w:tc>
      </w:tr>
      <w:tr w:rsidR="00DF27C6" w14:paraId="26D9A99A" w14:textId="77777777">
        <w:trPr>
          <w:jc w:val="center"/>
        </w:trPr>
        <w:tc>
          <w:tcPr>
            <w:tcW w:w="1368" w:type="dxa"/>
            <w:tcMar>
              <w:top w:w="55" w:type="dxa"/>
              <w:left w:w="90" w:type="dxa"/>
              <w:bottom w:w="55" w:type="dxa"/>
              <w:right w:w="90" w:type="dxa"/>
            </w:tcMar>
            <w:vAlign w:val="center"/>
          </w:tcPr>
          <w:p w14:paraId="2556A61B" w14:textId="77777777" w:rsidR="00DF27C6" w:rsidRDefault="00000000">
            <w:r>
              <w:rPr>
                <w:rFonts w:eastAsia="Times New Roman"/>
                <w:sz w:val="14"/>
              </w:rPr>
              <w:t>GDP</w:t>
            </w:r>
          </w:p>
        </w:tc>
        <w:tc>
          <w:tcPr>
            <w:tcW w:w="1296" w:type="dxa"/>
            <w:tcMar>
              <w:top w:w="55" w:type="dxa"/>
              <w:left w:w="90" w:type="dxa"/>
              <w:bottom w:w="55" w:type="dxa"/>
              <w:right w:w="90" w:type="dxa"/>
            </w:tcMar>
            <w:vAlign w:val="center"/>
          </w:tcPr>
          <w:p w14:paraId="082F23D7" w14:textId="77777777" w:rsidR="00DF27C6" w:rsidRDefault="00000000">
            <w:pPr>
              <w:jc w:val="center"/>
            </w:pPr>
            <w:r>
              <w:rPr>
                <w:rFonts w:eastAsia="Times New Roman"/>
                <w:sz w:val="14"/>
              </w:rPr>
              <w:t>1.000</w:t>
            </w:r>
          </w:p>
        </w:tc>
        <w:tc>
          <w:tcPr>
            <w:tcW w:w="1296" w:type="dxa"/>
            <w:tcMar>
              <w:top w:w="55" w:type="dxa"/>
              <w:left w:w="90" w:type="dxa"/>
              <w:bottom w:w="55" w:type="dxa"/>
              <w:right w:w="90" w:type="dxa"/>
            </w:tcMar>
            <w:vAlign w:val="center"/>
          </w:tcPr>
          <w:p w14:paraId="137EB444" w14:textId="77777777" w:rsidR="00DF27C6" w:rsidRDefault="00DF27C6">
            <w:pPr>
              <w:jc w:val="center"/>
            </w:pPr>
          </w:p>
        </w:tc>
        <w:tc>
          <w:tcPr>
            <w:tcW w:w="1368" w:type="dxa"/>
            <w:tcMar>
              <w:top w:w="55" w:type="dxa"/>
              <w:left w:w="90" w:type="dxa"/>
              <w:bottom w:w="55" w:type="dxa"/>
              <w:right w:w="90" w:type="dxa"/>
            </w:tcMar>
            <w:vAlign w:val="center"/>
          </w:tcPr>
          <w:p w14:paraId="7ED66147" w14:textId="77777777" w:rsidR="00DF27C6" w:rsidRDefault="00DF27C6">
            <w:pPr>
              <w:jc w:val="center"/>
            </w:pPr>
          </w:p>
        </w:tc>
        <w:tc>
          <w:tcPr>
            <w:tcW w:w="1296" w:type="dxa"/>
            <w:tcMar>
              <w:top w:w="55" w:type="dxa"/>
              <w:left w:w="90" w:type="dxa"/>
              <w:bottom w:w="55" w:type="dxa"/>
              <w:right w:w="90" w:type="dxa"/>
            </w:tcMar>
            <w:vAlign w:val="center"/>
          </w:tcPr>
          <w:p w14:paraId="015ED310" w14:textId="77777777" w:rsidR="00DF27C6" w:rsidRDefault="00DF27C6">
            <w:pPr>
              <w:jc w:val="center"/>
            </w:pPr>
          </w:p>
        </w:tc>
        <w:tc>
          <w:tcPr>
            <w:tcW w:w="1296" w:type="dxa"/>
            <w:tcMar>
              <w:top w:w="55" w:type="dxa"/>
              <w:left w:w="90" w:type="dxa"/>
              <w:bottom w:w="55" w:type="dxa"/>
              <w:right w:w="90" w:type="dxa"/>
            </w:tcMar>
            <w:vAlign w:val="center"/>
          </w:tcPr>
          <w:p w14:paraId="2DD3C071" w14:textId="77777777" w:rsidR="00DF27C6" w:rsidRDefault="00DF27C6">
            <w:pPr>
              <w:jc w:val="center"/>
            </w:pPr>
          </w:p>
        </w:tc>
        <w:tc>
          <w:tcPr>
            <w:tcW w:w="1296" w:type="dxa"/>
            <w:tcMar>
              <w:top w:w="55" w:type="dxa"/>
              <w:left w:w="90" w:type="dxa"/>
              <w:bottom w:w="55" w:type="dxa"/>
              <w:right w:w="90" w:type="dxa"/>
            </w:tcMar>
            <w:vAlign w:val="center"/>
          </w:tcPr>
          <w:p w14:paraId="2F8A684C" w14:textId="77777777" w:rsidR="00DF27C6" w:rsidRDefault="00DF27C6">
            <w:pPr>
              <w:jc w:val="center"/>
            </w:pPr>
          </w:p>
        </w:tc>
        <w:tc>
          <w:tcPr>
            <w:tcW w:w="1296" w:type="dxa"/>
            <w:tcMar>
              <w:top w:w="55" w:type="dxa"/>
              <w:left w:w="90" w:type="dxa"/>
              <w:bottom w:w="55" w:type="dxa"/>
              <w:right w:w="90" w:type="dxa"/>
            </w:tcMar>
            <w:vAlign w:val="center"/>
          </w:tcPr>
          <w:p w14:paraId="6BD00841" w14:textId="77777777" w:rsidR="00DF27C6" w:rsidRDefault="00DF27C6">
            <w:pPr>
              <w:jc w:val="center"/>
            </w:pPr>
          </w:p>
        </w:tc>
      </w:tr>
      <w:tr w:rsidR="00DF27C6" w14:paraId="45A08C81" w14:textId="77777777">
        <w:trPr>
          <w:jc w:val="center"/>
        </w:trPr>
        <w:tc>
          <w:tcPr>
            <w:tcW w:w="1368" w:type="dxa"/>
            <w:tcMar>
              <w:top w:w="55" w:type="dxa"/>
              <w:left w:w="90" w:type="dxa"/>
              <w:bottom w:w="55" w:type="dxa"/>
              <w:right w:w="90" w:type="dxa"/>
            </w:tcMar>
            <w:vAlign w:val="center"/>
          </w:tcPr>
          <w:p w14:paraId="074C3E1C" w14:textId="77777777" w:rsidR="00DF27C6" w:rsidRDefault="00000000">
            <w:r>
              <w:rPr>
                <w:rFonts w:eastAsia="Times New Roman"/>
                <w:sz w:val="14"/>
              </w:rPr>
              <w:t>FDI</w:t>
            </w:r>
          </w:p>
        </w:tc>
        <w:tc>
          <w:tcPr>
            <w:tcW w:w="1296" w:type="dxa"/>
            <w:tcMar>
              <w:top w:w="55" w:type="dxa"/>
              <w:left w:w="90" w:type="dxa"/>
              <w:bottom w:w="55" w:type="dxa"/>
              <w:right w:w="90" w:type="dxa"/>
            </w:tcMar>
            <w:vAlign w:val="center"/>
          </w:tcPr>
          <w:p w14:paraId="12F75E63" w14:textId="77777777" w:rsidR="00DF27C6" w:rsidRDefault="00000000">
            <w:pPr>
              <w:jc w:val="center"/>
            </w:pPr>
            <w:r>
              <w:rPr>
                <w:rFonts w:eastAsia="Times New Roman"/>
                <w:sz w:val="14"/>
              </w:rPr>
              <w:t>0.3388</w:t>
            </w:r>
            <w:r>
              <w:rPr>
                <w:rFonts w:eastAsia="Times New Roman"/>
                <w:sz w:val="14"/>
              </w:rPr>
              <w:br/>
              <w:t>(0.0006)</w:t>
            </w:r>
          </w:p>
        </w:tc>
        <w:tc>
          <w:tcPr>
            <w:tcW w:w="1296" w:type="dxa"/>
            <w:tcMar>
              <w:top w:w="55" w:type="dxa"/>
              <w:left w:w="90" w:type="dxa"/>
              <w:bottom w:w="55" w:type="dxa"/>
              <w:right w:w="90" w:type="dxa"/>
            </w:tcMar>
            <w:vAlign w:val="center"/>
          </w:tcPr>
          <w:p w14:paraId="36ECC7DE" w14:textId="77777777" w:rsidR="00DF27C6" w:rsidRDefault="00000000">
            <w:pPr>
              <w:jc w:val="center"/>
            </w:pPr>
            <w:r>
              <w:rPr>
                <w:rFonts w:eastAsia="Times New Roman"/>
                <w:sz w:val="14"/>
              </w:rPr>
              <w:t>1.000</w:t>
            </w:r>
          </w:p>
        </w:tc>
        <w:tc>
          <w:tcPr>
            <w:tcW w:w="1368" w:type="dxa"/>
            <w:tcMar>
              <w:top w:w="55" w:type="dxa"/>
              <w:left w:w="90" w:type="dxa"/>
              <w:bottom w:w="55" w:type="dxa"/>
              <w:right w:w="90" w:type="dxa"/>
            </w:tcMar>
            <w:vAlign w:val="center"/>
          </w:tcPr>
          <w:p w14:paraId="34BC6990" w14:textId="77777777" w:rsidR="00DF27C6" w:rsidRDefault="00DF27C6">
            <w:pPr>
              <w:jc w:val="center"/>
            </w:pPr>
          </w:p>
        </w:tc>
        <w:tc>
          <w:tcPr>
            <w:tcW w:w="1296" w:type="dxa"/>
            <w:tcMar>
              <w:top w:w="55" w:type="dxa"/>
              <w:left w:w="90" w:type="dxa"/>
              <w:bottom w:w="55" w:type="dxa"/>
              <w:right w:w="90" w:type="dxa"/>
            </w:tcMar>
            <w:vAlign w:val="center"/>
          </w:tcPr>
          <w:p w14:paraId="3B2A91F4" w14:textId="77777777" w:rsidR="00DF27C6" w:rsidRDefault="00DF27C6">
            <w:pPr>
              <w:jc w:val="center"/>
            </w:pPr>
          </w:p>
        </w:tc>
        <w:tc>
          <w:tcPr>
            <w:tcW w:w="1296" w:type="dxa"/>
            <w:tcMar>
              <w:top w:w="55" w:type="dxa"/>
              <w:left w:w="90" w:type="dxa"/>
              <w:bottom w:w="55" w:type="dxa"/>
              <w:right w:w="90" w:type="dxa"/>
            </w:tcMar>
            <w:vAlign w:val="center"/>
          </w:tcPr>
          <w:p w14:paraId="6B2E12E8" w14:textId="77777777" w:rsidR="00DF27C6" w:rsidRDefault="00DF27C6">
            <w:pPr>
              <w:jc w:val="center"/>
            </w:pPr>
          </w:p>
        </w:tc>
        <w:tc>
          <w:tcPr>
            <w:tcW w:w="1296" w:type="dxa"/>
            <w:tcMar>
              <w:top w:w="55" w:type="dxa"/>
              <w:left w:w="90" w:type="dxa"/>
              <w:bottom w:w="55" w:type="dxa"/>
              <w:right w:w="90" w:type="dxa"/>
            </w:tcMar>
            <w:vAlign w:val="center"/>
          </w:tcPr>
          <w:p w14:paraId="6198433E" w14:textId="77777777" w:rsidR="00DF27C6" w:rsidRDefault="00DF27C6">
            <w:pPr>
              <w:jc w:val="center"/>
            </w:pPr>
          </w:p>
        </w:tc>
        <w:tc>
          <w:tcPr>
            <w:tcW w:w="1296" w:type="dxa"/>
            <w:tcMar>
              <w:top w:w="55" w:type="dxa"/>
              <w:left w:w="90" w:type="dxa"/>
              <w:bottom w:w="55" w:type="dxa"/>
              <w:right w:w="90" w:type="dxa"/>
            </w:tcMar>
            <w:vAlign w:val="center"/>
          </w:tcPr>
          <w:p w14:paraId="29589032" w14:textId="77777777" w:rsidR="00DF27C6" w:rsidRDefault="00DF27C6">
            <w:pPr>
              <w:jc w:val="center"/>
            </w:pPr>
          </w:p>
        </w:tc>
      </w:tr>
      <w:tr w:rsidR="00DF27C6" w14:paraId="778EA677" w14:textId="77777777">
        <w:trPr>
          <w:jc w:val="center"/>
        </w:trPr>
        <w:tc>
          <w:tcPr>
            <w:tcW w:w="1368" w:type="dxa"/>
            <w:tcMar>
              <w:top w:w="55" w:type="dxa"/>
              <w:left w:w="90" w:type="dxa"/>
              <w:bottom w:w="55" w:type="dxa"/>
              <w:right w:w="90" w:type="dxa"/>
            </w:tcMar>
            <w:vAlign w:val="center"/>
          </w:tcPr>
          <w:p w14:paraId="3B3B0F80" w14:textId="77777777" w:rsidR="00DF27C6" w:rsidRDefault="00000000">
            <w:r>
              <w:rPr>
                <w:rFonts w:eastAsia="Times New Roman"/>
                <w:sz w:val="14"/>
              </w:rPr>
              <w:t>GGFCE</w:t>
            </w:r>
          </w:p>
        </w:tc>
        <w:tc>
          <w:tcPr>
            <w:tcW w:w="1296" w:type="dxa"/>
            <w:tcMar>
              <w:top w:w="55" w:type="dxa"/>
              <w:left w:w="90" w:type="dxa"/>
              <w:bottom w:w="55" w:type="dxa"/>
              <w:right w:w="90" w:type="dxa"/>
            </w:tcMar>
            <w:vAlign w:val="center"/>
          </w:tcPr>
          <w:p w14:paraId="63CE64C9" w14:textId="77777777" w:rsidR="00DF27C6" w:rsidRDefault="00000000">
            <w:pPr>
              <w:jc w:val="center"/>
            </w:pPr>
            <w:r>
              <w:rPr>
                <w:rFonts w:eastAsia="Times New Roman"/>
                <w:sz w:val="14"/>
              </w:rPr>
              <w:t>-0.4918</w:t>
            </w:r>
            <w:r>
              <w:rPr>
                <w:rFonts w:eastAsia="Times New Roman"/>
                <w:sz w:val="14"/>
              </w:rPr>
              <w:br/>
              <w:t>(&lt;0.0001)</w:t>
            </w:r>
          </w:p>
        </w:tc>
        <w:tc>
          <w:tcPr>
            <w:tcW w:w="1296" w:type="dxa"/>
            <w:tcMar>
              <w:top w:w="55" w:type="dxa"/>
              <w:left w:w="90" w:type="dxa"/>
              <w:bottom w:w="55" w:type="dxa"/>
              <w:right w:w="90" w:type="dxa"/>
            </w:tcMar>
            <w:vAlign w:val="center"/>
          </w:tcPr>
          <w:p w14:paraId="7FFD5133" w14:textId="77777777" w:rsidR="00DF27C6" w:rsidRDefault="00000000">
            <w:pPr>
              <w:jc w:val="center"/>
            </w:pPr>
            <w:r>
              <w:rPr>
                <w:rFonts w:eastAsia="Times New Roman"/>
                <w:sz w:val="14"/>
              </w:rPr>
              <w:t>-0.5377</w:t>
            </w:r>
            <w:r>
              <w:rPr>
                <w:rFonts w:eastAsia="Times New Roman"/>
                <w:sz w:val="14"/>
              </w:rPr>
              <w:br/>
              <w:t>(&lt;0.0001)</w:t>
            </w:r>
          </w:p>
        </w:tc>
        <w:tc>
          <w:tcPr>
            <w:tcW w:w="1368" w:type="dxa"/>
            <w:tcMar>
              <w:top w:w="55" w:type="dxa"/>
              <w:left w:w="90" w:type="dxa"/>
              <w:bottom w:w="55" w:type="dxa"/>
              <w:right w:w="90" w:type="dxa"/>
            </w:tcMar>
            <w:vAlign w:val="center"/>
          </w:tcPr>
          <w:p w14:paraId="34211E18" w14:textId="77777777" w:rsidR="00DF27C6" w:rsidRDefault="00000000">
            <w:pPr>
              <w:jc w:val="center"/>
            </w:pPr>
            <w:r>
              <w:rPr>
                <w:rFonts w:eastAsia="Times New Roman"/>
                <w:sz w:val="14"/>
              </w:rPr>
              <w:t>1.000</w:t>
            </w:r>
          </w:p>
        </w:tc>
        <w:tc>
          <w:tcPr>
            <w:tcW w:w="1296" w:type="dxa"/>
            <w:tcMar>
              <w:top w:w="55" w:type="dxa"/>
              <w:left w:w="90" w:type="dxa"/>
              <w:bottom w:w="55" w:type="dxa"/>
              <w:right w:w="90" w:type="dxa"/>
            </w:tcMar>
            <w:vAlign w:val="center"/>
          </w:tcPr>
          <w:p w14:paraId="758C4F44" w14:textId="77777777" w:rsidR="00DF27C6" w:rsidRDefault="00DF27C6">
            <w:pPr>
              <w:jc w:val="center"/>
            </w:pPr>
          </w:p>
        </w:tc>
        <w:tc>
          <w:tcPr>
            <w:tcW w:w="1296" w:type="dxa"/>
            <w:tcMar>
              <w:top w:w="55" w:type="dxa"/>
              <w:left w:w="90" w:type="dxa"/>
              <w:bottom w:w="55" w:type="dxa"/>
              <w:right w:w="90" w:type="dxa"/>
            </w:tcMar>
            <w:vAlign w:val="center"/>
          </w:tcPr>
          <w:p w14:paraId="22C9C7A9" w14:textId="77777777" w:rsidR="00DF27C6" w:rsidRDefault="00DF27C6">
            <w:pPr>
              <w:jc w:val="center"/>
            </w:pPr>
          </w:p>
        </w:tc>
        <w:tc>
          <w:tcPr>
            <w:tcW w:w="1296" w:type="dxa"/>
            <w:tcMar>
              <w:top w:w="55" w:type="dxa"/>
              <w:left w:w="90" w:type="dxa"/>
              <w:bottom w:w="55" w:type="dxa"/>
              <w:right w:w="90" w:type="dxa"/>
            </w:tcMar>
            <w:vAlign w:val="center"/>
          </w:tcPr>
          <w:p w14:paraId="31FD5DDC" w14:textId="77777777" w:rsidR="00DF27C6" w:rsidRDefault="00DF27C6">
            <w:pPr>
              <w:jc w:val="center"/>
            </w:pPr>
          </w:p>
        </w:tc>
        <w:tc>
          <w:tcPr>
            <w:tcW w:w="1296" w:type="dxa"/>
            <w:tcMar>
              <w:top w:w="55" w:type="dxa"/>
              <w:left w:w="90" w:type="dxa"/>
              <w:bottom w:w="55" w:type="dxa"/>
              <w:right w:w="90" w:type="dxa"/>
            </w:tcMar>
            <w:vAlign w:val="center"/>
          </w:tcPr>
          <w:p w14:paraId="600694FD" w14:textId="77777777" w:rsidR="00DF27C6" w:rsidRDefault="00DF27C6">
            <w:pPr>
              <w:jc w:val="center"/>
            </w:pPr>
          </w:p>
        </w:tc>
      </w:tr>
      <w:tr w:rsidR="00DF27C6" w14:paraId="0296186C" w14:textId="77777777">
        <w:trPr>
          <w:jc w:val="center"/>
        </w:trPr>
        <w:tc>
          <w:tcPr>
            <w:tcW w:w="1368" w:type="dxa"/>
            <w:tcMar>
              <w:top w:w="55" w:type="dxa"/>
              <w:left w:w="90" w:type="dxa"/>
              <w:bottom w:w="55" w:type="dxa"/>
              <w:right w:w="90" w:type="dxa"/>
            </w:tcMar>
            <w:vAlign w:val="center"/>
          </w:tcPr>
          <w:p w14:paraId="36952D66" w14:textId="77777777" w:rsidR="00DF27C6" w:rsidRDefault="00000000">
            <w:r>
              <w:rPr>
                <w:rFonts w:eastAsia="Times New Roman"/>
                <w:sz w:val="14"/>
              </w:rPr>
              <w:t>PPLN</w:t>
            </w:r>
          </w:p>
        </w:tc>
        <w:tc>
          <w:tcPr>
            <w:tcW w:w="1296" w:type="dxa"/>
            <w:tcMar>
              <w:top w:w="55" w:type="dxa"/>
              <w:left w:w="90" w:type="dxa"/>
              <w:bottom w:w="55" w:type="dxa"/>
              <w:right w:w="90" w:type="dxa"/>
            </w:tcMar>
            <w:vAlign w:val="center"/>
          </w:tcPr>
          <w:p w14:paraId="13FB79CC" w14:textId="77777777" w:rsidR="00DF27C6" w:rsidRDefault="00000000">
            <w:pPr>
              <w:jc w:val="center"/>
            </w:pPr>
            <w:r>
              <w:rPr>
                <w:rFonts w:eastAsia="Times New Roman"/>
                <w:sz w:val="14"/>
              </w:rPr>
              <w:t>-0.5154</w:t>
            </w:r>
            <w:r>
              <w:rPr>
                <w:rFonts w:eastAsia="Times New Roman"/>
                <w:sz w:val="14"/>
              </w:rPr>
              <w:br/>
              <w:t>(&lt;0.0001)</w:t>
            </w:r>
          </w:p>
        </w:tc>
        <w:tc>
          <w:tcPr>
            <w:tcW w:w="1296" w:type="dxa"/>
            <w:tcMar>
              <w:top w:w="55" w:type="dxa"/>
              <w:left w:w="90" w:type="dxa"/>
              <w:bottom w:w="55" w:type="dxa"/>
              <w:right w:w="90" w:type="dxa"/>
            </w:tcMar>
            <w:vAlign w:val="center"/>
          </w:tcPr>
          <w:p w14:paraId="317C557C" w14:textId="77777777" w:rsidR="00DF27C6" w:rsidRDefault="00000000">
            <w:pPr>
              <w:jc w:val="center"/>
            </w:pPr>
            <w:r>
              <w:rPr>
                <w:rFonts w:eastAsia="Times New Roman"/>
                <w:sz w:val="14"/>
              </w:rPr>
              <w:t>0.0239</w:t>
            </w:r>
            <w:r>
              <w:rPr>
                <w:rFonts w:eastAsia="Times New Roman"/>
                <w:sz w:val="14"/>
              </w:rPr>
              <w:br/>
              <w:t>(0.8135)</w:t>
            </w:r>
          </w:p>
        </w:tc>
        <w:tc>
          <w:tcPr>
            <w:tcW w:w="1368" w:type="dxa"/>
            <w:tcMar>
              <w:top w:w="55" w:type="dxa"/>
              <w:left w:w="90" w:type="dxa"/>
              <w:bottom w:w="55" w:type="dxa"/>
              <w:right w:w="90" w:type="dxa"/>
            </w:tcMar>
            <w:vAlign w:val="center"/>
          </w:tcPr>
          <w:p w14:paraId="09E84FBD" w14:textId="77777777" w:rsidR="00DF27C6" w:rsidRDefault="00000000">
            <w:pPr>
              <w:jc w:val="center"/>
            </w:pPr>
            <w:r>
              <w:rPr>
                <w:rFonts w:eastAsia="Times New Roman"/>
                <w:sz w:val="14"/>
              </w:rPr>
              <w:t>0.0892</w:t>
            </w:r>
            <w:r>
              <w:rPr>
                <w:rFonts w:eastAsia="Times New Roman"/>
                <w:sz w:val="14"/>
              </w:rPr>
              <w:br/>
              <w:t>(0.3773)</w:t>
            </w:r>
          </w:p>
        </w:tc>
        <w:tc>
          <w:tcPr>
            <w:tcW w:w="1296" w:type="dxa"/>
            <w:tcMar>
              <w:top w:w="55" w:type="dxa"/>
              <w:left w:w="90" w:type="dxa"/>
              <w:bottom w:w="55" w:type="dxa"/>
              <w:right w:w="90" w:type="dxa"/>
            </w:tcMar>
            <w:vAlign w:val="center"/>
          </w:tcPr>
          <w:p w14:paraId="3047C966" w14:textId="77777777" w:rsidR="00DF27C6" w:rsidRDefault="00000000">
            <w:pPr>
              <w:jc w:val="center"/>
            </w:pPr>
            <w:r>
              <w:rPr>
                <w:rFonts w:eastAsia="Times New Roman"/>
                <w:sz w:val="14"/>
              </w:rPr>
              <w:t>1.000</w:t>
            </w:r>
          </w:p>
        </w:tc>
        <w:tc>
          <w:tcPr>
            <w:tcW w:w="1296" w:type="dxa"/>
            <w:tcMar>
              <w:top w:w="55" w:type="dxa"/>
              <w:left w:w="90" w:type="dxa"/>
              <w:bottom w:w="55" w:type="dxa"/>
              <w:right w:w="90" w:type="dxa"/>
            </w:tcMar>
            <w:vAlign w:val="center"/>
          </w:tcPr>
          <w:p w14:paraId="4D060953" w14:textId="77777777" w:rsidR="00DF27C6" w:rsidRDefault="00DF27C6">
            <w:pPr>
              <w:jc w:val="center"/>
            </w:pPr>
          </w:p>
        </w:tc>
        <w:tc>
          <w:tcPr>
            <w:tcW w:w="1296" w:type="dxa"/>
            <w:tcMar>
              <w:top w:w="55" w:type="dxa"/>
              <w:left w:w="90" w:type="dxa"/>
              <w:bottom w:w="55" w:type="dxa"/>
              <w:right w:w="90" w:type="dxa"/>
            </w:tcMar>
            <w:vAlign w:val="center"/>
          </w:tcPr>
          <w:p w14:paraId="7BA082A0" w14:textId="77777777" w:rsidR="00DF27C6" w:rsidRDefault="00DF27C6">
            <w:pPr>
              <w:jc w:val="center"/>
            </w:pPr>
          </w:p>
        </w:tc>
        <w:tc>
          <w:tcPr>
            <w:tcW w:w="1296" w:type="dxa"/>
            <w:tcMar>
              <w:top w:w="55" w:type="dxa"/>
              <w:left w:w="90" w:type="dxa"/>
              <w:bottom w:w="55" w:type="dxa"/>
              <w:right w:w="90" w:type="dxa"/>
            </w:tcMar>
            <w:vAlign w:val="center"/>
          </w:tcPr>
          <w:p w14:paraId="57C02D48" w14:textId="77777777" w:rsidR="00DF27C6" w:rsidRDefault="00DF27C6">
            <w:pPr>
              <w:jc w:val="center"/>
            </w:pPr>
          </w:p>
        </w:tc>
      </w:tr>
      <w:tr w:rsidR="00DF27C6" w14:paraId="0B4E4D97" w14:textId="77777777">
        <w:trPr>
          <w:jc w:val="center"/>
        </w:trPr>
        <w:tc>
          <w:tcPr>
            <w:tcW w:w="1368" w:type="dxa"/>
            <w:tcMar>
              <w:top w:w="55" w:type="dxa"/>
              <w:left w:w="90" w:type="dxa"/>
              <w:bottom w:w="55" w:type="dxa"/>
              <w:right w:w="90" w:type="dxa"/>
            </w:tcMar>
            <w:vAlign w:val="center"/>
          </w:tcPr>
          <w:p w14:paraId="5333A4F9" w14:textId="77777777" w:rsidR="00DF27C6" w:rsidRDefault="00000000">
            <w:r>
              <w:rPr>
                <w:rFonts w:eastAsia="Times New Roman"/>
                <w:sz w:val="14"/>
              </w:rPr>
              <w:t>INFL</w:t>
            </w:r>
          </w:p>
        </w:tc>
        <w:tc>
          <w:tcPr>
            <w:tcW w:w="1296" w:type="dxa"/>
            <w:tcMar>
              <w:top w:w="55" w:type="dxa"/>
              <w:left w:w="90" w:type="dxa"/>
              <w:bottom w:w="55" w:type="dxa"/>
              <w:right w:w="90" w:type="dxa"/>
            </w:tcMar>
            <w:vAlign w:val="center"/>
          </w:tcPr>
          <w:p w14:paraId="7F4CD812" w14:textId="77777777" w:rsidR="00DF27C6" w:rsidRDefault="00000000">
            <w:pPr>
              <w:jc w:val="center"/>
            </w:pPr>
            <w:r>
              <w:rPr>
                <w:rFonts w:eastAsia="Times New Roman"/>
                <w:sz w:val="14"/>
              </w:rPr>
              <w:t>-0.2333</w:t>
            </w:r>
            <w:r>
              <w:rPr>
                <w:rFonts w:eastAsia="Times New Roman"/>
                <w:sz w:val="14"/>
              </w:rPr>
              <w:br/>
              <w:t>(0.0195)</w:t>
            </w:r>
          </w:p>
        </w:tc>
        <w:tc>
          <w:tcPr>
            <w:tcW w:w="1296" w:type="dxa"/>
            <w:tcMar>
              <w:top w:w="55" w:type="dxa"/>
              <w:left w:w="90" w:type="dxa"/>
              <w:bottom w:w="55" w:type="dxa"/>
              <w:right w:w="90" w:type="dxa"/>
            </w:tcMar>
            <w:vAlign w:val="center"/>
          </w:tcPr>
          <w:p w14:paraId="420A25CC" w14:textId="77777777" w:rsidR="00DF27C6" w:rsidRDefault="00000000">
            <w:pPr>
              <w:jc w:val="center"/>
            </w:pPr>
            <w:r>
              <w:rPr>
                <w:rFonts w:eastAsia="Times New Roman"/>
                <w:sz w:val="14"/>
              </w:rPr>
              <w:t>-0.1387</w:t>
            </w:r>
            <w:r>
              <w:rPr>
                <w:rFonts w:eastAsia="Times New Roman"/>
                <w:sz w:val="14"/>
              </w:rPr>
              <w:br/>
              <w:t>(0.1688)</w:t>
            </w:r>
          </w:p>
        </w:tc>
        <w:tc>
          <w:tcPr>
            <w:tcW w:w="1368" w:type="dxa"/>
            <w:tcMar>
              <w:top w:w="55" w:type="dxa"/>
              <w:left w:w="90" w:type="dxa"/>
              <w:bottom w:w="55" w:type="dxa"/>
              <w:right w:w="90" w:type="dxa"/>
            </w:tcMar>
            <w:vAlign w:val="center"/>
          </w:tcPr>
          <w:p w14:paraId="1A58D54F" w14:textId="77777777" w:rsidR="00DF27C6" w:rsidRDefault="00000000">
            <w:pPr>
              <w:jc w:val="center"/>
            </w:pPr>
            <w:r>
              <w:rPr>
                <w:rFonts w:eastAsia="Times New Roman"/>
                <w:sz w:val="14"/>
              </w:rPr>
              <w:t>0.2194</w:t>
            </w:r>
            <w:r>
              <w:rPr>
                <w:rFonts w:eastAsia="Times New Roman"/>
                <w:sz w:val="14"/>
              </w:rPr>
              <w:br/>
              <w:t>(0.0283)</w:t>
            </w:r>
          </w:p>
        </w:tc>
        <w:tc>
          <w:tcPr>
            <w:tcW w:w="1296" w:type="dxa"/>
            <w:tcMar>
              <w:top w:w="55" w:type="dxa"/>
              <w:left w:w="90" w:type="dxa"/>
              <w:bottom w:w="55" w:type="dxa"/>
              <w:right w:w="90" w:type="dxa"/>
            </w:tcMar>
            <w:vAlign w:val="center"/>
          </w:tcPr>
          <w:p w14:paraId="5CFBF524" w14:textId="77777777" w:rsidR="00DF27C6" w:rsidRDefault="00000000">
            <w:pPr>
              <w:jc w:val="center"/>
            </w:pPr>
            <w:r>
              <w:rPr>
                <w:rFonts w:eastAsia="Times New Roman"/>
                <w:sz w:val="14"/>
              </w:rPr>
              <w:t>0.0814</w:t>
            </w:r>
            <w:r>
              <w:rPr>
                <w:rFonts w:eastAsia="Times New Roman"/>
                <w:sz w:val="14"/>
              </w:rPr>
              <w:br/>
              <w:t>(0.4209)</w:t>
            </w:r>
          </w:p>
        </w:tc>
        <w:tc>
          <w:tcPr>
            <w:tcW w:w="1296" w:type="dxa"/>
            <w:tcMar>
              <w:top w:w="55" w:type="dxa"/>
              <w:left w:w="90" w:type="dxa"/>
              <w:bottom w:w="55" w:type="dxa"/>
              <w:right w:w="90" w:type="dxa"/>
            </w:tcMar>
            <w:vAlign w:val="center"/>
          </w:tcPr>
          <w:p w14:paraId="48F83DD2" w14:textId="77777777" w:rsidR="00DF27C6" w:rsidRDefault="00000000">
            <w:pPr>
              <w:jc w:val="center"/>
            </w:pPr>
            <w:r>
              <w:rPr>
                <w:rFonts w:eastAsia="Times New Roman"/>
                <w:sz w:val="14"/>
              </w:rPr>
              <w:t>1.000</w:t>
            </w:r>
          </w:p>
        </w:tc>
        <w:tc>
          <w:tcPr>
            <w:tcW w:w="1296" w:type="dxa"/>
            <w:tcMar>
              <w:top w:w="55" w:type="dxa"/>
              <w:left w:w="90" w:type="dxa"/>
              <w:bottom w:w="55" w:type="dxa"/>
              <w:right w:w="90" w:type="dxa"/>
            </w:tcMar>
            <w:vAlign w:val="center"/>
          </w:tcPr>
          <w:p w14:paraId="76686FA9" w14:textId="77777777" w:rsidR="00DF27C6" w:rsidRDefault="00DF27C6">
            <w:pPr>
              <w:jc w:val="center"/>
            </w:pPr>
          </w:p>
        </w:tc>
        <w:tc>
          <w:tcPr>
            <w:tcW w:w="1296" w:type="dxa"/>
            <w:tcMar>
              <w:top w:w="55" w:type="dxa"/>
              <w:left w:w="90" w:type="dxa"/>
              <w:bottom w:w="55" w:type="dxa"/>
              <w:right w:w="90" w:type="dxa"/>
            </w:tcMar>
            <w:vAlign w:val="center"/>
          </w:tcPr>
          <w:p w14:paraId="1F90A673" w14:textId="77777777" w:rsidR="00DF27C6" w:rsidRDefault="00DF27C6">
            <w:pPr>
              <w:jc w:val="center"/>
            </w:pPr>
          </w:p>
        </w:tc>
      </w:tr>
      <w:tr w:rsidR="00DF27C6" w14:paraId="3C67F50E" w14:textId="77777777">
        <w:trPr>
          <w:jc w:val="center"/>
        </w:trPr>
        <w:tc>
          <w:tcPr>
            <w:tcW w:w="1368" w:type="dxa"/>
            <w:tcMar>
              <w:top w:w="55" w:type="dxa"/>
              <w:left w:w="90" w:type="dxa"/>
              <w:bottom w:w="55" w:type="dxa"/>
              <w:right w:w="90" w:type="dxa"/>
            </w:tcMar>
            <w:vAlign w:val="center"/>
          </w:tcPr>
          <w:p w14:paraId="56035C17" w14:textId="77777777" w:rsidR="00DF27C6" w:rsidRDefault="00000000">
            <w:r>
              <w:rPr>
                <w:rFonts w:eastAsia="Times New Roman"/>
                <w:sz w:val="14"/>
              </w:rPr>
              <w:t>EXCH</w:t>
            </w:r>
          </w:p>
        </w:tc>
        <w:tc>
          <w:tcPr>
            <w:tcW w:w="1296" w:type="dxa"/>
            <w:tcMar>
              <w:top w:w="55" w:type="dxa"/>
              <w:left w:w="90" w:type="dxa"/>
              <w:bottom w:w="55" w:type="dxa"/>
              <w:right w:w="90" w:type="dxa"/>
            </w:tcMar>
            <w:vAlign w:val="center"/>
          </w:tcPr>
          <w:p w14:paraId="59F0CE13" w14:textId="77777777" w:rsidR="00DF27C6" w:rsidRDefault="00000000">
            <w:pPr>
              <w:jc w:val="center"/>
            </w:pPr>
            <w:r>
              <w:rPr>
                <w:rFonts w:eastAsia="Times New Roman"/>
                <w:sz w:val="14"/>
              </w:rPr>
              <w:t>-0.2238</w:t>
            </w:r>
            <w:r>
              <w:rPr>
                <w:rFonts w:eastAsia="Times New Roman"/>
                <w:sz w:val="14"/>
              </w:rPr>
              <w:br/>
              <w:t>(0.0252)</w:t>
            </w:r>
          </w:p>
        </w:tc>
        <w:tc>
          <w:tcPr>
            <w:tcW w:w="1296" w:type="dxa"/>
            <w:tcMar>
              <w:top w:w="55" w:type="dxa"/>
              <w:left w:w="90" w:type="dxa"/>
              <w:bottom w:w="55" w:type="dxa"/>
              <w:right w:w="90" w:type="dxa"/>
            </w:tcMar>
            <w:vAlign w:val="center"/>
          </w:tcPr>
          <w:p w14:paraId="061E8214" w14:textId="77777777" w:rsidR="00DF27C6" w:rsidRDefault="00000000">
            <w:pPr>
              <w:jc w:val="center"/>
            </w:pPr>
            <w:r>
              <w:rPr>
                <w:rFonts w:eastAsia="Times New Roman"/>
                <w:sz w:val="14"/>
              </w:rPr>
              <w:t>0.4165</w:t>
            </w:r>
            <w:r>
              <w:rPr>
                <w:rFonts w:eastAsia="Times New Roman"/>
                <w:sz w:val="14"/>
              </w:rPr>
              <w:br/>
              <w:t>(&lt;0.0001)</w:t>
            </w:r>
          </w:p>
        </w:tc>
        <w:tc>
          <w:tcPr>
            <w:tcW w:w="1368" w:type="dxa"/>
            <w:tcMar>
              <w:top w:w="55" w:type="dxa"/>
              <w:left w:w="90" w:type="dxa"/>
              <w:bottom w:w="55" w:type="dxa"/>
              <w:right w:w="90" w:type="dxa"/>
            </w:tcMar>
            <w:vAlign w:val="center"/>
          </w:tcPr>
          <w:p w14:paraId="5B70DE34" w14:textId="77777777" w:rsidR="00DF27C6" w:rsidRDefault="00000000">
            <w:pPr>
              <w:jc w:val="center"/>
            </w:pPr>
            <w:r>
              <w:rPr>
                <w:rFonts w:eastAsia="Times New Roman"/>
                <w:sz w:val="14"/>
              </w:rPr>
              <w:t>-0.1349</w:t>
            </w:r>
            <w:r>
              <w:rPr>
                <w:rFonts w:eastAsia="Times New Roman"/>
                <w:sz w:val="14"/>
              </w:rPr>
              <w:br/>
              <w:t>(0.1808)</w:t>
            </w:r>
          </w:p>
        </w:tc>
        <w:tc>
          <w:tcPr>
            <w:tcW w:w="1296" w:type="dxa"/>
            <w:tcMar>
              <w:top w:w="55" w:type="dxa"/>
              <w:left w:w="90" w:type="dxa"/>
              <w:bottom w:w="55" w:type="dxa"/>
              <w:right w:w="90" w:type="dxa"/>
            </w:tcMar>
            <w:vAlign w:val="center"/>
          </w:tcPr>
          <w:p w14:paraId="14095FCA" w14:textId="77777777" w:rsidR="00DF27C6" w:rsidRDefault="00000000">
            <w:pPr>
              <w:jc w:val="center"/>
            </w:pPr>
            <w:r>
              <w:rPr>
                <w:rFonts w:eastAsia="Times New Roman"/>
                <w:sz w:val="14"/>
              </w:rPr>
              <w:t>0.4034</w:t>
            </w:r>
            <w:r>
              <w:rPr>
                <w:rFonts w:eastAsia="Times New Roman"/>
                <w:sz w:val="14"/>
              </w:rPr>
              <w:br/>
              <w:t>(&lt;0.0001)</w:t>
            </w:r>
          </w:p>
        </w:tc>
        <w:tc>
          <w:tcPr>
            <w:tcW w:w="1296" w:type="dxa"/>
            <w:tcMar>
              <w:top w:w="55" w:type="dxa"/>
              <w:left w:w="90" w:type="dxa"/>
              <w:bottom w:w="55" w:type="dxa"/>
              <w:right w:w="90" w:type="dxa"/>
            </w:tcMar>
            <w:vAlign w:val="center"/>
          </w:tcPr>
          <w:p w14:paraId="46AC7544" w14:textId="77777777" w:rsidR="00DF27C6" w:rsidRDefault="00000000">
            <w:pPr>
              <w:jc w:val="center"/>
            </w:pPr>
            <w:r>
              <w:rPr>
                <w:rFonts w:eastAsia="Times New Roman"/>
                <w:sz w:val="14"/>
              </w:rPr>
              <w:t>-0.1937</w:t>
            </w:r>
            <w:r>
              <w:rPr>
                <w:rFonts w:eastAsia="Times New Roman"/>
                <w:sz w:val="14"/>
              </w:rPr>
              <w:br/>
              <w:t>(0.0535)</w:t>
            </w:r>
          </w:p>
        </w:tc>
        <w:tc>
          <w:tcPr>
            <w:tcW w:w="1296" w:type="dxa"/>
            <w:tcMar>
              <w:top w:w="55" w:type="dxa"/>
              <w:left w:w="90" w:type="dxa"/>
              <w:bottom w:w="55" w:type="dxa"/>
              <w:right w:w="90" w:type="dxa"/>
            </w:tcMar>
            <w:vAlign w:val="center"/>
          </w:tcPr>
          <w:p w14:paraId="611B83F9" w14:textId="77777777" w:rsidR="00DF27C6" w:rsidRDefault="00000000">
            <w:pPr>
              <w:jc w:val="center"/>
            </w:pPr>
            <w:r>
              <w:rPr>
                <w:rFonts w:eastAsia="Times New Roman"/>
                <w:sz w:val="14"/>
              </w:rPr>
              <w:t>1.000</w:t>
            </w:r>
          </w:p>
        </w:tc>
        <w:tc>
          <w:tcPr>
            <w:tcW w:w="1296" w:type="dxa"/>
            <w:tcMar>
              <w:top w:w="55" w:type="dxa"/>
              <w:left w:w="90" w:type="dxa"/>
              <w:bottom w:w="55" w:type="dxa"/>
              <w:right w:w="90" w:type="dxa"/>
            </w:tcMar>
            <w:vAlign w:val="center"/>
          </w:tcPr>
          <w:p w14:paraId="77A2D23A" w14:textId="77777777" w:rsidR="00DF27C6" w:rsidRDefault="00DF27C6">
            <w:pPr>
              <w:jc w:val="center"/>
            </w:pPr>
          </w:p>
        </w:tc>
      </w:tr>
      <w:tr w:rsidR="00DF27C6" w14:paraId="167DD918" w14:textId="77777777">
        <w:trPr>
          <w:jc w:val="center"/>
        </w:trPr>
        <w:tc>
          <w:tcPr>
            <w:tcW w:w="1368" w:type="dxa"/>
            <w:tcMar>
              <w:top w:w="55" w:type="dxa"/>
              <w:left w:w="90" w:type="dxa"/>
              <w:bottom w:w="55" w:type="dxa"/>
              <w:right w:w="90" w:type="dxa"/>
            </w:tcMar>
            <w:vAlign w:val="center"/>
          </w:tcPr>
          <w:p w14:paraId="7B30E8D5" w14:textId="77777777" w:rsidR="00DF27C6" w:rsidRDefault="00000000">
            <w:r>
              <w:rPr>
                <w:rFonts w:eastAsia="Times New Roman"/>
                <w:sz w:val="14"/>
              </w:rPr>
              <w:t>ODA</w:t>
            </w:r>
          </w:p>
        </w:tc>
        <w:tc>
          <w:tcPr>
            <w:tcW w:w="1296" w:type="dxa"/>
            <w:tcMar>
              <w:top w:w="55" w:type="dxa"/>
              <w:left w:w="90" w:type="dxa"/>
              <w:bottom w:w="55" w:type="dxa"/>
              <w:right w:w="90" w:type="dxa"/>
            </w:tcMar>
            <w:vAlign w:val="center"/>
          </w:tcPr>
          <w:p w14:paraId="1E612FEA" w14:textId="77777777" w:rsidR="00DF27C6" w:rsidRDefault="00000000">
            <w:pPr>
              <w:jc w:val="center"/>
            </w:pPr>
            <w:r>
              <w:rPr>
                <w:rFonts w:eastAsia="Times New Roman"/>
                <w:sz w:val="14"/>
              </w:rPr>
              <w:t>-0.7033</w:t>
            </w:r>
            <w:r>
              <w:rPr>
                <w:rFonts w:eastAsia="Times New Roman"/>
                <w:sz w:val="14"/>
              </w:rPr>
              <w:br/>
              <w:t>(&lt;0.0001)</w:t>
            </w:r>
          </w:p>
        </w:tc>
        <w:tc>
          <w:tcPr>
            <w:tcW w:w="1296" w:type="dxa"/>
            <w:tcMar>
              <w:top w:w="55" w:type="dxa"/>
              <w:left w:w="90" w:type="dxa"/>
              <w:bottom w:w="55" w:type="dxa"/>
              <w:right w:w="90" w:type="dxa"/>
            </w:tcMar>
            <w:vAlign w:val="center"/>
          </w:tcPr>
          <w:p w14:paraId="1177D34A" w14:textId="77777777" w:rsidR="00DF27C6" w:rsidRDefault="00000000">
            <w:pPr>
              <w:jc w:val="center"/>
            </w:pPr>
            <w:r>
              <w:rPr>
                <w:rFonts w:eastAsia="Times New Roman"/>
                <w:sz w:val="14"/>
              </w:rPr>
              <w:t>-0.4695</w:t>
            </w:r>
            <w:r>
              <w:rPr>
                <w:rFonts w:eastAsia="Times New Roman"/>
                <w:sz w:val="14"/>
              </w:rPr>
              <w:br/>
              <w:t>(&lt;0.0001)</w:t>
            </w:r>
          </w:p>
        </w:tc>
        <w:tc>
          <w:tcPr>
            <w:tcW w:w="1368" w:type="dxa"/>
            <w:tcMar>
              <w:top w:w="55" w:type="dxa"/>
              <w:left w:w="90" w:type="dxa"/>
              <w:bottom w:w="55" w:type="dxa"/>
              <w:right w:w="90" w:type="dxa"/>
            </w:tcMar>
            <w:vAlign w:val="center"/>
          </w:tcPr>
          <w:p w14:paraId="3CF188F6" w14:textId="77777777" w:rsidR="00DF27C6" w:rsidRDefault="00000000">
            <w:pPr>
              <w:jc w:val="center"/>
            </w:pPr>
            <w:r>
              <w:rPr>
                <w:rFonts w:eastAsia="Times New Roman"/>
                <w:sz w:val="14"/>
              </w:rPr>
              <w:t>0.5782</w:t>
            </w:r>
            <w:r>
              <w:rPr>
                <w:rFonts w:eastAsia="Times New Roman"/>
                <w:sz w:val="14"/>
              </w:rPr>
              <w:br/>
              <w:t>(&lt;0.0001)</w:t>
            </w:r>
          </w:p>
        </w:tc>
        <w:tc>
          <w:tcPr>
            <w:tcW w:w="1296" w:type="dxa"/>
            <w:tcMar>
              <w:top w:w="55" w:type="dxa"/>
              <w:left w:w="90" w:type="dxa"/>
              <w:bottom w:w="55" w:type="dxa"/>
              <w:right w:w="90" w:type="dxa"/>
            </w:tcMar>
            <w:vAlign w:val="center"/>
          </w:tcPr>
          <w:p w14:paraId="19201F5C" w14:textId="77777777" w:rsidR="00DF27C6" w:rsidRDefault="00000000">
            <w:pPr>
              <w:jc w:val="center"/>
            </w:pPr>
            <w:r>
              <w:rPr>
                <w:rFonts w:eastAsia="Times New Roman"/>
                <w:sz w:val="14"/>
              </w:rPr>
              <w:t>0.4348</w:t>
            </w:r>
            <w:r>
              <w:rPr>
                <w:rFonts w:eastAsia="Times New Roman"/>
                <w:sz w:val="14"/>
              </w:rPr>
              <w:br/>
              <w:t>(&lt;0.0001)</w:t>
            </w:r>
          </w:p>
        </w:tc>
        <w:tc>
          <w:tcPr>
            <w:tcW w:w="1296" w:type="dxa"/>
            <w:tcMar>
              <w:top w:w="55" w:type="dxa"/>
              <w:left w:w="90" w:type="dxa"/>
              <w:bottom w:w="55" w:type="dxa"/>
              <w:right w:w="90" w:type="dxa"/>
            </w:tcMar>
            <w:vAlign w:val="center"/>
          </w:tcPr>
          <w:p w14:paraId="005FC5AC" w14:textId="77777777" w:rsidR="00DF27C6" w:rsidRDefault="00000000">
            <w:pPr>
              <w:jc w:val="center"/>
            </w:pPr>
            <w:r>
              <w:rPr>
                <w:rFonts w:eastAsia="Times New Roman"/>
                <w:sz w:val="14"/>
              </w:rPr>
              <w:t>0.0430</w:t>
            </w:r>
            <w:r>
              <w:rPr>
                <w:rFonts w:eastAsia="Times New Roman"/>
                <w:sz w:val="14"/>
              </w:rPr>
              <w:br/>
              <w:t>(0.6712)</w:t>
            </w:r>
          </w:p>
        </w:tc>
        <w:tc>
          <w:tcPr>
            <w:tcW w:w="1296" w:type="dxa"/>
            <w:tcMar>
              <w:top w:w="55" w:type="dxa"/>
              <w:left w:w="90" w:type="dxa"/>
              <w:bottom w:w="55" w:type="dxa"/>
              <w:right w:w="90" w:type="dxa"/>
            </w:tcMar>
            <w:vAlign w:val="center"/>
          </w:tcPr>
          <w:p w14:paraId="752F0244" w14:textId="77777777" w:rsidR="00DF27C6" w:rsidRDefault="00000000">
            <w:pPr>
              <w:jc w:val="center"/>
            </w:pPr>
            <w:r>
              <w:rPr>
                <w:rFonts w:eastAsia="Times New Roman"/>
                <w:sz w:val="14"/>
              </w:rPr>
              <w:t>-0.0927</w:t>
            </w:r>
            <w:r>
              <w:rPr>
                <w:rFonts w:eastAsia="Times New Roman"/>
                <w:sz w:val="14"/>
              </w:rPr>
              <w:br/>
              <w:t>(0.3590)</w:t>
            </w:r>
          </w:p>
        </w:tc>
        <w:tc>
          <w:tcPr>
            <w:tcW w:w="1296" w:type="dxa"/>
            <w:tcMar>
              <w:top w:w="55" w:type="dxa"/>
              <w:left w:w="90" w:type="dxa"/>
              <w:bottom w:w="55" w:type="dxa"/>
              <w:right w:w="90" w:type="dxa"/>
            </w:tcMar>
            <w:vAlign w:val="center"/>
          </w:tcPr>
          <w:p w14:paraId="2776E00B" w14:textId="77777777" w:rsidR="00DF27C6" w:rsidRDefault="00000000">
            <w:pPr>
              <w:jc w:val="center"/>
            </w:pPr>
            <w:r>
              <w:rPr>
                <w:rFonts w:eastAsia="Times New Roman"/>
                <w:sz w:val="14"/>
              </w:rPr>
              <w:t>1.000</w:t>
            </w:r>
          </w:p>
        </w:tc>
      </w:tr>
    </w:tbl>
    <w:p w14:paraId="74FE320D" w14:textId="77777777" w:rsidR="00DF27C6" w:rsidRDefault="00000000">
      <w:pPr>
        <w:spacing w:before="40" w:after="120"/>
      </w:pPr>
      <w:r>
        <w:rPr>
          <w:rFonts w:eastAsia="Times New Roman"/>
          <w:i/>
          <w:sz w:val="17"/>
        </w:rPr>
        <w:t>Source: Study data (2026).</w:t>
      </w:r>
    </w:p>
    <w:p w14:paraId="56D30FBD" w14:textId="77777777" w:rsidR="00DF27C6" w:rsidRDefault="00000000">
      <w:pPr>
        <w:pStyle w:val="Heading2"/>
        <w:spacing w:before="120" w:after="80"/>
      </w:pPr>
      <w:r>
        <w:rPr>
          <w:rFonts w:ascii="Times New Roman" w:eastAsia="Times New Roman" w:hAnsi="Times New Roman"/>
        </w:rPr>
        <w:t>4.3 Diagnostic tests</w:t>
      </w:r>
    </w:p>
    <w:p w14:paraId="7A0F989A" w14:textId="77777777" w:rsidR="00DF27C6" w:rsidRDefault="00000000">
      <w:pPr>
        <w:pStyle w:val="Heading2"/>
        <w:spacing w:before="120" w:after="80"/>
      </w:pPr>
      <w:r>
        <w:rPr>
          <w:rFonts w:ascii="Times New Roman" w:eastAsia="Times New Roman" w:hAnsi="Times New Roman"/>
        </w:rPr>
        <w:t>4.3.1 Panel unit-root results</w:t>
      </w:r>
    </w:p>
    <w:p w14:paraId="435E4F12" w14:textId="77777777" w:rsidR="00DF27C6" w:rsidRDefault="00000000">
      <w:pPr>
        <w:keepNext/>
        <w:spacing w:after="40"/>
        <w:ind w:firstLine="360"/>
        <w:jc w:val="both"/>
      </w:pPr>
      <w:r>
        <w:t xml:space="preserve">Table 4 reports Levin–Lin–Chu statistics under specifications with an intercept and with an intercept plus trend (Levin et al., 2002). GDP, FDI, inflation, and population growth are stationary at level under both reported specifications. ODA and the exchange rate require first differencing. The classification of GGFCE is sensitive to the deterministic specification: it is nonstationary at level with an intercept only but stationary at level when a trend is included. Because common shocks across </w:t>
      </w:r>
      <w:r>
        <w:rPr>
          <w:highlight w:val="yellow"/>
        </w:rPr>
        <w:t>neighbouring</w:t>
      </w:r>
      <w:r>
        <w:t xml:space="preserve"> economies can violate the cross-sectional-independence conditions underlying first-generation tests, these results are treated as supplementary; cross-sectionally augmented procedures are preferable when such dependence is material (Pesaran, 2007). The mixed and specification-sensitive pattern is also a reason not to interpret the subsequent level regression as establishing a stable long-run equilibrium relationship.</w:t>
      </w:r>
    </w:p>
    <w:p w14:paraId="140C3A96" w14:textId="77777777" w:rsidR="00DF27C6" w:rsidRDefault="00000000">
      <w:pPr>
        <w:keepNext/>
        <w:spacing w:before="80" w:after="40"/>
      </w:pPr>
      <w:r>
        <w:rPr>
          <w:rFonts w:eastAsia="Times New Roman"/>
          <w:b/>
          <w:sz w:val="20"/>
        </w:rPr>
        <w:t>Table 4. Levin–Lin–Chu panel unit-root test</w:t>
      </w:r>
    </w:p>
    <w:tbl>
      <w:tblPr>
        <w:tblStyle w:val="TableGrid"/>
        <w:tblW w:w="0" w:type="auto"/>
        <w:jc w:val="center"/>
        <w:tblLayout w:type="fixed"/>
        <w:tblLook w:val="04A0" w:firstRow="1" w:lastRow="0" w:firstColumn="1" w:lastColumn="0" w:noHBand="0" w:noVBand="1"/>
      </w:tblPr>
      <w:tblGrid>
        <w:gridCol w:w="1872"/>
        <w:gridCol w:w="1224"/>
        <w:gridCol w:w="2880"/>
        <w:gridCol w:w="936"/>
        <w:gridCol w:w="2880"/>
        <w:gridCol w:w="936"/>
      </w:tblGrid>
      <w:tr w:rsidR="00DF27C6" w14:paraId="3C1AD407" w14:textId="77777777">
        <w:trPr>
          <w:tblHeader/>
          <w:jc w:val="center"/>
        </w:trPr>
        <w:tc>
          <w:tcPr>
            <w:tcW w:w="1872" w:type="dxa"/>
            <w:shd w:val="clear" w:color="auto" w:fill="D9E2F3"/>
            <w:tcMar>
              <w:top w:w="55" w:type="dxa"/>
              <w:left w:w="90" w:type="dxa"/>
              <w:bottom w:w="55" w:type="dxa"/>
              <w:right w:w="90" w:type="dxa"/>
            </w:tcMar>
            <w:vAlign w:val="center"/>
          </w:tcPr>
          <w:p w14:paraId="34304630" w14:textId="77777777" w:rsidR="00DF27C6" w:rsidRDefault="00000000">
            <w:pPr>
              <w:jc w:val="center"/>
            </w:pPr>
            <w:r>
              <w:rPr>
                <w:rFonts w:eastAsia="Times New Roman"/>
                <w:b/>
                <w:sz w:val="14"/>
              </w:rPr>
              <w:t>Variable</w:t>
            </w:r>
          </w:p>
        </w:tc>
        <w:tc>
          <w:tcPr>
            <w:tcW w:w="1224" w:type="dxa"/>
            <w:shd w:val="clear" w:color="auto" w:fill="D9E2F3"/>
            <w:tcMar>
              <w:top w:w="55" w:type="dxa"/>
              <w:left w:w="90" w:type="dxa"/>
              <w:bottom w:w="55" w:type="dxa"/>
              <w:right w:w="90" w:type="dxa"/>
            </w:tcMar>
            <w:vAlign w:val="center"/>
          </w:tcPr>
          <w:p w14:paraId="3B017408" w14:textId="77777777" w:rsidR="00DF27C6" w:rsidRDefault="00000000">
            <w:pPr>
              <w:jc w:val="center"/>
            </w:pPr>
            <w:r>
              <w:rPr>
                <w:rFonts w:eastAsia="Times New Roman"/>
                <w:b/>
                <w:sz w:val="14"/>
              </w:rPr>
              <w:t>Form</w:t>
            </w:r>
          </w:p>
        </w:tc>
        <w:tc>
          <w:tcPr>
            <w:tcW w:w="2880" w:type="dxa"/>
            <w:shd w:val="clear" w:color="auto" w:fill="D9E2F3"/>
            <w:tcMar>
              <w:top w:w="55" w:type="dxa"/>
              <w:left w:w="90" w:type="dxa"/>
              <w:bottom w:w="55" w:type="dxa"/>
              <w:right w:w="90" w:type="dxa"/>
            </w:tcMar>
            <w:vAlign w:val="center"/>
          </w:tcPr>
          <w:p w14:paraId="41CD3385" w14:textId="77777777" w:rsidR="00DF27C6" w:rsidRDefault="00000000">
            <w:pPr>
              <w:jc w:val="center"/>
            </w:pPr>
            <w:r>
              <w:rPr>
                <w:rFonts w:eastAsia="Times New Roman"/>
                <w:b/>
                <w:sz w:val="14"/>
              </w:rPr>
              <w:t>Constant, no trend: adjusted t* (p)</w:t>
            </w:r>
          </w:p>
        </w:tc>
        <w:tc>
          <w:tcPr>
            <w:tcW w:w="936" w:type="dxa"/>
            <w:shd w:val="clear" w:color="auto" w:fill="D9E2F3"/>
            <w:tcMar>
              <w:top w:w="55" w:type="dxa"/>
              <w:left w:w="90" w:type="dxa"/>
              <w:bottom w:w="55" w:type="dxa"/>
              <w:right w:w="90" w:type="dxa"/>
            </w:tcMar>
            <w:vAlign w:val="center"/>
          </w:tcPr>
          <w:p w14:paraId="783E3C45" w14:textId="77777777" w:rsidR="00DF27C6" w:rsidRDefault="00000000">
            <w:pPr>
              <w:jc w:val="center"/>
            </w:pPr>
            <w:r>
              <w:rPr>
                <w:rFonts w:eastAsia="Times New Roman"/>
                <w:b/>
                <w:sz w:val="14"/>
              </w:rPr>
              <w:t>Order</w:t>
            </w:r>
          </w:p>
        </w:tc>
        <w:tc>
          <w:tcPr>
            <w:tcW w:w="2880" w:type="dxa"/>
            <w:shd w:val="clear" w:color="auto" w:fill="D9E2F3"/>
            <w:tcMar>
              <w:top w:w="55" w:type="dxa"/>
              <w:left w:w="90" w:type="dxa"/>
              <w:bottom w:w="55" w:type="dxa"/>
              <w:right w:w="90" w:type="dxa"/>
            </w:tcMar>
            <w:vAlign w:val="center"/>
          </w:tcPr>
          <w:p w14:paraId="069B23CC" w14:textId="77777777" w:rsidR="00DF27C6" w:rsidRDefault="00000000">
            <w:pPr>
              <w:jc w:val="center"/>
            </w:pPr>
            <w:r>
              <w:rPr>
                <w:rFonts w:eastAsia="Times New Roman"/>
                <w:b/>
                <w:sz w:val="14"/>
              </w:rPr>
              <w:t>Constant + trend: adjusted t* (p)</w:t>
            </w:r>
          </w:p>
        </w:tc>
        <w:tc>
          <w:tcPr>
            <w:tcW w:w="936" w:type="dxa"/>
            <w:shd w:val="clear" w:color="auto" w:fill="D9E2F3"/>
            <w:tcMar>
              <w:top w:w="55" w:type="dxa"/>
              <w:left w:w="90" w:type="dxa"/>
              <w:bottom w:w="55" w:type="dxa"/>
              <w:right w:w="90" w:type="dxa"/>
            </w:tcMar>
            <w:vAlign w:val="center"/>
          </w:tcPr>
          <w:p w14:paraId="08B8FEFD" w14:textId="77777777" w:rsidR="00DF27C6" w:rsidRDefault="00000000">
            <w:pPr>
              <w:jc w:val="center"/>
            </w:pPr>
            <w:r>
              <w:rPr>
                <w:rFonts w:eastAsia="Times New Roman"/>
                <w:b/>
                <w:sz w:val="14"/>
              </w:rPr>
              <w:t>Order</w:t>
            </w:r>
          </w:p>
        </w:tc>
      </w:tr>
      <w:tr w:rsidR="00DF27C6" w14:paraId="61CFBC38" w14:textId="77777777">
        <w:trPr>
          <w:jc w:val="center"/>
        </w:trPr>
        <w:tc>
          <w:tcPr>
            <w:tcW w:w="1872" w:type="dxa"/>
            <w:tcMar>
              <w:top w:w="55" w:type="dxa"/>
              <w:left w:w="90" w:type="dxa"/>
              <w:bottom w:w="55" w:type="dxa"/>
              <w:right w:w="90" w:type="dxa"/>
            </w:tcMar>
            <w:vAlign w:val="center"/>
          </w:tcPr>
          <w:p w14:paraId="6C44D925" w14:textId="77777777" w:rsidR="00DF27C6" w:rsidRDefault="00000000">
            <w:r>
              <w:rPr>
                <w:rFonts w:eastAsia="Times New Roman"/>
                <w:sz w:val="14"/>
              </w:rPr>
              <w:t>GDP per capita</w:t>
            </w:r>
          </w:p>
        </w:tc>
        <w:tc>
          <w:tcPr>
            <w:tcW w:w="1224" w:type="dxa"/>
            <w:tcMar>
              <w:top w:w="55" w:type="dxa"/>
              <w:left w:w="90" w:type="dxa"/>
              <w:bottom w:w="55" w:type="dxa"/>
              <w:right w:w="90" w:type="dxa"/>
            </w:tcMar>
            <w:vAlign w:val="center"/>
          </w:tcPr>
          <w:p w14:paraId="284B6105"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6ED5CAF7" w14:textId="77777777" w:rsidR="00DF27C6" w:rsidRDefault="00000000">
            <w:pPr>
              <w:jc w:val="center"/>
            </w:pPr>
            <w:r>
              <w:rPr>
                <w:rFonts w:eastAsia="Times New Roman"/>
                <w:sz w:val="14"/>
              </w:rPr>
              <w:t>-3.0629 (0.0011)</w:t>
            </w:r>
          </w:p>
        </w:tc>
        <w:tc>
          <w:tcPr>
            <w:tcW w:w="936" w:type="dxa"/>
            <w:tcMar>
              <w:top w:w="55" w:type="dxa"/>
              <w:left w:w="90" w:type="dxa"/>
              <w:bottom w:w="55" w:type="dxa"/>
              <w:right w:w="90" w:type="dxa"/>
            </w:tcMar>
            <w:vAlign w:val="center"/>
          </w:tcPr>
          <w:p w14:paraId="1AD850E1" w14:textId="77777777" w:rsidR="00DF27C6" w:rsidRDefault="00000000">
            <w:pPr>
              <w:jc w:val="center"/>
            </w:pPr>
            <w:r>
              <w:rPr>
                <w:rFonts w:eastAsia="Times New Roman"/>
                <w:sz w:val="14"/>
              </w:rPr>
              <w:t>I(0)</w:t>
            </w:r>
          </w:p>
        </w:tc>
        <w:tc>
          <w:tcPr>
            <w:tcW w:w="2880" w:type="dxa"/>
            <w:tcMar>
              <w:top w:w="55" w:type="dxa"/>
              <w:left w:w="90" w:type="dxa"/>
              <w:bottom w:w="55" w:type="dxa"/>
              <w:right w:w="90" w:type="dxa"/>
            </w:tcMar>
            <w:vAlign w:val="center"/>
          </w:tcPr>
          <w:p w14:paraId="77A397FC" w14:textId="77777777" w:rsidR="00DF27C6" w:rsidRDefault="00000000">
            <w:pPr>
              <w:jc w:val="center"/>
            </w:pPr>
            <w:r>
              <w:rPr>
                <w:rFonts w:eastAsia="Times New Roman"/>
                <w:sz w:val="14"/>
              </w:rPr>
              <w:t>-2.1772 (0.0147)</w:t>
            </w:r>
          </w:p>
        </w:tc>
        <w:tc>
          <w:tcPr>
            <w:tcW w:w="936" w:type="dxa"/>
            <w:tcMar>
              <w:top w:w="55" w:type="dxa"/>
              <w:left w:w="90" w:type="dxa"/>
              <w:bottom w:w="55" w:type="dxa"/>
              <w:right w:w="90" w:type="dxa"/>
            </w:tcMar>
            <w:vAlign w:val="center"/>
          </w:tcPr>
          <w:p w14:paraId="5A0A8CFD" w14:textId="77777777" w:rsidR="00DF27C6" w:rsidRDefault="00000000">
            <w:pPr>
              <w:jc w:val="center"/>
            </w:pPr>
            <w:r>
              <w:rPr>
                <w:rFonts w:eastAsia="Times New Roman"/>
                <w:sz w:val="14"/>
              </w:rPr>
              <w:t>I(0)</w:t>
            </w:r>
          </w:p>
        </w:tc>
      </w:tr>
      <w:tr w:rsidR="00DF27C6" w14:paraId="042A0E4F" w14:textId="77777777">
        <w:trPr>
          <w:jc w:val="center"/>
        </w:trPr>
        <w:tc>
          <w:tcPr>
            <w:tcW w:w="1872" w:type="dxa"/>
            <w:tcMar>
              <w:top w:w="55" w:type="dxa"/>
              <w:left w:w="90" w:type="dxa"/>
              <w:bottom w:w="55" w:type="dxa"/>
              <w:right w:w="90" w:type="dxa"/>
            </w:tcMar>
            <w:vAlign w:val="center"/>
          </w:tcPr>
          <w:p w14:paraId="7974A946" w14:textId="77777777" w:rsidR="00DF27C6" w:rsidRDefault="00000000">
            <w:r>
              <w:rPr>
                <w:rFonts w:eastAsia="Times New Roman"/>
                <w:sz w:val="14"/>
              </w:rPr>
              <w:t>FDI</w:t>
            </w:r>
          </w:p>
        </w:tc>
        <w:tc>
          <w:tcPr>
            <w:tcW w:w="1224" w:type="dxa"/>
            <w:tcMar>
              <w:top w:w="55" w:type="dxa"/>
              <w:left w:w="90" w:type="dxa"/>
              <w:bottom w:w="55" w:type="dxa"/>
              <w:right w:w="90" w:type="dxa"/>
            </w:tcMar>
            <w:vAlign w:val="center"/>
          </w:tcPr>
          <w:p w14:paraId="0B8EE914"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0490677B" w14:textId="77777777" w:rsidR="00DF27C6" w:rsidRDefault="00000000">
            <w:pPr>
              <w:jc w:val="center"/>
            </w:pPr>
            <w:r>
              <w:rPr>
                <w:rFonts w:eastAsia="Times New Roman"/>
                <w:sz w:val="14"/>
              </w:rPr>
              <w:t>-3.3576 (0.0004)</w:t>
            </w:r>
          </w:p>
        </w:tc>
        <w:tc>
          <w:tcPr>
            <w:tcW w:w="936" w:type="dxa"/>
            <w:tcMar>
              <w:top w:w="55" w:type="dxa"/>
              <w:left w:w="90" w:type="dxa"/>
              <w:bottom w:w="55" w:type="dxa"/>
              <w:right w:w="90" w:type="dxa"/>
            </w:tcMar>
            <w:vAlign w:val="center"/>
          </w:tcPr>
          <w:p w14:paraId="32DE8A8A" w14:textId="77777777" w:rsidR="00DF27C6" w:rsidRDefault="00000000">
            <w:pPr>
              <w:jc w:val="center"/>
            </w:pPr>
            <w:r>
              <w:rPr>
                <w:rFonts w:eastAsia="Times New Roman"/>
                <w:sz w:val="14"/>
              </w:rPr>
              <w:t>I(0)</w:t>
            </w:r>
          </w:p>
        </w:tc>
        <w:tc>
          <w:tcPr>
            <w:tcW w:w="2880" w:type="dxa"/>
            <w:tcMar>
              <w:top w:w="55" w:type="dxa"/>
              <w:left w:w="90" w:type="dxa"/>
              <w:bottom w:w="55" w:type="dxa"/>
              <w:right w:w="90" w:type="dxa"/>
            </w:tcMar>
            <w:vAlign w:val="center"/>
          </w:tcPr>
          <w:p w14:paraId="1E759418" w14:textId="77777777" w:rsidR="00DF27C6" w:rsidRDefault="00000000">
            <w:pPr>
              <w:jc w:val="center"/>
            </w:pPr>
            <w:r>
              <w:rPr>
                <w:rFonts w:eastAsia="Times New Roman"/>
                <w:sz w:val="14"/>
              </w:rPr>
              <w:t>-2.6224 (0.0044)</w:t>
            </w:r>
          </w:p>
        </w:tc>
        <w:tc>
          <w:tcPr>
            <w:tcW w:w="936" w:type="dxa"/>
            <w:tcMar>
              <w:top w:w="55" w:type="dxa"/>
              <w:left w:w="90" w:type="dxa"/>
              <w:bottom w:w="55" w:type="dxa"/>
              <w:right w:w="90" w:type="dxa"/>
            </w:tcMar>
            <w:vAlign w:val="center"/>
          </w:tcPr>
          <w:p w14:paraId="1FBF2CE5" w14:textId="77777777" w:rsidR="00DF27C6" w:rsidRDefault="00000000">
            <w:pPr>
              <w:jc w:val="center"/>
            </w:pPr>
            <w:r>
              <w:rPr>
                <w:rFonts w:eastAsia="Times New Roman"/>
                <w:sz w:val="14"/>
              </w:rPr>
              <w:t>I(0)</w:t>
            </w:r>
          </w:p>
        </w:tc>
      </w:tr>
      <w:tr w:rsidR="00DF27C6" w14:paraId="3D3BF070" w14:textId="77777777">
        <w:trPr>
          <w:jc w:val="center"/>
        </w:trPr>
        <w:tc>
          <w:tcPr>
            <w:tcW w:w="1872" w:type="dxa"/>
            <w:tcMar>
              <w:top w:w="55" w:type="dxa"/>
              <w:left w:w="90" w:type="dxa"/>
              <w:bottom w:w="55" w:type="dxa"/>
              <w:right w:w="90" w:type="dxa"/>
            </w:tcMar>
            <w:vAlign w:val="center"/>
          </w:tcPr>
          <w:p w14:paraId="5C739A41" w14:textId="77777777" w:rsidR="00DF27C6" w:rsidRDefault="00000000">
            <w:r>
              <w:rPr>
                <w:rFonts w:eastAsia="Times New Roman"/>
                <w:sz w:val="14"/>
              </w:rPr>
              <w:t>ODA</w:t>
            </w:r>
          </w:p>
        </w:tc>
        <w:tc>
          <w:tcPr>
            <w:tcW w:w="1224" w:type="dxa"/>
            <w:tcMar>
              <w:top w:w="55" w:type="dxa"/>
              <w:left w:w="90" w:type="dxa"/>
              <w:bottom w:w="55" w:type="dxa"/>
              <w:right w:w="90" w:type="dxa"/>
            </w:tcMar>
            <w:vAlign w:val="center"/>
          </w:tcPr>
          <w:p w14:paraId="59F19A3C"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24B6DBD8" w14:textId="77777777" w:rsidR="00DF27C6" w:rsidRDefault="00000000">
            <w:pPr>
              <w:jc w:val="center"/>
            </w:pPr>
            <w:r>
              <w:rPr>
                <w:rFonts w:eastAsia="Times New Roman"/>
                <w:sz w:val="14"/>
              </w:rPr>
              <w:t>0.8812 (0.8109)</w:t>
            </w:r>
          </w:p>
        </w:tc>
        <w:tc>
          <w:tcPr>
            <w:tcW w:w="936" w:type="dxa"/>
            <w:tcMar>
              <w:top w:w="55" w:type="dxa"/>
              <w:left w:w="90" w:type="dxa"/>
              <w:bottom w:w="55" w:type="dxa"/>
              <w:right w:w="90" w:type="dxa"/>
            </w:tcMar>
            <w:vAlign w:val="center"/>
          </w:tcPr>
          <w:p w14:paraId="161CC477"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68A9B849" w14:textId="77777777" w:rsidR="00DF27C6" w:rsidRDefault="00000000">
            <w:pPr>
              <w:jc w:val="center"/>
            </w:pPr>
            <w:r>
              <w:rPr>
                <w:rFonts w:eastAsia="Times New Roman"/>
                <w:sz w:val="14"/>
              </w:rPr>
              <w:t>-1.1025 (0.1351)</w:t>
            </w:r>
          </w:p>
        </w:tc>
        <w:tc>
          <w:tcPr>
            <w:tcW w:w="936" w:type="dxa"/>
            <w:tcMar>
              <w:top w:w="55" w:type="dxa"/>
              <w:left w:w="90" w:type="dxa"/>
              <w:bottom w:w="55" w:type="dxa"/>
              <w:right w:w="90" w:type="dxa"/>
            </w:tcMar>
            <w:vAlign w:val="center"/>
          </w:tcPr>
          <w:p w14:paraId="520FA50E" w14:textId="77777777" w:rsidR="00DF27C6" w:rsidRDefault="00000000">
            <w:pPr>
              <w:jc w:val="center"/>
            </w:pPr>
            <w:r>
              <w:rPr>
                <w:rFonts w:eastAsia="Times New Roman"/>
                <w:sz w:val="14"/>
              </w:rPr>
              <w:t>I(1)</w:t>
            </w:r>
          </w:p>
        </w:tc>
      </w:tr>
      <w:tr w:rsidR="00DF27C6" w14:paraId="1A76A4CA" w14:textId="77777777">
        <w:trPr>
          <w:jc w:val="center"/>
        </w:trPr>
        <w:tc>
          <w:tcPr>
            <w:tcW w:w="1872" w:type="dxa"/>
            <w:tcMar>
              <w:top w:w="55" w:type="dxa"/>
              <w:left w:w="90" w:type="dxa"/>
              <w:bottom w:w="55" w:type="dxa"/>
              <w:right w:w="90" w:type="dxa"/>
            </w:tcMar>
            <w:vAlign w:val="center"/>
          </w:tcPr>
          <w:p w14:paraId="3F83D72C" w14:textId="77777777" w:rsidR="00DF27C6" w:rsidRDefault="00000000">
            <w:r>
              <w:rPr>
                <w:rFonts w:eastAsia="Times New Roman"/>
                <w:sz w:val="14"/>
              </w:rPr>
              <w:t>ODA</w:t>
            </w:r>
          </w:p>
        </w:tc>
        <w:tc>
          <w:tcPr>
            <w:tcW w:w="1224" w:type="dxa"/>
            <w:tcMar>
              <w:top w:w="55" w:type="dxa"/>
              <w:left w:w="90" w:type="dxa"/>
              <w:bottom w:w="55" w:type="dxa"/>
              <w:right w:w="90" w:type="dxa"/>
            </w:tcMar>
            <w:vAlign w:val="center"/>
          </w:tcPr>
          <w:p w14:paraId="3FE28EB2" w14:textId="77777777" w:rsidR="00DF27C6" w:rsidRDefault="00000000">
            <w:pPr>
              <w:jc w:val="center"/>
            </w:pPr>
            <w:r>
              <w:rPr>
                <w:rFonts w:eastAsia="Times New Roman"/>
                <w:sz w:val="14"/>
              </w:rPr>
              <w:t>1st difference</w:t>
            </w:r>
          </w:p>
        </w:tc>
        <w:tc>
          <w:tcPr>
            <w:tcW w:w="2880" w:type="dxa"/>
            <w:tcMar>
              <w:top w:w="55" w:type="dxa"/>
              <w:left w:w="90" w:type="dxa"/>
              <w:bottom w:w="55" w:type="dxa"/>
              <w:right w:w="90" w:type="dxa"/>
            </w:tcMar>
            <w:vAlign w:val="center"/>
          </w:tcPr>
          <w:p w14:paraId="71892917" w14:textId="77777777" w:rsidR="00DF27C6" w:rsidRDefault="00000000">
            <w:pPr>
              <w:jc w:val="center"/>
            </w:pPr>
            <w:r>
              <w:rPr>
                <w:rFonts w:eastAsia="Times New Roman"/>
                <w:sz w:val="14"/>
              </w:rPr>
              <w:t>-4.5355 (&lt;0.0001)</w:t>
            </w:r>
          </w:p>
        </w:tc>
        <w:tc>
          <w:tcPr>
            <w:tcW w:w="936" w:type="dxa"/>
            <w:tcMar>
              <w:top w:w="55" w:type="dxa"/>
              <w:left w:w="90" w:type="dxa"/>
              <w:bottom w:w="55" w:type="dxa"/>
              <w:right w:w="90" w:type="dxa"/>
            </w:tcMar>
            <w:vAlign w:val="center"/>
          </w:tcPr>
          <w:p w14:paraId="35FA3CCF"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5BFBA8F0" w14:textId="77777777" w:rsidR="00DF27C6" w:rsidRDefault="00000000">
            <w:pPr>
              <w:jc w:val="center"/>
            </w:pPr>
            <w:r>
              <w:rPr>
                <w:rFonts w:eastAsia="Times New Roman"/>
                <w:sz w:val="14"/>
              </w:rPr>
              <w:t>-3.4817 (0.0002)</w:t>
            </w:r>
          </w:p>
        </w:tc>
        <w:tc>
          <w:tcPr>
            <w:tcW w:w="936" w:type="dxa"/>
            <w:tcMar>
              <w:top w:w="55" w:type="dxa"/>
              <w:left w:w="90" w:type="dxa"/>
              <w:bottom w:w="55" w:type="dxa"/>
              <w:right w:w="90" w:type="dxa"/>
            </w:tcMar>
            <w:vAlign w:val="center"/>
          </w:tcPr>
          <w:p w14:paraId="608CF3ED" w14:textId="77777777" w:rsidR="00DF27C6" w:rsidRDefault="00000000">
            <w:pPr>
              <w:jc w:val="center"/>
            </w:pPr>
            <w:r>
              <w:rPr>
                <w:rFonts w:eastAsia="Times New Roman"/>
                <w:sz w:val="14"/>
              </w:rPr>
              <w:t>I(1)</w:t>
            </w:r>
          </w:p>
        </w:tc>
      </w:tr>
      <w:tr w:rsidR="00DF27C6" w14:paraId="747279B5" w14:textId="77777777">
        <w:trPr>
          <w:jc w:val="center"/>
        </w:trPr>
        <w:tc>
          <w:tcPr>
            <w:tcW w:w="1872" w:type="dxa"/>
            <w:tcMar>
              <w:top w:w="55" w:type="dxa"/>
              <w:left w:w="90" w:type="dxa"/>
              <w:bottom w:w="55" w:type="dxa"/>
              <w:right w:w="90" w:type="dxa"/>
            </w:tcMar>
            <w:vAlign w:val="center"/>
          </w:tcPr>
          <w:p w14:paraId="549C9D1E" w14:textId="77777777" w:rsidR="00DF27C6" w:rsidRDefault="00000000">
            <w:r>
              <w:rPr>
                <w:rFonts w:eastAsia="Times New Roman"/>
                <w:sz w:val="14"/>
              </w:rPr>
              <w:t>Exchange rate</w:t>
            </w:r>
          </w:p>
        </w:tc>
        <w:tc>
          <w:tcPr>
            <w:tcW w:w="1224" w:type="dxa"/>
            <w:tcMar>
              <w:top w:w="55" w:type="dxa"/>
              <w:left w:w="90" w:type="dxa"/>
              <w:bottom w:w="55" w:type="dxa"/>
              <w:right w:w="90" w:type="dxa"/>
            </w:tcMar>
            <w:vAlign w:val="center"/>
          </w:tcPr>
          <w:p w14:paraId="17446988"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369153E2" w14:textId="77777777" w:rsidR="00DF27C6" w:rsidRDefault="00000000">
            <w:pPr>
              <w:jc w:val="center"/>
            </w:pPr>
            <w:r>
              <w:rPr>
                <w:rFonts w:eastAsia="Times New Roman"/>
                <w:sz w:val="14"/>
              </w:rPr>
              <w:t>2.9730 (0.9985)</w:t>
            </w:r>
          </w:p>
        </w:tc>
        <w:tc>
          <w:tcPr>
            <w:tcW w:w="936" w:type="dxa"/>
            <w:tcMar>
              <w:top w:w="55" w:type="dxa"/>
              <w:left w:w="90" w:type="dxa"/>
              <w:bottom w:w="55" w:type="dxa"/>
              <w:right w:w="90" w:type="dxa"/>
            </w:tcMar>
            <w:vAlign w:val="center"/>
          </w:tcPr>
          <w:p w14:paraId="004BD7E7"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78A66160" w14:textId="77777777" w:rsidR="00DF27C6" w:rsidRDefault="00000000">
            <w:pPr>
              <w:jc w:val="center"/>
            </w:pPr>
            <w:r>
              <w:rPr>
                <w:rFonts w:eastAsia="Times New Roman"/>
                <w:sz w:val="14"/>
              </w:rPr>
              <w:t>2.5022 (0.9938)</w:t>
            </w:r>
          </w:p>
        </w:tc>
        <w:tc>
          <w:tcPr>
            <w:tcW w:w="936" w:type="dxa"/>
            <w:tcMar>
              <w:top w:w="55" w:type="dxa"/>
              <w:left w:w="90" w:type="dxa"/>
              <w:bottom w:w="55" w:type="dxa"/>
              <w:right w:w="90" w:type="dxa"/>
            </w:tcMar>
            <w:vAlign w:val="center"/>
          </w:tcPr>
          <w:p w14:paraId="21F2A361" w14:textId="77777777" w:rsidR="00DF27C6" w:rsidRDefault="00000000">
            <w:pPr>
              <w:jc w:val="center"/>
            </w:pPr>
            <w:r>
              <w:rPr>
                <w:rFonts w:eastAsia="Times New Roman"/>
                <w:sz w:val="14"/>
              </w:rPr>
              <w:t>I(1)</w:t>
            </w:r>
          </w:p>
        </w:tc>
      </w:tr>
      <w:tr w:rsidR="00DF27C6" w14:paraId="6CAE2C86" w14:textId="77777777">
        <w:trPr>
          <w:jc w:val="center"/>
        </w:trPr>
        <w:tc>
          <w:tcPr>
            <w:tcW w:w="1872" w:type="dxa"/>
            <w:tcMar>
              <w:top w:w="55" w:type="dxa"/>
              <w:left w:w="90" w:type="dxa"/>
              <w:bottom w:w="55" w:type="dxa"/>
              <w:right w:w="90" w:type="dxa"/>
            </w:tcMar>
            <w:vAlign w:val="center"/>
          </w:tcPr>
          <w:p w14:paraId="66B3FACE" w14:textId="77777777" w:rsidR="00DF27C6" w:rsidRDefault="00000000">
            <w:r>
              <w:rPr>
                <w:rFonts w:eastAsia="Times New Roman"/>
                <w:sz w:val="14"/>
              </w:rPr>
              <w:t>Exchange rate</w:t>
            </w:r>
          </w:p>
        </w:tc>
        <w:tc>
          <w:tcPr>
            <w:tcW w:w="1224" w:type="dxa"/>
            <w:tcMar>
              <w:top w:w="55" w:type="dxa"/>
              <w:left w:w="90" w:type="dxa"/>
              <w:bottom w:w="55" w:type="dxa"/>
              <w:right w:w="90" w:type="dxa"/>
            </w:tcMar>
            <w:vAlign w:val="center"/>
          </w:tcPr>
          <w:p w14:paraId="21A999F6" w14:textId="77777777" w:rsidR="00DF27C6" w:rsidRDefault="00000000">
            <w:pPr>
              <w:jc w:val="center"/>
            </w:pPr>
            <w:r>
              <w:rPr>
                <w:rFonts w:eastAsia="Times New Roman"/>
                <w:sz w:val="14"/>
              </w:rPr>
              <w:t>1st difference</w:t>
            </w:r>
          </w:p>
        </w:tc>
        <w:tc>
          <w:tcPr>
            <w:tcW w:w="2880" w:type="dxa"/>
            <w:tcMar>
              <w:top w:w="55" w:type="dxa"/>
              <w:left w:w="90" w:type="dxa"/>
              <w:bottom w:w="55" w:type="dxa"/>
              <w:right w:w="90" w:type="dxa"/>
            </w:tcMar>
            <w:vAlign w:val="center"/>
          </w:tcPr>
          <w:p w14:paraId="02844624" w14:textId="77777777" w:rsidR="00DF27C6" w:rsidRDefault="00000000">
            <w:pPr>
              <w:jc w:val="center"/>
            </w:pPr>
            <w:r>
              <w:rPr>
                <w:rFonts w:eastAsia="Times New Roman"/>
                <w:sz w:val="14"/>
              </w:rPr>
              <w:t>-2.4314 (0.0075)</w:t>
            </w:r>
          </w:p>
        </w:tc>
        <w:tc>
          <w:tcPr>
            <w:tcW w:w="936" w:type="dxa"/>
            <w:tcMar>
              <w:top w:w="55" w:type="dxa"/>
              <w:left w:w="90" w:type="dxa"/>
              <w:bottom w:w="55" w:type="dxa"/>
              <w:right w:w="90" w:type="dxa"/>
            </w:tcMar>
            <w:vAlign w:val="center"/>
          </w:tcPr>
          <w:p w14:paraId="27838967"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7C3B0258" w14:textId="77777777" w:rsidR="00DF27C6" w:rsidRDefault="00000000">
            <w:pPr>
              <w:jc w:val="center"/>
            </w:pPr>
            <w:r>
              <w:rPr>
                <w:rFonts w:eastAsia="Times New Roman"/>
                <w:sz w:val="14"/>
              </w:rPr>
              <w:t>-3.2704 (0.0005)</w:t>
            </w:r>
          </w:p>
        </w:tc>
        <w:tc>
          <w:tcPr>
            <w:tcW w:w="936" w:type="dxa"/>
            <w:tcMar>
              <w:top w:w="55" w:type="dxa"/>
              <w:left w:w="90" w:type="dxa"/>
              <w:bottom w:w="55" w:type="dxa"/>
              <w:right w:w="90" w:type="dxa"/>
            </w:tcMar>
            <w:vAlign w:val="center"/>
          </w:tcPr>
          <w:p w14:paraId="7ED5D736" w14:textId="77777777" w:rsidR="00DF27C6" w:rsidRDefault="00000000">
            <w:pPr>
              <w:jc w:val="center"/>
            </w:pPr>
            <w:r>
              <w:rPr>
                <w:rFonts w:eastAsia="Times New Roman"/>
                <w:sz w:val="14"/>
              </w:rPr>
              <w:t>I(1)</w:t>
            </w:r>
          </w:p>
        </w:tc>
      </w:tr>
      <w:tr w:rsidR="00DF27C6" w14:paraId="39E04386" w14:textId="77777777">
        <w:trPr>
          <w:jc w:val="center"/>
        </w:trPr>
        <w:tc>
          <w:tcPr>
            <w:tcW w:w="1872" w:type="dxa"/>
            <w:tcMar>
              <w:top w:w="55" w:type="dxa"/>
              <w:left w:w="90" w:type="dxa"/>
              <w:bottom w:w="55" w:type="dxa"/>
              <w:right w:w="90" w:type="dxa"/>
            </w:tcMar>
            <w:vAlign w:val="center"/>
          </w:tcPr>
          <w:p w14:paraId="70EEFEE6" w14:textId="77777777" w:rsidR="00DF27C6" w:rsidRDefault="00000000">
            <w:r>
              <w:rPr>
                <w:rFonts w:eastAsia="Times New Roman"/>
                <w:sz w:val="14"/>
              </w:rPr>
              <w:t>Inflation</w:t>
            </w:r>
          </w:p>
        </w:tc>
        <w:tc>
          <w:tcPr>
            <w:tcW w:w="1224" w:type="dxa"/>
            <w:tcMar>
              <w:top w:w="55" w:type="dxa"/>
              <w:left w:w="90" w:type="dxa"/>
              <w:bottom w:w="55" w:type="dxa"/>
              <w:right w:w="90" w:type="dxa"/>
            </w:tcMar>
            <w:vAlign w:val="center"/>
          </w:tcPr>
          <w:p w14:paraId="1BB59EE4"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219D4282" w14:textId="77777777" w:rsidR="00DF27C6" w:rsidRDefault="00000000">
            <w:pPr>
              <w:jc w:val="center"/>
            </w:pPr>
            <w:r>
              <w:rPr>
                <w:rFonts w:eastAsia="Times New Roman"/>
                <w:sz w:val="14"/>
              </w:rPr>
              <w:t>-2.6125 (0.0045)</w:t>
            </w:r>
          </w:p>
        </w:tc>
        <w:tc>
          <w:tcPr>
            <w:tcW w:w="936" w:type="dxa"/>
            <w:tcMar>
              <w:top w:w="55" w:type="dxa"/>
              <w:left w:w="90" w:type="dxa"/>
              <w:bottom w:w="55" w:type="dxa"/>
              <w:right w:w="90" w:type="dxa"/>
            </w:tcMar>
            <w:vAlign w:val="center"/>
          </w:tcPr>
          <w:p w14:paraId="290D391D" w14:textId="77777777" w:rsidR="00DF27C6" w:rsidRDefault="00000000">
            <w:pPr>
              <w:jc w:val="center"/>
            </w:pPr>
            <w:r>
              <w:rPr>
                <w:rFonts w:eastAsia="Times New Roman"/>
                <w:sz w:val="14"/>
              </w:rPr>
              <w:t>I(0)</w:t>
            </w:r>
          </w:p>
        </w:tc>
        <w:tc>
          <w:tcPr>
            <w:tcW w:w="2880" w:type="dxa"/>
            <w:tcMar>
              <w:top w:w="55" w:type="dxa"/>
              <w:left w:w="90" w:type="dxa"/>
              <w:bottom w:w="55" w:type="dxa"/>
              <w:right w:w="90" w:type="dxa"/>
            </w:tcMar>
            <w:vAlign w:val="center"/>
          </w:tcPr>
          <w:p w14:paraId="7B54D6BD" w14:textId="77777777" w:rsidR="00DF27C6" w:rsidRDefault="00000000">
            <w:pPr>
              <w:jc w:val="center"/>
            </w:pPr>
            <w:r>
              <w:rPr>
                <w:rFonts w:eastAsia="Times New Roman"/>
                <w:sz w:val="14"/>
              </w:rPr>
              <w:t>-3.1605 (0.0008)</w:t>
            </w:r>
          </w:p>
        </w:tc>
        <w:tc>
          <w:tcPr>
            <w:tcW w:w="936" w:type="dxa"/>
            <w:tcMar>
              <w:top w:w="55" w:type="dxa"/>
              <w:left w:w="90" w:type="dxa"/>
              <w:bottom w:w="55" w:type="dxa"/>
              <w:right w:w="90" w:type="dxa"/>
            </w:tcMar>
            <w:vAlign w:val="center"/>
          </w:tcPr>
          <w:p w14:paraId="00BEFC43" w14:textId="77777777" w:rsidR="00DF27C6" w:rsidRDefault="00000000">
            <w:pPr>
              <w:jc w:val="center"/>
            </w:pPr>
            <w:r>
              <w:rPr>
                <w:rFonts w:eastAsia="Times New Roman"/>
                <w:sz w:val="14"/>
              </w:rPr>
              <w:t>I(0)</w:t>
            </w:r>
          </w:p>
        </w:tc>
      </w:tr>
      <w:tr w:rsidR="00DF27C6" w14:paraId="62D8A86E" w14:textId="77777777">
        <w:trPr>
          <w:jc w:val="center"/>
        </w:trPr>
        <w:tc>
          <w:tcPr>
            <w:tcW w:w="1872" w:type="dxa"/>
            <w:tcMar>
              <w:top w:w="55" w:type="dxa"/>
              <w:left w:w="90" w:type="dxa"/>
              <w:bottom w:w="55" w:type="dxa"/>
              <w:right w:w="90" w:type="dxa"/>
            </w:tcMar>
            <w:vAlign w:val="center"/>
          </w:tcPr>
          <w:p w14:paraId="6B8B3376" w14:textId="77777777" w:rsidR="00DF27C6" w:rsidRDefault="00000000">
            <w:r>
              <w:rPr>
                <w:rFonts w:eastAsia="Times New Roman"/>
                <w:sz w:val="14"/>
              </w:rPr>
              <w:t>Population growth</w:t>
            </w:r>
          </w:p>
        </w:tc>
        <w:tc>
          <w:tcPr>
            <w:tcW w:w="1224" w:type="dxa"/>
            <w:tcMar>
              <w:top w:w="55" w:type="dxa"/>
              <w:left w:w="90" w:type="dxa"/>
              <w:bottom w:w="55" w:type="dxa"/>
              <w:right w:w="90" w:type="dxa"/>
            </w:tcMar>
            <w:vAlign w:val="center"/>
          </w:tcPr>
          <w:p w14:paraId="56421B9E"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412A7003" w14:textId="77777777" w:rsidR="00DF27C6" w:rsidRDefault="00000000">
            <w:pPr>
              <w:jc w:val="center"/>
            </w:pPr>
            <w:r>
              <w:rPr>
                <w:rFonts w:eastAsia="Times New Roman"/>
                <w:sz w:val="14"/>
              </w:rPr>
              <w:t>-1.8188 (0.0345)</w:t>
            </w:r>
          </w:p>
        </w:tc>
        <w:tc>
          <w:tcPr>
            <w:tcW w:w="936" w:type="dxa"/>
            <w:tcMar>
              <w:top w:w="55" w:type="dxa"/>
              <w:left w:w="90" w:type="dxa"/>
              <w:bottom w:w="55" w:type="dxa"/>
              <w:right w:w="90" w:type="dxa"/>
            </w:tcMar>
            <w:vAlign w:val="center"/>
          </w:tcPr>
          <w:p w14:paraId="14180759" w14:textId="77777777" w:rsidR="00DF27C6" w:rsidRDefault="00000000">
            <w:pPr>
              <w:jc w:val="center"/>
            </w:pPr>
            <w:r>
              <w:rPr>
                <w:rFonts w:eastAsia="Times New Roman"/>
                <w:sz w:val="14"/>
              </w:rPr>
              <w:t>I(0)</w:t>
            </w:r>
          </w:p>
        </w:tc>
        <w:tc>
          <w:tcPr>
            <w:tcW w:w="2880" w:type="dxa"/>
            <w:tcMar>
              <w:top w:w="55" w:type="dxa"/>
              <w:left w:w="90" w:type="dxa"/>
              <w:bottom w:w="55" w:type="dxa"/>
              <w:right w:w="90" w:type="dxa"/>
            </w:tcMar>
            <w:vAlign w:val="center"/>
          </w:tcPr>
          <w:p w14:paraId="78DE9627" w14:textId="77777777" w:rsidR="00DF27C6" w:rsidRDefault="00000000">
            <w:pPr>
              <w:jc w:val="center"/>
            </w:pPr>
            <w:r>
              <w:rPr>
                <w:rFonts w:eastAsia="Times New Roman"/>
                <w:sz w:val="14"/>
              </w:rPr>
              <w:t>-1.9326 (0.0266)</w:t>
            </w:r>
          </w:p>
        </w:tc>
        <w:tc>
          <w:tcPr>
            <w:tcW w:w="936" w:type="dxa"/>
            <w:tcMar>
              <w:top w:w="55" w:type="dxa"/>
              <w:left w:w="90" w:type="dxa"/>
              <w:bottom w:w="55" w:type="dxa"/>
              <w:right w:w="90" w:type="dxa"/>
            </w:tcMar>
            <w:vAlign w:val="center"/>
          </w:tcPr>
          <w:p w14:paraId="0E33588C" w14:textId="77777777" w:rsidR="00DF27C6" w:rsidRDefault="00000000">
            <w:pPr>
              <w:jc w:val="center"/>
            </w:pPr>
            <w:r>
              <w:rPr>
                <w:rFonts w:eastAsia="Times New Roman"/>
                <w:sz w:val="14"/>
              </w:rPr>
              <w:t>I(0)</w:t>
            </w:r>
          </w:p>
        </w:tc>
      </w:tr>
      <w:tr w:rsidR="00DF27C6" w14:paraId="77C1464E" w14:textId="77777777">
        <w:trPr>
          <w:jc w:val="center"/>
        </w:trPr>
        <w:tc>
          <w:tcPr>
            <w:tcW w:w="1872" w:type="dxa"/>
            <w:tcMar>
              <w:top w:w="55" w:type="dxa"/>
              <w:left w:w="90" w:type="dxa"/>
              <w:bottom w:w="55" w:type="dxa"/>
              <w:right w:w="90" w:type="dxa"/>
            </w:tcMar>
            <w:vAlign w:val="center"/>
          </w:tcPr>
          <w:p w14:paraId="2CC27F4B" w14:textId="77777777" w:rsidR="00DF27C6" w:rsidRDefault="00000000">
            <w:r>
              <w:rPr>
                <w:rFonts w:eastAsia="Times New Roman"/>
                <w:sz w:val="14"/>
              </w:rPr>
              <w:t>GGFCE</w:t>
            </w:r>
          </w:p>
        </w:tc>
        <w:tc>
          <w:tcPr>
            <w:tcW w:w="1224" w:type="dxa"/>
            <w:tcMar>
              <w:top w:w="55" w:type="dxa"/>
              <w:left w:w="90" w:type="dxa"/>
              <w:bottom w:w="55" w:type="dxa"/>
              <w:right w:w="90" w:type="dxa"/>
            </w:tcMar>
            <w:vAlign w:val="center"/>
          </w:tcPr>
          <w:p w14:paraId="3C9A3956" w14:textId="77777777" w:rsidR="00DF27C6" w:rsidRDefault="00000000">
            <w:pPr>
              <w:jc w:val="center"/>
            </w:pPr>
            <w:r>
              <w:rPr>
                <w:rFonts w:eastAsia="Times New Roman"/>
                <w:sz w:val="14"/>
              </w:rPr>
              <w:t>Level</w:t>
            </w:r>
          </w:p>
        </w:tc>
        <w:tc>
          <w:tcPr>
            <w:tcW w:w="2880" w:type="dxa"/>
            <w:tcMar>
              <w:top w:w="55" w:type="dxa"/>
              <w:left w:w="90" w:type="dxa"/>
              <w:bottom w:w="55" w:type="dxa"/>
              <w:right w:w="90" w:type="dxa"/>
            </w:tcMar>
            <w:vAlign w:val="center"/>
          </w:tcPr>
          <w:p w14:paraId="039670F6" w14:textId="77777777" w:rsidR="00DF27C6" w:rsidRDefault="00000000">
            <w:pPr>
              <w:jc w:val="center"/>
            </w:pPr>
            <w:r>
              <w:rPr>
                <w:rFonts w:eastAsia="Times New Roman"/>
                <w:sz w:val="14"/>
              </w:rPr>
              <w:t>-0.3467 (0.3644)</w:t>
            </w:r>
          </w:p>
        </w:tc>
        <w:tc>
          <w:tcPr>
            <w:tcW w:w="936" w:type="dxa"/>
            <w:tcMar>
              <w:top w:w="55" w:type="dxa"/>
              <w:left w:w="90" w:type="dxa"/>
              <w:bottom w:w="55" w:type="dxa"/>
              <w:right w:w="90" w:type="dxa"/>
            </w:tcMar>
            <w:vAlign w:val="center"/>
          </w:tcPr>
          <w:p w14:paraId="3D78433E"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49B86C00" w14:textId="77777777" w:rsidR="00DF27C6" w:rsidRDefault="00000000">
            <w:pPr>
              <w:jc w:val="center"/>
            </w:pPr>
            <w:r>
              <w:rPr>
                <w:rFonts w:eastAsia="Times New Roman"/>
                <w:sz w:val="14"/>
              </w:rPr>
              <w:t>-1.8291 (0.0337)</w:t>
            </w:r>
          </w:p>
        </w:tc>
        <w:tc>
          <w:tcPr>
            <w:tcW w:w="936" w:type="dxa"/>
            <w:tcMar>
              <w:top w:w="55" w:type="dxa"/>
              <w:left w:w="90" w:type="dxa"/>
              <w:bottom w:w="55" w:type="dxa"/>
              <w:right w:w="90" w:type="dxa"/>
            </w:tcMar>
            <w:vAlign w:val="center"/>
          </w:tcPr>
          <w:p w14:paraId="43142AF8" w14:textId="77777777" w:rsidR="00DF27C6" w:rsidRDefault="00000000">
            <w:pPr>
              <w:jc w:val="center"/>
            </w:pPr>
            <w:r>
              <w:rPr>
                <w:rFonts w:eastAsia="Times New Roman"/>
                <w:sz w:val="14"/>
              </w:rPr>
              <w:t>I(0)</w:t>
            </w:r>
          </w:p>
        </w:tc>
      </w:tr>
      <w:tr w:rsidR="00DF27C6" w14:paraId="4F944E88" w14:textId="77777777">
        <w:trPr>
          <w:jc w:val="center"/>
        </w:trPr>
        <w:tc>
          <w:tcPr>
            <w:tcW w:w="1872" w:type="dxa"/>
            <w:tcMar>
              <w:top w:w="55" w:type="dxa"/>
              <w:left w:w="90" w:type="dxa"/>
              <w:bottom w:w="55" w:type="dxa"/>
              <w:right w:w="90" w:type="dxa"/>
            </w:tcMar>
            <w:vAlign w:val="center"/>
          </w:tcPr>
          <w:p w14:paraId="4CB312D9" w14:textId="77777777" w:rsidR="00DF27C6" w:rsidRDefault="00000000">
            <w:r>
              <w:rPr>
                <w:rFonts w:eastAsia="Times New Roman"/>
                <w:sz w:val="14"/>
              </w:rPr>
              <w:t>GGFCE</w:t>
            </w:r>
          </w:p>
        </w:tc>
        <w:tc>
          <w:tcPr>
            <w:tcW w:w="1224" w:type="dxa"/>
            <w:tcMar>
              <w:top w:w="55" w:type="dxa"/>
              <w:left w:w="90" w:type="dxa"/>
              <w:bottom w:w="55" w:type="dxa"/>
              <w:right w:w="90" w:type="dxa"/>
            </w:tcMar>
            <w:vAlign w:val="center"/>
          </w:tcPr>
          <w:p w14:paraId="0CE6FA0F" w14:textId="77777777" w:rsidR="00DF27C6" w:rsidRDefault="00000000">
            <w:pPr>
              <w:jc w:val="center"/>
            </w:pPr>
            <w:r>
              <w:rPr>
                <w:rFonts w:eastAsia="Times New Roman"/>
                <w:sz w:val="14"/>
              </w:rPr>
              <w:t>1st difference</w:t>
            </w:r>
          </w:p>
        </w:tc>
        <w:tc>
          <w:tcPr>
            <w:tcW w:w="2880" w:type="dxa"/>
            <w:tcMar>
              <w:top w:w="55" w:type="dxa"/>
              <w:left w:w="90" w:type="dxa"/>
              <w:bottom w:w="55" w:type="dxa"/>
              <w:right w:w="90" w:type="dxa"/>
            </w:tcMar>
            <w:vAlign w:val="center"/>
          </w:tcPr>
          <w:p w14:paraId="1413C228" w14:textId="77777777" w:rsidR="00DF27C6" w:rsidRDefault="00000000">
            <w:pPr>
              <w:jc w:val="center"/>
            </w:pPr>
            <w:r>
              <w:rPr>
                <w:rFonts w:eastAsia="Times New Roman"/>
                <w:sz w:val="14"/>
              </w:rPr>
              <w:t>-3.1501 (0.0008)</w:t>
            </w:r>
          </w:p>
        </w:tc>
        <w:tc>
          <w:tcPr>
            <w:tcW w:w="936" w:type="dxa"/>
            <w:tcMar>
              <w:top w:w="55" w:type="dxa"/>
              <w:left w:w="90" w:type="dxa"/>
              <w:bottom w:w="55" w:type="dxa"/>
              <w:right w:w="90" w:type="dxa"/>
            </w:tcMar>
            <w:vAlign w:val="center"/>
          </w:tcPr>
          <w:p w14:paraId="550C2E8E" w14:textId="77777777" w:rsidR="00DF27C6" w:rsidRDefault="00000000">
            <w:pPr>
              <w:jc w:val="center"/>
            </w:pPr>
            <w:r>
              <w:rPr>
                <w:rFonts w:eastAsia="Times New Roman"/>
                <w:sz w:val="14"/>
              </w:rPr>
              <w:t>I(1)</w:t>
            </w:r>
          </w:p>
        </w:tc>
        <w:tc>
          <w:tcPr>
            <w:tcW w:w="2880" w:type="dxa"/>
            <w:tcMar>
              <w:top w:w="55" w:type="dxa"/>
              <w:left w:w="90" w:type="dxa"/>
              <w:bottom w:w="55" w:type="dxa"/>
              <w:right w:w="90" w:type="dxa"/>
            </w:tcMar>
            <w:vAlign w:val="center"/>
          </w:tcPr>
          <w:p w14:paraId="4F62D600" w14:textId="77777777" w:rsidR="00DF27C6" w:rsidRDefault="00000000">
            <w:pPr>
              <w:jc w:val="center"/>
            </w:pPr>
            <w:r>
              <w:rPr>
                <w:rFonts w:eastAsia="Times New Roman"/>
                <w:sz w:val="14"/>
              </w:rPr>
              <w:t>Not reported</w:t>
            </w:r>
          </w:p>
        </w:tc>
        <w:tc>
          <w:tcPr>
            <w:tcW w:w="936" w:type="dxa"/>
            <w:tcMar>
              <w:top w:w="55" w:type="dxa"/>
              <w:left w:w="90" w:type="dxa"/>
              <w:bottom w:w="55" w:type="dxa"/>
              <w:right w:w="90" w:type="dxa"/>
            </w:tcMar>
            <w:vAlign w:val="center"/>
          </w:tcPr>
          <w:p w14:paraId="1DB8A4BB" w14:textId="77777777" w:rsidR="00DF27C6" w:rsidRDefault="00000000">
            <w:pPr>
              <w:jc w:val="center"/>
            </w:pPr>
            <w:r>
              <w:rPr>
                <w:rFonts w:eastAsia="Times New Roman"/>
                <w:sz w:val="14"/>
              </w:rPr>
              <w:t>—</w:t>
            </w:r>
          </w:p>
        </w:tc>
      </w:tr>
    </w:tbl>
    <w:p w14:paraId="0795A4E1" w14:textId="77777777" w:rsidR="00DF27C6" w:rsidRDefault="00000000">
      <w:pPr>
        <w:spacing w:before="40" w:after="120"/>
      </w:pPr>
      <w:r>
        <w:rPr>
          <w:rFonts w:eastAsia="Times New Roman"/>
          <w:i/>
          <w:sz w:val="17"/>
        </w:rPr>
        <w:t>Source: Study data (2026).</w:t>
      </w:r>
    </w:p>
    <w:p w14:paraId="12E30DAE" w14:textId="77777777" w:rsidR="00DF27C6" w:rsidRDefault="00000000">
      <w:pPr>
        <w:pStyle w:val="Heading2"/>
        <w:spacing w:before="120" w:after="80"/>
      </w:pPr>
      <w:r>
        <w:rPr>
          <w:rFonts w:ascii="Times New Roman" w:eastAsia="Times New Roman" w:hAnsi="Times New Roman"/>
        </w:rPr>
        <w:t>4.3.2 Multicollinearity</w:t>
      </w:r>
    </w:p>
    <w:p w14:paraId="2B9079B2" w14:textId="77777777" w:rsidR="00DF27C6" w:rsidRDefault="00000000">
      <w:pPr>
        <w:keepNext/>
        <w:spacing w:after="40"/>
        <w:ind w:firstLine="360"/>
        <w:jc w:val="both"/>
      </w:pPr>
      <w:r>
        <w:t xml:space="preserve">Table 5 shows that the reported VIFs range from 1.17 to 2.30, with a mean of 1.78. These values do not indicate severe linear dependence among the explanatory variables represented in the reported diagnostic </w:t>
      </w:r>
      <w:r>
        <w:lastRenderedPageBreak/>
        <w:t>output. The VIFs are therefore used only as a practical collinearity screen and not as evidence that alternative transformations or model specifications are free from multicollinearity.</w:t>
      </w:r>
    </w:p>
    <w:p w14:paraId="60995EF4" w14:textId="77777777" w:rsidR="00DF27C6" w:rsidRDefault="00000000">
      <w:pPr>
        <w:keepNext/>
        <w:spacing w:before="80" w:after="40"/>
      </w:pPr>
      <w:r>
        <w:rPr>
          <w:rFonts w:eastAsia="Times New Roman"/>
          <w:b/>
          <w:sz w:val="20"/>
        </w:rPr>
        <w:t>Table 5. Variance inflation factors</w:t>
      </w:r>
    </w:p>
    <w:tbl>
      <w:tblPr>
        <w:tblStyle w:val="TableGrid"/>
        <w:tblW w:w="0" w:type="auto"/>
        <w:jc w:val="center"/>
        <w:tblLayout w:type="fixed"/>
        <w:tblLook w:val="04A0" w:firstRow="1" w:lastRow="0" w:firstColumn="1" w:lastColumn="0" w:noHBand="0" w:noVBand="1"/>
      </w:tblPr>
      <w:tblGrid>
        <w:gridCol w:w="4608"/>
        <w:gridCol w:w="1728"/>
        <w:gridCol w:w="1728"/>
      </w:tblGrid>
      <w:tr w:rsidR="00DF27C6" w14:paraId="2992826E" w14:textId="77777777">
        <w:trPr>
          <w:tblHeader/>
          <w:jc w:val="center"/>
        </w:trPr>
        <w:tc>
          <w:tcPr>
            <w:tcW w:w="4608" w:type="dxa"/>
            <w:shd w:val="clear" w:color="auto" w:fill="D9E2F3"/>
            <w:tcMar>
              <w:top w:w="55" w:type="dxa"/>
              <w:left w:w="90" w:type="dxa"/>
              <w:bottom w:w="55" w:type="dxa"/>
              <w:right w:w="90" w:type="dxa"/>
            </w:tcMar>
            <w:vAlign w:val="center"/>
          </w:tcPr>
          <w:p w14:paraId="76DCA6CE" w14:textId="77777777" w:rsidR="00DF27C6" w:rsidRDefault="00000000">
            <w:pPr>
              <w:jc w:val="center"/>
            </w:pPr>
            <w:r>
              <w:rPr>
                <w:rFonts w:eastAsia="Times New Roman"/>
                <w:b/>
                <w:sz w:val="17"/>
              </w:rPr>
              <w:t>Variable</w:t>
            </w:r>
          </w:p>
        </w:tc>
        <w:tc>
          <w:tcPr>
            <w:tcW w:w="1728" w:type="dxa"/>
            <w:shd w:val="clear" w:color="auto" w:fill="D9E2F3"/>
            <w:tcMar>
              <w:top w:w="55" w:type="dxa"/>
              <w:left w:w="90" w:type="dxa"/>
              <w:bottom w:w="55" w:type="dxa"/>
              <w:right w:w="90" w:type="dxa"/>
            </w:tcMar>
            <w:vAlign w:val="center"/>
          </w:tcPr>
          <w:p w14:paraId="09F829D2" w14:textId="77777777" w:rsidR="00DF27C6" w:rsidRDefault="00000000">
            <w:pPr>
              <w:jc w:val="center"/>
            </w:pPr>
            <w:r>
              <w:rPr>
                <w:rFonts w:eastAsia="Times New Roman"/>
                <w:b/>
                <w:sz w:val="17"/>
              </w:rPr>
              <w:t>VIF</w:t>
            </w:r>
          </w:p>
        </w:tc>
        <w:tc>
          <w:tcPr>
            <w:tcW w:w="1728" w:type="dxa"/>
            <w:shd w:val="clear" w:color="auto" w:fill="D9E2F3"/>
            <w:tcMar>
              <w:top w:w="55" w:type="dxa"/>
              <w:left w:w="90" w:type="dxa"/>
              <w:bottom w:w="55" w:type="dxa"/>
              <w:right w:w="90" w:type="dxa"/>
            </w:tcMar>
            <w:vAlign w:val="center"/>
          </w:tcPr>
          <w:p w14:paraId="10690FDE" w14:textId="77777777" w:rsidR="00DF27C6" w:rsidRDefault="00000000">
            <w:pPr>
              <w:jc w:val="center"/>
            </w:pPr>
            <w:r>
              <w:rPr>
                <w:rFonts w:eastAsia="Times New Roman"/>
                <w:b/>
                <w:sz w:val="17"/>
              </w:rPr>
              <w:t>1/VIF</w:t>
            </w:r>
          </w:p>
        </w:tc>
      </w:tr>
      <w:tr w:rsidR="00DF27C6" w14:paraId="7B5D4794" w14:textId="77777777">
        <w:trPr>
          <w:jc w:val="center"/>
        </w:trPr>
        <w:tc>
          <w:tcPr>
            <w:tcW w:w="4608" w:type="dxa"/>
            <w:tcMar>
              <w:top w:w="55" w:type="dxa"/>
              <w:left w:w="90" w:type="dxa"/>
              <w:bottom w:w="55" w:type="dxa"/>
              <w:right w:w="90" w:type="dxa"/>
            </w:tcMar>
            <w:vAlign w:val="center"/>
          </w:tcPr>
          <w:p w14:paraId="74A27413" w14:textId="77777777" w:rsidR="00DF27C6" w:rsidRDefault="00000000">
            <w:r>
              <w:rPr>
                <w:rFonts w:eastAsia="Times New Roman"/>
                <w:sz w:val="17"/>
              </w:rPr>
              <w:t>ODA</w:t>
            </w:r>
          </w:p>
        </w:tc>
        <w:tc>
          <w:tcPr>
            <w:tcW w:w="1728" w:type="dxa"/>
            <w:tcMar>
              <w:top w:w="55" w:type="dxa"/>
              <w:left w:w="90" w:type="dxa"/>
              <w:bottom w:w="55" w:type="dxa"/>
              <w:right w:w="90" w:type="dxa"/>
            </w:tcMar>
            <w:vAlign w:val="center"/>
          </w:tcPr>
          <w:p w14:paraId="174BECFF" w14:textId="77777777" w:rsidR="00DF27C6" w:rsidRDefault="00000000">
            <w:pPr>
              <w:jc w:val="center"/>
            </w:pPr>
            <w:r>
              <w:rPr>
                <w:rFonts w:eastAsia="Times New Roman"/>
                <w:sz w:val="17"/>
              </w:rPr>
              <w:t>2.30</w:t>
            </w:r>
          </w:p>
        </w:tc>
        <w:tc>
          <w:tcPr>
            <w:tcW w:w="1728" w:type="dxa"/>
            <w:tcMar>
              <w:top w:w="55" w:type="dxa"/>
              <w:left w:w="90" w:type="dxa"/>
              <w:bottom w:w="55" w:type="dxa"/>
              <w:right w:w="90" w:type="dxa"/>
            </w:tcMar>
            <w:vAlign w:val="center"/>
          </w:tcPr>
          <w:p w14:paraId="56CFC249" w14:textId="77777777" w:rsidR="00DF27C6" w:rsidRDefault="00000000">
            <w:pPr>
              <w:jc w:val="center"/>
            </w:pPr>
            <w:r>
              <w:rPr>
                <w:rFonts w:eastAsia="Times New Roman"/>
                <w:sz w:val="17"/>
              </w:rPr>
              <w:t>0.434216</w:t>
            </w:r>
          </w:p>
        </w:tc>
      </w:tr>
      <w:tr w:rsidR="00DF27C6" w14:paraId="42C4B891" w14:textId="77777777">
        <w:trPr>
          <w:jc w:val="center"/>
        </w:trPr>
        <w:tc>
          <w:tcPr>
            <w:tcW w:w="4608" w:type="dxa"/>
            <w:tcMar>
              <w:top w:w="55" w:type="dxa"/>
              <w:left w:w="90" w:type="dxa"/>
              <w:bottom w:w="55" w:type="dxa"/>
              <w:right w:w="90" w:type="dxa"/>
            </w:tcMar>
            <w:vAlign w:val="center"/>
          </w:tcPr>
          <w:p w14:paraId="448FE988" w14:textId="77777777" w:rsidR="00DF27C6" w:rsidRDefault="00000000">
            <w:r>
              <w:rPr>
                <w:rFonts w:eastAsia="Times New Roman"/>
                <w:sz w:val="17"/>
              </w:rPr>
              <w:t>GGFCE</w:t>
            </w:r>
          </w:p>
        </w:tc>
        <w:tc>
          <w:tcPr>
            <w:tcW w:w="1728" w:type="dxa"/>
            <w:tcMar>
              <w:top w:w="55" w:type="dxa"/>
              <w:left w:w="90" w:type="dxa"/>
              <w:bottom w:w="55" w:type="dxa"/>
              <w:right w:w="90" w:type="dxa"/>
            </w:tcMar>
            <w:vAlign w:val="center"/>
          </w:tcPr>
          <w:p w14:paraId="5FFEEE7B" w14:textId="77777777" w:rsidR="00DF27C6" w:rsidRDefault="00000000">
            <w:pPr>
              <w:jc w:val="center"/>
            </w:pPr>
            <w:r>
              <w:rPr>
                <w:rFonts w:eastAsia="Times New Roman"/>
                <w:sz w:val="17"/>
              </w:rPr>
              <w:t>1.94</w:t>
            </w:r>
          </w:p>
        </w:tc>
        <w:tc>
          <w:tcPr>
            <w:tcW w:w="1728" w:type="dxa"/>
            <w:tcMar>
              <w:top w:w="55" w:type="dxa"/>
              <w:left w:w="90" w:type="dxa"/>
              <w:bottom w:w="55" w:type="dxa"/>
              <w:right w:w="90" w:type="dxa"/>
            </w:tcMar>
            <w:vAlign w:val="center"/>
          </w:tcPr>
          <w:p w14:paraId="520FC9FC" w14:textId="77777777" w:rsidR="00DF27C6" w:rsidRDefault="00000000">
            <w:pPr>
              <w:jc w:val="center"/>
            </w:pPr>
            <w:r>
              <w:rPr>
                <w:rFonts w:eastAsia="Times New Roman"/>
                <w:sz w:val="17"/>
              </w:rPr>
              <w:t>0.516401</w:t>
            </w:r>
          </w:p>
        </w:tc>
      </w:tr>
      <w:tr w:rsidR="00DF27C6" w14:paraId="300BBBBF" w14:textId="77777777">
        <w:trPr>
          <w:jc w:val="center"/>
        </w:trPr>
        <w:tc>
          <w:tcPr>
            <w:tcW w:w="4608" w:type="dxa"/>
            <w:tcMar>
              <w:top w:w="55" w:type="dxa"/>
              <w:left w:w="90" w:type="dxa"/>
              <w:bottom w:w="55" w:type="dxa"/>
              <w:right w:w="90" w:type="dxa"/>
            </w:tcMar>
            <w:vAlign w:val="center"/>
          </w:tcPr>
          <w:p w14:paraId="0FE95B5C" w14:textId="77777777" w:rsidR="00DF27C6" w:rsidRDefault="00000000">
            <w:r>
              <w:rPr>
                <w:rFonts w:eastAsia="Times New Roman"/>
                <w:sz w:val="17"/>
              </w:rPr>
              <w:t>Population growth</w:t>
            </w:r>
          </w:p>
        </w:tc>
        <w:tc>
          <w:tcPr>
            <w:tcW w:w="1728" w:type="dxa"/>
            <w:tcMar>
              <w:top w:w="55" w:type="dxa"/>
              <w:left w:w="90" w:type="dxa"/>
              <w:bottom w:w="55" w:type="dxa"/>
              <w:right w:w="90" w:type="dxa"/>
            </w:tcMar>
            <w:vAlign w:val="center"/>
          </w:tcPr>
          <w:p w14:paraId="0662933F" w14:textId="77777777" w:rsidR="00DF27C6" w:rsidRDefault="00000000">
            <w:pPr>
              <w:jc w:val="center"/>
            </w:pPr>
            <w:r>
              <w:rPr>
                <w:rFonts w:eastAsia="Times New Roman"/>
                <w:sz w:val="17"/>
              </w:rPr>
              <w:t>1.81</w:t>
            </w:r>
          </w:p>
        </w:tc>
        <w:tc>
          <w:tcPr>
            <w:tcW w:w="1728" w:type="dxa"/>
            <w:tcMar>
              <w:top w:w="55" w:type="dxa"/>
              <w:left w:w="90" w:type="dxa"/>
              <w:bottom w:w="55" w:type="dxa"/>
              <w:right w:w="90" w:type="dxa"/>
            </w:tcMar>
            <w:vAlign w:val="center"/>
          </w:tcPr>
          <w:p w14:paraId="0EB77B8E" w14:textId="77777777" w:rsidR="00DF27C6" w:rsidRDefault="00000000">
            <w:pPr>
              <w:jc w:val="center"/>
            </w:pPr>
            <w:r>
              <w:rPr>
                <w:rFonts w:eastAsia="Times New Roman"/>
                <w:sz w:val="17"/>
              </w:rPr>
              <w:t>0.551885</w:t>
            </w:r>
          </w:p>
        </w:tc>
      </w:tr>
      <w:tr w:rsidR="00DF27C6" w14:paraId="718D20D7" w14:textId="77777777">
        <w:trPr>
          <w:jc w:val="center"/>
        </w:trPr>
        <w:tc>
          <w:tcPr>
            <w:tcW w:w="4608" w:type="dxa"/>
            <w:tcMar>
              <w:top w:w="55" w:type="dxa"/>
              <w:left w:w="90" w:type="dxa"/>
              <w:bottom w:w="55" w:type="dxa"/>
              <w:right w:w="90" w:type="dxa"/>
            </w:tcMar>
            <w:vAlign w:val="center"/>
          </w:tcPr>
          <w:p w14:paraId="4D2E5AF7" w14:textId="77777777" w:rsidR="00DF27C6" w:rsidRDefault="00000000">
            <w:r>
              <w:rPr>
                <w:rFonts w:eastAsia="Times New Roman"/>
                <w:sz w:val="17"/>
              </w:rPr>
              <w:t>FDI</w:t>
            </w:r>
          </w:p>
        </w:tc>
        <w:tc>
          <w:tcPr>
            <w:tcW w:w="1728" w:type="dxa"/>
            <w:tcMar>
              <w:top w:w="55" w:type="dxa"/>
              <w:left w:w="90" w:type="dxa"/>
              <w:bottom w:w="55" w:type="dxa"/>
              <w:right w:w="90" w:type="dxa"/>
            </w:tcMar>
            <w:vAlign w:val="center"/>
          </w:tcPr>
          <w:p w14:paraId="066481A3" w14:textId="77777777" w:rsidR="00DF27C6" w:rsidRDefault="00000000">
            <w:pPr>
              <w:jc w:val="center"/>
            </w:pPr>
            <w:r>
              <w:rPr>
                <w:rFonts w:eastAsia="Times New Roman"/>
                <w:sz w:val="17"/>
              </w:rPr>
              <w:t>1.80</w:t>
            </w:r>
          </w:p>
        </w:tc>
        <w:tc>
          <w:tcPr>
            <w:tcW w:w="1728" w:type="dxa"/>
            <w:tcMar>
              <w:top w:w="55" w:type="dxa"/>
              <w:left w:w="90" w:type="dxa"/>
              <w:bottom w:w="55" w:type="dxa"/>
              <w:right w:w="90" w:type="dxa"/>
            </w:tcMar>
            <w:vAlign w:val="center"/>
          </w:tcPr>
          <w:p w14:paraId="58CDFDC4" w14:textId="77777777" w:rsidR="00DF27C6" w:rsidRDefault="00000000">
            <w:pPr>
              <w:jc w:val="center"/>
            </w:pPr>
            <w:r>
              <w:rPr>
                <w:rFonts w:eastAsia="Times New Roman"/>
                <w:sz w:val="17"/>
              </w:rPr>
              <w:t>0.554424</w:t>
            </w:r>
          </w:p>
        </w:tc>
      </w:tr>
      <w:tr w:rsidR="00DF27C6" w14:paraId="5E9EE48E" w14:textId="77777777">
        <w:trPr>
          <w:jc w:val="center"/>
        </w:trPr>
        <w:tc>
          <w:tcPr>
            <w:tcW w:w="4608" w:type="dxa"/>
            <w:tcMar>
              <w:top w:w="55" w:type="dxa"/>
              <w:left w:w="90" w:type="dxa"/>
              <w:bottom w:w="55" w:type="dxa"/>
              <w:right w:w="90" w:type="dxa"/>
            </w:tcMar>
            <w:vAlign w:val="center"/>
          </w:tcPr>
          <w:p w14:paraId="4E31D3BD" w14:textId="77777777" w:rsidR="00DF27C6" w:rsidRDefault="00000000">
            <w:r>
              <w:rPr>
                <w:rFonts w:eastAsia="Times New Roman"/>
                <w:sz w:val="17"/>
              </w:rPr>
              <w:t>Exchange rate</w:t>
            </w:r>
          </w:p>
        </w:tc>
        <w:tc>
          <w:tcPr>
            <w:tcW w:w="1728" w:type="dxa"/>
            <w:tcMar>
              <w:top w:w="55" w:type="dxa"/>
              <w:left w:w="90" w:type="dxa"/>
              <w:bottom w:w="55" w:type="dxa"/>
              <w:right w:w="90" w:type="dxa"/>
            </w:tcMar>
            <w:vAlign w:val="center"/>
          </w:tcPr>
          <w:p w14:paraId="6894C868" w14:textId="77777777" w:rsidR="00DF27C6" w:rsidRDefault="00000000">
            <w:pPr>
              <w:jc w:val="center"/>
            </w:pPr>
            <w:r>
              <w:rPr>
                <w:rFonts w:eastAsia="Times New Roman"/>
                <w:sz w:val="17"/>
              </w:rPr>
              <w:t>1.65</w:t>
            </w:r>
          </w:p>
        </w:tc>
        <w:tc>
          <w:tcPr>
            <w:tcW w:w="1728" w:type="dxa"/>
            <w:tcMar>
              <w:top w:w="55" w:type="dxa"/>
              <w:left w:w="90" w:type="dxa"/>
              <w:bottom w:w="55" w:type="dxa"/>
              <w:right w:w="90" w:type="dxa"/>
            </w:tcMar>
            <w:vAlign w:val="center"/>
          </w:tcPr>
          <w:p w14:paraId="2ED93A50" w14:textId="77777777" w:rsidR="00DF27C6" w:rsidRDefault="00000000">
            <w:pPr>
              <w:jc w:val="center"/>
            </w:pPr>
            <w:r>
              <w:rPr>
                <w:rFonts w:eastAsia="Times New Roman"/>
                <w:sz w:val="17"/>
              </w:rPr>
              <w:t>0.605909</w:t>
            </w:r>
          </w:p>
        </w:tc>
      </w:tr>
      <w:tr w:rsidR="00DF27C6" w14:paraId="07B498E4" w14:textId="77777777">
        <w:trPr>
          <w:jc w:val="center"/>
        </w:trPr>
        <w:tc>
          <w:tcPr>
            <w:tcW w:w="4608" w:type="dxa"/>
            <w:tcMar>
              <w:top w:w="55" w:type="dxa"/>
              <w:left w:w="90" w:type="dxa"/>
              <w:bottom w:w="55" w:type="dxa"/>
              <w:right w:w="90" w:type="dxa"/>
            </w:tcMar>
            <w:vAlign w:val="center"/>
          </w:tcPr>
          <w:p w14:paraId="10B2FF18" w14:textId="77777777" w:rsidR="00DF27C6" w:rsidRDefault="00000000">
            <w:r>
              <w:rPr>
                <w:rFonts w:eastAsia="Times New Roman"/>
                <w:sz w:val="17"/>
              </w:rPr>
              <w:t>Inflation</w:t>
            </w:r>
          </w:p>
        </w:tc>
        <w:tc>
          <w:tcPr>
            <w:tcW w:w="1728" w:type="dxa"/>
            <w:tcMar>
              <w:top w:w="55" w:type="dxa"/>
              <w:left w:w="90" w:type="dxa"/>
              <w:bottom w:w="55" w:type="dxa"/>
              <w:right w:w="90" w:type="dxa"/>
            </w:tcMar>
            <w:vAlign w:val="center"/>
          </w:tcPr>
          <w:p w14:paraId="3DF0F796" w14:textId="77777777" w:rsidR="00DF27C6" w:rsidRDefault="00000000">
            <w:pPr>
              <w:jc w:val="center"/>
            </w:pPr>
            <w:r>
              <w:rPr>
                <w:rFonts w:eastAsia="Times New Roman"/>
                <w:sz w:val="17"/>
              </w:rPr>
              <w:t>1.17</w:t>
            </w:r>
          </w:p>
        </w:tc>
        <w:tc>
          <w:tcPr>
            <w:tcW w:w="1728" w:type="dxa"/>
            <w:tcMar>
              <w:top w:w="55" w:type="dxa"/>
              <w:left w:w="90" w:type="dxa"/>
              <w:bottom w:w="55" w:type="dxa"/>
              <w:right w:w="90" w:type="dxa"/>
            </w:tcMar>
            <w:vAlign w:val="center"/>
          </w:tcPr>
          <w:p w14:paraId="6057145A" w14:textId="77777777" w:rsidR="00DF27C6" w:rsidRDefault="00000000">
            <w:pPr>
              <w:jc w:val="center"/>
            </w:pPr>
            <w:r>
              <w:rPr>
                <w:rFonts w:eastAsia="Times New Roman"/>
                <w:sz w:val="17"/>
              </w:rPr>
              <w:t>0.856847</w:t>
            </w:r>
          </w:p>
        </w:tc>
      </w:tr>
      <w:tr w:rsidR="00DF27C6" w14:paraId="70C1156D" w14:textId="77777777">
        <w:trPr>
          <w:jc w:val="center"/>
        </w:trPr>
        <w:tc>
          <w:tcPr>
            <w:tcW w:w="4608" w:type="dxa"/>
            <w:tcMar>
              <w:top w:w="55" w:type="dxa"/>
              <w:left w:w="90" w:type="dxa"/>
              <w:bottom w:w="55" w:type="dxa"/>
              <w:right w:w="90" w:type="dxa"/>
            </w:tcMar>
            <w:vAlign w:val="center"/>
          </w:tcPr>
          <w:p w14:paraId="365A0E4A" w14:textId="77777777" w:rsidR="00DF27C6" w:rsidRDefault="00000000">
            <w:r>
              <w:rPr>
                <w:rFonts w:eastAsia="Times New Roman"/>
                <w:sz w:val="17"/>
              </w:rPr>
              <w:t>Mean VIF</w:t>
            </w:r>
          </w:p>
        </w:tc>
        <w:tc>
          <w:tcPr>
            <w:tcW w:w="1728" w:type="dxa"/>
            <w:tcMar>
              <w:top w:w="55" w:type="dxa"/>
              <w:left w:w="90" w:type="dxa"/>
              <w:bottom w:w="55" w:type="dxa"/>
              <w:right w:w="90" w:type="dxa"/>
            </w:tcMar>
            <w:vAlign w:val="center"/>
          </w:tcPr>
          <w:p w14:paraId="37E2EDD9" w14:textId="77777777" w:rsidR="00DF27C6" w:rsidRDefault="00000000">
            <w:pPr>
              <w:jc w:val="center"/>
            </w:pPr>
            <w:r>
              <w:rPr>
                <w:rFonts w:eastAsia="Times New Roman"/>
                <w:sz w:val="17"/>
              </w:rPr>
              <w:t>1.78</w:t>
            </w:r>
          </w:p>
        </w:tc>
        <w:tc>
          <w:tcPr>
            <w:tcW w:w="1728" w:type="dxa"/>
            <w:tcMar>
              <w:top w:w="55" w:type="dxa"/>
              <w:left w:w="90" w:type="dxa"/>
              <w:bottom w:w="55" w:type="dxa"/>
              <w:right w:w="90" w:type="dxa"/>
            </w:tcMar>
            <w:vAlign w:val="center"/>
          </w:tcPr>
          <w:p w14:paraId="17CB63D1" w14:textId="77777777" w:rsidR="00DF27C6" w:rsidRDefault="00000000">
            <w:pPr>
              <w:jc w:val="center"/>
            </w:pPr>
            <w:r>
              <w:rPr>
                <w:rFonts w:eastAsia="Times New Roman"/>
                <w:sz w:val="17"/>
              </w:rPr>
              <w:t>—</w:t>
            </w:r>
          </w:p>
        </w:tc>
      </w:tr>
    </w:tbl>
    <w:p w14:paraId="3A5FE1E5" w14:textId="77777777" w:rsidR="00DF27C6" w:rsidRDefault="00000000">
      <w:pPr>
        <w:spacing w:before="40" w:after="120"/>
      </w:pPr>
      <w:r>
        <w:rPr>
          <w:rFonts w:eastAsia="Times New Roman"/>
          <w:i/>
          <w:sz w:val="17"/>
        </w:rPr>
        <w:t>Source: Study data (2026).</w:t>
      </w:r>
    </w:p>
    <w:p w14:paraId="0B69EC3B" w14:textId="77777777" w:rsidR="00DF27C6" w:rsidRDefault="00000000">
      <w:pPr>
        <w:pStyle w:val="Heading2"/>
        <w:spacing w:before="120" w:after="80"/>
      </w:pPr>
      <w:r>
        <w:rPr>
          <w:rFonts w:ascii="Times New Roman" w:eastAsia="Times New Roman" w:hAnsi="Times New Roman"/>
        </w:rPr>
        <w:t>4.3.3 Heteroskedasticity</w:t>
      </w:r>
    </w:p>
    <w:p w14:paraId="79984555" w14:textId="77777777" w:rsidR="00DF27C6" w:rsidRDefault="00000000">
      <w:pPr>
        <w:keepNext/>
        <w:spacing w:after="40"/>
        <w:ind w:firstLine="360"/>
        <w:jc w:val="both"/>
      </w:pPr>
      <w:r>
        <w:t>Table 6 reports the Breusch–Pagan/Cook–Weisberg diagnostic as supplied with the analysis output. The null hypothesis of constant variance is rejected (χ² = 11.89, p = 0.0006), indicating that homoskedastic conventional inference should not be assumed. The output labels the test variable as fitted values of GDP per capita, whereas the reported fixed-effects equation uses logged GDP per capita. For that reason, the test is treated as a warning of heteroskedasticity rather than as proof that every feature of the final fixed-effects residual process has been diagnosed. Under exogeneity, heteroskedasticity does not automatically bias fixed-effects slope coefficients, but conventional standard errors can be inconsistent (Breusch &amp; Pagan, 1979). The inferential statistics in Table 9 are therefore presented for transparency and interpreted cautiously.</w:t>
      </w:r>
    </w:p>
    <w:p w14:paraId="61A8CD08" w14:textId="77777777" w:rsidR="00DF27C6" w:rsidRDefault="00000000">
      <w:pPr>
        <w:keepNext/>
        <w:spacing w:before="80" w:after="40"/>
      </w:pPr>
      <w:r>
        <w:rPr>
          <w:rFonts w:eastAsia="Times New Roman"/>
          <w:b/>
          <w:sz w:val="20"/>
        </w:rPr>
        <w:t>Table 6. Breusch–Pagan/Cook–Weisberg heteroskedasticity test</w:t>
      </w:r>
    </w:p>
    <w:tbl>
      <w:tblPr>
        <w:tblStyle w:val="TableGrid"/>
        <w:tblW w:w="0" w:type="auto"/>
        <w:jc w:val="center"/>
        <w:tblLayout w:type="fixed"/>
        <w:tblLook w:val="04A0" w:firstRow="1" w:lastRow="0" w:firstColumn="1" w:lastColumn="0" w:noHBand="0" w:noVBand="1"/>
      </w:tblPr>
      <w:tblGrid>
        <w:gridCol w:w="4608"/>
        <w:gridCol w:w="4608"/>
      </w:tblGrid>
      <w:tr w:rsidR="00DF27C6" w14:paraId="36E2B110" w14:textId="77777777">
        <w:trPr>
          <w:tblHeader/>
          <w:jc w:val="center"/>
        </w:trPr>
        <w:tc>
          <w:tcPr>
            <w:tcW w:w="4608" w:type="dxa"/>
            <w:shd w:val="clear" w:color="auto" w:fill="D9E2F3"/>
            <w:tcMar>
              <w:top w:w="55" w:type="dxa"/>
              <w:left w:w="90" w:type="dxa"/>
              <w:bottom w:w="55" w:type="dxa"/>
              <w:right w:w="90" w:type="dxa"/>
            </w:tcMar>
            <w:vAlign w:val="center"/>
          </w:tcPr>
          <w:p w14:paraId="23CE8F30" w14:textId="77777777" w:rsidR="00DF27C6" w:rsidRDefault="00000000">
            <w:pPr>
              <w:jc w:val="center"/>
            </w:pPr>
            <w:r>
              <w:rPr>
                <w:rFonts w:eastAsia="Times New Roman"/>
                <w:b/>
                <w:sz w:val="17"/>
              </w:rPr>
              <w:t>Test component</w:t>
            </w:r>
          </w:p>
        </w:tc>
        <w:tc>
          <w:tcPr>
            <w:tcW w:w="4608" w:type="dxa"/>
            <w:shd w:val="clear" w:color="auto" w:fill="D9E2F3"/>
            <w:tcMar>
              <w:top w:w="55" w:type="dxa"/>
              <w:left w:w="90" w:type="dxa"/>
              <w:bottom w:w="55" w:type="dxa"/>
              <w:right w:w="90" w:type="dxa"/>
            </w:tcMar>
            <w:vAlign w:val="center"/>
          </w:tcPr>
          <w:p w14:paraId="4657F1C3" w14:textId="77777777" w:rsidR="00DF27C6" w:rsidRDefault="00000000">
            <w:pPr>
              <w:jc w:val="center"/>
            </w:pPr>
            <w:r>
              <w:rPr>
                <w:rFonts w:eastAsia="Times New Roman"/>
                <w:b/>
                <w:sz w:val="17"/>
              </w:rPr>
              <w:t>Result</w:t>
            </w:r>
          </w:p>
        </w:tc>
      </w:tr>
      <w:tr w:rsidR="00DF27C6" w14:paraId="36ECF90B" w14:textId="77777777">
        <w:trPr>
          <w:jc w:val="center"/>
        </w:trPr>
        <w:tc>
          <w:tcPr>
            <w:tcW w:w="4608" w:type="dxa"/>
            <w:tcMar>
              <w:top w:w="55" w:type="dxa"/>
              <w:left w:w="90" w:type="dxa"/>
              <w:bottom w:w="55" w:type="dxa"/>
              <w:right w:w="90" w:type="dxa"/>
            </w:tcMar>
            <w:vAlign w:val="center"/>
          </w:tcPr>
          <w:p w14:paraId="31AF89E1" w14:textId="77777777" w:rsidR="00DF27C6" w:rsidRDefault="00000000">
            <w:r>
              <w:rPr>
                <w:rFonts w:eastAsia="Times New Roman"/>
                <w:sz w:val="17"/>
              </w:rPr>
              <w:t>Null hypothesis</w:t>
            </w:r>
          </w:p>
        </w:tc>
        <w:tc>
          <w:tcPr>
            <w:tcW w:w="4608" w:type="dxa"/>
            <w:tcMar>
              <w:top w:w="55" w:type="dxa"/>
              <w:left w:w="90" w:type="dxa"/>
              <w:bottom w:w="55" w:type="dxa"/>
              <w:right w:w="90" w:type="dxa"/>
            </w:tcMar>
            <w:vAlign w:val="center"/>
          </w:tcPr>
          <w:p w14:paraId="36495920" w14:textId="77777777" w:rsidR="00DF27C6" w:rsidRDefault="00000000">
            <w:r>
              <w:rPr>
                <w:rFonts w:eastAsia="Times New Roman"/>
                <w:sz w:val="17"/>
              </w:rPr>
              <w:t>Constant variance</w:t>
            </w:r>
          </w:p>
        </w:tc>
      </w:tr>
      <w:tr w:rsidR="00DF27C6" w14:paraId="51E62412" w14:textId="77777777">
        <w:trPr>
          <w:jc w:val="center"/>
        </w:trPr>
        <w:tc>
          <w:tcPr>
            <w:tcW w:w="4608" w:type="dxa"/>
            <w:tcMar>
              <w:top w:w="55" w:type="dxa"/>
              <w:left w:w="90" w:type="dxa"/>
              <w:bottom w:w="55" w:type="dxa"/>
              <w:right w:w="90" w:type="dxa"/>
            </w:tcMar>
            <w:vAlign w:val="center"/>
          </w:tcPr>
          <w:p w14:paraId="3C1ADB5C" w14:textId="77777777" w:rsidR="00DF27C6" w:rsidRDefault="00000000">
            <w:r>
              <w:rPr>
                <w:rFonts w:eastAsia="Times New Roman"/>
                <w:sz w:val="17"/>
              </w:rPr>
              <w:t>Test variable</w:t>
            </w:r>
          </w:p>
        </w:tc>
        <w:tc>
          <w:tcPr>
            <w:tcW w:w="4608" w:type="dxa"/>
            <w:tcMar>
              <w:top w:w="55" w:type="dxa"/>
              <w:left w:w="90" w:type="dxa"/>
              <w:bottom w:w="55" w:type="dxa"/>
              <w:right w:w="90" w:type="dxa"/>
            </w:tcMar>
            <w:vAlign w:val="center"/>
          </w:tcPr>
          <w:p w14:paraId="6D5E3362" w14:textId="77777777" w:rsidR="00DF27C6" w:rsidRDefault="00000000">
            <w:r>
              <w:rPr>
                <w:sz w:val="19"/>
              </w:rPr>
              <w:t>Fitted values of GDP per capita (as reported in diagnostic output)</w:t>
            </w:r>
          </w:p>
        </w:tc>
      </w:tr>
      <w:tr w:rsidR="00DF27C6" w14:paraId="540754D2" w14:textId="77777777">
        <w:trPr>
          <w:jc w:val="center"/>
        </w:trPr>
        <w:tc>
          <w:tcPr>
            <w:tcW w:w="4608" w:type="dxa"/>
            <w:tcMar>
              <w:top w:w="55" w:type="dxa"/>
              <w:left w:w="90" w:type="dxa"/>
              <w:bottom w:w="55" w:type="dxa"/>
              <w:right w:w="90" w:type="dxa"/>
            </w:tcMar>
            <w:vAlign w:val="center"/>
          </w:tcPr>
          <w:p w14:paraId="0502AEEB" w14:textId="77777777" w:rsidR="00DF27C6" w:rsidRDefault="00000000">
            <w:r>
              <w:rPr>
                <w:rFonts w:eastAsia="Times New Roman"/>
                <w:sz w:val="17"/>
              </w:rPr>
              <w:t>χ²(1)</w:t>
            </w:r>
          </w:p>
        </w:tc>
        <w:tc>
          <w:tcPr>
            <w:tcW w:w="4608" w:type="dxa"/>
            <w:tcMar>
              <w:top w:w="55" w:type="dxa"/>
              <w:left w:w="90" w:type="dxa"/>
              <w:bottom w:w="55" w:type="dxa"/>
              <w:right w:w="90" w:type="dxa"/>
            </w:tcMar>
            <w:vAlign w:val="center"/>
          </w:tcPr>
          <w:p w14:paraId="52FD21D2" w14:textId="77777777" w:rsidR="00DF27C6" w:rsidRDefault="00000000">
            <w:r>
              <w:rPr>
                <w:rFonts w:eastAsia="Times New Roman"/>
                <w:sz w:val="17"/>
              </w:rPr>
              <w:t>11.89</w:t>
            </w:r>
          </w:p>
        </w:tc>
      </w:tr>
      <w:tr w:rsidR="00DF27C6" w14:paraId="6EFE5EA7" w14:textId="77777777">
        <w:trPr>
          <w:jc w:val="center"/>
        </w:trPr>
        <w:tc>
          <w:tcPr>
            <w:tcW w:w="4608" w:type="dxa"/>
            <w:tcMar>
              <w:top w:w="55" w:type="dxa"/>
              <w:left w:w="90" w:type="dxa"/>
              <w:bottom w:w="55" w:type="dxa"/>
              <w:right w:w="90" w:type="dxa"/>
            </w:tcMar>
            <w:vAlign w:val="center"/>
          </w:tcPr>
          <w:p w14:paraId="384DECD5" w14:textId="77777777" w:rsidR="00DF27C6" w:rsidRDefault="00000000">
            <w:r>
              <w:rPr>
                <w:rFonts w:eastAsia="Times New Roman"/>
                <w:sz w:val="17"/>
              </w:rPr>
              <w:t>Probability &gt; χ²</w:t>
            </w:r>
          </w:p>
        </w:tc>
        <w:tc>
          <w:tcPr>
            <w:tcW w:w="4608" w:type="dxa"/>
            <w:tcMar>
              <w:top w:w="55" w:type="dxa"/>
              <w:left w:w="90" w:type="dxa"/>
              <w:bottom w:w="55" w:type="dxa"/>
              <w:right w:w="90" w:type="dxa"/>
            </w:tcMar>
            <w:vAlign w:val="center"/>
          </w:tcPr>
          <w:p w14:paraId="20837A7A" w14:textId="77777777" w:rsidR="00DF27C6" w:rsidRDefault="00000000">
            <w:r>
              <w:rPr>
                <w:rFonts w:eastAsia="Times New Roman"/>
                <w:sz w:val="17"/>
              </w:rPr>
              <w:t>0.0006</w:t>
            </w:r>
          </w:p>
        </w:tc>
      </w:tr>
      <w:tr w:rsidR="00DF27C6" w14:paraId="43257E14" w14:textId="77777777">
        <w:trPr>
          <w:jc w:val="center"/>
        </w:trPr>
        <w:tc>
          <w:tcPr>
            <w:tcW w:w="4608" w:type="dxa"/>
            <w:tcMar>
              <w:top w:w="55" w:type="dxa"/>
              <w:left w:w="90" w:type="dxa"/>
              <w:bottom w:w="55" w:type="dxa"/>
              <w:right w:w="90" w:type="dxa"/>
            </w:tcMar>
            <w:vAlign w:val="center"/>
          </w:tcPr>
          <w:p w14:paraId="2F821FAF" w14:textId="77777777" w:rsidR="00DF27C6" w:rsidRDefault="00000000">
            <w:r>
              <w:rPr>
                <w:rFonts w:eastAsia="Times New Roman"/>
                <w:sz w:val="17"/>
              </w:rPr>
              <w:t>Decision</w:t>
            </w:r>
          </w:p>
        </w:tc>
        <w:tc>
          <w:tcPr>
            <w:tcW w:w="4608" w:type="dxa"/>
            <w:tcMar>
              <w:top w:w="55" w:type="dxa"/>
              <w:left w:w="90" w:type="dxa"/>
              <w:bottom w:w="55" w:type="dxa"/>
              <w:right w:w="90" w:type="dxa"/>
            </w:tcMar>
            <w:vAlign w:val="center"/>
          </w:tcPr>
          <w:p w14:paraId="2E064F85" w14:textId="77777777" w:rsidR="00DF27C6" w:rsidRDefault="00000000">
            <w:r>
              <w:rPr>
                <w:rFonts w:eastAsia="Times New Roman"/>
                <w:sz w:val="17"/>
              </w:rPr>
              <w:t>Reject constant variance at conventional significance levels</w:t>
            </w:r>
          </w:p>
        </w:tc>
      </w:tr>
    </w:tbl>
    <w:p w14:paraId="10629A2A" w14:textId="77777777" w:rsidR="00DF27C6" w:rsidRDefault="00000000">
      <w:pPr>
        <w:spacing w:before="40" w:after="120"/>
      </w:pPr>
      <w:r>
        <w:rPr>
          <w:rFonts w:eastAsia="Times New Roman"/>
          <w:i/>
          <w:sz w:val="17"/>
        </w:rPr>
        <w:t>Source: Study data (2026).</w:t>
      </w:r>
    </w:p>
    <w:p w14:paraId="31C0E904" w14:textId="77777777" w:rsidR="00DF27C6" w:rsidRDefault="00000000">
      <w:pPr>
        <w:pStyle w:val="Heading2"/>
        <w:spacing w:before="120" w:after="80"/>
      </w:pPr>
      <w:r>
        <w:rPr>
          <w:rFonts w:ascii="Times New Roman" w:eastAsia="Times New Roman" w:hAnsi="Times New Roman"/>
        </w:rPr>
        <w:t>4.3.4 Supplementary panel cointegration output</w:t>
      </w:r>
    </w:p>
    <w:p w14:paraId="50B81B4A" w14:textId="77777777" w:rsidR="00DF27C6" w:rsidRDefault="00000000">
      <w:pPr>
        <w:keepNext/>
        <w:spacing w:after="40"/>
        <w:ind w:firstLine="360"/>
        <w:jc w:val="both"/>
      </w:pPr>
      <w:r>
        <w:t xml:space="preserve">Table 7 presents the supplementary Johansen–Fisher panel cointegration output; Fisher-type p-value combination is a standard panel-testing strategy (Maddala &amp; Wu, 1999). </w:t>
      </w:r>
      <w:r>
        <w:rPr>
          <w:highlight w:val="yellow"/>
        </w:rPr>
        <w:t>The first sequential null states that there is no cointegrating equation.</w:t>
      </w:r>
      <w:r>
        <w:t xml:space="preserve"> Both the trace and maximum-eigenvalue Fisher probabilities at the “None” rank are 0.7319, so the null of no cointegration is not rejected at the 5% level. Because sequential rank testing stops when the null cannot be rejected, later rows do not establish a cointegrating relationship. In addition, the variables show mixed I(0)/I(1) classifications. The cointegration output is therefore not used to support the fixed-effects interpretation, to validate a levels-based long-run model, or to claim a stable equilibrium relationship.</w:t>
      </w:r>
    </w:p>
    <w:p w14:paraId="41FBC1BF" w14:textId="77777777" w:rsidR="00DF27C6" w:rsidRDefault="00000000">
      <w:pPr>
        <w:keepNext/>
        <w:spacing w:before="80" w:after="40"/>
      </w:pPr>
      <w:r>
        <w:rPr>
          <w:rFonts w:eastAsia="Times New Roman"/>
          <w:b/>
          <w:sz w:val="20"/>
        </w:rPr>
        <w:t>Table 7. Supplementary Johansen–Fisher panel cointegration output</w:t>
      </w:r>
    </w:p>
    <w:tbl>
      <w:tblPr>
        <w:tblStyle w:val="TableGrid"/>
        <w:tblW w:w="0" w:type="auto"/>
        <w:jc w:val="center"/>
        <w:tblLayout w:type="fixed"/>
        <w:tblLook w:val="04A0" w:firstRow="1" w:lastRow="0" w:firstColumn="1" w:lastColumn="0" w:noHBand="0" w:noVBand="1"/>
      </w:tblPr>
      <w:tblGrid>
        <w:gridCol w:w="2376"/>
        <w:gridCol w:w="2160"/>
        <w:gridCol w:w="1512"/>
        <w:gridCol w:w="2376"/>
        <w:gridCol w:w="1512"/>
      </w:tblGrid>
      <w:tr w:rsidR="00DF27C6" w14:paraId="2B7C557C" w14:textId="77777777">
        <w:trPr>
          <w:tblHeader/>
          <w:jc w:val="center"/>
        </w:trPr>
        <w:tc>
          <w:tcPr>
            <w:tcW w:w="2376" w:type="dxa"/>
            <w:shd w:val="clear" w:color="auto" w:fill="D9E2F3"/>
            <w:tcMar>
              <w:top w:w="55" w:type="dxa"/>
              <w:left w:w="90" w:type="dxa"/>
              <w:bottom w:w="55" w:type="dxa"/>
              <w:right w:w="90" w:type="dxa"/>
            </w:tcMar>
            <w:vAlign w:val="center"/>
          </w:tcPr>
          <w:p w14:paraId="72448A62" w14:textId="77777777" w:rsidR="00DF27C6" w:rsidRDefault="00000000">
            <w:pPr>
              <w:jc w:val="center"/>
            </w:pPr>
            <w:r>
              <w:rPr>
                <w:rFonts w:eastAsia="Times New Roman"/>
                <w:b/>
                <w:sz w:val="16"/>
              </w:rPr>
              <w:t>Hypothesized no. of CE(s)</w:t>
            </w:r>
          </w:p>
        </w:tc>
        <w:tc>
          <w:tcPr>
            <w:tcW w:w="2160" w:type="dxa"/>
            <w:shd w:val="clear" w:color="auto" w:fill="D9E2F3"/>
            <w:tcMar>
              <w:top w:w="55" w:type="dxa"/>
              <w:left w:w="90" w:type="dxa"/>
              <w:bottom w:w="55" w:type="dxa"/>
              <w:right w:w="90" w:type="dxa"/>
            </w:tcMar>
            <w:vAlign w:val="center"/>
          </w:tcPr>
          <w:p w14:paraId="4A7DD52D" w14:textId="77777777" w:rsidR="00DF27C6" w:rsidRDefault="00000000">
            <w:pPr>
              <w:jc w:val="center"/>
            </w:pPr>
            <w:r>
              <w:rPr>
                <w:rFonts w:eastAsia="Times New Roman"/>
                <w:b/>
                <w:sz w:val="16"/>
              </w:rPr>
              <w:t>Trace Fisher statistic</w:t>
            </w:r>
          </w:p>
        </w:tc>
        <w:tc>
          <w:tcPr>
            <w:tcW w:w="1512" w:type="dxa"/>
            <w:shd w:val="clear" w:color="auto" w:fill="D9E2F3"/>
            <w:tcMar>
              <w:top w:w="55" w:type="dxa"/>
              <w:left w:w="90" w:type="dxa"/>
              <w:bottom w:w="55" w:type="dxa"/>
              <w:right w:w="90" w:type="dxa"/>
            </w:tcMar>
            <w:vAlign w:val="center"/>
          </w:tcPr>
          <w:p w14:paraId="5867F7B0" w14:textId="77777777" w:rsidR="00DF27C6" w:rsidRDefault="00000000">
            <w:pPr>
              <w:jc w:val="center"/>
            </w:pPr>
            <w:r>
              <w:rPr>
                <w:rFonts w:eastAsia="Times New Roman"/>
                <w:b/>
                <w:sz w:val="16"/>
              </w:rPr>
              <w:t>Trace p</w:t>
            </w:r>
          </w:p>
        </w:tc>
        <w:tc>
          <w:tcPr>
            <w:tcW w:w="2376" w:type="dxa"/>
            <w:shd w:val="clear" w:color="auto" w:fill="D9E2F3"/>
            <w:tcMar>
              <w:top w:w="55" w:type="dxa"/>
              <w:left w:w="90" w:type="dxa"/>
              <w:bottom w:w="55" w:type="dxa"/>
              <w:right w:w="90" w:type="dxa"/>
            </w:tcMar>
            <w:vAlign w:val="center"/>
          </w:tcPr>
          <w:p w14:paraId="2795FAB3" w14:textId="77777777" w:rsidR="00DF27C6" w:rsidRDefault="00000000">
            <w:pPr>
              <w:jc w:val="center"/>
            </w:pPr>
            <w:r>
              <w:rPr>
                <w:rFonts w:eastAsia="Times New Roman"/>
                <w:b/>
                <w:sz w:val="16"/>
              </w:rPr>
              <w:t>Max-eigen Fisher statistic</w:t>
            </w:r>
          </w:p>
        </w:tc>
        <w:tc>
          <w:tcPr>
            <w:tcW w:w="1512" w:type="dxa"/>
            <w:shd w:val="clear" w:color="auto" w:fill="D9E2F3"/>
            <w:tcMar>
              <w:top w:w="55" w:type="dxa"/>
              <w:left w:w="90" w:type="dxa"/>
              <w:bottom w:w="55" w:type="dxa"/>
              <w:right w:w="90" w:type="dxa"/>
            </w:tcMar>
            <w:vAlign w:val="center"/>
          </w:tcPr>
          <w:p w14:paraId="3FBF5DC0" w14:textId="77777777" w:rsidR="00DF27C6" w:rsidRDefault="00000000">
            <w:pPr>
              <w:jc w:val="center"/>
            </w:pPr>
            <w:r>
              <w:rPr>
                <w:rFonts w:eastAsia="Times New Roman"/>
                <w:b/>
                <w:sz w:val="16"/>
              </w:rPr>
              <w:t>Max-eigen p</w:t>
            </w:r>
          </w:p>
        </w:tc>
      </w:tr>
      <w:tr w:rsidR="00DF27C6" w14:paraId="7F01F17E" w14:textId="77777777">
        <w:trPr>
          <w:jc w:val="center"/>
        </w:trPr>
        <w:tc>
          <w:tcPr>
            <w:tcW w:w="2376" w:type="dxa"/>
            <w:tcMar>
              <w:top w:w="55" w:type="dxa"/>
              <w:left w:w="90" w:type="dxa"/>
              <w:bottom w:w="55" w:type="dxa"/>
              <w:right w:w="90" w:type="dxa"/>
            </w:tcMar>
            <w:vAlign w:val="center"/>
          </w:tcPr>
          <w:p w14:paraId="5BE83B81" w14:textId="77777777" w:rsidR="00DF27C6" w:rsidRDefault="00000000">
            <w:r>
              <w:rPr>
                <w:rFonts w:eastAsia="Times New Roman"/>
                <w:sz w:val="16"/>
              </w:rPr>
              <w:t>None</w:t>
            </w:r>
          </w:p>
        </w:tc>
        <w:tc>
          <w:tcPr>
            <w:tcW w:w="2160" w:type="dxa"/>
            <w:tcMar>
              <w:top w:w="55" w:type="dxa"/>
              <w:left w:w="90" w:type="dxa"/>
              <w:bottom w:w="55" w:type="dxa"/>
              <w:right w:w="90" w:type="dxa"/>
            </w:tcMar>
            <w:vAlign w:val="center"/>
          </w:tcPr>
          <w:p w14:paraId="773FAC4F" w14:textId="77777777" w:rsidR="00DF27C6" w:rsidRDefault="00000000">
            <w:pPr>
              <w:jc w:val="center"/>
            </w:pPr>
            <w:r>
              <w:rPr>
                <w:rFonts w:eastAsia="Times New Roman"/>
                <w:sz w:val="16"/>
              </w:rPr>
              <w:t>6.931</w:t>
            </w:r>
          </w:p>
        </w:tc>
        <w:tc>
          <w:tcPr>
            <w:tcW w:w="1512" w:type="dxa"/>
            <w:tcMar>
              <w:top w:w="55" w:type="dxa"/>
              <w:left w:w="90" w:type="dxa"/>
              <w:bottom w:w="55" w:type="dxa"/>
              <w:right w:w="90" w:type="dxa"/>
            </w:tcMar>
            <w:vAlign w:val="center"/>
          </w:tcPr>
          <w:p w14:paraId="60C25AD8" w14:textId="77777777" w:rsidR="00DF27C6" w:rsidRDefault="00000000">
            <w:pPr>
              <w:jc w:val="center"/>
            </w:pPr>
            <w:r>
              <w:rPr>
                <w:rFonts w:eastAsia="Times New Roman"/>
                <w:sz w:val="16"/>
              </w:rPr>
              <w:t>0.7319</w:t>
            </w:r>
          </w:p>
        </w:tc>
        <w:tc>
          <w:tcPr>
            <w:tcW w:w="2376" w:type="dxa"/>
            <w:tcMar>
              <w:top w:w="55" w:type="dxa"/>
              <w:left w:w="90" w:type="dxa"/>
              <w:bottom w:w="55" w:type="dxa"/>
              <w:right w:w="90" w:type="dxa"/>
            </w:tcMar>
            <w:vAlign w:val="center"/>
          </w:tcPr>
          <w:p w14:paraId="1B23EBF5" w14:textId="77777777" w:rsidR="00DF27C6" w:rsidRDefault="00000000">
            <w:pPr>
              <w:jc w:val="center"/>
            </w:pPr>
            <w:r>
              <w:rPr>
                <w:rFonts w:eastAsia="Times New Roman"/>
                <w:sz w:val="16"/>
              </w:rPr>
              <w:t>6.931</w:t>
            </w:r>
          </w:p>
        </w:tc>
        <w:tc>
          <w:tcPr>
            <w:tcW w:w="1512" w:type="dxa"/>
            <w:tcMar>
              <w:top w:w="55" w:type="dxa"/>
              <w:left w:w="90" w:type="dxa"/>
              <w:bottom w:w="55" w:type="dxa"/>
              <w:right w:w="90" w:type="dxa"/>
            </w:tcMar>
            <w:vAlign w:val="center"/>
          </w:tcPr>
          <w:p w14:paraId="4C1FE787" w14:textId="77777777" w:rsidR="00DF27C6" w:rsidRDefault="00000000">
            <w:pPr>
              <w:jc w:val="center"/>
            </w:pPr>
            <w:r>
              <w:rPr>
                <w:rFonts w:eastAsia="Times New Roman"/>
                <w:sz w:val="16"/>
              </w:rPr>
              <w:t>0.7319</w:t>
            </w:r>
          </w:p>
        </w:tc>
      </w:tr>
      <w:tr w:rsidR="00DF27C6" w14:paraId="79083665" w14:textId="77777777">
        <w:trPr>
          <w:jc w:val="center"/>
        </w:trPr>
        <w:tc>
          <w:tcPr>
            <w:tcW w:w="2376" w:type="dxa"/>
            <w:tcMar>
              <w:top w:w="55" w:type="dxa"/>
              <w:left w:w="90" w:type="dxa"/>
              <w:bottom w:w="55" w:type="dxa"/>
              <w:right w:w="90" w:type="dxa"/>
            </w:tcMar>
            <w:vAlign w:val="center"/>
          </w:tcPr>
          <w:p w14:paraId="089A6B9C" w14:textId="77777777" w:rsidR="00DF27C6" w:rsidRDefault="00000000">
            <w:r>
              <w:rPr>
                <w:rFonts w:eastAsia="Times New Roman"/>
                <w:sz w:val="16"/>
              </w:rPr>
              <w:lastRenderedPageBreak/>
              <w:t>At most 1</w:t>
            </w:r>
          </w:p>
        </w:tc>
        <w:tc>
          <w:tcPr>
            <w:tcW w:w="2160" w:type="dxa"/>
            <w:tcMar>
              <w:top w:w="55" w:type="dxa"/>
              <w:left w:w="90" w:type="dxa"/>
              <w:bottom w:w="55" w:type="dxa"/>
              <w:right w:w="90" w:type="dxa"/>
            </w:tcMar>
            <w:vAlign w:val="center"/>
          </w:tcPr>
          <w:p w14:paraId="271EE477" w14:textId="77777777" w:rsidR="00DF27C6" w:rsidRDefault="00000000">
            <w:pPr>
              <w:jc w:val="center"/>
            </w:pPr>
            <w:r>
              <w:rPr>
                <w:rFonts w:eastAsia="Times New Roman"/>
                <w:sz w:val="16"/>
              </w:rPr>
              <w:t>5.545</w:t>
            </w:r>
          </w:p>
        </w:tc>
        <w:tc>
          <w:tcPr>
            <w:tcW w:w="1512" w:type="dxa"/>
            <w:tcMar>
              <w:top w:w="55" w:type="dxa"/>
              <w:left w:w="90" w:type="dxa"/>
              <w:bottom w:w="55" w:type="dxa"/>
              <w:right w:w="90" w:type="dxa"/>
            </w:tcMar>
            <w:vAlign w:val="center"/>
          </w:tcPr>
          <w:p w14:paraId="672F63D3" w14:textId="77777777" w:rsidR="00DF27C6" w:rsidRDefault="00000000">
            <w:pPr>
              <w:jc w:val="center"/>
            </w:pPr>
            <w:r>
              <w:rPr>
                <w:rFonts w:eastAsia="Times New Roman"/>
                <w:sz w:val="16"/>
              </w:rPr>
              <w:t>0.8519</w:t>
            </w:r>
          </w:p>
        </w:tc>
        <w:tc>
          <w:tcPr>
            <w:tcW w:w="2376" w:type="dxa"/>
            <w:tcMar>
              <w:top w:w="55" w:type="dxa"/>
              <w:left w:w="90" w:type="dxa"/>
              <w:bottom w:w="55" w:type="dxa"/>
              <w:right w:w="90" w:type="dxa"/>
            </w:tcMar>
            <w:vAlign w:val="center"/>
          </w:tcPr>
          <w:p w14:paraId="20157124" w14:textId="77777777" w:rsidR="00DF27C6" w:rsidRDefault="00000000">
            <w:pPr>
              <w:jc w:val="center"/>
            </w:pPr>
            <w:r>
              <w:rPr>
                <w:rFonts w:eastAsia="Times New Roman"/>
                <w:sz w:val="16"/>
              </w:rPr>
              <w:t>23.97</w:t>
            </w:r>
          </w:p>
        </w:tc>
        <w:tc>
          <w:tcPr>
            <w:tcW w:w="1512" w:type="dxa"/>
            <w:tcMar>
              <w:top w:w="55" w:type="dxa"/>
              <w:left w:w="90" w:type="dxa"/>
              <w:bottom w:w="55" w:type="dxa"/>
              <w:right w:w="90" w:type="dxa"/>
            </w:tcMar>
            <w:vAlign w:val="center"/>
          </w:tcPr>
          <w:p w14:paraId="71A24399" w14:textId="77777777" w:rsidR="00DF27C6" w:rsidRDefault="00000000">
            <w:pPr>
              <w:jc w:val="center"/>
            </w:pPr>
            <w:r>
              <w:rPr>
                <w:rFonts w:eastAsia="Times New Roman"/>
                <w:sz w:val="16"/>
              </w:rPr>
              <w:t>0.0077</w:t>
            </w:r>
          </w:p>
        </w:tc>
      </w:tr>
      <w:tr w:rsidR="00DF27C6" w14:paraId="20DB84CB" w14:textId="77777777">
        <w:trPr>
          <w:jc w:val="center"/>
        </w:trPr>
        <w:tc>
          <w:tcPr>
            <w:tcW w:w="2376" w:type="dxa"/>
            <w:tcMar>
              <w:top w:w="55" w:type="dxa"/>
              <w:left w:w="90" w:type="dxa"/>
              <w:bottom w:w="55" w:type="dxa"/>
              <w:right w:w="90" w:type="dxa"/>
            </w:tcMar>
            <w:vAlign w:val="center"/>
          </w:tcPr>
          <w:p w14:paraId="4B1BBD99" w14:textId="77777777" w:rsidR="00DF27C6" w:rsidRDefault="00000000">
            <w:r>
              <w:rPr>
                <w:rFonts w:eastAsia="Times New Roman"/>
                <w:sz w:val="16"/>
              </w:rPr>
              <w:t>At most 2</w:t>
            </w:r>
          </w:p>
        </w:tc>
        <w:tc>
          <w:tcPr>
            <w:tcW w:w="2160" w:type="dxa"/>
            <w:tcMar>
              <w:top w:w="55" w:type="dxa"/>
              <w:left w:w="90" w:type="dxa"/>
              <w:bottom w:w="55" w:type="dxa"/>
              <w:right w:w="90" w:type="dxa"/>
            </w:tcMar>
            <w:vAlign w:val="center"/>
          </w:tcPr>
          <w:p w14:paraId="024568A2" w14:textId="77777777" w:rsidR="00DF27C6" w:rsidRDefault="00000000">
            <w:pPr>
              <w:jc w:val="center"/>
            </w:pPr>
            <w:r>
              <w:rPr>
                <w:rFonts w:eastAsia="Times New Roman"/>
                <w:sz w:val="16"/>
              </w:rPr>
              <w:t>2.773</w:t>
            </w:r>
          </w:p>
        </w:tc>
        <w:tc>
          <w:tcPr>
            <w:tcW w:w="1512" w:type="dxa"/>
            <w:tcMar>
              <w:top w:w="55" w:type="dxa"/>
              <w:left w:w="90" w:type="dxa"/>
              <w:bottom w:w="55" w:type="dxa"/>
              <w:right w:w="90" w:type="dxa"/>
            </w:tcMar>
            <w:vAlign w:val="center"/>
          </w:tcPr>
          <w:p w14:paraId="3BCBBE5B" w14:textId="77777777" w:rsidR="00DF27C6" w:rsidRDefault="00000000">
            <w:pPr>
              <w:jc w:val="center"/>
            </w:pPr>
            <w:r>
              <w:rPr>
                <w:rFonts w:eastAsia="Times New Roman"/>
                <w:sz w:val="16"/>
              </w:rPr>
              <w:t>0.9863</w:t>
            </w:r>
          </w:p>
        </w:tc>
        <w:tc>
          <w:tcPr>
            <w:tcW w:w="2376" w:type="dxa"/>
            <w:tcMar>
              <w:top w:w="55" w:type="dxa"/>
              <w:left w:w="90" w:type="dxa"/>
              <w:bottom w:w="55" w:type="dxa"/>
              <w:right w:w="90" w:type="dxa"/>
            </w:tcMar>
            <w:vAlign w:val="center"/>
          </w:tcPr>
          <w:p w14:paraId="1252890C" w14:textId="77777777" w:rsidR="00DF27C6" w:rsidRDefault="00000000">
            <w:pPr>
              <w:jc w:val="center"/>
            </w:pPr>
            <w:r>
              <w:rPr>
                <w:rFonts w:eastAsia="Times New Roman"/>
                <w:sz w:val="16"/>
              </w:rPr>
              <w:t>58.03</w:t>
            </w:r>
          </w:p>
        </w:tc>
        <w:tc>
          <w:tcPr>
            <w:tcW w:w="1512" w:type="dxa"/>
            <w:tcMar>
              <w:top w:w="55" w:type="dxa"/>
              <w:left w:w="90" w:type="dxa"/>
              <w:bottom w:w="55" w:type="dxa"/>
              <w:right w:w="90" w:type="dxa"/>
            </w:tcMar>
            <w:vAlign w:val="center"/>
          </w:tcPr>
          <w:p w14:paraId="03604FA1" w14:textId="77777777" w:rsidR="00DF27C6" w:rsidRDefault="00000000">
            <w:pPr>
              <w:jc w:val="center"/>
            </w:pPr>
            <w:r>
              <w:rPr>
                <w:rFonts w:eastAsia="Times New Roman"/>
                <w:sz w:val="16"/>
              </w:rPr>
              <w:t>&lt;0.0001</w:t>
            </w:r>
          </w:p>
        </w:tc>
      </w:tr>
      <w:tr w:rsidR="00DF27C6" w14:paraId="3FEAE1A1" w14:textId="77777777">
        <w:trPr>
          <w:jc w:val="center"/>
        </w:trPr>
        <w:tc>
          <w:tcPr>
            <w:tcW w:w="2376" w:type="dxa"/>
            <w:tcMar>
              <w:top w:w="55" w:type="dxa"/>
              <w:left w:w="90" w:type="dxa"/>
              <w:bottom w:w="55" w:type="dxa"/>
              <w:right w:w="90" w:type="dxa"/>
            </w:tcMar>
            <w:vAlign w:val="center"/>
          </w:tcPr>
          <w:p w14:paraId="20822728" w14:textId="77777777" w:rsidR="00DF27C6" w:rsidRDefault="00000000">
            <w:r>
              <w:rPr>
                <w:rFonts w:eastAsia="Times New Roman"/>
                <w:sz w:val="16"/>
              </w:rPr>
              <w:t>At most 3</w:t>
            </w:r>
          </w:p>
        </w:tc>
        <w:tc>
          <w:tcPr>
            <w:tcW w:w="2160" w:type="dxa"/>
            <w:tcMar>
              <w:top w:w="55" w:type="dxa"/>
              <w:left w:w="90" w:type="dxa"/>
              <w:bottom w:w="55" w:type="dxa"/>
              <w:right w:w="90" w:type="dxa"/>
            </w:tcMar>
            <w:vAlign w:val="center"/>
          </w:tcPr>
          <w:p w14:paraId="3C24E0FB" w14:textId="77777777" w:rsidR="00DF27C6" w:rsidRDefault="00000000">
            <w:pPr>
              <w:jc w:val="center"/>
            </w:pPr>
            <w:r>
              <w:rPr>
                <w:rFonts w:eastAsia="Times New Roman"/>
                <w:sz w:val="16"/>
              </w:rPr>
              <w:t>92.10</w:t>
            </w:r>
          </w:p>
        </w:tc>
        <w:tc>
          <w:tcPr>
            <w:tcW w:w="1512" w:type="dxa"/>
            <w:tcMar>
              <w:top w:w="55" w:type="dxa"/>
              <w:left w:w="90" w:type="dxa"/>
              <w:bottom w:w="55" w:type="dxa"/>
              <w:right w:w="90" w:type="dxa"/>
            </w:tcMar>
            <w:vAlign w:val="center"/>
          </w:tcPr>
          <w:p w14:paraId="6DD7C08B" w14:textId="77777777" w:rsidR="00DF27C6" w:rsidRDefault="00000000">
            <w:pPr>
              <w:jc w:val="center"/>
            </w:pPr>
            <w:r>
              <w:rPr>
                <w:rFonts w:eastAsia="Times New Roman"/>
                <w:sz w:val="16"/>
              </w:rPr>
              <w:t>&lt;0.0001</w:t>
            </w:r>
          </w:p>
        </w:tc>
        <w:tc>
          <w:tcPr>
            <w:tcW w:w="2376" w:type="dxa"/>
            <w:tcMar>
              <w:top w:w="55" w:type="dxa"/>
              <w:left w:w="90" w:type="dxa"/>
              <w:bottom w:w="55" w:type="dxa"/>
              <w:right w:w="90" w:type="dxa"/>
            </w:tcMar>
            <w:vAlign w:val="center"/>
          </w:tcPr>
          <w:p w14:paraId="090279A7" w14:textId="77777777" w:rsidR="00DF27C6" w:rsidRDefault="00000000">
            <w:pPr>
              <w:jc w:val="center"/>
            </w:pPr>
            <w:r>
              <w:rPr>
                <w:rFonts w:eastAsia="Times New Roman"/>
                <w:sz w:val="16"/>
              </w:rPr>
              <w:t>92.10</w:t>
            </w:r>
          </w:p>
        </w:tc>
        <w:tc>
          <w:tcPr>
            <w:tcW w:w="1512" w:type="dxa"/>
            <w:tcMar>
              <w:top w:w="55" w:type="dxa"/>
              <w:left w:w="90" w:type="dxa"/>
              <w:bottom w:w="55" w:type="dxa"/>
              <w:right w:w="90" w:type="dxa"/>
            </w:tcMar>
            <w:vAlign w:val="center"/>
          </w:tcPr>
          <w:p w14:paraId="3F01B789" w14:textId="77777777" w:rsidR="00DF27C6" w:rsidRDefault="00000000">
            <w:pPr>
              <w:jc w:val="center"/>
            </w:pPr>
            <w:r>
              <w:rPr>
                <w:rFonts w:eastAsia="Times New Roman"/>
                <w:sz w:val="16"/>
              </w:rPr>
              <w:t>&lt;0.0001</w:t>
            </w:r>
          </w:p>
        </w:tc>
      </w:tr>
      <w:tr w:rsidR="00DF27C6" w14:paraId="4EC207B8" w14:textId="77777777">
        <w:trPr>
          <w:jc w:val="center"/>
        </w:trPr>
        <w:tc>
          <w:tcPr>
            <w:tcW w:w="2376" w:type="dxa"/>
            <w:tcMar>
              <w:top w:w="55" w:type="dxa"/>
              <w:left w:w="90" w:type="dxa"/>
              <w:bottom w:w="55" w:type="dxa"/>
              <w:right w:w="90" w:type="dxa"/>
            </w:tcMar>
            <w:vAlign w:val="center"/>
          </w:tcPr>
          <w:p w14:paraId="30DEB5AE" w14:textId="77777777" w:rsidR="00DF27C6" w:rsidRDefault="00000000">
            <w:r>
              <w:rPr>
                <w:rFonts w:eastAsia="Times New Roman"/>
                <w:sz w:val="16"/>
              </w:rPr>
              <w:t>At most 4</w:t>
            </w:r>
          </w:p>
        </w:tc>
        <w:tc>
          <w:tcPr>
            <w:tcW w:w="2160" w:type="dxa"/>
            <w:tcMar>
              <w:top w:w="55" w:type="dxa"/>
              <w:left w:w="90" w:type="dxa"/>
              <w:bottom w:w="55" w:type="dxa"/>
              <w:right w:w="90" w:type="dxa"/>
            </w:tcMar>
            <w:vAlign w:val="center"/>
          </w:tcPr>
          <w:p w14:paraId="6AECA608" w14:textId="77777777" w:rsidR="00DF27C6" w:rsidRDefault="00000000">
            <w:pPr>
              <w:jc w:val="center"/>
            </w:pPr>
            <w:r>
              <w:rPr>
                <w:rFonts w:eastAsia="Times New Roman"/>
                <w:sz w:val="16"/>
              </w:rPr>
              <w:t>105.6</w:t>
            </w:r>
          </w:p>
        </w:tc>
        <w:tc>
          <w:tcPr>
            <w:tcW w:w="1512" w:type="dxa"/>
            <w:tcMar>
              <w:top w:w="55" w:type="dxa"/>
              <w:left w:w="90" w:type="dxa"/>
              <w:bottom w:w="55" w:type="dxa"/>
              <w:right w:w="90" w:type="dxa"/>
            </w:tcMar>
            <w:vAlign w:val="center"/>
          </w:tcPr>
          <w:p w14:paraId="13AA683C" w14:textId="77777777" w:rsidR="00DF27C6" w:rsidRDefault="00000000">
            <w:pPr>
              <w:jc w:val="center"/>
            </w:pPr>
            <w:r>
              <w:rPr>
                <w:rFonts w:eastAsia="Times New Roman"/>
                <w:sz w:val="16"/>
              </w:rPr>
              <w:t>&lt;0.0001</w:t>
            </w:r>
          </w:p>
        </w:tc>
        <w:tc>
          <w:tcPr>
            <w:tcW w:w="2376" w:type="dxa"/>
            <w:tcMar>
              <w:top w:w="55" w:type="dxa"/>
              <w:left w:w="90" w:type="dxa"/>
              <w:bottom w:w="55" w:type="dxa"/>
              <w:right w:w="90" w:type="dxa"/>
            </w:tcMar>
            <w:vAlign w:val="center"/>
          </w:tcPr>
          <w:p w14:paraId="0B6D8BDC" w14:textId="77777777" w:rsidR="00DF27C6" w:rsidRDefault="00000000">
            <w:pPr>
              <w:jc w:val="center"/>
            </w:pPr>
            <w:r>
              <w:rPr>
                <w:rFonts w:eastAsia="Times New Roman"/>
                <w:sz w:val="16"/>
              </w:rPr>
              <w:t>69.47</w:t>
            </w:r>
          </w:p>
        </w:tc>
        <w:tc>
          <w:tcPr>
            <w:tcW w:w="1512" w:type="dxa"/>
            <w:tcMar>
              <w:top w:w="55" w:type="dxa"/>
              <w:left w:w="90" w:type="dxa"/>
              <w:bottom w:w="55" w:type="dxa"/>
              <w:right w:w="90" w:type="dxa"/>
            </w:tcMar>
            <w:vAlign w:val="center"/>
          </w:tcPr>
          <w:p w14:paraId="049B2408" w14:textId="77777777" w:rsidR="00DF27C6" w:rsidRDefault="00000000">
            <w:pPr>
              <w:jc w:val="center"/>
            </w:pPr>
            <w:r>
              <w:rPr>
                <w:rFonts w:eastAsia="Times New Roman"/>
                <w:sz w:val="16"/>
              </w:rPr>
              <w:t>&lt;0.0001</w:t>
            </w:r>
          </w:p>
        </w:tc>
      </w:tr>
      <w:tr w:rsidR="00DF27C6" w14:paraId="398BB74F" w14:textId="77777777">
        <w:trPr>
          <w:jc w:val="center"/>
        </w:trPr>
        <w:tc>
          <w:tcPr>
            <w:tcW w:w="2376" w:type="dxa"/>
            <w:tcMar>
              <w:top w:w="55" w:type="dxa"/>
              <w:left w:w="90" w:type="dxa"/>
              <w:bottom w:w="55" w:type="dxa"/>
              <w:right w:w="90" w:type="dxa"/>
            </w:tcMar>
            <w:vAlign w:val="center"/>
          </w:tcPr>
          <w:p w14:paraId="04AEFC42" w14:textId="77777777" w:rsidR="00DF27C6" w:rsidRDefault="00000000">
            <w:r>
              <w:rPr>
                <w:rFonts w:eastAsia="Times New Roman"/>
                <w:sz w:val="16"/>
              </w:rPr>
              <w:t>At most 5</w:t>
            </w:r>
          </w:p>
        </w:tc>
        <w:tc>
          <w:tcPr>
            <w:tcW w:w="2160" w:type="dxa"/>
            <w:tcMar>
              <w:top w:w="55" w:type="dxa"/>
              <w:left w:w="90" w:type="dxa"/>
              <w:bottom w:w="55" w:type="dxa"/>
              <w:right w:w="90" w:type="dxa"/>
            </w:tcMar>
            <w:vAlign w:val="center"/>
          </w:tcPr>
          <w:p w14:paraId="48101E5B" w14:textId="77777777" w:rsidR="00DF27C6" w:rsidRDefault="00000000">
            <w:pPr>
              <w:jc w:val="center"/>
            </w:pPr>
            <w:r>
              <w:rPr>
                <w:rFonts w:eastAsia="Times New Roman"/>
                <w:sz w:val="16"/>
              </w:rPr>
              <w:t>53.84</w:t>
            </w:r>
          </w:p>
        </w:tc>
        <w:tc>
          <w:tcPr>
            <w:tcW w:w="1512" w:type="dxa"/>
            <w:tcMar>
              <w:top w:w="55" w:type="dxa"/>
              <w:left w:w="90" w:type="dxa"/>
              <w:bottom w:w="55" w:type="dxa"/>
              <w:right w:w="90" w:type="dxa"/>
            </w:tcMar>
            <w:vAlign w:val="center"/>
          </w:tcPr>
          <w:p w14:paraId="2D69739C" w14:textId="77777777" w:rsidR="00DF27C6" w:rsidRDefault="00000000">
            <w:pPr>
              <w:jc w:val="center"/>
            </w:pPr>
            <w:r>
              <w:rPr>
                <w:rFonts w:eastAsia="Times New Roman"/>
                <w:sz w:val="16"/>
              </w:rPr>
              <w:t>&lt;0.0001</w:t>
            </w:r>
          </w:p>
        </w:tc>
        <w:tc>
          <w:tcPr>
            <w:tcW w:w="2376" w:type="dxa"/>
            <w:tcMar>
              <w:top w:w="55" w:type="dxa"/>
              <w:left w:w="90" w:type="dxa"/>
              <w:bottom w:w="55" w:type="dxa"/>
              <w:right w:w="90" w:type="dxa"/>
            </w:tcMar>
            <w:vAlign w:val="center"/>
          </w:tcPr>
          <w:p w14:paraId="4184E663" w14:textId="77777777" w:rsidR="00DF27C6" w:rsidRDefault="00000000">
            <w:pPr>
              <w:jc w:val="center"/>
            </w:pPr>
            <w:r>
              <w:rPr>
                <w:rFonts w:eastAsia="Times New Roman"/>
                <w:sz w:val="16"/>
              </w:rPr>
              <w:t>45.79</w:t>
            </w:r>
          </w:p>
        </w:tc>
        <w:tc>
          <w:tcPr>
            <w:tcW w:w="1512" w:type="dxa"/>
            <w:tcMar>
              <w:top w:w="55" w:type="dxa"/>
              <w:left w:w="90" w:type="dxa"/>
              <w:bottom w:w="55" w:type="dxa"/>
              <w:right w:w="90" w:type="dxa"/>
            </w:tcMar>
            <w:vAlign w:val="center"/>
          </w:tcPr>
          <w:p w14:paraId="22873F14" w14:textId="77777777" w:rsidR="00DF27C6" w:rsidRDefault="00000000">
            <w:pPr>
              <w:jc w:val="center"/>
            </w:pPr>
            <w:r>
              <w:rPr>
                <w:rFonts w:eastAsia="Times New Roman"/>
                <w:sz w:val="16"/>
              </w:rPr>
              <w:t>&lt;0.0001</w:t>
            </w:r>
          </w:p>
        </w:tc>
      </w:tr>
      <w:tr w:rsidR="00DF27C6" w14:paraId="4C254CFF" w14:textId="77777777">
        <w:trPr>
          <w:jc w:val="center"/>
        </w:trPr>
        <w:tc>
          <w:tcPr>
            <w:tcW w:w="2376" w:type="dxa"/>
            <w:tcMar>
              <w:top w:w="55" w:type="dxa"/>
              <w:left w:w="90" w:type="dxa"/>
              <w:bottom w:w="55" w:type="dxa"/>
              <w:right w:w="90" w:type="dxa"/>
            </w:tcMar>
            <w:vAlign w:val="center"/>
          </w:tcPr>
          <w:p w14:paraId="400431C2" w14:textId="77777777" w:rsidR="00DF27C6" w:rsidRDefault="00000000">
            <w:r>
              <w:rPr>
                <w:rFonts w:eastAsia="Times New Roman"/>
                <w:sz w:val="16"/>
              </w:rPr>
              <w:t>At most 6</w:t>
            </w:r>
          </w:p>
        </w:tc>
        <w:tc>
          <w:tcPr>
            <w:tcW w:w="2160" w:type="dxa"/>
            <w:tcMar>
              <w:top w:w="55" w:type="dxa"/>
              <w:left w:w="90" w:type="dxa"/>
              <w:bottom w:w="55" w:type="dxa"/>
              <w:right w:w="90" w:type="dxa"/>
            </w:tcMar>
            <w:vAlign w:val="center"/>
          </w:tcPr>
          <w:p w14:paraId="7BF5B411" w14:textId="77777777" w:rsidR="00DF27C6" w:rsidRDefault="00000000">
            <w:pPr>
              <w:jc w:val="center"/>
            </w:pPr>
            <w:r>
              <w:rPr>
                <w:rFonts w:eastAsia="Times New Roman"/>
                <w:sz w:val="16"/>
              </w:rPr>
              <w:t>28.15</w:t>
            </w:r>
          </w:p>
        </w:tc>
        <w:tc>
          <w:tcPr>
            <w:tcW w:w="1512" w:type="dxa"/>
            <w:tcMar>
              <w:top w:w="55" w:type="dxa"/>
              <w:left w:w="90" w:type="dxa"/>
              <w:bottom w:w="55" w:type="dxa"/>
              <w:right w:w="90" w:type="dxa"/>
            </w:tcMar>
            <w:vAlign w:val="center"/>
          </w:tcPr>
          <w:p w14:paraId="1C09F327" w14:textId="77777777" w:rsidR="00DF27C6" w:rsidRDefault="00000000">
            <w:pPr>
              <w:jc w:val="center"/>
            </w:pPr>
            <w:r>
              <w:rPr>
                <w:rFonts w:eastAsia="Times New Roman"/>
                <w:sz w:val="16"/>
              </w:rPr>
              <w:t>0.0017</w:t>
            </w:r>
          </w:p>
        </w:tc>
        <w:tc>
          <w:tcPr>
            <w:tcW w:w="2376" w:type="dxa"/>
            <w:tcMar>
              <w:top w:w="55" w:type="dxa"/>
              <w:left w:w="90" w:type="dxa"/>
              <w:bottom w:w="55" w:type="dxa"/>
              <w:right w:w="90" w:type="dxa"/>
            </w:tcMar>
            <w:vAlign w:val="center"/>
          </w:tcPr>
          <w:p w14:paraId="44C1E620" w14:textId="77777777" w:rsidR="00DF27C6" w:rsidRDefault="00000000">
            <w:pPr>
              <w:jc w:val="center"/>
            </w:pPr>
            <w:r>
              <w:rPr>
                <w:rFonts w:eastAsia="Times New Roman"/>
                <w:sz w:val="16"/>
              </w:rPr>
              <w:t>28.15</w:t>
            </w:r>
          </w:p>
        </w:tc>
        <w:tc>
          <w:tcPr>
            <w:tcW w:w="1512" w:type="dxa"/>
            <w:tcMar>
              <w:top w:w="55" w:type="dxa"/>
              <w:left w:w="90" w:type="dxa"/>
              <w:bottom w:w="55" w:type="dxa"/>
              <w:right w:w="90" w:type="dxa"/>
            </w:tcMar>
            <w:vAlign w:val="center"/>
          </w:tcPr>
          <w:p w14:paraId="5DA633FD" w14:textId="77777777" w:rsidR="00DF27C6" w:rsidRDefault="00000000">
            <w:pPr>
              <w:jc w:val="center"/>
            </w:pPr>
            <w:r>
              <w:rPr>
                <w:rFonts w:eastAsia="Times New Roman"/>
                <w:sz w:val="16"/>
              </w:rPr>
              <w:t>0.0017</w:t>
            </w:r>
          </w:p>
        </w:tc>
      </w:tr>
    </w:tbl>
    <w:p w14:paraId="4E07B58B" w14:textId="77777777" w:rsidR="00DF27C6" w:rsidRDefault="00000000">
      <w:pPr>
        <w:spacing w:before="40" w:after="120"/>
      </w:pPr>
      <w:r>
        <w:rPr>
          <w:rFonts w:eastAsia="Times New Roman"/>
          <w:i/>
          <w:sz w:val="17"/>
        </w:rPr>
        <w:t>Source: Study data (2026). Trend assumption: linear deterministic trend; lag interval in first differences: 1 1; asymptotic chi-square probabilities.</w:t>
      </w:r>
    </w:p>
    <w:p w14:paraId="18CC6659" w14:textId="77777777" w:rsidR="00DF27C6" w:rsidRDefault="00000000">
      <w:pPr>
        <w:pStyle w:val="Heading2"/>
        <w:spacing w:before="120" w:after="80"/>
      </w:pPr>
      <w:r>
        <w:rPr>
          <w:rFonts w:ascii="Times New Roman" w:eastAsia="Times New Roman" w:hAnsi="Times New Roman"/>
        </w:rPr>
        <w:t>4.3.5 Fixed-effects versus random-effects specification</w:t>
      </w:r>
    </w:p>
    <w:p w14:paraId="747F176E" w14:textId="77777777" w:rsidR="00DF27C6" w:rsidRDefault="00000000">
      <w:pPr>
        <w:keepNext/>
        <w:spacing w:after="40"/>
        <w:ind w:firstLine="360"/>
        <w:jc w:val="both"/>
      </w:pPr>
      <w:r>
        <w:rPr>
          <w:rFonts w:eastAsia="Times New Roman"/>
        </w:rPr>
        <w:t>Table 8 presents the original Hausman comparison. The reported χ² statistic is 233.53 (p &lt; 0.001), but the output also states that the covariance-difference matrix is not positive definite. That warning weakens a purely mechanical interpretation of the Hausman statistic (Hausman, 1978). The fixed-effects model is nevertheless retained as the primary specification because country-specific institutional, geographic, and structural factors are plausibly correlated with fiscal and macroeconomic regressors; the decision is therefore based on substantive panel structure as well as the reported comparison.</w:t>
      </w:r>
    </w:p>
    <w:p w14:paraId="4AB2D284" w14:textId="77777777" w:rsidR="00DF27C6" w:rsidRDefault="00000000">
      <w:pPr>
        <w:keepNext/>
        <w:spacing w:before="80" w:after="40"/>
      </w:pPr>
      <w:r>
        <w:rPr>
          <w:rFonts w:eastAsia="Times New Roman"/>
          <w:b/>
          <w:sz w:val="20"/>
        </w:rPr>
        <w:t>Table 8. Hausman fixed-effects versus random-effects comparison</w:t>
      </w:r>
    </w:p>
    <w:tbl>
      <w:tblPr>
        <w:tblStyle w:val="TableGrid"/>
        <w:tblW w:w="0" w:type="auto"/>
        <w:jc w:val="center"/>
        <w:tblLayout w:type="fixed"/>
        <w:tblLook w:val="04A0" w:firstRow="1" w:lastRow="0" w:firstColumn="1" w:lastColumn="0" w:noHBand="0" w:noVBand="1"/>
      </w:tblPr>
      <w:tblGrid>
        <w:gridCol w:w="2592"/>
        <w:gridCol w:w="1655"/>
        <w:gridCol w:w="1655"/>
        <w:gridCol w:w="1944"/>
        <w:gridCol w:w="1944"/>
      </w:tblGrid>
      <w:tr w:rsidR="00DF27C6" w14:paraId="0053A46C" w14:textId="77777777">
        <w:trPr>
          <w:tblHeader/>
          <w:jc w:val="center"/>
        </w:trPr>
        <w:tc>
          <w:tcPr>
            <w:tcW w:w="2592" w:type="dxa"/>
            <w:shd w:val="clear" w:color="auto" w:fill="D9E2F3"/>
            <w:tcMar>
              <w:top w:w="55" w:type="dxa"/>
              <w:left w:w="90" w:type="dxa"/>
              <w:bottom w:w="55" w:type="dxa"/>
              <w:right w:w="90" w:type="dxa"/>
            </w:tcMar>
            <w:vAlign w:val="center"/>
          </w:tcPr>
          <w:p w14:paraId="49430006" w14:textId="77777777" w:rsidR="00DF27C6" w:rsidRDefault="00000000">
            <w:pPr>
              <w:jc w:val="center"/>
            </w:pPr>
            <w:r>
              <w:rPr>
                <w:rFonts w:eastAsia="Times New Roman"/>
                <w:b/>
                <w:sz w:val="15"/>
              </w:rPr>
              <w:t>Variable</w:t>
            </w:r>
          </w:p>
        </w:tc>
        <w:tc>
          <w:tcPr>
            <w:tcW w:w="1655" w:type="dxa"/>
            <w:shd w:val="clear" w:color="auto" w:fill="D9E2F3"/>
            <w:tcMar>
              <w:top w:w="55" w:type="dxa"/>
              <w:left w:w="90" w:type="dxa"/>
              <w:bottom w:w="55" w:type="dxa"/>
              <w:right w:w="90" w:type="dxa"/>
            </w:tcMar>
            <w:vAlign w:val="center"/>
          </w:tcPr>
          <w:p w14:paraId="2A64B980" w14:textId="77777777" w:rsidR="00DF27C6" w:rsidRDefault="00000000">
            <w:pPr>
              <w:jc w:val="center"/>
            </w:pPr>
            <w:r>
              <w:rPr>
                <w:rFonts w:eastAsia="Times New Roman"/>
                <w:b/>
                <w:sz w:val="15"/>
              </w:rPr>
              <w:t>Fixed (b)</w:t>
            </w:r>
          </w:p>
        </w:tc>
        <w:tc>
          <w:tcPr>
            <w:tcW w:w="1655" w:type="dxa"/>
            <w:shd w:val="clear" w:color="auto" w:fill="D9E2F3"/>
            <w:tcMar>
              <w:top w:w="55" w:type="dxa"/>
              <w:left w:w="90" w:type="dxa"/>
              <w:bottom w:w="55" w:type="dxa"/>
              <w:right w:w="90" w:type="dxa"/>
            </w:tcMar>
            <w:vAlign w:val="center"/>
          </w:tcPr>
          <w:p w14:paraId="752D3CBD" w14:textId="77777777" w:rsidR="00DF27C6" w:rsidRDefault="00000000">
            <w:pPr>
              <w:jc w:val="center"/>
            </w:pPr>
            <w:r>
              <w:rPr>
                <w:rFonts w:eastAsia="Times New Roman"/>
                <w:b/>
                <w:sz w:val="15"/>
              </w:rPr>
              <w:t>Random (B)</w:t>
            </w:r>
          </w:p>
        </w:tc>
        <w:tc>
          <w:tcPr>
            <w:tcW w:w="1944" w:type="dxa"/>
            <w:shd w:val="clear" w:color="auto" w:fill="D9E2F3"/>
            <w:tcMar>
              <w:top w:w="55" w:type="dxa"/>
              <w:left w:w="90" w:type="dxa"/>
              <w:bottom w:w="55" w:type="dxa"/>
              <w:right w:w="90" w:type="dxa"/>
            </w:tcMar>
            <w:vAlign w:val="center"/>
          </w:tcPr>
          <w:p w14:paraId="6380054F" w14:textId="77777777" w:rsidR="00DF27C6" w:rsidRDefault="00000000">
            <w:pPr>
              <w:jc w:val="center"/>
            </w:pPr>
            <w:r>
              <w:rPr>
                <w:rFonts w:eastAsia="Times New Roman"/>
                <w:b/>
                <w:sz w:val="15"/>
              </w:rPr>
              <w:t>Difference (b−B)</w:t>
            </w:r>
          </w:p>
        </w:tc>
        <w:tc>
          <w:tcPr>
            <w:tcW w:w="1944" w:type="dxa"/>
            <w:shd w:val="clear" w:color="auto" w:fill="D9E2F3"/>
            <w:tcMar>
              <w:top w:w="55" w:type="dxa"/>
              <w:left w:w="90" w:type="dxa"/>
              <w:bottom w:w="55" w:type="dxa"/>
              <w:right w:w="90" w:type="dxa"/>
            </w:tcMar>
            <w:vAlign w:val="center"/>
          </w:tcPr>
          <w:p w14:paraId="4158A235" w14:textId="77777777" w:rsidR="00DF27C6" w:rsidRDefault="00000000">
            <w:pPr>
              <w:jc w:val="center"/>
            </w:pPr>
            <w:r>
              <w:rPr>
                <w:rFonts w:eastAsia="Times New Roman"/>
                <w:b/>
                <w:sz w:val="15"/>
              </w:rPr>
              <w:t>SE of difference</w:t>
            </w:r>
          </w:p>
        </w:tc>
      </w:tr>
      <w:tr w:rsidR="00DF27C6" w14:paraId="351B0D22" w14:textId="77777777">
        <w:trPr>
          <w:jc w:val="center"/>
        </w:trPr>
        <w:tc>
          <w:tcPr>
            <w:tcW w:w="2592" w:type="dxa"/>
            <w:tcMar>
              <w:top w:w="55" w:type="dxa"/>
              <w:left w:w="90" w:type="dxa"/>
              <w:bottom w:w="55" w:type="dxa"/>
              <w:right w:w="90" w:type="dxa"/>
            </w:tcMar>
            <w:vAlign w:val="center"/>
          </w:tcPr>
          <w:p w14:paraId="23D77C8E" w14:textId="77777777" w:rsidR="00DF27C6" w:rsidRDefault="00000000">
            <w:r>
              <w:rPr>
                <w:rFonts w:eastAsia="Times New Roman"/>
                <w:sz w:val="15"/>
              </w:rPr>
              <w:t>ln FDI</w:t>
            </w:r>
          </w:p>
        </w:tc>
        <w:tc>
          <w:tcPr>
            <w:tcW w:w="1655" w:type="dxa"/>
            <w:tcMar>
              <w:top w:w="55" w:type="dxa"/>
              <w:left w:w="90" w:type="dxa"/>
              <w:bottom w:w="55" w:type="dxa"/>
              <w:right w:w="90" w:type="dxa"/>
            </w:tcMar>
            <w:vAlign w:val="center"/>
          </w:tcPr>
          <w:p w14:paraId="1CD22BB5" w14:textId="77777777" w:rsidR="00DF27C6" w:rsidRDefault="00000000">
            <w:pPr>
              <w:jc w:val="center"/>
            </w:pPr>
            <w:r>
              <w:rPr>
                <w:rFonts w:eastAsia="Times New Roman"/>
                <w:sz w:val="15"/>
              </w:rPr>
              <w:t>0.0486941</w:t>
            </w:r>
          </w:p>
        </w:tc>
        <w:tc>
          <w:tcPr>
            <w:tcW w:w="1655" w:type="dxa"/>
            <w:tcMar>
              <w:top w:w="55" w:type="dxa"/>
              <w:left w:w="90" w:type="dxa"/>
              <w:bottom w:w="55" w:type="dxa"/>
              <w:right w:w="90" w:type="dxa"/>
            </w:tcMar>
            <w:vAlign w:val="center"/>
          </w:tcPr>
          <w:p w14:paraId="45E371A1" w14:textId="77777777" w:rsidR="00DF27C6" w:rsidRDefault="00000000">
            <w:pPr>
              <w:jc w:val="center"/>
            </w:pPr>
            <w:r>
              <w:rPr>
                <w:rFonts w:eastAsia="Times New Roman"/>
                <w:sz w:val="15"/>
              </w:rPr>
              <w:t>0.0626268</w:t>
            </w:r>
          </w:p>
        </w:tc>
        <w:tc>
          <w:tcPr>
            <w:tcW w:w="1944" w:type="dxa"/>
            <w:tcMar>
              <w:top w:w="55" w:type="dxa"/>
              <w:left w:w="90" w:type="dxa"/>
              <w:bottom w:w="55" w:type="dxa"/>
              <w:right w:w="90" w:type="dxa"/>
            </w:tcMar>
            <w:vAlign w:val="center"/>
          </w:tcPr>
          <w:p w14:paraId="418B1424" w14:textId="77777777" w:rsidR="00DF27C6" w:rsidRDefault="00000000">
            <w:pPr>
              <w:jc w:val="center"/>
            </w:pPr>
            <w:r>
              <w:rPr>
                <w:rFonts w:eastAsia="Times New Roman"/>
                <w:sz w:val="15"/>
              </w:rPr>
              <w:t>-0.0139327</w:t>
            </w:r>
          </w:p>
        </w:tc>
        <w:tc>
          <w:tcPr>
            <w:tcW w:w="1944" w:type="dxa"/>
            <w:tcMar>
              <w:top w:w="55" w:type="dxa"/>
              <w:left w:w="90" w:type="dxa"/>
              <w:bottom w:w="55" w:type="dxa"/>
              <w:right w:w="90" w:type="dxa"/>
            </w:tcMar>
            <w:vAlign w:val="center"/>
          </w:tcPr>
          <w:p w14:paraId="0F907D13" w14:textId="77777777" w:rsidR="00DF27C6" w:rsidRDefault="00000000">
            <w:pPr>
              <w:jc w:val="center"/>
            </w:pPr>
            <w:r>
              <w:rPr>
                <w:rFonts w:eastAsia="Times New Roman"/>
                <w:sz w:val="15"/>
              </w:rPr>
              <w:t>—</w:t>
            </w:r>
          </w:p>
        </w:tc>
      </w:tr>
      <w:tr w:rsidR="00DF27C6" w14:paraId="61312992" w14:textId="77777777">
        <w:trPr>
          <w:jc w:val="center"/>
        </w:trPr>
        <w:tc>
          <w:tcPr>
            <w:tcW w:w="2592" w:type="dxa"/>
            <w:tcMar>
              <w:top w:w="55" w:type="dxa"/>
              <w:left w:w="90" w:type="dxa"/>
              <w:bottom w:w="55" w:type="dxa"/>
              <w:right w:w="90" w:type="dxa"/>
            </w:tcMar>
            <w:vAlign w:val="center"/>
          </w:tcPr>
          <w:p w14:paraId="69D392E9" w14:textId="77777777" w:rsidR="00DF27C6" w:rsidRDefault="00000000">
            <w:r>
              <w:rPr>
                <w:rFonts w:eastAsia="Times New Roman"/>
                <w:sz w:val="15"/>
              </w:rPr>
              <w:t>ln GGFCE</w:t>
            </w:r>
          </w:p>
        </w:tc>
        <w:tc>
          <w:tcPr>
            <w:tcW w:w="1655" w:type="dxa"/>
            <w:tcMar>
              <w:top w:w="55" w:type="dxa"/>
              <w:left w:w="90" w:type="dxa"/>
              <w:bottom w:w="55" w:type="dxa"/>
              <w:right w:w="90" w:type="dxa"/>
            </w:tcMar>
            <w:vAlign w:val="center"/>
          </w:tcPr>
          <w:p w14:paraId="74B7F25F" w14:textId="77777777" w:rsidR="00DF27C6" w:rsidRDefault="00000000">
            <w:pPr>
              <w:jc w:val="center"/>
            </w:pPr>
            <w:r>
              <w:rPr>
                <w:rFonts w:eastAsia="Times New Roman"/>
                <w:sz w:val="15"/>
              </w:rPr>
              <w:t>-0.5811431</w:t>
            </w:r>
          </w:p>
        </w:tc>
        <w:tc>
          <w:tcPr>
            <w:tcW w:w="1655" w:type="dxa"/>
            <w:tcMar>
              <w:top w:w="55" w:type="dxa"/>
              <w:left w:w="90" w:type="dxa"/>
              <w:bottom w:w="55" w:type="dxa"/>
              <w:right w:w="90" w:type="dxa"/>
            </w:tcMar>
            <w:vAlign w:val="center"/>
          </w:tcPr>
          <w:p w14:paraId="4FDA1EC5" w14:textId="77777777" w:rsidR="00DF27C6" w:rsidRDefault="00000000">
            <w:pPr>
              <w:jc w:val="center"/>
            </w:pPr>
            <w:r>
              <w:rPr>
                <w:rFonts w:eastAsia="Times New Roman"/>
                <w:sz w:val="15"/>
              </w:rPr>
              <w:t>-0.4729631</w:t>
            </w:r>
          </w:p>
        </w:tc>
        <w:tc>
          <w:tcPr>
            <w:tcW w:w="1944" w:type="dxa"/>
            <w:tcMar>
              <w:top w:w="55" w:type="dxa"/>
              <w:left w:w="90" w:type="dxa"/>
              <w:bottom w:w="55" w:type="dxa"/>
              <w:right w:w="90" w:type="dxa"/>
            </w:tcMar>
            <w:vAlign w:val="center"/>
          </w:tcPr>
          <w:p w14:paraId="7DDB59EF" w14:textId="77777777" w:rsidR="00DF27C6" w:rsidRDefault="00000000">
            <w:pPr>
              <w:jc w:val="center"/>
            </w:pPr>
            <w:r>
              <w:rPr>
                <w:rFonts w:eastAsia="Times New Roman"/>
                <w:sz w:val="15"/>
              </w:rPr>
              <w:t>-0.1081800</w:t>
            </w:r>
          </w:p>
        </w:tc>
        <w:tc>
          <w:tcPr>
            <w:tcW w:w="1944" w:type="dxa"/>
            <w:tcMar>
              <w:top w:w="55" w:type="dxa"/>
              <w:left w:w="90" w:type="dxa"/>
              <w:bottom w:w="55" w:type="dxa"/>
              <w:right w:w="90" w:type="dxa"/>
            </w:tcMar>
            <w:vAlign w:val="center"/>
          </w:tcPr>
          <w:p w14:paraId="63161504" w14:textId="77777777" w:rsidR="00DF27C6" w:rsidRDefault="00000000">
            <w:pPr>
              <w:jc w:val="center"/>
            </w:pPr>
            <w:r>
              <w:rPr>
                <w:rFonts w:eastAsia="Times New Roman"/>
                <w:sz w:val="15"/>
              </w:rPr>
              <w:t>0.0315068</w:t>
            </w:r>
          </w:p>
        </w:tc>
      </w:tr>
      <w:tr w:rsidR="00DF27C6" w14:paraId="6419FF4E" w14:textId="77777777">
        <w:trPr>
          <w:jc w:val="center"/>
        </w:trPr>
        <w:tc>
          <w:tcPr>
            <w:tcW w:w="2592" w:type="dxa"/>
            <w:tcMar>
              <w:top w:w="55" w:type="dxa"/>
              <w:left w:w="90" w:type="dxa"/>
              <w:bottom w:w="55" w:type="dxa"/>
              <w:right w:w="90" w:type="dxa"/>
            </w:tcMar>
            <w:vAlign w:val="center"/>
          </w:tcPr>
          <w:p w14:paraId="3614AE31" w14:textId="77777777" w:rsidR="00DF27C6" w:rsidRDefault="00000000">
            <w:r>
              <w:rPr>
                <w:rFonts w:eastAsia="Times New Roman"/>
                <w:sz w:val="15"/>
              </w:rPr>
              <w:t>ln population growth</w:t>
            </w:r>
          </w:p>
        </w:tc>
        <w:tc>
          <w:tcPr>
            <w:tcW w:w="1655" w:type="dxa"/>
            <w:tcMar>
              <w:top w:w="55" w:type="dxa"/>
              <w:left w:w="90" w:type="dxa"/>
              <w:bottom w:w="55" w:type="dxa"/>
              <w:right w:w="90" w:type="dxa"/>
            </w:tcMar>
            <w:vAlign w:val="center"/>
          </w:tcPr>
          <w:p w14:paraId="526B53B5" w14:textId="77777777" w:rsidR="00DF27C6" w:rsidRDefault="00000000">
            <w:pPr>
              <w:jc w:val="center"/>
            </w:pPr>
            <w:r>
              <w:rPr>
                <w:rFonts w:eastAsia="Times New Roman"/>
                <w:sz w:val="15"/>
              </w:rPr>
              <w:t>-0.3838676</w:t>
            </w:r>
          </w:p>
        </w:tc>
        <w:tc>
          <w:tcPr>
            <w:tcW w:w="1655" w:type="dxa"/>
            <w:tcMar>
              <w:top w:w="55" w:type="dxa"/>
              <w:left w:w="90" w:type="dxa"/>
              <w:bottom w:w="55" w:type="dxa"/>
              <w:right w:w="90" w:type="dxa"/>
            </w:tcMar>
            <w:vAlign w:val="center"/>
          </w:tcPr>
          <w:p w14:paraId="7A7732A6" w14:textId="77777777" w:rsidR="00DF27C6" w:rsidRDefault="00000000">
            <w:pPr>
              <w:jc w:val="center"/>
            </w:pPr>
            <w:r>
              <w:rPr>
                <w:rFonts w:eastAsia="Times New Roman"/>
                <w:sz w:val="15"/>
              </w:rPr>
              <w:t>-0.6741029</w:t>
            </w:r>
          </w:p>
        </w:tc>
        <w:tc>
          <w:tcPr>
            <w:tcW w:w="1944" w:type="dxa"/>
            <w:tcMar>
              <w:top w:w="55" w:type="dxa"/>
              <w:left w:w="90" w:type="dxa"/>
              <w:bottom w:w="55" w:type="dxa"/>
              <w:right w:w="90" w:type="dxa"/>
            </w:tcMar>
            <w:vAlign w:val="center"/>
          </w:tcPr>
          <w:p w14:paraId="49DEF9B9" w14:textId="77777777" w:rsidR="00DF27C6" w:rsidRDefault="00000000">
            <w:pPr>
              <w:jc w:val="center"/>
            </w:pPr>
            <w:r>
              <w:rPr>
                <w:rFonts w:eastAsia="Times New Roman"/>
                <w:sz w:val="15"/>
              </w:rPr>
              <w:t>0.2902353</w:t>
            </w:r>
          </w:p>
        </w:tc>
        <w:tc>
          <w:tcPr>
            <w:tcW w:w="1944" w:type="dxa"/>
            <w:tcMar>
              <w:top w:w="55" w:type="dxa"/>
              <w:left w:w="90" w:type="dxa"/>
              <w:bottom w:w="55" w:type="dxa"/>
              <w:right w:w="90" w:type="dxa"/>
            </w:tcMar>
            <w:vAlign w:val="center"/>
          </w:tcPr>
          <w:p w14:paraId="0A1F0BF2" w14:textId="77777777" w:rsidR="00DF27C6" w:rsidRDefault="00000000">
            <w:pPr>
              <w:jc w:val="center"/>
            </w:pPr>
            <w:r>
              <w:rPr>
                <w:rFonts w:eastAsia="Times New Roman"/>
                <w:sz w:val="15"/>
              </w:rPr>
              <w:t>—</w:t>
            </w:r>
          </w:p>
        </w:tc>
      </w:tr>
      <w:tr w:rsidR="00DF27C6" w14:paraId="7326AA64" w14:textId="77777777">
        <w:trPr>
          <w:jc w:val="center"/>
        </w:trPr>
        <w:tc>
          <w:tcPr>
            <w:tcW w:w="2592" w:type="dxa"/>
            <w:tcMar>
              <w:top w:w="55" w:type="dxa"/>
              <w:left w:w="90" w:type="dxa"/>
              <w:bottom w:w="55" w:type="dxa"/>
              <w:right w:w="90" w:type="dxa"/>
            </w:tcMar>
            <w:vAlign w:val="center"/>
          </w:tcPr>
          <w:p w14:paraId="54643C9C" w14:textId="77777777" w:rsidR="00DF27C6" w:rsidRDefault="00000000">
            <w:r>
              <w:rPr>
                <w:rFonts w:eastAsia="Times New Roman"/>
                <w:sz w:val="15"/>
              </w:rPr>
              <w:t>ln inflation</w:t>
            </w:r>
          </w:p>
        </w:tc>
        <w:tc>
          <w:tcPr>
            <w:tcW w:w="1655" w:type="dxa"/>
            <w:tcMar>
              <w:top w:w="55" w:type="dxa"/>
              <w:left w:w="90" w:type="dxa"/>
              <w:bottom w:w="55" w:type="dxa"/>
              <w:right w:w="90" w:type="dxa"/>
            </w:tcMar>
            <w:vAlign w:val="center"/>
          </w:tcPr>
          <w:p w14:paraId="24760E61" w14:textId="77777777" w:rsidR="00DF27C6" w:rsidRDefault="00000000">
            <w:pPr>
              <w:jc w:val="center"/>
            </w:pPr>
            <w:r>
              <w:rPr>
                <w:rFonts w:eastAsia="Times New Roman"/>
                <w:sz w:val="15"/>
              </w:rPr>
              <w:t>-0.0052036</w:t>
            </w:r>
          </w:p>
        </w:tc>
        <w:tc>
          <w:tcPr>
            <w:tcW w:w="1655" w:type="dxa"/>
            <w:tcMar>
              <w:top w:w="55" w:type="dxa"/>
              <w:left w:w="90" w:type="dxa"/>
              <w:bottom w:w="55" w:type="dxa"/>
              <w:right w:w="90" w:type="dxa"/>
            </w:tcMar>
            <w:vAlign w:val="center"/>
          </w:tcPr>
          <w:p w14:paraId="601273AE" w14:textId="77777777" w:rsidR="00DF27C6" w:rsidRDefault="00000000">
            <w:pPr>
              <w:jc w:val="center"/>
            </w:pPr>
            <w:r>
              <w:rPr>
                <w:rFonts w:eastAsia="Times New Roman"/>
                <w:sz w:val="15"/>
              </w:rPr>
              <w:t>-0.0886925</w:t>
            </w:r>
          </w:p>
        </w:tc>
        <w:tc>
          <w:tcPr>
            <w:tcW w:w="1944" w:type="dxa"/>
            <w:tcMar>
              <w:top w:w="55" w:type="dxa"/>
              <w:left w:w="90" w:type="dxa"/>
              <w:bottom w:w="55" w:type="dxa"/>
              <w:right w:w="90" w:type="dxa"/>
            </w:tcMar>
            <w:vAlign w:val="center"/>
          </w:tcPr>
          <w:p w14:paraId="3EECCF40" w14:textId="77777777" w:rsidR="00DF27C6" w:rsidRDefault="00000000">
            <w:pPr>
              <w:jc w:val="center"/>
            </w:pPr>
            <w:r>
              <w:rPr>
                <w:rFonts w:eastAsia="Times New Roman"/>
                <w:sz w:val="15"/>
              </w:rPr>
              <w:t>0.0834889</w:t>
            </w:r>
          </w:p>
        </w:tc>
        <w:tc>
          <w:tcPr>
            <w:tcW w:w="1944" w:type="dxa"/>
            <w:tcMar>
              <w:top w:w="55" w:type="dxa"/>
              <w:left w:w="90" w:type="dxa"/>
              <w:bottom w:w="55" w:type="dxa"/>
              <w:right w:w="90" w:type="dxa"/>
            </w:tcMar>
            <w:vAlign w:val="center"/>
          </w:tcPr>
          <w:p w14:paraId="1DD79974" w14:textId="77777777" w:rsidR="00DF27C6" w:rsidRDefault="00000000">
            <w:pPr>
              <w:jc w:val="center"/>
            </w:pPr>
            <w:r>
              <w:rPr>
                <w:rFonts w:eastAsia="Times New Roman"/>
                <w:sz w:val="15"/>
              </w:rPr>
              <w:t>—</w:t>
            </w:r>
          </w:p>
        </w:tc>
      </w:tr>
      <w:tr w:rsidR="00DF27C6" w14:paraId="76B2A894" w14:textId="77777777">
        <w:trPr>
          <w:jc w:val="center"/>
        </w:trPr>
        <w:tc>
          <w:tcPr>
            <w:tcW w:w="2592" w:type="dxa"/>
            <w:tcMar>
              <w:top w:w="55" w:type="dxa"/>
              <w:left w:w="90" w:type="dxa"/>
              <w:bottom w:w="55" w:type="dxa"/>
              <w:right w:w="90" w:type="dxa"/>
            </w:tcMar>
            <w:vAlign w:val="center"/>
          </w:tcPr>
          <w:p w14:paraId="2D63A176" w14:textId="77777777" w:rsidR="00DF27C6" w:rsidRDefault="00000000">
            <w:r>
              <w:rPr>
                <w:rFonts w:eastAsia="Times New Roman"/>
                <w:sz w:val="15"/>
              </w:rPr>
              <w:t>ln exchange rate</w:t>
            </w:r>
          </w:p>
        </w:tc>
        <w:tc>
          <w:tcPr>
            <w:tcW w:w="1655" w:type="dxa"/>
            <w:tcMar>
              <w:top w:w="55" w:type="dxa"/>
              <w:left w:w="90" w:type="dxa"/>
              <w:bottom w:w="55" w:type="dxa"/>
              <w:right w:w="90" w:type="dxa"/>
            </w:tcMar>
            <w:vAlign w:val="center"/>
          </w:tcPr>
          <w:p w14:paraId="6235EB54" w14:textId="77777777" w:rsidR="00DF27C6" w:rsidRDefault="00000000">
            <w:pPr>
              <w:jc w:val="center"/>
            </w:pPr>
            <w:r>
              <w:rPr>
                <w:rFonts w:eastAsia="Times New Roman"/>
                <w:sz w:val="15"/>
              </w:rPr>
              <w:t>0.5706021</w:t>
            </w:r>
          </w:p>
        </w:tc>
        <w:tc>
          <w:tcPr>
            <w:tcW w:w="1655" w:type="dxa"/>
            <w:tcMar>
              <w:top w:w="55" w:type="dxa"/>
              <w:left w:w="90" w:type="dxa"/>
              <w:bottom w:w="55" w:type="dxa"/>
              <w:right w:w="90" w:type="dxa"/>
            </w:tcMar>
            <w:vAlign w:val="center"/>
          </w:tcPr>
          <w:p w14:paraId="4991EFF3" w14:textId="77777777" w:rsidR="00DF27C6" w:rsidRDefault="00000000">
            <w:pPr>
              <w:jc w:val="center"/>
            </w:pPr>
            <w:r>
              <w:rPr>
                <w:rFonts w:eastAsia="Times New Roman"/>
                <w:sz w:val="15"/>
              </w:rPr>
              <w:t>-0.1144825</w:t>
            </w:r>
          </w:p>
        </w:tc>
        <w:tc>
          <w:tcPr>
            <w:tcW w:w="1944" w:type="dxa"/>
            <w:tcMar>
              <w:top w:w="55" w:type="dxa"/>
              <w:left w:w="90" w:type="dxa"/>
              <w:bottom w:w="55" w:type="dxa"/>
              <w:right w:w="90" w:type="dxa"/>
            </w:tcMar>
            <w:vAlign w:val="center"/>
          </w:tcPr>
          <w:p w14:paraId="7EAF0F78" w14:textId="77777777" w:rsidR="00DF27C6" w:rsidRDefault="00000000">
            <w:pPr>
              <w:jc w:val="center"/>
            </w:pPr>
            <w:r>
              <w:rPr>
                <w:rFonts w:eastAsia="Times New Roman"/>
                <w:sz w:val="15"/>
              </w:rPr>
              <w:t>0.6850846</w:t>
            </w:r>
          </w:p>
        </w:tc>
        <w:tc>
          <w:tcPr>
            <w:tcW w:w="1944" w:type="dxa"/>
            <w:tcMar>
              <w:top w:w="55" w:type="dxa"/>
              <w:left w:w="90" w:type="dxa"/>
              <w:bottom w:w="55" w:type="dxa"/>
              <w:right w:w="90" w:type="dxa"/>
            </w:tcMar>
            <w:vAlign w:val="center"/>
          </w:tcPr>
          <w:p w14:paraId="1CF178C4" w14:textId="77777777" w:rsidR="00DF27C6" w:rsidRDefault="00000000">
            <w:pPr>
              <w:jc w:val="center"/>
            </w:pPr>
            <w:r>
              <w:rPr>
                <w:rFonts w:eastAsia="Times New Roman"/>
                <w:sz w:val="15"/>
              </w:rPr>
              <w:t>0.1078931</w:t>
            </w:r>
          </w:p>
        </w:tc>
      </w:tr>
      <w:tr w:rsidR="00DF27C6" w14:paraId="5955BDA6" w14:textId="77777777">
        <w:trPr>
          <w:jc w:val="center"/>
        </w:trPr>
        <w:tc>
          <w:tcPr>
            <w:tcW w:w="2592" w:type="dxa"/>
            <w:tcMar>
              <w:top w:w="55" w:type="dxa"/>
              <w:left w:w="90" w:type="dxa"/>
              <w:bottom w:w="55" w:type="dxa"/>
              <w:right w:w="90" w:type="dxa"/>
            </w:tcMar>
            <w:vAlign w:val="center"/>
          </w:tcPr>
          <w:p w14:paraId="3EFA2A81" w14:textId="77777777" w:rsidR="00DF27C6" w:rsidRDefault="00000000">
            <w:r>
              <w:rPr>
                <w:rFonts w:eastAsia="Times New Roman"/>
                <w:sz w:val="15"/>
              </w:rPr>
              <w:t>ln ODA</w:t>
            </w:r>
          </w:p>
        </w:tc>
        <w:tc>
          <w:tcPr>
            <w:tcW w:w="1655" w:type="dxa"/>
            <w:tcMar>
              <w:top w:w="55" w:type="dxa"/>
              <w:left w:w="90" w:type="dxa"/>
              <w:bottom w:w="55" w:type="dxa"/>
              <w:right w:w="90" w:type="dxa"/>
            </w:tcMar>
            <w:vAlign w:val="center"/>
          </w:tcPr>
          <w:p w14:paraId="1E3D70B4" w14:textId="77777777" w:rsidR="00DF27C6" w:rsidRDefault="00000000">
            <w:pPr>
              <w:jc w:val="center"/>
            </w:pPr>
            <w:r>
              <w:rPr>
                <w:rFonts w:eastAsia="Times New Roman"/>
                <w:sz w:val="15"/>
              </w:rPr>
              <w:t>-0.1927776</w:t>
            </w:r>
          </w:p>
        </w:tc>
        <w:tc>
          <w:tcPr>
            <w:tcW w:w="1655" w:type="dxa"/>
            <w:tcMar>
              <w:top w:w="55" w:type="dxa"/>
              <w:left w:w="90" w:type="dxa"/>
              <w:bottom w:w="55" w:type="dxa"/>
              <w:right w:w="90" w:type="dxa"/>
            </w:tcMar>
            <w:vAlign w:val="center"/>
          </w:tcPr>
          <w:p w14:paraId="36197B10" w14:textId="77777777" w:rsidR="00DF27C6" w:rsidRDefault="00000000">
            <w:pPr>
              <w:jc w:val="center"/>
            </w:pPr>
            <w:r>
              <w:rPr>
                <w:rFonts w:eastAsia="Times New Roman"/>
                <w:sz w:val="15"/>
              </w:rPr>
              <w:t>-0.3836517</w:t>
            </w:r>
          </w:p>
        </w:tc>
        <w:tc>
          <w:tcPr>
            <w:tcW w:w="1944" w:type="dxa"/>
            <w:tcMar>
              <w:top w:w="55" w:type="dxa"/>
              <w:left w:w="90" w:type="dxa"/>
              <w:bottom w:w="55" w:type="dxa"/>
              <w:right w:w="90" w:type="dxa"/>
            </w:tcMar>
            <w:vAlign w:val="center"/>
          </w:tcPr>
          <w:p w14:paraId="0A92EE35" w14:textId="77777777" w:rsidR="00DF27C6" w:rsidRDefault="00000000">
            <w:pPr>
              <w:jc w:val="center"/>
            </w:pPr>
            <w:r>
              <w:rPr>
                <w:rFonts w:eastAsia="Times New Roman"/>
                <w:sz w:val="15"/>
              </w:rPr>
              <w:t>0.1908741</w:t>
            </w:r>
          </w:p>
        </w:tc>
        <w:tc>
          <w:tcPr>
            <w:tcW w:w="1944" w:type="dxa"/>
            <w:tcMar>
              <w:top w:w="55" w:type="dxa"/>
              <w:left w:w="90" w:type="dxa"/>
              <w:bottom w:w="55" w:type="dxa"/>
              <w:right w:w="90" w:type="dxa"/>
            </w:tcMar>
            <w:vAlign w:val="center"/>
          </w:tcPr>
          <w:p w14:paraId="41C90F1E" w14:textId="77777777" w:rsidR="00DF27C6" w:rsidRDefault="00000000">
            <w:pPr>
              <w:jc w:val="center"/>
            </w:pPr>
            <w:r>
              <w:rPr>
                <w:rFonts w:eastAsia="Times New Roman"/>
                <w:sz w:val="15"/>
              </w:rPr>
              <w:t>0.0570414</w:t>
            </w:r>
          </w:p>
        </w:tc>
      </w:tr>
      <w:tr w:rsidR="00DF27C6" w14:paraId="2CB44089" w14:textId="77777777">
        <w:trPr>
          <w:jc w:val="center"/>
        </w:trPr>
        <w:tc>
          <w:tcPr>
            <w:tcW w:w="2592" w:type="dxa"/>
            <w:tcMar>
              <w:top w:w="55" w:type="dxa"/>
              <w:left w:w="90" w:type="dxa"/>
              <w:bottom w:w="55" w:type="dxa"/>
              <w:right w:w="90" w:type="dxa"/>
            </w:tcMar>
            <w:vAlign w:val="center"/>
          </w:tcPr>
          <w:p w14:paraId="49597BA5" w14:textId="77777777" w:rsidR="00DF27C6" w:rsidRDefault="00000000">
            <w:r>
              <w:rPr>
                <w:rFonts w:eastAsia="Times New Roman"/>
                <w:sz w:val="15"/>
              </w:rPr>
              <w:t>Hausman χ²(6)</w:t>
            </w:r>
          </w:p>
        </w:tc>
        <w:tc>
          <w:tcPr>
            <w:tcW w:w="1655" w:type="dxa"/>
            <w:tcMar>
              <w:top w:w="55" w:type="dxa"/>
              <w:left w:w="90" w:type="dxa"/>
              <w:bottom w:w="55" w:type="dxa"/>
              <w:right w:w="90" w:type="dxa"/>
            </w:tcMar>
            <w:vAlign w:val="center"/>
          </w:tcPr>
          <w:p w14:paraId="08E949D4" w14:textId="77777777" w:rsidR="00DF27C6" w:rsidRDefault="00000000">
            <w:pPr>
              <w:jc w:val="center"/>
            </w:pPr>
            <w:r>
              <w:rPr>
                <w:rFonts w:eastAsia="Times New Roman"/>
                <w:sz w:val="15"/>
              </w:rPr>
              <w:t>233.53</w:t>
            </w:r>
          </w:p>
        </w:tc>
        <w:tc>
          <w:tcPr>
            <w:tcW w:w="1655" w:type="dxa"/>
            <w:tcMar>
              <w:top w:w="55" w:type="dxa"/>
              <w:left w:w="90" w:type="dxa"/>
              <w:bottom w:w="55" w:type="dxa"/>
              <w:right w:w="90" w:type="dxa"/>
            </w:tcMar>
            <w:vAlign w:val="center"/>
          </w:tcPr>
          <w:p w14:paraId="78C1F82B" w14:textId="77777777" w:rsidR="00DF27C6" w:rsidRDefault="00DF27C6">
            <w:pPr>
              <w:jc w:val="center"/>
            </w:pPr>
          </w:p>
        </w:tc>
        <w:tc>
          <w:tcPr>
            <w:tcW w:w="1944" w:type="dxa"/>
            <w:tcMar>
              <w:top w:w="55" w:type="dxa"/>
              <w:left w:w="90" w:type="dxa"/>
              <w:bottom w:w="55" w:type="dxa"/>
              <w:right w:w="90" w:type="dxa"/>
            </w:tcMar>
            <w:vAlign w:val="center"/>
          </w:tcPr>
          <w:p w14:paraId="445A85A1" w14:textId="77777777" w:rsidR="00DF27C6" w:rsidRDefault="00DF27C6">
            <w:pPr>
              <w:jc w:val="center"/>
            </w:pPr>
          </w:p>
        </w:tc>
        <w:tc>
          <w:tcPr>
            <w:tcW w:w="1944" w:type="dxa"/>
            <w:tcMar>
              <w:top w:w="55" w:type="dxa"/>
              <w:left w:w="90" w:type="dxa"/>
              <w:bottom w:w="55" w:type="dxa"/>
              <w:right w:w="90" w:type="dxa"/>
            </w:tcMar>
            <w:vAlign w:val="center"/>
          </w:tcPr>
          <w:p w14:paraId="5FC53CA4" w14:textId="77777777" w:rsidR="00DF27C6" w:rsidRDefault="00DF27C6">
            <w:pPr>
              <w:jc w:val="center"/>
            </w:pPr>
          </w:p>
        </w:tc>
      </w:tr>
      <w:tr w:rsidR="00DF27C6" w14:paraId="3D5DE25F" w14:textId="77777777">
        <w:trPr>
          <w:jc w:val="center"/>
        </w:trPr>
        <w:tc>
          <w:tcPr>
            <w:tcW w:w="2592" w:type="dxa"/>
            <w:tcMar>
              <w:top w:w="55" w:type="dxa"/>
              <w:left w:w="90" w:type="dxa"/>
              <w:bottom w:w="55" w:type="dxa"/>
              <w:right w:w="90" w:type="dxa"/>
            </w:tcMar>
            <w:vAlign w:val="center"/>
          </w:tcPr>
          <w:p w14:paraId="1A1CA342" w14:textId="77777777" w:rsidR="00DF27C6" w:rsidRDefault="00000000">
            <w:r>
              <w:rPr>
                <w:rFonts w:eastAsia="Times New Roman"/>
                <w:sz w:val="15"/>
              </w:rPr>
              <w:t>Probability</w:t>
            </w:r>
          </w:p>
        </w:tc>
        <w:tc>
          <w:tcPr>
            <w:tcW w:w="1655" w:type="dxa"/>
            <w:tcMar>
              <w:top w:w="55" w:type="dxa"/>
              <w:left w:w="90" w:type="dxa"/>
              <w:bottom w:w="55" w:type="dxa"/>
              <w:right w:w="90" w:type="dxa"/>
            </w:tcMar>
            <w:vAlign w:val="center"/>
          </w:tcPr>
          <w:p w14:paraId="57AFEC7F" w14:textId="77777777" w:rsidR="00DF27C6" w:rsidRDefault="00000000">
            <w:pPr>
              <w:jc w:val="center"/>
            </w:pPr>
            <w:r>
              <w:rPr>
                <w:rFonts w:eastAsia="Times New Roman"/>
                <w:sz w:val="15"/>
              </w:rPr>
              <w:t>&lt;0.0001</w:t>
            </w:r>
          </w:p>
        </w:tc>
        <w:tc>
          <w:tcPr>
            <w:tcW w:w="1655" w:type="dxa"/>
            <w:tcMar>
              <w:top w:w="55" w:type="dxa"/>
              <w:left w:w="90" w:type="dxa"/>
              <w:bottom w:w="55" w:type="dxa"/>
              <w:right w:w="90" w:type="dxa"/>
            </w:tcMar>
            <w:vAlign w:val="center"/>
          </w:tcPr>
          <w:p w14:paraId="1310B5F5" w14:textId="77777777" w:rsidR="00DF27C6" w:rsidRDefault="00DF27C6">
            <w:pPr>
              <w:jc w:val="center"/>
            </w:pPr>
          </w:p>
        </w:tc>
        <w:tc>
          <w:tcPr>
            <w:tcW w:w="1944" w:type="dxa"/>
            <w:tcMar>
              <w:top w:w="55" w:type="dxa"/>
              <w:left w:w="90" w:type="dxa"/>
              <w:bottom w:w="55" w:type="dxa"/>
              <w:right w:w="90" w:type="dxa"/>
            </w:tcMar>
            <w:vAlign w:val="center"/>
          </w:tcPr>
          <w:p w14:paraId="0321281D" w14:textId="77777777" w:rsidR="00DF27C6" w:rsidRDefault="00DF27C6">
            <w:pPr>
              <w:jc w:val="center"/>
            </w:pPr>
          </w:p>
        </w:tc>
        <w:tc>
          <w:tcPr>
            <w:tcW w:w="1944" w:type="dxa"/>
            <w:tcMar>
              <w:top w:w="55" w:type="dxa"/>
              <w:left w:w="90" w:type="dxa"/>
              <w:bottom w:w="55" w:type="dxa"/>
              <w:right w:w="90" w:type="dxa"/>
            </w:tcMar>
            <w:vAlign w:val="center"/>
          </w:tcPr>
          <w:p w14:paraId="2A0C852D" w14:textId="77777777" w:rsidR="00DF27C6" w:rsidRDefault="00DF27C6">
            <w:pPr>
              <w:jc w:val="center"/>
            </w:pPr>
          </w:p>
        </w:tc>
      </w:tr>
      <w:tr w:rsidR="00DF27C6" w14:paraId="6FAA9C06" w14:textId="77777777">
        <w:trPr>
          <w:jc w:val="center"/>
        </w:trPr>
        <w:tc>
          <w:tcPr>
            <w:tcW w:w="2592" w:type="dxa"/>
            <w:tcMar>
              <w:top w:w="55" w:type="dxa"/>
              <w:left w:w="90" w:type="dxa"/>
              <w:bottom w:w="55" w:type="dxa"/>
              <w:right w:w="90" w:type="dxa"/>
            </w:tcMar>
            <w:vAlign w:val="center"/>
          </w:tcPr>
          <w:p w14:paraId="55C22AE1" w14:textId="77777777" w:rsidR="00DF27C6" w:rsidRDefault="00000000">
            <w:r>
              <w:rPr>
                <w:rFonts w:eastAsia="Times New Roman"/>
                <w:sz w:val="15"/>
              </w:rPr>
              <w:t>Diagnostic warning</w:t>
            </w:r>
          </w:p>
        </w:tc>
        <w:tc>
          <w:tcPr>
            <w:tcW w:w="1655" w:type="dxa"/>
            <w:tcMar>
              <w:top w:w="55" w:type="dxa"/>
              <w:left w:w="90" w:type="dxa"/>
              <w:bottom w:w="55" w:type="dxa"/>
              <w:right w:w="90" w:type="dxa"/>
            </w:tcMar>
            <w:vAlign w:val="center"/>
          </w:tcPr>
          <w:p w14:paraId="14F3E7D0" w14:textId="77777777" w:rsidR="00DF27C6" w:rsidRDefault="00000000">
            <w:pPr>
              <w:jc w:val="center"/>
            </w:pPr>
            <w:r>
              <w:rPr>
                <w:rFonts w:eastAsia="Times New Roman"/>
                <w:sz w:val="15"/>
              </w:rPr>
              <w:t>V_b − V_B is not positive definite</w:t>
            </w:r>
          </w:p>
        </w:tc>
        <w:tc>
          <w:tcPr>
            <w:tcW w:w="1655" w:type="dxa"/>
            <w:tcMar>
              <w:top w:w="55" w:type="dxa"/>
              <w:left w:w="90" w:type="dxa"/>
              <w:bottom w:w="55" w:type="dxa"/>
              <w:right w:w="90" w:type="dxa"/>
            </w:tcMar>
            <w:vAlign w:val="center"/>
          </w:tcPr>
          <w:p w14:paraId="6C10C384" w14:textId="77777777" w:rsidR="00DF27C6" w:rsidRDefault="00DF27C6">
            <w:pPr>
              <w:jc w:val="center"/>
            </w:pPr>
          </w:p>
        </w:tc>
        <w:tc>
          <w:tcPr>
            <w:tcW w:w="1944" w:type="dxa"/>
            <w:tcMar>
              <w:top w:w="55" w:type="dxa"/>
              <w:left w:w="90" w:type="dxa"/>
              <w:bottom w:w="55" w:type="dxa"/>
              <w:right w:w="90" w:type="dxa"/>
            </w:tcMar>
            <w:vAlign w:val="center"/>
          </w:tcPr>
          <w:p w14:paraId="5A299E8E" w14:textId="77777777" w:rsidR="00DF27C6" w:rsidRDefault="00DF27C6">
            <w:pPr>
              <w:jc w:val="center"/>
            </w:pPr>
          </w:p>
        </w:tc>
        <w:tc>
          <w:tcPr>
            <w:tcW w:w="1944" w:type="dxa"/>
            <w:tcMar>
              <w:top w:w="55" w:type="dxa"/>
              <w:left w:w="90" w:type="dxa"/>
              <w:bottom w:w="55" w:type="dxa"/>
              <w:right w:w="90" w:type="dxa"/>
            </w:tcMar>
            <w:vAlign w:val="center"/>
          </w:tcPr>
          <w:p w14:paraId="09B49451" w14:textId="77777777" w:rsidR="00DF27C6" w:rsidRDefault="00DF27C6">
            <w:pPr>
              <w:jc w:val="center"/>
            </w:pPr>
          </w:p>
        </w:tc>
      </w:tr>
    </w:tbl>
    <w:p w14:paraId="7F307FA5" w14:textId="77777777" w:rsidR="00DF27C6" w:rsidRDefault="00000000">
      <w:pPr>
        <w:spacing w:before="40" w:after="120"/>
      </w:pPr>
      <w:r>
        <w:rPr>
          <w:rFonts w:eastAsia="Times New Roman"/>
          <w:i/>
          <w:sz w:val="17"/>
        </w:rPr>
        <w:t>Source: Study data (2026).</w:t>
      </w:r>
    </w:p>
    <w:p w14:paraId="029DEBAF" w14:textId="77777777" w:rsidR="00DF27C6" w:rsidRDefault="00000000">
      <w:pPr>
        <w:pStyle w:val="Heading2"/>
        <w:spacing w:before="120" w:after="80"/>
      </w:pPr>
      <w:r>
        <w:rPr>
          <w:rFonts w:ascii="Times New Roman" w:hAnsi="Times New Roman"/>
        </w:rPr>
        <w:t>4.4 Conventional fixed-effects association estimates</w:t>
      </w:r>
    </w:p>
    <w:p w14:paraId="7F674D18" w14:textId="77777777" w:rsidR="00DF27C6" w:rsidRDefault="00000000">
      <w:pPr>
        <w:keepNext/>
        <w:spacing w:after="40"/>
        <w:ind w:firstLine="360"/>
        <w:jc w:val="both"/>
      </w:pPr>
      <w:r>
        <w:t>Table 9 reports the conventional within-country fixed-effects coefficients for the 84-observation positive-value log subsample. The reported within R² is 0.7864, indicating that the specification accounts for 78.64% of within-country variation in logged nominal GDP per capita in this estimation sample. The reported F statistic and coefficient-level p-values are based on the conventional covariance estimator. Because heteroskedasticity is detected, common shocks are not fully absorbed by year effects, and only five countries are available, these statistics are not treated as robust hypothesis tests. The primary descriptive emphasis is therefore on coefficient direction and magnitude within the stated sample and specification.</w:t>
      </w:r>
    </w:p>
    <w:p w14:paraId="39059E96" w14:textId="77777777" w:rsidR="00DF27C6" w:rsidRDefault="00000000">
      <w:pPr>
        <w:keepNext/>
        <w:spacing w:before="80" w:after="40"/>
      </w:pPr>
      <w:r>
        <w:rPr>
          <w:rFonts w:eastAsia="Times New Roman"/>
          <w:b/>
          <w:sz w:val="20"/>
        </w:rPr>
        <w:t>Table 9. Fixed-effects regression of nominal GDP per capita</w:t>
      </w:r>
    </w:p>
    <w:tbl>
      <w:tblPr>
        <w:tblStyle w:val="TableGrid"/>
        <w:tblW w:w="0" w:type="auto"/>
        <w:jc w:val="center"/>
        <w:tblLayout w:type="fixed"/>
        <w:tblLook w:val="04A0" w:firstRow="1" w:lastRow="0" w:firstColumn="1" w:lastColumn="0" w:noHBand="0" w:noVBand="1"/>
      </w:tblPr>
      <w:tblGrid>
        <w:gridCol w:w="2376"/>
        <w:gridCol w:w="1512"/>
        <w:gridCol w:w="1512"/>
        <w:gridCol w:w="1007"/>
        <w:gridCol w:w="1007"/>
        <w:gridCol w:w="1512"/>
        <w:gridCol w:w="1512"/>
      </w:tblGrid>
      <w:tr w:rsidR="00DF27C6" w14:paraId="28B6E874" w14:textId="77777777">
        <w:trPr>
          <w:tblHeader/>
          <w:jc w:val="center"/>
        </w:trPr>
        <w:tc>
          <w:tcPr>
            <w:tcW w:w="2376" w:type="dxa"/>
            <w:shd w:val="clear" w:color="auto" w:fill="D9E2F3"/>
            <w:tcMar>
              <w:top w:w="55" w:type="dxa"/>
              <w:left w:w="90" w:type="dxa"/>
              <w:bottom w:w="55" w:type="dxa"/>
              <w:right w:w="90" w:type="dxa"/>
            </w:tcMar>
            <w:vAlign w:val="center"/>
          </w:tcPr>
          <w:p w14:paraId="27A1BDA1" w14:textId="77777777" w:rsidR="00DF27C6" w:rsidRDefault="00000000">
            <w:pPr>
              <w:jc w:val="center"/>
            </w:pPr>
            <w:r>
              <w:rPr>
                <w:rFonts w:eastAsia="Times New Roman"/>
                <w:b/>
                <w:sz w:val="15"/>
              </w:rPr>
              <w:t>Variable</w:t>
            </w:r>
          </w:p>
        </w:tc>
        <w:tc>
          <w:tcPr>
            <w:tcW w:w="1512" w:type="dxa"/>
            <w:shd w:val="clear" w:color="auto" w:fill="D9E2F3"/>
            <w:tcMar>
              <w:top w:w="55" w:type="dxa"/>
              <w:left w:w="90" w:type="dxa"/>
              <w:bottom w:w="55" w:type="dxa"/>
              <w:right w:w="90" w:type="dxa"/>
            </w:tcMar>
            <w:vAlign w:val="center"/>
          </w:tcPr>
          <w:p w14:paraId="02F49ADD" w14:textId="77777777" w:rsidR="00DF27C6" w:rsidRDefault="00000000">
            <w:pPr>
              <w:jc w:val="center"/>
            </w:pPr>
            <w:r>
              <w:rPr>
                <w:rFonts w:eastAsia="Times New Roman"/>
                <w:b/>
                <w:sz w:val="15"/>
              </w:rPr>
              <w:t>Coefficient</w:t>
            </w:r>
          </w:p>
        </w:tc>
        <w:tc>
          <w:tcPr>
            <w:tcW w:w="1512" w:type="dxa"/>
            <w:shd w:val="clear" w:color="auto" w:fill="D9E2F3"/>
            <w:tcMar>
              <w:top w:w="55" w:type="dxa"/>
              <w:left w:w="90" w:type="dxa"/>
              <w:bottom w:w="55" w:type="dxa"/>
              <w:right w:w="90" w:type="dxa"/>
            </w:tcMar>
            <w:vAlign w:val="center"/>
          </w:tcPr>
          <w:p w14:paraId="7CE5CDCC" w14:textId="77777777" w:rsidR="00DF27C6" w:rsidRDefault="00000000">
            <w:pPr>
              <w:jc w:val="center"/>
            </w:pPr>
            <w:r>
              <w:rPr>
                <w:rFonts w:eastAsia="Times New Roman"/>
                <w:b/>
                <w:sz w:val="15"/>
              </w:rPr>
              <w:t>Std. error</w:t>
            </w:r>
          </w:p>
        </w:tc>
        <w:tc>
          <w:tcPr>
            <w:tcW w:w="1007" w:type="dxa"/>
            <w:shd w:val="clear" w:color="auto" w:fill="D9E2F3"/>
            <w:tcMar>
              <w:top w:w="55" w:type="dxa"/>
              <w:left w:w="90" w:type="dxa"/>
              <w:bottom w:w="55" w:type="dxa"/>
              <w:right w:w="90" w:type="dxa"/>
            </w:tcMar>
            <w:vAlign w:val="center"/>
          </w:tcPr>
          <w:p w14:paraId="17151030" w14:textId="77777777" w:rsidR="00DF27C6" w:rsidRDefault="00000000">
            <w:pPr>
              <w:jc w:val="center"/>
            </w:pPr>
            <w:r>
              <w:rPr>
                <w:rFonts w:eastAsia="Times New Roman"/>
                <w:b/>
                <w:sz w:val="15"/>
              </w:rPr>
              <w:t>t</w:t>
            </w:r>
          </w:p>
        </w:tc>
        <w:tc>
          <w:tcPr>
            <w:tcW w:w="1007" w:type="dxa"/>
            <w:shd w:val="clear" w:color="auto" w:fill="D9E2F3"/>
            <w:tcMar>
              <w:top w:w="55" w:type="dxa"/>
              <w:left w:w="90" w:type="dxa"/>
              <w:bottom w:w="55" w:type="dxa"/>
              <w:right w:w="90" w:type="dxa"/>
            </w:tcMar>
            <w:vAlign w:val="center"/>
          </w:tcPr>
          <w:p w14:paraId="1E1ABC69" w14:textId="77777777" w:rsidR="00DF27C6" w:rsidRDefault="00000000">
            <w:pPr>
              <w:jc w:val="center"/>
            </w:pPr>
            <w:r>
              <w:rPr>
                <w:rFonts w:eastAsia="Times New Roman"/>
                <w:b/>
                <w:sz w:val="15"/>
              </w:rPr>
              <w:t>p</w:t>
            </w:r>
          </w:p>
        </w:tc>
        <w:tc>
          <w:tcPr>
            <w:tcW w:w="1512" w:type="dxa"/>
            <w:shd w:val="clear" w:color="auto" w:fill="D9E2F3"/>
            <w:tcMar>
              <w:top w:w="55" w:type="dxa"/>
              <w:left w:w="90" w:type="dxa"/>
              <w:bottom w:w="55" w:type="dxa"/>
              <w:right w:w="90" w:type="dxa"/>
            </w:tcMar>
            <w:vAlign w:val="center"/>
          </w:tcPr>
          <w:p w14:paraId="02BAB9C0" w14:textId="77777777" w:rsidR="00DF27C6" w:rsidRDefault="00000000">
            <w:pPr>
              <w:jc w:val="center"/>
            </w:pPr>
            <w:r>
              <w:rPr>
                <w:rFonts w:eastAsia="Times New Roman"/>
                <w:b/>
                <w:sz w:val="15"/>
              </w:rPr>
              <w:t>95% CI lower</w:t>
            </w:r>
          </w:p>
        </w:tc>
        <w:tc>
          <w:tcPr>
            <w:tcW w:w="1512" w:type="dxa"/>
            <w:shd w:val="clear" w:color="auto" w:fill="D9E2F3"/>
            <w:tcMar>
              <w:top w:w="55" w:type="dxa"/>
              <w:left w:w="90" w:type="dxa"/>
              <w:bottom w:w="55" w:type="dxa"/>
              <w:right w:w="90" w:type="dxa"/>
            </w:tcMar>
            <w:vAlign w:val="center"/>
          </w:tcPr>
          <w:p w14:paraId="5074B7AB" w14:textId="77777777" w:rsidR="00DF27C6" w:rsidRDefault="00000000">
            <w:pPr>
              <w:jc w:val="center"/>
            </w:pPr>
            <w:r>
              <w:rPr>
                <w:rFonts w:eastAsia="Times New Roman"/>
                <w:b/>
                <w:sz w:val="15"/>
              </w:rPr>
              <w:t>95% CI upper</w:t>
            </w:r>
          </w:p>
        </w:tc>
      </w:tr>
      <w:tr w:rsidR="00DF27C6" w14:paraId="7A82DA4A" w14:textId="77777777">
        <w:trPr>
          <w:jc w:val="center"/>
        </w:trPr>
        <w:tc>
          <w:tcPr>
            <w:tcW w:w="2376" w:type="dxa"/>
            <w:tcMar>
              <w:top w:w="55" w:type="dxa"/>
              <w:left w:w="90" w:type="dxa"/>
              <w:bottom w:w="55" w:type="dxa"/>
              <w:right w:w="90" w:type="dxa"/>
            </w:tcMar>
            <w:vAlign w:val="center"/>
          </w:tcPr>
          <w:p w14:paraId="0C005FA5" w14:textId="77777777" w:rsidR="00DF27C6" w:rsidRDefault="00000000">
            <w:r>
              <w:rPr>
                <w:rFonts w:eastAsia="Times New Roman"/>
                <w:sz w:val="15"/>
              </w:rPr>
              <w:t>ln FDI</w:t>
            </w:r>
          </w:p>
        </w:tc>
        <w:tc>
          <w:tcPr>
            <w:tcW w:w="1512" w:type="dxa"/>
            <w:tcMar>
              <w:top w:w="55" w:type="dxa"/>
              <w:left w:w="90" w:type="dxa"/>
              <w:bottom w:w="55" w:type="dxa"/>
              <w:right w:w="90" w:type="dxa"/>
            </w:tcMar>
            <w:vAlign w:val="center"/>
          </w:tcPr>
          <w:p w14:paraId="0561E495" w14:textId="77777777" w:rsidR="00DF27C6" w:rsidRDefault="00000000">
            <w:pPr>
              <w:jc w:val="center"/>
            </w:pPr>
            <w:r>
              <w:rPr>
                <w:rFonts w:eastAsia="Times New Roman"/>
                <w:sz w:val="15"/>
              </w:rPr>
              <w:t>0.0486941</w:t>
            </w:r>
          </w:p>
        </w:tc>
        <w:tc>
          <w:tcPr>
            <w:tcW w:w="1512" w:type="dxa"/>
            <w:tcMar>
              <w:top w:w="55" w:type="dxa"/>
              <w:left w:w="90" w:type="dxa"/>
              <w:bottom w:w="55" w:type="dxa"/>
              <w:right w:w="90" w:type="dxa"/>
            </w:tcMar>
            <w:vAlign w:val="center"/>
          </w:tcPr>
          <w:p w14:paraId="178ADEFB" w14:textId="77777777" w:rsidR="00DF27C6" w:rsidRDefault="00000000">
            <w:pPr>
              <w:jc w:val="center"/>
            </w:pPr>
            <w:r>
              <w:rPr>
                <w:rFonts w:eastAsia="Times New Roman"/>
                <w:sz w:val="15"/>
              </w:rPr>
              <w:t>0.0142175</w:t>
            </w:r>
          </w:p>
        </w:tc>
        <w:tc>
          <w:tcPr>
            <w:tcW w:w="1007" w:type="dxa"/>
            <w:tcMar>
              <w:top w:w="55" w:type="dxa"/>
              <w:left w:w="90" w:type="dxa"/>
              <w:bottom w:w="55" w:type="dxa"/>
              <w:right w:w="90" w:type="dxa"/>
            </w:tcMar>
            <w:vAlign w:val="center"/>
          </w:tcPr>
          <w:p w14:paraId="4598F529" w14:textId="77777777" w:rsidR="00DF27C6" w:rsidRDefault="00000000">
            <w:pPr>
              <w:jc w:val="center"/>
            </w:pPr>
            <w:r>
              <w:rPr>
                <w:rFonts w:eastAsia="Times New Roman"/>
                <w:sz w:val="15"/>
              </w:rPr>
              <w:t>3.42</w:t>
            </w:r>
          </w:p>
        </w:tc>
        <w:tc>
          <w:tcPr>
            <w:tcW w:w="1007" w:type="dxa"/>
            <w:tcMar>
              <w:top w:w="55" w:type="dxa"/>
              <w:left w:w="90" w:type="dxa"/>
              <w:bottom w:w="55" w:type="dxa"/>
              <w:right w:w="90" w:type="dxa"/>
            </w:tcMar>
            <w:vAlign w:val="center"/>
          </w:tcPr>
          <w:p w14:paraId="180205A8" w14:textId="77777777" w:rsidR="00DF27C6" w:rsidRDefault="00000000">
            <w:pPr>
              <w:jc w:val="center"/>
            </w:pPr>
            <w:r>
              <w:rPr>
                <w:rFonts w:eastAsia="Times New Roman"/>
                <w:sz w:val="15"/>
              </w:rPr>
              <w:t>0.001</w:t>
            </w:r>
          </w:p>
        </w:tc>
        <w:tc>
          <w:tcPr>
            <w:tcW w:w="1512" w:type="dxa"/>
            <w:tcMar>
              <w:top w:w="55" w:type="dxa"/>
              <w:left w:w="90" w:type="dxa"/>
              <w:bottom w:w="55" w:type="dxa"/>
              <w:right w:w="90" w:type="dxa"/>
            </w:tcMar>
            <w:vAlign w:val="center"/>
          </w:tcPr>
          <w:p w14:paraId="209FB6C1" w14:textId="77777777" w:rsidR="00DF27C6" w:rsidRDefault="00000000">
            <w:pPr>
              <w:jc w:val="center"/>
            </w:pPr>
            <w:r>
              <w:rPr>
                <w:rFonts w:eastAsia="Times New Roman"/>
                <w:sz w:val="15"/>
              </w:rPr>
              <w:t>0.0203587</w:t>
            </w:r>
          </w:p>
        </w:tc>
        <w:tc>
          <w:tcPr>
            <w:tcW w:w="1512" w:type="dxa"/>
            <w:tcMar>
              <w:top w:w="55" w:type="dxa"/>
              <w:left w:w="90" w:type="dxa"/>
              <w:bottom w:w="55" w:type="dxa"/>
              <w:right w:w="90" w:type="dxa"/>
            </w:tcMar>
            <w:vAlign w:val="center"/>
          </w:tcPr>
          <w:p w14:paraId="2A32D0D9" w14:textId="77777777" w:rsidR="00DF27C6" w:rsidRDefault="00000000">
            <w:pPr>
              <w:jc w:val="center"/>
            </w:pPr>
            <w:r>
              <w:rPr>
                <w:rFonts w:eastAsia="Times New Roman"/>
                <w:sz w:val="15"/>
              </w:rPr>
              <w:t>0.0770295</w:t>
            </w:r>
          </w:p>
        </w:tc>
      </w:tr>
      <w:tr w:rsidR="00DF27C6" w14:paraId="3ED6B849" w14:textId="77777777">
        <w:trPr>
          <w:jc w:val="center"/>
        </w:trPr>
        <w:tc>
          <w:tcPr>
            <w:tcW w:w="2376" w:type="dxa"/>
            <w:tcMar>
              <w:top w:w="55" w:type="dxa"/>
              <w:left w:w="90" w:type="dxa"/>
              <w:bottom w:w="55" w:type="dxa"/>
              <w:right w:w="90" w:type="dxa"/>
            </w:tcMar>
            <w:vAlign w:val="center"/>
          </w:tcPr>
          <w:p w14:paraId="08FD3156" w14:textId="77777777" w:rsidR="00DF27C6" w:rsidRDefault="00000000">
            <w:r>
              <w:rPr>
                <w:rFonts w:eastAsia="Times New Roman"/>
                <w:sz w:val="15"/>
              </w:rPr>
              <w:t>ln GGFCE</w:t>
            </w:r>
          </w:p>
        </w:tc>
        <w:tc>
          <w:tcPr>
            <w:tcW w:w="1512" w:type="dxa"/>
            <w:tcMar>
              <w:top w:w="55" w:type="dxa"/>
              <w:left w:w="90" w:type="dxa"/>
              <w:bottom w:w="55" w:type="dxa"/>
              <w:right w:w="90" w:type="dxa"/>
            </w:tcMar>
            <w:vAlign w:val="center"/>
          </w:tcPr>
          <w:p w14:paraId="745A6BCF" w14:textId="77777777" w:rsidR="00DF27C6" w:rsidRDefault="00000000">
            <w:pPr>
              <w:jc w:val="center"/>
            </w:pPr>
            <w:r>
              <w:rPr>
                <w:rFonts w:eastAsia="Times New Roman"/>
                <w:sz w:val="15"/>
              </w:rPr>
              <w:t>-0.5811431</w:t>
            </w:r>
          </w:p>
        </w:tc>
        <w:tc>
          <w:tcPr>
            <w:tcW w:w="1512" w:type="dxa"/>
            <w:tcMar>
              <w:top w:w="55" w:type="dxa"/>
              <w:left w:w="90" w:type="dxa"/>
              <w:bottom w:w="55" w:type="dxa"/>
              <w:right w:w="90" w:type="dxa"/>
            </w:tcMar>
            <w:vAlign w:val="center"/>
          </w:tcPr>
          <w:p w14:paraId="4BE6CD8C" w14:textId="77777777" w:rsidR="00DF27C6" w:rsidRDefault="00000000">
            <w:pPr>
              <w:jc w:val="center"/>
            </w:pPr>
            <w:r>
              <w:rPr>
                <w:rFonts w:eastAsia="Times New Roman"/>
                <w:sz w:val="15"/>
              </w:rPr>
              <w:t>0.1057533</w:t>
            </w:r>
          </w:p>
        </w:tc>
        <w:tc>
          <w:tcPr>
            <w:tcW w:w="1007" w:type="dxa"/>
            <w:tcMar>
              <w:top w:w="55" w:type="dxa"/>
              <w:left w:w="90" w:type="dxa"/>
              <w:bottom w:w="55" w:type="dxa"/>
              <w:right w:w="90" w:type="dxa"/>
            </w:tcMar>
            <w:vAlign w:val="center"/>
          </w:tcPr>
          <w:p w14:paraId="70685CAE" w14:textId="77777777" w:rsidR="00DF27C6" w:rsidRDefault="00000000">
            <w:pPr>
              <w:jc w:val="center"/>
            </w:pPr>
            <w:r>
              <w:rPr>
                <w:rFonts w:eastAsia="Times New Roman"/>
                <w:sz w:val="15"/>
              </w:rPr>
              <w:t>-5.50</w:t>
            </w:r>
          </w:p>
        </w:tc>
        <w:tc>
          <w:tcPr>
            <w:tcW w:w="1007" w:type="dxa"/>
            <w:tcMar>
              <w:top w:w="55" w:type="dxa"/>
              <w:left w:w="90" w:type="dxa"/>
              <w:bottom w:w="55" w:type="dxa"/>
              <w:right w:w="90" w:type="dxa"/>
            </w:tcMar>
            <w:vAlign w:val="center"/>
          </w:tcPr>
          <w:p w14:paraId="6EB883D5"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37A66FB3" w14:textId="77777777" w:rsidR="00DF27C6" w:rsidRDefault="00000000">
            <w:pPr>
              <w:jc w:val="center"/>
            </w:pPr>
            <w:r>
              <w:rPr>
                <w:rFonts w:eastAsia="Times New Roman"/>
                <w:sz w:val="15"/>
              </w:rPr>
              <w:t>-0.7919092</w:t>
            </w:r>
          </w:p>
        </w:tc>
        <w:tc>
          <w:tcPr>
            <w:tcW w:w="1512" w:type="dxa"/>
            <w:tcMar>
              <w:top w:w="55" w:type="dxa"/>
              <w:left w:w="90" w:type="dxa"/>
              <w:bottom w:w="55" w:type="dxa"/>
              <w:right w:w="90" w:type="dxa"/>
            </w:tcMar>
            <w:vAlign w:val="center"/>
          </w:tcPr>
          <w:p w14:paraId="07180078" w14:textId="77777777" w:rsidR="00DF27C6" w:rsidRDefault="00000000">
            <w:pPr>
              <w:jc w:val="center"/>
            </w:pPr>
            <w:r>
              <w:rPr>
                <w:rFonts w:eastAsia="Times New Roman"/>
                <w:sz w:val="15"/>
              </w:rPr>
              <w:t>-0.3703771</w:t>
            </w:r>
          </w:p>
        </w:tc>
      </w:tr>
      <w:tr w:rsidR="00DF27C6" w14:paraId="151B7450" w14:textId="77777777">
        <w:trPr>
          <w:jc w:val="center"/>
        </w:trPr>
        <w:tc>
          <w:tcPr>
            <w:tcW w:w="2376" w:type="dxa"/>
            <w:tcMar>
              <w:top w:w="55" w:type="dxa"/>
              <w:left w:w="90" w:type="dxa"/>
              <w:bottom w:w="55" w:type="dxa"/>
              <w:right w:w="90" w:type="dxa"/>
            </w:tcMar>
            <w:vAlign w:val="center"/>
          </w:tcPr>
          <w:p w14:paraId="4E68A74E" w14:textId="77777777" w:rsidR="00DF27C6" w:rsidRDefault="00000000">
            <w:r>
              <w:rPr>
                <w:rFonts w:eastAsia="Times New Roman"/>
                <w:sz w:val="15"/>
              </w:rPr>
              <w:t>ln population growth</w:t>
            </w:r>
          </w:p>
        </w:tc>
        <w:tc>
          <w:tcPr>
            <w:tcW w:w="1512" w:type="dxa"/>
            <w:tcMar>
              <w:top w:w="55" w:type="dxa"/>
              <w:left w:w="90" w:type="dxa"/>
              <w:bottom w:w="55" w:type="dxa"/>
              <w:right w:w="90" w:type="dxa"/>
            </w:tcMar>
            <w:vAlign w:val="center"/>
          </w:tcPr>
          <w:p w14:paraId="1FE72C8F" w14:textId="77777777" w:rsidR="00DF27C6" w:rsidRDefault="00000000">
            <w:pPr>
              <w:jc w:val="center"/>
            </w:pPr>
            <w:r>
              <w:rPr>
                <w:rFonts w:eastAsia="Times New Roman"/>
                <w:sz w:val="15"/>
              </w:rPr>
              <w:t>-0.3838676</w:t>
            </w:r>
          </w:p>
        </w:tc>
        <w:tc>
          <w:tcPr>
            <w:tcW w:w="1512" w:type="dxa"/>
            <w:tcMar>
              <w:top w:w="55" w:type="dxa"/>
              <w:left w:w="90" w:type="dxa"/>
              <w:bottom w:w="55" w:type="dxa"/>
              <w:right w:w="90" w:type="dxa"/>
            </w:tcMar>
            <w:vAlign w:val="center"/>
          </w:tcPr>
          <w:p w14:paraId="02A53FE5" w14:textId="77777777" w:rsidR="00DF27C6" w:rsidRDefault="00000000">
            <w:pPr>
              <w:jc w:val="center"/>
            </w:pPr>
            <w:r>
              <w:rPr>
                <w:rFonts w:eastAsia="Times New Roman"/>
                <w:sz w:val="15"/>
              </w:rPr>
              <w:t>0.1168158</w:t>
            </w:r>
          </w:p>
        </w:tc>
        <w:tc>
          <w:tcPr>
            <w:tcW w:w="1007" w:type="dxa"/>
            <w:tcMar>
              <w:top w:w="55" w:type="dxa"/>
              <w:left w:w="90" w:type="dxa"/>
              <w:bottom w:w="55" w:type="dxa"/>
              <w:right w:w="90" w:type="dxa"/>
            </w:tcMar>
            <w:vAlign w:val="center"/>
          </w:tcPr>
          <w:p w14:paraId="1890F4C8" w14:textId="77777777" w:rsidR="00DF27C6" w:rsidRDefault="00000000">
            <w:pPr>
              <w:jc w:val="center"/>
            </w:pPr>
            <w:r>
              <w:rPr>
                <w:rFonts w:eastAsia="Times New Roman"/>
                <w:sz w:val="15"/>
              </w:rPr>
              <w:t>-3.29</w:t>
            </w:r>
          </w:p>
        </w:tc>
        <w:tc>
          <w:tcPr>
            <w:tcW w:w="1007" w:type="dxa"/>
            <w:tcMar>
              <w:top w:w="55" w:type="dxa"/>
              <w:left w:w="90" w:type="dxa"/>
              <w:bottom w:w="55" w:type="dxa"/>
              <w:right w:w="90" w:type="dxa"/>
            </w:tcMar>
            <w:vAlign w:val="center"/>
          </w:tcPr>
          <w:p w14:paraId="0C0B662B" w14:textId="77777777" w:rsidR="00DF27C6" w:rsidRDefault="00000000">
            <w:pPr>
              <w:jc w:val="center"/>
            </w:pPr>
            <w:r>
              <w:rPr>
                <w:rFonts w:eastAsia="Times New Roman"/>
                <w:sz w:val="15"/>
              </w:rPr>
              <w:t>0.002</w:t>
            </w:r>
          </w:p>
        </w:tc>
        <w:tc>
          <w:tcPr>
            <w:tcW w:w="1512" w:type="dxa"/>
            <w:tcMar>
              <w:top w:w="55" w:type="dxa"/>
              <w:left w:w="90" w:type="dxa"/>
              <w:bottom w:w="55" w:type="dxa"/>
              <w:right w:w="90" w:type="dxa"/>
            </w:tcMar>
            <w:vAlign w:val="center"/>
          </w:tcPr>
          <w:p w14:paraId="2C5B2B02" w14:textId="77777777" w:rsidR="00DF27C6" w:rsidRDefault="00000000">
            <w:pPr>
              <w:jc w:val="center"/>
            </w:pPr>
            <w:r>
              <w:rPr>
                <w:rFonts w:eastAsia="Times New Roman"/>
                <w:sz w:val="15"/>
              </w:rPr>
              <w:t>-0.6166811</w:t>
            </w:r>
          </w:p>
        </w:tc>
        <w:tc>
          <w:tcPr>
            <w:tcW w:w="1512" w:type="dxa"/>
            <w:tcMar>
              <w:top w:w="55" w:type="dxa"/>
              <w:left w:w="90" w:type="dxa"/>
              <w:bottom w:w="55" w:type="dxa"/>
              <w:right w:w="90" w:type="dxa"/>
            </w:tcMar>
            <w:vAlign w:val="center"/>
          </w:tcPr>
          <w:p w14:paraId="408DA5B9" w14:textId="77777777" w:rsidR="00DF27C6" w:rsidRDefault="00000000">
            <w:pPr>
              <w:jc w:val="center"/>
            </w:pPr>
            <w:r>
              <w:rPr>
                <w:rFonts w:eastAsia="Times New Roman"/>
                <w:sz w:val="15"/>
              </w:rPr>
              <w:t>-0.1510541</w:t>
            </w:r>
          </w:p>
        </w:tc>
      </w:tr>
      <w:tr w:rsidR="00DF27C6" w14:paraId="4F06BEA1" w14:textId="77777777">
        <w:trPr>
          <w:jc w:val="center"/>
        </w:trPr>
        <w:tc>
          <w:tcPr>
            <w:tcW w:w="2376" w:type="dxa"/>
            <w:tcMar>
              <w:top w:w="55" w:type="dxa"/>
              <w:left w:w="90" w:type="dxa"/>
              <w:bottom w:w="55" w:type="dxa"/>
              <w:right w:w="90" w:type="dxa"/>
            </w:tcMar>
            <w:vAlign w:val="center"/>
          </w:tcPr>
          <w:p w14:paraId="5949ED30" w14:textId="77777777" w:rsidR="00DF27C6" w:rsidRDefault="00000000">
            <w:r>
              <w:rPr>
                <w:rFonts w:eastAsia="Times New Roman"/>
                <w:sz w:val="15"/>
              </w:rPr>
              <w:t>ln inflation</w:t>
            </w:r>
          </w:p>
        </w:tc>
        <w:tc>
          <w:tcPr>
            <w:tcW w:w="1512" w:type="dxa"/>
            <w:tcMar>
              <w:top w:w="55" w:type="dxa"/>
              <w:left w:w="90" w:type="dxa"/>
              <w:bottom w:w="55" w:type="dxa"/>
              <w:right w:w="90" w:type="dxa"/>
            </w:tcMar>
            <w:vAlign w:val="center"/>
          </w:tcPr>
          <w:p w14:paraId="041D3943" w14:textId="77777777" w:rsidR="00DF27C6" w:rsidRDefault="00000000">
            <w:pPr>
              <w:jc w:val="center"/>
            </w:pPr>
            <w:r>
              <w:rPr>
                <w:rFonts w:eastAsia="Times New Roman"/>
                <w:sz w:val="15"/>
              </w:rPr>
              <w:t>-0.0052036</w:t>
            </w:r>
          </w:p>
        </w:tc>
        <w:tc>
          <w:tcPr>
            <w:tcW w:w="1512" w:type="dxa"/>
            <w:tcMar>
              <w:top w:w="55" w:type="dxa"/>
              <w:left w:w="90" w:type="dxa"/>
              <w:bottom w:w="55" w:type="dxa"/>
              <w:right w:w="90" w:type="dxa"/>
            </w:tcMar>
            <w:vAlign w:val="center"/>
          </w:tcPr>
          <w:p w14:paraId="702A6540" w14:textId="77777777" w:rsidR="00DF27C6" w:rsidRDefault="00000000">
            <w:pPr>
              <w:jc w:val="center"/>
            </w:pPr>
            <w:r>
              <w:rPr>
                <w:rFonts w:eastAsia="Times New Roman"/>
                <w:sz w:val="15"/>
              </w:rPr>
              <w:t>0.0348667</w:t>
            </w:r>
          </w:p>
        </w:tc>
        <w:tc>
          <w:tcPr>
            <w:tcW w:w="1007" w:type="dxa"/>
            <w:tcMar>
              <w:top w:w="55" w:type="dxa"/>
              <w:left w:w="90" w:type="dxa"/>
              <w:bottom w:w="55" w:type="dxa"/>
              <w:right w:w="90" w:type="dxa"/>
            </w:tcMar>
            <w:vAlign w:val="center"/>
          </w:tcPr>
          <w:p w14:paraId="257B4502" w14:textId="77777777" w:rsidR="00DF27C6" w:rsidRDefault="00000000">
            <w:pPr>
              <w:jc w:val="center"/>
            </w:pPr>
            <w:r>
              <w:rPr>
                <w:rFonts w:eastAsia="Times New Roman"/>
                <w:sz w:val="15"/>
              </w:rPr>
              <w:t>-0.15</w:t>
            </w:r>
          </w:p>
        </w:tc>
        <w:tc>
          <w:tcPr>
            <w:tcW w:w="1007" w:type="dxa"/>
            <w:tcMar>
              <w:top w:w="55" w:type="dxa"/>
              <w:left w:w="90" w:type="dxa"/>
              <w:bottom w:w="55" w:type="dxa"/>
              <w:right w:w="90" w:type="dxa"/>
            </w:tcMar>
            <w:vAlign w:val="center"/>
          </w:tcPr>
          <w:p w14:paraId="051321D7" w14:textId="77777777" w:rsidR="00DF27C6" w:rsidRDefault="00000000">
            <w:pPr>
              <w:jc w:val="center"/>
            </w:pPr>
            <w:r>
              <w:rPr>
                <w:rFonts w:eastAsia="Times New Roman"/>
                <w:sz w:val="15"/>
              </w:rPr>
              <w:t>0.882</w:t>
            </w:r>
          </w:p>
        </w:tc>
        <w:tc>
          <w:tcPr>
            <w:tcW w:w="1512" w:type="dxa"/>
            <w:tcMar>
              <w:top w:w="55" w:type="dxa"/>
              <w:left w:w="90" w:type="dxa"/>
              <w:bottom w:w="55" w:type="dxa"/>
              <w:right w:w="90" w:type="dxa"/>
            </w:tcMar>
            <w:vAlign w:val="center"/>
          </w:tcPr>
          <w:p w14:paraId="4A05ECDA" w14:textId="77777777" w:rsidR="00DF27C6" w:rsidRDefault="00000000">
            <w:pPr>
              <w:jc w:val="center"/>
            </w:pPr>
            <w:r>
              <w:rPr>
                <w:rFonts w:eastAsia="Times New Roman"/>
                <w:sz w:val="15"/>
              </w:rPr>
              <w:t>-0.0746927</w:t>
            </w:r>
          </w:p>
        </w:tc>
        <w:tc>
          <w:tcPr>
            <w:tcW w:w="1512" w:type="dxa"/>
            <w:tcMar>
              <w:top w:w="55" w:type="dxa"/>
              <w:left w:w="90" w:type="dxa"/>
              <w:bottom w:w="55" w:type="dxa"/>
              <w:right w:w="90" w:type="dxa"/>
            </w:tcMar>
            <w:vAlign w:val="center"/>
          </w:tcPr>
          <w:p w14:paraId="605C466D" w14:textId="77777777" w:rsidR="00DF27C6" w:rsidRDefault="00000000">
            <w:pPr>
              <w:jc w:val="center"/>
            </w:pPr>
            <w:r>
              <w:rPr>
                <w:rFonts w:eastAsia="Times New Roman"/>
                <w:sz w:val="15"/>
              </w:rPr>
              <w:t>0.0642856</w:t>
            </w:r>
          </w:p>
        </w:tc>
      </w:tr>
      <w:tr w:rsidR="00DF27C6" w14:paraId="2ABBF04D" w14:textId="77777777">
        <w:trPr>
          <w:jc w:val="center"/>
        </w:trPr>
        <w:tc>
          <w:tcPr>
            <w:tcW w:w="2376" w:type="dxa"/>
            <w:tcMar>
              <w:top w:w="55" w:type="dxa"/>
              <w:left w:w="90" w:type="dxa"/>
              <w:bottom w:w="55" w:type="dxa"/>
              <w:right w:w="90" w:type="dxa"/>
            </w:tcMar>
            <w:vAlign w:val="center"/>
          </w:tcPr>
          <w:p w14:paraId="50CC0A11" w14:textId="77777777" w:rsidR="00DF27C6" w:rsidRDefault="00000000">
            <w:r>
              <w:rPr>
                <w:rFonts w:eastAsia="Times New Roman"/>
                <w:sz w:val="15"/>
              </w:rPr>
              <w:lastRenderedPageBreak/>
              <w:t>ln exchange rate</w:t>
            </w:r>
          </w:p>
        </w:tc>
        <w:tc>
          <w:tcPr>
            <w:tcW w:w="1512" w:type="dxa"/>
            <w:tcMar>
              <w:top w:w="55" w:type="dxa"/>
              <w:left w:w="90" w:type="dxa"/>
              <w:bottom w:w="55" w:type="dxa"/>
              <w:right w:w="90" w:type="dxa"/>
            </w:tcMar>
            <w:vAlign w:val="center"/>
          </w:tcPr>
          <w:p w14:paraId="3EAB1760" w14:textId="77777777" w:rsidR="00DF27C6" w:rsidRDefault="00000000">
            <w:pPr>
              <w:jc w:val="center"/>
            </w:pPr>
            <w:r>
              <w:rPr>
                <w:rFonts w:eastAsia="Times New Roman"/>
                <w:sz w:val="15"/>
              </w:rPr>
              <w:t>0.5706021</w:t>
            </w:r>
          </w:p>
        </w:tc>
        <w:tc>
          <w:tcPr>
            <w:tcW w:w="1512" w:type="dxa"/>
            <w:tcMar>
              <w:top w:w="55" w:type="dxa"/>
              <w:left w:w="90" w:type="dxa"/>
              <w:bottom w:w="55" w:type="dxa"/>
              <w:right w:w="90" w:type="dxa"/>
            </w:tcMar>
            <w:vAlign w:val="center"/>
          </w:tcPr>
          <w:p w14:paraId="44AC989D" w14:textId="77777777" w:rsidR="00DF27C6" w:rsidRDefault="00000000">
            <w:pPr>
              <w:jc w:val="center"/>
            </w:pPr>
            <w:r>
              <w:rPr>
                <w:rFonts w:eastAsia="Times New Roman"/>
                <w:sz w:val="15"/>
              </w:rPr>
              <w:t>0.1107775</w:t>
            </w:r>
          </w:p>
        </w:tc>
        <w:tc>
          <w:tcPr>
            <w:tcW w:w="1007" w:type="dxa"/>
            <w:tcMar>
              <w:top w:w="55" w:type="dxa"/>
              <w:left w:w="90" w:type="dxa"/>
              <w:bottom w:w="55" w:type="dxa"/>
              <w:right w:w="90" w:type="dxa"/>
            </w:tcMar>
            <w:vAlign w:val="center"/>
          </w:tcPr>
          <w:p w14:paraId="2C67979A" w14:textId="77777777" w:rsidR="00DF27C6" w:rsidRDefault="00000000">
            <w:pPr>
              <w:jc w:val="center"/>
            </w:pPr>
            <w:r>
              <w:rPr>
                <w:rFonts w:eastAsia="Times New Roman"/>
                <w:sz w:val="15"/>
              </w:rPr>
              <w:t>5.15</w:t>
            </w:r>
          </w:p>
        </w:tc>
        <w:tc>
          <w:tcPr>
            <w:tcW w:w="1007" w:type="dxa"/>
            <w:tcMar>
              <w:top w:w="55" w:type="dxa"/>
              <w:left w:w="90" w:type="dxa"/>
              <w:bottom w:w="55" w:type="dxa"/>
              <w:right w:w="90" w:type="dxa"/>
            </w:tcMar>
            <w:vAlign w:val="center"/>
          </w:tcPr>
          <w:p w14:paraId="1D2FBD3F"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4B7BEC9B" w14:textId="77777777" w:rsidR="00DF27C6" w:rsidRDefault="00000000">
            <w:pPr>
              <w:jc w:val="center"/>
            </w:pPr>
            <w:r>
              <w:rPr>
                <w:rFonts w:eastAsia="Times New Roman"/>
                <w:sz w:val="15"/>
              </w:rPr>
              <w:t>0.3498228</w:t>
            </w:r>
          </w:p>
        </w:tc>
        <w:tc>
          <w:tcPr>
            <w:tcW w:w="1512" w:type="dxa"/>
            <w:tcMar>
              <w:top w:w="55" w:type="dxa"/>
              <w:left w:w="90" w:type="dxa"/>
              <w:bottom w:w="55" w:type="dxa"/>
              <w:right w:w="90" w:type="dxa"/>
            </w:tcMar>
            <w:vAlign w:val="center"/>
          </w:tcPr>
          <w:p w14:paraId="6C30E487" w14:textId="77777777" w:rsidR="00DF27C6" w:rsidRDefault="00000000">
            <w:pPr>
              <w:jc w:val="center"/>
            </w:pPr>
            <w:r>
              <w:rPr>
                <w:rFonts w:eastAsia="Times New Roman"/>
                <w:sz w:val="15"/>
              </w:rPr>
              <w:t>0.7913813</w:t>
            </w:r>
          </w:p>
        </w:tc>
      </w:tr>
      <w:tr w:rsidR="00DF27C6" w14:paraId="37F5F9C2" w14:textId="77777777">
        <w:trPr>
          <w:jc w:val="center"/>
        </w:trPr>
        <w:tc>
          <w:tcPr>
            <w:tcW w:w="2376" w:type="dxa"/>
            <w:tcMar>
              <w:top w:w="55" w:type="dxa"/>
              <w:left w:w="90" w:type="dxa"/>
              <w:bottom w:w="55" w:type="dxa"/>
              <w:right w:w="90" w:type="dxa"/>
            </w:tcMar>
            <w:vAlign w:val="center"/>
          </w:tcPr>
          <w:p w14:paraId="06FE8B20" w14:textId="77777777" w:rsidR="00DF27C6" w:rsidRDefault="00000000">
            <w:r>
              <w:rPr>
                <w:rFonts w:eastAsia="Times New Roman"/>
                <w:sz w:val="15"/>
              </w:rPr>
              <w:t>ln ODA</w:t>
            </w:r>
          </w:p>
        </w:tc>
        <w:tc>
          <w:tcPr>
            <w:tcW w:w="1512" w:type="dxa"/>
            <w:tcMar>
              <w:top w:w="55" w:type="dxa"/>
              <w:left w:w="90" w:type="dxa"/>
              <w:bottom w:w="55" w:type="dxa"/>
              <w:right w:w="90" w:type="dxa"/>
            </w:tcMar>
            <w:vAlign w:val="center"/>
          </w:tcPr>
          <w:p w14:paraId="6E2BF33C" w14:textId="77777777" w:rsidR="00DF27C6" w:rsidRDefault="00000000">
            <w:pPr>
              <w:jc w:val="center"/>
            </w:pPr>
            <w:r>
              <w:rPr>
                <w:rFonts w:eastAsia="Times New Roman"/>
                <w:sz w:val="15"/>
              </w:rPr>
              <w:t>-0.1927776</w:t>
            </w:r>
          </w:p>
        </w:tc>
        <w:tc>
          <w:tcPr>
            <w:tcW w:w="1512" w:type="dxa"/>
            <w:tcMar>
              <w:top w:w="55" w:type="dxa"/>
              <w:left w:w="90" w:type="dxa"/>
              <w:bottom w:w="55" w:type="dxa"/>
              <w:right w:w="90" w:type="dxa"/>
            </w:tcMar>
            <w:vAlign w:val="center"/>
          </w:tcPr>
          <w:p w14:paraId="271F2FDF" w14:textId="77777777" w:rsidR="00DF27C6" w:rsidRDefault="00000000">
            <w:pPr>
              <w:jc w:val="center"/>
            </w:pPr>
            <w:r>
              <w:rPr>
                <w:rFonts w:eastAsia="Times New Roman"/>
                <w:sz w:val="15"/>
              </w:rPr>
              <w:t>0.0831100</w:t>
            </w:r>
          </w:p>
        </w:tc>
        <w:tc>
          <w:tcPr>
            <w:tcW w:w="1007" w:type="dxa"/>
            <w:tcMar>
              <w:top w:w="55" w:type="dxa"/>
              <w:left w:w="90" w:type="dxa"/>
              <w:bottom w:w="55" w:type="dxa"/>
              <w:right w:w="90" w:type="dxa"/>
            </w:tcMar>
            <w:vAlign w:val="center"/>
          </w:tcPr>
          <w:p w14:paraId="727C4737" w14:textId="77777777" w:rsidR="00DF27C6" w:rsidRDefault="00000000">
            <w:pPr>
              <w:jc w:val="center"/>
            </w:pPr>
            <w:r>
              <w:rPr>
                <w:rFonts w:eastAsia="Times New Roman"/>
                <w:sz w:val="15"/>
              </w:rPr>
              <w:t>-2.32</w:t>
            </w:r>
          </w:p>
        </w:tc>
        <w:tc>
          <w:tcPr>
            <w:tcW w:w="1007" w:type="dxa"/>
            <w:tcMar>
              <w:top w:w="55" w:type="dxa"/>
              <w:left w:w="90" w:type="dxa"/>
              <w:bottom w:w="55" w:type="dxa"/>
              <w:right w:w="90" w:type="dxa"/>
            </w:tcMar>
            <w:vAlign w:val="center"/>
          </w:tcPr>
          <w:p w14:paraId="24C4F494" w14:textId="77777777" w:rsidR="00DF27C6" w:rsidRDefault="00000000">
            <w:pPr>
              <w:jc w:val="center"/>
            </w:pPr>
            <w:r>
              <w:rPr>
                <w:rFonts w:eastAsia="Times New Roman"/>
                <w:sz w:val="15"/>
              </w:rPr>
              <w:t>0.023</w:t>
            </w:r>
          </w:p>
        </w:tc>
        <w:tc>
          <w:tcPr>
            <w:tcW w:w="1512" w:type="dxa"/>
            <w:tcMar>
              <w:top w:w="55" w:type="dxa"/>
              <w:left w:w="90" w:type="dxa"/>
              <w:bottom w:w="55" w:type="dxa"/>
              <w:right w:w="90" w:type="dxa"/>
            </w:tcMar>
            <w:vAlign w:val="center"/>
          </w:tcPr>
          <w:p w14:paraId="32E7A550" w14:textId="77777777" w:rsidR="00DF27C6" w:rsidRDefault="00000000">
            <w:pPr>
              <w:jc w:val="center"/>
            </w:pPr>
            <w:r>
              <w:rPr>
                <w:rFonts w:eastAsia="Times New Roman"/>
                <w:sz w:val="15"/>
              </w:rPr>
              <w:t>-0.3584156</w:t>
            </w:r>
          </w:p>
        </w:tc>
        <w:tc>
          <w:tcPr>
            <w:tcW w:w="1512" w:type="dxa"/>
            <w:tcMar>
              <w:top w:w="55" w:type="dxa"/>
              <w:left w:w="90" w:type="dxa"/>
              <w:bottom w:w="55" w:type="dxa"/>
              <w:right w:w="90" w:type="dxa"/>
            </w:tcMar>
            <w:vAlign w:val="center"/>
          </w:tcPr>
          <w:p w14:paraId="7BBDB5D7" w14:textId="77777777" w:rsidR="00DF27C6" w:rsidRDefault="00000000">
            <w:pPr>
              <w:jc w:val="center"/>
            </w:pPr>
            <w:r>
              <w:rPr>
                <w:rFonts w:eastAsia="Times New Roman"/>
                <w:sz w:val="15"/>
              </w:rPr>
              <w:t>-0.0271396</w:t>
            </w:r>
          </w:p>
        </w:tc>
      </w:tr>
      <w:tr w:rsidR="00DF27C6" w14:paraId="3D6735D7" w14:textId="77777777">
        <w:trPr>
          <w:jc w:val="center"/>
        </w:trPr>
        <w:tc>
          <w:tcPr>
            <w:tcW w:w="2376" w:type="dxa"/>
            <w:tcMar>
              <w:top w:w="55" w:type="dxa"/>
              <w:left w:w="90" w:type="dxa"/>
              <w:bottom w:w="55" w:type="dxa"/>
              <w:right w:w="90" w:type="dxa"/>
            </w:tcMar>
            <w:vAlign w:val="center"/>
          </w:tcPr>
          <w:p w14:paraId="727B5CAB" w14:textId="77777777" w:rsidR="00DF27C6" w:rsidRDefault="00000000">
            <w:r>
              <w:rPr>
                <w:rFonts w:eastAsia="Times New Roman"/>
                <w:sz w:val="15"/>
              </w:rPr>
              <w:t>Constant</w:t>
            </w:r>
          </w:p>
        </w:tc>
        <w:tc>
          <w:tcPr>
            <w:tcW w:w="1512" w:type="dxa"/>
            <w:tcMar>
              <w:top w:w="55" w:type="dxa"/>
              <w:left w:w="90" w:type="dxa"/>
              <w:bottom w:w="55" w:type="dxa"/>
              <w:right w:w="90" w:type="dxa"/>
            </w:tcMar>
            <w:vAlign w:val="center"/>
          </w:tcPr>
          <w:p w14:paraId="019EFA1F" w14:textId="77777777" w:rsidR="00DF27C6" w:rsidRDefault="00000000">
            <w:pPr>
              <w:jc w:val="center"/>
            </w:pPr>
            <w:r>
              <w:rPr>
                <w:rFonts w:eastAsia="Times New Roman"/>
                <w:sz w:val="15"/>
              </w:rPr>
              <w:t>3.995332</w:t>
            </w:r>
          </w:p>
        </w:tc>
        <w:tc>
          <w:tcPr>
            <w:tcW w:w="1512" w:type="dxa"/>
            <w:tcMar>
              <w:top w:w="55" w:type="dxa"/>
              <w:left w:w="90" w:type="dxa"/>
              <w:bottom w:w="55" w:type="dxa"/>
              <w:right w:w="90" w:type="dxa"/>
            </w:tcMar>
            <w:vAlign w:val="center"/>
          </w:tcPr>
          <w:p w14:paraId="4AEE1D40" w14:textId="77777777" w:rsidR="00DF27C6" w:rsidRDefault="00000000">
            <w:pPr>
              <w:jc w:val="center"/>
            </w:pPr>
            <w:r>
              <w:rPr>
                <w:rFonts w:eastAsia="Times New Roman"/>
                <w:sz w:val="15"/>
              </w:rPr>
              <w:t>0.8886308</w:t>
            </w:r>
          </w:p>
        </w:tc>
        <w:tc>
          <w:tcPr>
            <w:tcW w:w="1007" w:type="dxa"/>
            <w:tcMar>
              <w:top w:w="55" w:type="dxa"/>
              <w:left w:w="90" w:type="dxa"/>
              <w:bottom w:w="55" w:type="dxa"/>
              <w:right w:w="90" w:type="dxa"/>
            </w:tcMar>
            <w:vAlign w:val="center"/>
          </w:tcPr>
          <w:p w14:paraId="2BE4FD9D" w14:textId="77777777" w:rsidR="00DF27C6" w:rsidRDefault="00000000">
            <w:pPr>
              <w:jc w:val="center"/>
            </w:pPr>
            <w:r>
              <w:rPr>
                <w:rFonts w:eastAsia="Times New Roman"/>
                <w:sz w:val="15"/>
              </w:rPr>
              <w:t>4.50</w:t>
            </w:r>
          </w:p>
        </w:tc>
        <w:tc>
          <w:tcPr>
            <w:tcW w:w="1007" w:type="dxa"/>
            <w:tcMar>
              <w:top w:w="55" w:type="dxa"/>
              <w:left w:w="90" w:type="dxa"/>
              <w:bottom w:w="55" w:type="dxa"/>
              <w:right w:w="90" w:type="dxa"/>
            </w:tcMar>
            <w:vAlign w:val="center"/>
          </w:tcPr>
          <w:p w14:paraId="0AE23B6B"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240E2102" w14:textId="77777777" w:rsidR="00DF27C6" w:rsidRDefault="00000000">
            <w:pPr>
              <w:jc w:val="center"/>
            </w:pPr>
            <w:r>
              <w:rPr>
                <w:rFonts w:eastAsia="Times New Roman"/>
                <w:sz w:val="15"/>
              </w:rPr>
              <w:t>2.224294</w:t>
            </w:r>
          </w:p>
        </w:tc>
        <w:tc>
          <w:tcPr>
            <w:tcW w:w="1512" w:type="dxa"/>
            <w:tcMar>
              <w:top w:w="55" w:type="dxa"/>
              <w:left w:w="90" w:type="dxa"/>
              <w:bottom w:w="55" w:type="dxa"/>
              <w:right w:w="90" w:type="dxa"/>
            </w:tcMar>
            <w:vAlign w:val="center"/>
          </w:tcPr>
          <w:p w14:paraId="4D1518DA" w14:textId="77777777" w:rsidR="00DF27C6" w:rsidRDefault="00000000">
            <w:pPr>
              <w:jc w:val="center"/>
            </w:pPr>
            <w:r>
              <w:rPr>
                <w:rFonts w:eastAsia="Times New Roman"/>
                <w:sz w:val="15"/>
              </w:rPr>
              <w:t>5.766371</w:t>
            </w:r>
          </w:p>
        </w:tc>
      </w:tr>
    </w:tbl>
    <w:p w14:paraId="3B89605B" w14:textId="77777777" w:rsidR="00DF27C6" w:rsidRDefault="00000000">
      <w:pPr>
        <w:spacing w:before="40" w:after="120"/>
      </w:pPr>
      <w:r>
        <w:rPr>
          <w:rFonts w:eastAsia="Times New Roman"/>
          <w:i/>
          <w:sz w:val="17"/>
        </w:rPr>
        <w:t>Source: Study data (2026). Model diagnostics: N = 84; countries = 5; within R² = 0.7864; between R² = 0.0011; overall R² = 0.0261; F(6,73) = 44.81; conventional covariance estimator. Heteroskedasticity detected; inferential statistics should be interpreted cautiously.</w:t>
      </w:r>
    </w:p>
    <w:p w14:paraId="20426870" w14:textId="77777777" w:rsidR="00DF27C6" w:rsidRDefault="00000000">
      <w:pPr>
        <w:pStyle w:val="Heading2"/>
        <w:spacing w:before="120" w:after="80"/>
      </w:pPr>
      <w:r>
        <w:rPr>
          <w:rFonts w:ascii="Times New Roman" w:eastAsia="Times New Roman" w:hAnsi="Times New Roman"/>
        </w:rPr>
        <w:t>4.4.1 General government final consumption expenditure</w:t>
      </w:r>
    </w:p>
    <w:p w14:paraId="2EAD6150" w14:textId="77777777" w:rsidR="00DF27C6" w:rsidRDefault="00000000">
      <w:pPr>
        <w:spacing w:after="100"/>
        <w:ind w:firstLine="360"/>
        <w:jc w:val="both"/>
      </w:pPr>
      <w:r>
        <w:t>The GGFCE coefficient is -0.5811. Within the positive-value log subsample and conditional on the included controls, a 1% increase in GGFCE as a share of GDP is associated with approximately a 0.58% decrease in nominal GDP per capita in the conventional fixed-effects specification. This is an elasticity-like conditional association between a GDP-share fiscal variable and a nominal per capita income measure. It is not a causal estimate of the effect of total public expenditure on economic growth. Because GGFCE contains GDP in its denominator while the outcome is derived from GDP, part of the observed relationship may also reflect ratio-related mathematical coupling rather than an independent spending mechanism (Kronmal, 1993).</w:t>
      </w:r>
    </w:p>
    <w:p w14:paraId="4C7AFE9F" w14:textId="77777777" w:rsidR="00DF27C6" w:rsidRDefault="00000000">
      <w:pPr>
        <w:spacing w:after="100"/>
        <w:ind w:firstLine="360"/>
        <w:jc w:val="both"/>
      </w:pPr>
      <w:r>
        <w:t xml:space="preserve">The negative sign is compatible with several nonexclusive explanations, including periods in which the government-consumption share rises as private activity or nominal income weakens, fiscal stress, shifts in expenditure composition, shared-denominator arithmetic, or omitted common time conditions. The present model cannot distinguish among these mechanisms. Earlier literature likewise shows that government consumption and productive expenditure need not have identical macroeconomic relationships (Barro, 1990; Landau, 1983). Recent African evidence remains mixed: Mose (2020) reports </w:t>
      </w:r>
      <w:r>
        <w:rPr>
          <w:highlight w:val="yellow"/>
        </w:rPr>
        <w:t>favourable</w:t>
      </w:r>
      <w:r>
        <w:t xml:space="preserve"> long-run expenditure-growth relationships in Kenya, while Salifu and Oduro-Mensah (2026) </w:t>
      </w:r>
      <w:r>
        <w:rPr>
          <w:highlight w:val="yellow"/>
        </w:rPr>
        <w:t>emphasise</w:t>
      </w:r>
      <w:r>
        <w:t xml:space="preserve"> fiscal sustainability and expenditure performance in Ghana. The present coefficient should therefore not be </w:t>
      </w:r>
      <w:r>
        <w:rPr>
          <w:highlight w:val="yellow"/>
        </w:rPr>
        <w:t>generalised</w:t>
      </w:r>
      <w:r>
        <w:t xml:space="preserve"> to capital spending, education, health, agriculture, infrastructure, or exogenous fiscal shocks.</w:t>
      </w:r>
    </w:p>
    <w:p w14:paraId="2586FB52" w14:textId="77777777" w:rsidR="00DF27C6" w:rsidRDefault="00000000">
      <w:pPr>
        <w:pStyle w:val="Heading2"/>
        <w:spacing w:before="120" w:after="80"/>
      </w:pPr>
      <w:r>
        <w:rPr>
          <w:rFonts w:ascii="Times New Roman" w:eastAsia="Times New Roman" w:hAnsi="Times New Roman"/>
        </w:rPr>
        <w:t>4.4.2 Control variables</w:t>
      </w:r>
    </w:p>
    <w:p w14:paraId="46643F4C" w14:textId="77777777" w:rsidR="00DF27C6" w:rsidRDefault="00000000">
      <w:pPr>
        <w:spacing w:after="100"/>
        <w:ind w:firstLine="360"/>
        <w:jc w:val="both"/>
      </w:pPr>
      <w:r>
        <w:t xml:space="preserve">FDI has a positive coefficient of 0.0487, implying that a 1% increase in positive FDI inflows is associated with about a 0.05% increase in nominal GDP per capita within the regression subsample. The sign is consistent with the positive FDI relationship reported for Kenya by Mose and Kipchirchir (2024), although other African evidence shows that FDI effects can be negative or context-dependent (Mawutor et al., 2023; Nwaogu &amp; Ryan, 2015). Because negative FDI observations are excluded by the logarithmic specification, this coefficient </w:t>
      </w:r>
      <w:r>
        <w:rPr>
          <w:highlight w:val="yellow"/>
        </w:rPr>
        <w:t>characterises</w:t>
      </w:r>
      <w:r>
        <w:t xml:space="preserve"> positive-inflow country-years only.</w:t>
      </w:r>
    </w:p>
    <w:p w14:paraId="0EDD1D88" w14:textId="77777777" w:rsidR="00DF27C6" w:rsidRDefault="00000000">
      <w:pPr>
        <w:spacing w:after="100"/>
        <w:ind w:firstLine="360"/>
        <w:jc w:val="both"/>
      </w:pPr>
      <w:r>
        <w:rPr>
          <w:rFonts w:eastAsia="Times New Roman"/>
        </w:rPr>
        <w:t xml:space="preserve">Population growth has a coefficient of -0.3839. A negative association with GDP per capita is plausible when population expands faster than the income base, but demographic effects depend on age structure, </w:t>
      </w:r>
      <w:r>
        <w:rPr>
          <w:rFonts w:eastAsia="Times New Roman"/>
          <w:highlight w:val="yellow"/>
        </w:rPr>
        <w:t>labour</w:t>
      </w:r>
      <w:r>
        <w:rPr>
          <w:rFonts w:eastAsia="Times New Roman"/>
        </w:rPr>
        <w:t>-force participation, savings, and capital accumulation. Evidence on demographic change and growth is nonlinear and context-specific (Lee &amp; Shin, 2019; Mamun et al., 2020), so the coefficient should not be interpreted as evidence that population growth is uniformly harmful.</w:t>
      </w:r>
    </w:p>
    <w:p w14:paraId="53C2927E" w14:textId="77777777" w:rsidR="00DF27C6" w:rsidRDefault="00000000">
      <w:pPr>
        <w:spacing w:after="100"/>
        <w:ind w:firstLine="360"/>
        <w:jc w:val="both"/>
      </w:pPr>
      <w:r>
        <w:rPr>
          <w:rFonts w:eastAsia="Times New Roman"/>
        </w:rPr>
        <w:t>Inflation has a small negative coefficient (-0.0052) and is statistically imprecise in the conventional specification. This result does not support a strong independent inflation association within the positive-inflation regression subsample after conditioning on the other regressors. Because the outcome is measured in current US dollars, nominal price and exchange-rate movements complicate a direct welfare interpretation.</w:t>
      </w:r>
    </w:p>
    <w:p w14:paraId="6A7ACC6E" w14:textId="77777777" w:rsidR="00DF27C6" w:rsidRDefault="00000000">
      <w:pPr>
        <w:spacing w:after="100"/>
        <w:ind w:firstLine="360"/>
        <w:jc w:val="both"/>
      </w:pPr>
      <w:r>
        <w:t xml:space="preserve">The official exchange-rate coefficient is positive (0.5706). Its sign differs from the negative raw correlation, but the two estimates use different samples and the fixed-effects equation conditions on country effects and other regressors. Exchange-rate relationships with economic performance are heterogeneous across African settings (Eshetu &amp; Girma, 2026; Koroma et al., 2023). An additional measurement complication is </w:t>
      </w:r>
      <w:r>
        <w:lastRenderedPageBreak/>
        <w:t>central here: GDP per capita is denominated in current US dollars, so movements in local-currency-per-dollar rates can alter the measured US-dollar value of income even without a proportional change in real domestic output. The coefficient may therefore contain an accounting conversion component and should not be interpreted as evidence that depreciation raises real living standards.</w:t>
      </w:r>
    </w:p>
    <w:p w14:paraId="04017DF1" w14:textId="77777777" w:rsidR="00DF27C6" w:rsidRDefault="00000000">
      <w:pPr>
        <w:spacing w:after="100"/>
        <w:ind w:firstLine="360"/>
        <w:jc w:val="both"/>
      </w:pPr>
      <w:r>
        <w:rPr>
          <w:rFonts w:eastAsia="Times New Roman"/>
        </w:rPr>
        <w:t>ODA has a negative coefficient of -0.1928 in the conventional fixed-effects model. Aid-growth evidence in the wider literature is mixed and highly sensitive to aid composition, recipient institutions, endogeneity, and time horizon (Arndt et al., 2015; Doucouliagos &amp; Paldam, 2008). The present coefficient therefore does not imply that development assistance is intrinsically growth-reducing; it may also reflect countercyclical aid, aid directed toward countries during adverse periods, or omitted time-varying conditions.</w:t>
      </w:r>
    </w:p>
    <w:p w14:paraId="48494232" w14:textId="77777777" w:rsidR="00DF27C6" w:rsidRDefault="00000000">
      <w:pPr>
        <w:pStyle w:val="Heading1"/>
        <w:spacing w:before="160" w:after="80"/>
      </w:pPr>
      <w:r>
        <w:rPr>
          <w:rFonts w:ascii="Times New Roman" w:eastAsia="Times New Roman" w:hAnsi="Times New Roman"/>
        </w:rPr>
        <w:t>5. CONCLUSION AND POLICY IMPLICATIONS</w:t>
      </w:r>
    </w:p>
    <w:p w14:paraId="3D7D421E" w14:textId="77777777" w:rsidR="00DF27C6" w:rsidRDefault="00000000">
      <w:pPr>
        <w:spacing w:after="100"/>
        <w:ind w:firstLine="360"/>
        <w:jc w:val="both"/>
      </w:pPr>
      <w:r>
        <w:t>This study examined the conditional association between general government final consumption expenditure and nominal GDP per capita in Kenya, Uganda, Tanzania, Burundi, and Rwanda over 2005–2024. GDP per capita in current US dollars is treated as a nominal income-level measure, and GGFCE is treated as government current consumption rather than total public expenditure. In the 84-observation positive-value log subsample, the conventional fixed-effects coefficients are negative for GGFCE, population growth, and ODA; positive for FDI and the official exchange rate; and close to zero for inflation. These coefficient patterns describe the reported sample and specification, but they do not constitute robust causal or long-run estimates.</w:t>
      </w:r>
    </w:p>
    <w:p w14:paraId="095E5D75" w14:textId="77777777" w:rsidR="00DF27C6" w:rsidRDefault="00000000">
      <w:pPr>
        <w:spacing w:after="100"/>
        <w:ind w:firstLine="360"/>
        <w:jc w:val="both"/>
      </w:pPr>
      <w:r>
        <w:t>The results do not establish that higher government consumption causes lower income. Fiscal policy is endogenous to economic conditions, the model does not separately identify capital expenditure or sectoral allocations, the outcome is sensitive to price and exchange-rate conversion, and GGFCE is a GDP-share variable that can be mechanically related to a GDP-based outcome. Common time shocks are also not fully absorbed in the reported country-effects specification. Accordingly, the results are most appropriately used to motivate closer evaluation of expenditure composition, implementation efficiency, and measurement choice rather than to prescribe higher or lower aggregate government consumption.</w:t>
      </w:r>
    </w:p>
    <w:p w14:paraId="0433FBD8" w14:textId="77777777" w:rsidR="00DF27C6" w:rsidRDefault="00000000">
      <w:pPr>
        <w:spacing w:after="100"/>
        <w:ind w:firstLine="360"/>
        <w:jc w:val="both"/>
      </w:pPr>
      <w:r>
        <w:t>The FDI coefficient is similarly limited to country-years with positive inflows, while the ODA coefficient cannot distinguish aid effects from countercyclical allocation, recipient conditions, or omitted shocks. The exchange-rate coefficient should be read primarily as an association with a nominal US-dollar outcome rather than a welfare effect. Taken together, the analysis supports disaggregated and transparent fiscal assessment and highlights the sensitivity of macro-panel conclusions to variable definition, transformation, and error structure. Stronger policy conclusions require models based on real outcomes, explicit common-time controls, and inference designed for very small panels.</w:t>
      </w:r>
    </w:p>
    <w:p w14:paraId="595132A2" w14:textId="77777777" w:rsidR="00DF27C6" w:rsidRDefault="00000000">
      <w:pPr>
        <w:pStyle w:val="Heading1"/>
        <w:spacing w:before="160" w:after="80"/>
      </w:pPr>
      <w:r>
        <w:rPr>
          <w:rFonts w:ascii="Times New Roman" w:eastAsia="Times New Roman" w:hAnsi="Times New Roman"/>
        </w:rPr>
        <w:t>6. LIMITATIONS AND DIRECTIONS FOR FURTHER RESEARCH</w:t>
      </w:r>
    </w:p>
    <w:p w14:paraId="1B104E4A" w14:textId="77777777" w:rsidR="00DF27C6" w:rsidRDefault="00000000">
      <w:pPr>
        <w:spacing w:after="100"/>
        <w:ind w:firstLine="360"/>
        <w:jc w:val="both"/>
      </w:pPr>
      <w:r>
        <w:t>Several limitations constrain interpretation. First, GDP per capita in current US dollars is a nominal measure affected by domestic prices and exchange-rate conversion; a real GDP per capita or real growth outcome would provide a more direct basis for interpreting real economic performance. Second, GGFCE measures government current consumption and does not capture total expenditure or capital formation. Because it is expressed as a percentage of GDP while the dependent variable is itself GDP based, shared components can create ratio-related dependence and potentially misleading regression relationships (Kronmal, 1993). Disaggregated fiscal variables measured independently of the GDP denominator would provide a stronger robustness design.</w:t>
      </w:r>
    </w:p>
    <w:p w14:paraId="5B9833C3" w14:textId="77777777" w:rsidR="00DF27C6" w:rsidRDefault="00000000">
      <w:pPr>
        <w:spacing w:after="100"/>
        <w:ind w:firstLine="360"/>
        <w:jc w:val="both"/>
      </w:pPr>
      <w:r>
        <w:t xml:space="preserve">Third, the logarithmic specification excludes country-years with zero or negative values in FDI, inflation, GGFCE, the exchange rate, or ODA, reducing the regression sample from 100 to 84 observations. Negative </w:t>
      </w:r>
      <w:r>
        <w:lastRenderedPageBreak/>
        <w:t>FDI and deflation can be economically meaningful, and zero-coded macroeconomic observations require careful provenance checks. The resulting sample conditioning can therefore create selection effects. Future robustness analysis should preserve signed and zero observations where substantively appropriate, for example through carefully justified log-like transformations; inverse hyperbolic sine models are one option but require their own interpretive discipline (Bellemare &amp; Wichman, 2020). The present estimates apply only to the positive-value subsample.</w:t>
      </w:r>
    </w:p>
    <w:p w14:paraId="7906B998" w14:textId="77777777" w:rsidR="00DF27C6" w:rsidRDefault="00000000">
      <w:pPr>
        <w:spacing w:after="100"/>
        <w:ind w:firstLine="360"/>
        <w:jc w:val="both"/>
      </w:pPr>
      <w:r>
        <w:t>Fourth, the time-series diagnostics do not provide a clean basis for a long-run levels interpretation. ODA and the exchange rate are classified as I(1) in the reported Levin–Lin–Chu results, GGFCE is specification-sensitive, and the first sequential null in the supplementary cointegration output is not rejected. First-generation unit-root tests can also be sensitive to cross-sectional dependence (Levin et al., 2002; Pesaran, 2007). The reported country-effects model does not include a complete set of year effects, so common regional and global shocks may remain in the disturbance process. Fifth, heteroskedasticity is detected and only five cross-sectional units are available. Conventional standard errors are therefore an especially weak basis for binary significance decisions, and even ordinary cluster-robust asymptotics can perform poorly with very few clusters (Cameron et al., 2008; Cameron &amp; Miller, 2015). Finally, the design is observational: fixed effects remove time-invariant country heterogeneity but do not resolve reverse causality, time-varying omitted variables, or endogenous fiscal responses. The reported coefficients should consequently be understood as conditional within-sample associations. Stronger causal or policy analysis would require richer fiscal data, explicit common-time or common-factor controls, a specification coherent with the time-series properties of the variables, and a credible identification strategy.</w:t>
      </w:r>
    </w:p>
    <w:p w14:paraId="120B02CB" w14:textId="77777777" w:rsidR="00DF27C6" w:rsidRDefault="00000000">
      <w:pPr>
        <w:pStyle w:val="Heading1"/>
        <w:spacing w:before="160" w:after="80"/>
      </w:pPr>
      <w:r>
        <w:rPr>
          <w:rFonts w:ascii="Times New Roman" w:eastAsia="Times New Roman" w:hAnsi="Times New Roman"/>
        </w:rPr>
        <w:t>DECLARATION OF AI USE</w:t>
      </w:r>
    </w:p>
    <w:p w14:paraId="4B76E1EA" w14:textId="77777777" w:rsidR="00DF27C6" w:rsidRDefault="00000000">
      <w:pPr>
        <w:spacing w:after="100"/>
        <w:jc w:val="both"/>
      </w:pPr>
      <w:r>
        <w:rPr>
          <w:rFonts w:eastAsia="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AC5A261" w14:textId="77777777" w:rsidR="00DF27C6" w:rsidRDefault="00000000">
      <w:pPr>
        <w:pStyle w:val="Heading1"/>
        <w:spacing w:before="160" w:after="80"/>
      </w:pPr>
      <w:r>
        <w:rPr>
          <w:rFonts w:ascii="Times New Roman" w:eastAsia="Times New Roman" w:hAnsi="Times New Roman"/>
        </w:rPr>
        <w:t>REFERENCES</w:t>
      </w:r>
    </w:p>
    <w:p w14:paraId="7AF32AF1"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Ahmadu, S., Mohammed, U., &amp; Yusuf Kabara, M. (2026). Government expenditure and per capita income in Nigeria: Evidence from an autoregressive distributed lag (ARDL) model. </w:t>
      </w:r>
      <w:r w:rsidRPr="009C33B9">
        <w:rPr>
          <w:rFonts w:eastAsia="Times New Roman" w:cs="Times New Roman"/>
          <w:i/>
          <w:iCs/>
          <w:sz w:val="24"/>
          <w:szCs w:val="24"/>
        </w:rPr>
        <w:t>UMYUK Journal of Economics and Development, 3</w:t>
      </w:r>
      <w:r w:rsidRPr="009C33B9">
        <w:rPr>
          <w:rFonts w:eastAsia="Times New Roman" w:cs="Times New Roman"/>
          <w:sz w:val="24"/>
          <w:szCs w:val="24"/>
        </w:rPr>
        <w:t xml:space="preserve">(1), 169–180. </w:t>
      </w:r>
      <w:hyperlink r:id="rId8" w:history="1">
        <w:r w:rsidRPr="009C33B9">
          <w:rPr>
            <w:rFonts w:eastAsia="Times New Roman" w:cs="Times New Roman"/>
            <w:color w:val="0000FF"/>
            <w:sz w:val="24"/>
            <w:szCs w:val="24"/>
            <w:u w:val="single"/>
          </w:rPr>
          <w:t>https://doi.org/10.70861/ujed20260301014</w:t>
        </w:r>
      </w:hyperlink>
    </w:p>
    <w:p w14:paraId="5DC3593C"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Ansari, M. I., Gordon, D. V., &amp; </w:t>
      </w:r>
      <w:proofErr w:type="spellStart"/>
      <w:r w:rsidRPr="009C33B9">
        <w:rPr>
          <w:rFonts w:eastAsia="Times New Roman" w:cs="Times New Roman"/>
          <w:sz w:val="24"/>
          <w:szCs w:val="24"/>
        </w:rPr>
        <w:t>Akuamoah</w:t>
      </w:r>
      <w:proofErr w:type="spellEnd"/>
      <w:r w:rsidRPr="009C33B9">
        <w:rPr>
          <w:rFonts w:eastAsia="Times New Roman" w:cs="Times New Roman"/>
          <w:sz w:val="24"/>
          <w:szCs w:val="24"/>
        </w:rPr>
        <w:t xml:space="preserve">, C. (1997). Keynes versus Wagner: Public expenditure and national income for three African countries. </w:t>
      </w:r>
      <w:r w:rsidRPr="009C33B9">
        <w:rPr>
          <w:rFonts w:eastAsia="Times New Roman" w:cs="Times New Roman"/>
          <w:i/>
          <w:iCs/>
          <w:sz w:val="24"/>
          <w:szCs w:val="24"/>
        </w:rPr>
        <w:t>Applied Economics, 29</w:t>
      </w:r>
      <w:r w:rsidRPr="009C33B9">
        <w:rPr>
          <w:rFonts w:eastAsia="Times New Roman" w:cs="Times New Roman"/>
          <w:sz w:val="24"/>
          <w:szCs w:val="24"/>
        </w:rPr>
        <w:t xml:space="preserve">(4), 543–550. </w:t>
      </w:r>
      <w:hyperlink r:id="rId9" w:history="1">
        <w:r w:rsidRPr="009C33B9">
          <w:rPr>
            <w:rFonts w:eastAsia="Times New Roman" w:cs="Times New Roman"/>
            <w:color w:val="0000FF"/>
            <w:sz w:val="24"/>
            <w:szCs w:val="24"/>
            <w:u w:val="single"/>
          </w:rPr>
          <w:t>https://doi.org/10.1080/000368497327038</w:t>
        </w:r>
      </w:hyperlink>
    </w:p>
    <w:p w14:paraId="2A432C0A"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Arndt, C., Jones, S., &amp; Tarp, F. (2015). Assessing foreign aid’s long-run contribution to growth and development. </w:t>
      </w:r>
      <w:r w:rsidRPr="009C33B9">
        <w:rPr>
          <w:rFonts w:eastAsia="Times New Roman" w:cs="Times New Roman"/>
          <w:i/>
          <w:iCs/>
          <w:sz w:val="24"/>
          <w:szCs w:val="24"/>
        </w:rPr>
        <w:t>World Development, 69</w:t>
      </w:r>
      <w:r w:rsidRPr="009C33B9">
        <w:rPr>
          <w:rFonts w:eastAsia="Times New Roman" w:cs="Times New Roman"/>
          <w:sz w:val="24"/>
          <w:szCs w:val="24"/>
        </w:rPr>
        <w:t xml:space="preserve">, 6–18. </w:t>
      </w:r>
      <w:hyperlink r:id="rId10" w:history="1">
        <w:r w:rsidRPr="009C33B9">
          <w:rPr>
            <w:rFonts w:eastAsia="Times New Roman" w:cs="Times New Roman"/>
            <w:color w:val="0000FF"/>
            <w:sz w:val="24"/>
            <w:szCs w:val="24"/>
            <w:u w:val="single"/>
          </w:rPr>
          <w:t>https://doi.org/10.1016/j.worlddev.2013.12.016</w:t>
        </w:r>
      </w:hyperlink>
    </w:p>
    <w:p w14:paraId="6DFD3BEB"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Barro, R. J. (1990). Government spending in a simple model of endogenous growth. </w:t>
      </w:r>
      <w:r w:rsidRPr="009C33B9">
        <w:rPr>
          <w:rFonts w:eastAsia="Times New Roman" w:cs="Times New Roman"/>
          <w:i/>
          <w:iCs/>
          <w:sz w:val="24"/>
          <w:szCs w:val="24"/>
        </w:rPr>
        <w:t>Journal of Political Economy, 98</w:t>
      </w:r>
      <w:r w:rsidRPr="009C33B9">
        <w:rPr>
          <w:rFonts w:eastAsia="Times New Roman" w:cs="Times New Roman"/>
          <w:sz w:val="24"/>
          <w:szCs w:val="24"/>
        </w:rPr>
        <w:t xml:space="preserve">(5, Part 2), S103–S125. </w:t>
      </w:r>
      <w:hyperlink r:id="rId11" w:history="1">
        <w:r w:rsidRPr="009C33B9">
          <w:rPr>
            <w:rFonts w:eastAsia="Times New Roman" w:cs="Times New Roman"/>
            <w:color w:val="0000FF"/>
            <w:sz w:val="24"/>
            <w:szCs w:val="24"/>
            <w:u w:val="single"/>
          </w:rPr>
          <w:t>https://doi.org/10.1086/261726</w:t>
        </w:r>
      </w:hyperlink>
    </w:p>
    <w:p w14:paraId="26F0A0BB"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Bellemare, M. F., &amp; Wichman, C. J. (2020). Elasticities and the inverse hyperbolic sine transformation. </w:t>
      </w:r>
      <w:r w:rsidRPr="009C33B9">
        <w:rPr>
          <w:rFonts w:eastAsia="Times New Roman" w:cs="Times New Roman"/>
          <w:i/>
          <w:iCs/>
          <w:sz w:val="24"/>
          <w:szCs w:val="24"/>
        </w:rPr>
        <w:t>Oxford Bulletin of Economics and Statistics, 82</w:t>
      </w:r>
      <w:r w:rsidRPr="009C33B9">
        <w:rPr>
          <w:rFonts w:eastAsia="Times New Roman" w:cs="Times New Roman"/>
          <w:sz w:val="24"/>
          <w:szCs w:val="24"/>
        </w:rPr>
        <w:t xml:space="preserve">(1), 50–61. </w:t>
      </w:r>
      <w:hyperlink r:id="rId12" w:history="1">
        <w:r w:rsidRPr="009C33B9">
          <w:rPr>
            <w:rFonts w:eastAsia="Times New Roman" w:cs="Times New Roman"/>
            <w:color w:val="0000FF"/>
            <w:sz w:val="24"/>
            <w:szCs w:val="24"/>
            <w:u w:val="single"/>
          </w:rPr>
          <w:t>https://doi.org/10.1111/obes.12325</w:t>
        </w:r>
      </w:hyperlink>
    </w:p>
    <w:p w14:paraId="7852F13C"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lang w:val="nl-BE"/>
        </w:rPr>
        <w:lastRenderedPageBreak/>
        <w:t xml:space="preserve">Breusch, T. S., &amp; Pagan, A. R. (1979). </w:t>
      </w:r>
      <w:r w:rsidRPr="009C33B9">
        <w:rPr>
          <w:rFonts w:eastAsia="Times New Roman" w:cs="Times New Roman"/>
          <w:sz w:val="24"/>
          <w:szCs w:val="24"/>
        </w:rPr>
        <w:t xml:space="preserve">A simple test for heteroscedasticity and random coefficient variation. </w:t>
      </w:r>
      <w:proofErr w:type="spellStart"/>
      <w:r w:rsidRPr="009C33B9">
        <w:rPr>
          <w:rFonts w:eastAsia="Times New Roman" w:cs="Times New Roman"/>
          <w:i/>
          <w:iCs/>
          <w:sz w:val="24"/>
          <w:szCs w:val="24"/>
        </w:rPr>
        <w:t>Econometrica</w:t>
      </w:r>
      <w:proofErr w:type="spellEnd"/>
      <w:r w:rsidRPr="009C33B9">
        <w:rPr>
          <w:rFonts w:eastAsia="Times New Roman" w:cs="Times New Roman"/>
          <w:i/>
          <w:iCs/>
          <w:sz w:val="24"/>
          <w:szCs w:val="24"/>
        </w:rPr>
        <w:t>, 47</w:t>
      </w:r>
      <w:r w:rsidRPr="009C33B9">
        <w:rPr>
          <w:rFonts w:eastAsia="Times New Roman" w:cs="Times New Roman"/>
          <w:sz w:val="24"/>
          <w:szCs w:val="24"/>
        </w:rPr>
        <w:t xml:space="preserve">(5), 1287–1294. </w:t>
      </w:r>
      <w:hyperlink r:id="rId13" w:history="1">
        <w:r w:rsidRPr="009C33B9">
          <w:rPr>
            <w:rFonts w:eastAsia="Times New Roman" w:cs="Times New Roman"/>
            <w:color w:val="0000FF"/>
            <w:sz w:val="24"/>
            <w:szCs w:val="24"/>
            <w:u w:val="single"/>
          </w:rPr>
          <w:t>https://doi.org/10.2307/1911963</w:t>
        </w:r>
      </w:hyperlink>
    </w:p>
    <w:p w14:paraId="20FD79B1"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Cameron, A. C., Gelbach, J. B., &amp; Miller, D. L. (2008). Bootstrap-based improvements for inference with clustered errors. </w:t>
      </w:r>
      <w:r w:rsidRPr="009C33B9">
        <w:rPr>
          <w:rFonts w:eastAsia="Times New Roman" w:cs="Times New Roman"/>
          <w:i/>
          <w:iCs/>
          <w:sz w:val="24"/>
          <w:szCs w:val="24"/>
        </w:rPr>
        <w:t>The Review of Economics and Statistics, 90</w:t>
      </w:r>
      <w:r w:rsidRPr="009C33B9">
        <w:rPr>
          <w:rFonts w:eastAsia="Times New Roman" w:cs="Times New Roman"/>
          <w:sz w:val="24"/>
          <w:szCs w:val="24"/>
        </w:rPr>
        <w:t xml:space="preserve">(3), 414–427. </w:t>
      </w:r>
      <w:hyperlink r:id="rId14" w:history="1">
        <w:r w:rsidRPr="009C33B9">
          <w:rPr>
            <w:rFonts w:eastAsia="Times New Roman" w:cs="Times New Roman"/>
            <w:color w:val="0000FF"/>
            <w:sz w:val="24"/>
            <w:szCs w:val="24"/>
            <w:u w:val="single"/>
          </w:rPr>
          <w:t>https://doi.org/10.1162/rest.90.3.414</w:t>
        </w:r>
      </w:hyperlink>
    </w:p>
    <w:p w14:paraId="37324E8C"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Cameron, A. C., &amp; Miller, D. L. (2015). A practitioner’s guide to cluster-robust inference. </w:t>
      </w:r>
      <w:r w:rsidRPr="009C33B9">
        <w:rPr>
          <w:rFonts w:eastAsia="Times New Roman" w:cs="Times New Roman"/>
          <w:i/>
          <w:iCs/>
          <w:sz w:val="24"/>
          <w:szCs w:val="24"/>
        </w:rPr>
        <w:t>Journal of Human Resources, 50</w:t>
      </w:r>
      <w:r w:rsidRPr="009C33B9">
        <w:rPr>
          <w:rFonts w:eastAsia="Times New Roman" w:cs="Times New Roman"/>
          <w:sz w:val="24"/>
          <w:szCs w:val="24"/>
        </w:rPr>
        <w:t xml:space="preserve">(2), 317–372. </w:t>
      </w:r>
      <w:hyperlink r:id="rId15" w:history="1">
        <w:r w:rsidRPr="009C33B9">
          <w:rPr>
            <w:rFonts w:eastAsia="Times New Roman" w:cs="Times New Roman"/>
            <w:color w:val="0000FF"/>
            <w:sz w:val="24"/>
            <w:szCs w:val="24"/>
            <w:u w:val="single"/>
          </w:rPr>
          <w:t>https://doi.org/10.3368/jhr.50.2.317</w:t>
        </w:r>
      </w:hyperlink>
    </w:p>
    <w:p w14:paraId="1FFC2322"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Chletsos</w:t>
      </w:r>
      <w:proofErr w:type="spellEnd"/>
      <w:r w:rsidRPr="009C33B9">
        <w:rPr>
          <w:rFonts w:eastAsia="Times New Roman" w:cs="Times New Roman"/>
          <w:sz w:val="24"/>
          <w:szCs w:val="24"/>
        </w:rPr>
        <w:t xml:space="preserve">, M., &amp; Kollias, C. (1997). Testing Wagner’s law using disaggregated public expenditure data in the case of Greece: 1958–93. </w:t>
      </w:r>
      <w:r w:rsidRPr="009C33B9">
        <w:rPr>
          <w:rFonts w:eastAsia="Times New Roman" w:cs="Times New Roman"/>
          <w:i/>
          <w:iCs/>
          <w:sz w:val="24"/>
          <w:szCs w:val="24"/>
        </w:rPr>
        <w:t>Applied Economics, 29</w:t>
      </w:r>
      <w:r w:rsidRPr="009C33B9">
        <w:rPr>
          <w:rFonts w:eastAsia="Times New Roman" w:cs="Times New Roman"/>
          <w:sz w:val="24"/>
          <w:szCs w:val="24"/>
        </w:rPr>
        <w:t xml:space="preserve">(3), 371–377. </w:t>
      </w:r>
      <w:hyperlink r:id="rId16" w:history="1">
        <w:r w:rsidRPr="009C33B9">
          <w:rPr>
            <w:rFonts w:eastAsia="Times New Roman" w:cs="Times New Roman"/>
            <w:color w:val="0000FF"/>
            <w:sz w:val="24"/>
            <w:szCs w:val="24"/>
            <w:u w:val="single"/>
          </w:rPr>
          <w:t>https://doi.org/10.1080/000368497327155</w:t>
        </w:r>
      </w:hyperlink>
    </w:p>
    <w:p w14:paraId="26DC93C3"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Doucouliagos</w:t>
      </w:r>
      <w:proofErr w:type="spellEnd"/>
      <w:r w:rsidRPr="009C33B9">
        <w:rPr>
          <w:rFonts w:eastAsia="Times New Roman" w:cs="Times New Roman"/>
          <w:sz w:val="24"/>
          <w:szCs w:val="24"/>
        </w:rPr>
        <w:t xml:space="preserve">, H., &amp; Paldam, M. (2008). Aid effectiveness on growth: A meta study. </w:t>
      </w:r>
      <w:r w:rsidRPr="009C33B9">
        <w:rPr>
          <w:rFonts w:eastAsia="Times New Roman" w:cs="Times New Roman"/>
          <w:i/>
          <w:iCs/>
          <w:sz w:val="24"/>
          <w:szCs w:val="24"/>
        </w:rPr>
        <w:t>European Journal of Political Economy, 24</w:t>
      </w:r>
      <w:r w:rsidRPr="009C33B9">
        <w:rPr>
          <w:rFonts w:eastAsia="Times New Roman" w:cs="Times New Roman"/>
          <w:sz w:val="24"/>
          <w:szCs w:val="24"/>
        </w:rPr>
        <w:t xml:space="preserve">(1), 1–24. </w:t>
      </w:r>
      <w:hyperlink r:id="rId17" w:history="1">
        <w:r w:rsidRPr="009C33B9">
          <w:rPr>
            <w:rFonts w:eastAsia="Times New Roman" w:cs="Times New Roman"/>
            <w:color w:val="0000FF"/>
            <w:sz w:val="24"/>
            <w:szCs w:val="24"/>
            <w:u w:val="single"/>
          </w:rPr>
          <w:t>https://doi.org/10.1016/j.ejpoleco.2007.06.002</w:t>
        </w:r>
      </w:hyperlink>
    </w:p>
    <w:p w14:paraId="771D7375"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lang w:val="nl-BE"/>
        </w:rPr>
        <w:t xml:space="preserve">Driscoll, J. C., &amp; Kraay, A. C. (1998). </w:t>
      </w:r>
      <w:r w:rsidRPr="009C33B9">
        <w:rPr>
          <w:rFonts w:eastAsia="Times New Roman" w:cs="Times New Roman"/>
          <w:sz w:val="24"/>
          <w:szCs w:val="24"/>
        </w:rPr>
        <w:t xml:space="preserve">Consistent covariance matrix estimation with spatially dependent panel data. </w:t>
      </w:r>
      <w:r w:rsidRPr="009C33B9">
        <w:rPr>
          <w:rFonts w:eastAsia="Times New Roman" w:cs="Times New Roman"/>
          <w:i/>
          <w:iCs/>
          <w:sz w:val="24"/>
          <w:szCs w:val="24"/>
        </w:rPr>
        <w:t>The Review of Economics and Statistics, 80</w:t>
      </w:r>
      <w:r w:rsidRPr="009C33B9">
        <w:rPr>
          <w:rFonts w:eastAsia="Times New Roman" w:cs="Times New Roman"/>
          <w:sz w:val="24"/>
          <w:szCs w:val="24"/>
        </w:rPr>
        <w:t xml:space="preserve">(4), 549–560. </w:t>
      </w:r>
      <w:hyperlink r:id="rId18" w:history="1">
        <w:r w:rsidRPr="009C33B9">
          <w:rPr>
            <w:rFonts w:eastAsia="Times New Roman" w:cs="Times New Roman"/>
            <w:color w:val="0000FF"/>
            <w:sz w:val="24"/>
            <w:szCs w:val="24"/>
            <w:u w:val="single"/>
          </w:rPr>
          <w:t>https://doi.org/10.1162/003465398557825</w:t>
        </w:r>
      </w:hyperlink>
    </w:p>
    <w:p w14:paraId="3FE3449E"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Eshetu, F., &amp; Girma, T. (2026). Exchange rate movements and economic growth in Ethiopia. </w:t>
      </w:r>
      <w:r w:rsidRPr="009C33B9">
        <w:rPr>
          <w:rFonts w:eastAsia="Times New Roman" w:cs="Times New Roman"/>
          <w:i/>
          <w:iCs/>
          <w:sz w:val="24"/>
          <w:szCs w:val="24"/>
        </w:rPr>
        <w:t>Discover Global Society, 4</w:t>
      </w:r>
      <w:r w:rsidRPr="009C33B9">
        <w:rPr>
          <w:rFonts w:eastAsia="Times New Roman" w:cs="Times New Roman"/>
          <w:sz w:val="24"/>
          <w:szCs w:val="24"/>
        </w:rPr>
        <w:t xml:space="preserve">, Article 193. </w:t>
      </w:r>
      <w:hyperlink r:id="rId19" w:history="1">
        <w:r w:rsidRPr="009C33B9">
          <w:rPr>
            <w:rFonts w:eastAsia="Times New Roman" w:cs="Times New Roman"/>
            <w:color w:val="0000FF"/>
            <w:sz w:val="24"/>
            <w:szCs w:val="24"/>
            <w:u w:val="single"/>
          </w:rPr>
          <w:t>https://doi.org/10.1007/s44282-026-00525-0</w:t>
        </w:r>
      </w:hyperlink>
    </w:p>
    <w:p w14:paraId="0CCC37A5"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Hausman, J. A. (1978). Specification tests in econometrics. </w:t>
      </w:r>
      <w:proofErr w:type="spellStart"/>
      <w:r w:rsidRPr="009C33B9">
        <w:rPr>
          <w:rFonts w:eastAsia="Times New Roman" w:cs="Times New Roman"/>
          <w:i/>
          <w:iCs/>
          <w:sz w:val="24"/>
          <w:szCs w:val="24"/>
        </w:rPr>
        <w:t>Econometrica</w:t>
      </w:r>
      <w:proofErr w:type="spellEnd"/>
      <w:r w:rsidRPr="009C33B9">
        <w:rPr>
          <w:rFonts w:eastAsia="Times New Roman" w:cs="Times New Roman"/>
          <w:i/>
          <w:iCs/>
          <w:sz w:val="24"/>
          <w:szCs w:val="24"/>
        </w:rPr>
        <w:t>, 46</w:t>
      </w:r>
      <w:r w:rsidRPr="009C33B9">
        <w:rPr>
          <w:rFonts w:eastAsia="Times New Roman" w:cs="Times New Roman"/>
          <w:sz w:val="24"/>
          <w:szCs w:val="24"/>
        </w:rPr>
        <w:t xml:space="preserve">(6), 1251–1271. </w:t>
      </w:r>
      <w:hyperlink r:id="rId20" w:history="1">
        <w:r w:rsidRPr="009C33B9">
          <w:rPr>
            <w:rFonts w:eastAsia="Times New Roman" w:cs="Times New Roman"/>
            <w:color w:val="0000FF"/>
            <w:sz w:val="24"/>
            <w:szCs w:val="24"/>
            <w:u w:val="single"/>
          </w:rPr>
          <w:t>https://doi.org/10.2307/1913827</w:t>
        </w:r>
      </w:hyperlink>
    </w:p>
    <w:p w14:paraId="117F6B0B"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Hoechle</w:t>
      </w:r>
      <w:proofErr w:type="spellEnd"/>
      <w:r w:rsidRPr="009C33B9">
        <w:rPr>
          <w:rFonts w:eastAsia="Times New Roman" w:cs="Times New Roman"/>
          <w:sz w:val="24"/>
          <w:szCs w:val="24"/>
        </w:rPr>
        <w:t xml:space="preserve">, D. (2007). Robust standard errors for panel regressions with cross-sectional dependence. </w:t>
      </w:r>
      <w:r w:rsidRPr="009C33B9">
        <w:rPr>
          <w:rFonts w:eastAsia="Times New Roman" w:cs="Times New Roman"/>
          <w:i/>
          <w:iCs/>
          <w:sz w:val="24"/>
          <w:szCs w:val="24"/>
        </w:rPr>
        <w:t>The Stata Journal, 7</w:t>
      </w:r>
      <w:r w:rsidRPr="009C33B9">
        <w:rPr>
          <w:rFonts w:eastAsia="Times New Roman" w:cs="Times New Roman"/>
          <w:sz w:val="24"/>
          <w:szCs w:val="24"/>
        </w:rPr>
        <w:t xml:space="preserve">(3), 281–312. </w:t>
      </w:r>
      <w:hyperlink r:id="rId21" w:history="1">
        <w:r w:rsidRPr="009C33B9">
          <w:rPr>
            <w:rFonts w:eastAsia="Times New Roman" w:cs="Times New Roman"/>
            <w:color w:val="0000FF"/>
            <w:sz w:val="24"/>
            <w:szCs w:val="24"/>
            <w:u w:val="single"/>
          </w:rPr>
          <w:t>https://doi.org/10.1177/1536867X0700700301</w:t>
        </w:r>
      </w:hyperlink>
    </w:p>
    <w:p w14:paraId="603A3E04"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Jarque, C. M., &amp; Bera, A. K. (1980). Efficient tests for normality, homoscedasticity and serial independence of regression residuals. </w:t>
      </w:r>
      <w:r w:rsidRPr="009C33B9">
        <w:rPr>
          <w:rFonts w:eastAsia="Times New Roman" w:cs="Times New Roman"/>
          <w:i/>
          <w:iCs/>
          <w:sz w:val="24"/>
          <w:szCs w:val="24"/>
        </w:rPr>
        <w:t>Economics Letters, 6</w:t>
      </w:r>
      <w:r w:rsidRPr="009C33B9">
        <w:rPr>
          <w:rFonts w:eastAsia="Times New Roman" w:cs="Times New Roman"/>
          <w:sz w:val="24"/>
          <w:szCs w:val="24"/>
        </w:rPr>
        <w:t xml:space="preserve">(3), 255–259. </w:t>
      </w:r>
      <w:hyperlink r:id="rId22" w:history="1">
        <w:r w:rsidRPr="009C33B9">
          <w:rPr>
            <w:rFonts w:eastAsia="Times New Roman" w:cs="Times New Roman"/>
            <w:color w:val="0000FF"/>
            <w:sz w:val="24"/>
            <w:szCs w:val="24"/>
            <w:u w:val="single"/>
          </w:rPr>
          <w:t>https://doi.org/10.1016/0165-1765(80)90024-5</w:t>
        </w:r>
      </w:hyperlink>
    </w:p>
    <w:p w14:paraId="356A020F"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Koroma, P. S., Jalloh, A., &amp; Squire, A. (2023). An empirical examination of the impact of exchange rate fluctuation on economic growth in Sierra Leone. </w:t>
      </w:r>
      <w:r w:rsidRPr="009C33B9">
        <w:rPr>
          <w:rFonts w:eastAsia="Times New Roman" w:cs="Times New Roman"/>
          <w:i/>
          <w:iCs/>
          <w:sz w:val="24"/>
          <w:szCs w:val="24"/>
        </w:rPr>
        <w:t>Journal of Mathematical Finance, 13</w:t>
      </w:r>
      <w:r w:rsidRPr="009C33B9">
        <w:rPr>
          <w:rFonts w:eastAsia="Times New Roman" w:cs="Times New Roman"/>
          <w:sz w:val="24"/>
          <w:szCs w:val="24"/>
        </w:rPr>
        <w:t xml:space="preserve">(1), 17–31. </w:t>
      </w:r>
      <w:hyperlink r:id="rId23" w:history="1">
        <w:r w:rsidRPr="009C33B9">
          <w:rPr>
            <w:rFonts w:eastAsia="Times New Roman" w:cs="Times New Roman"/>
            <w:color w:val="0000FF"/>
            <w:sz w:val="24"/>
            <w:szCs w:val="24"/>
            <w:u w:val="single"/>
          </w:rPr>
          <w:t>https://doi.org/10.4236/jmf.2023.131002</w:t>
        </w:r>
      </w:hyperlink>
    </w:p>
    <w:p w14:paraId="3EDDD4CA"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Kronmal</w:t>
      </w:r>
      <w:proofErr w:type="spellEnd"/>
      <w:r w:rsidRPr="009C33B9">
        <w:rPr>
          <w:rFonts w:eastAsia="Times New Roman" w:cs="Times New Roman"/>
          <w:sz w:val="24"/>
          <w:szCs w:val="24"/>
        </w:rPr>
        <w:t xml:space="preserve">, R. A. (1993). Spurious correlation and the fallacy of the ratio standard revisited. </w:t>
      </w:r>
      <w:r w:rsidRPr="009C33B9">
        <w:rPr>
          <w:rFonts w:eastAsia="Times New Roman" w:cs="Times New Roman"/>
          <w:i/>
          <w:iCs/>
          <w:sz w:val="24"/>
          <w:szCs w:val="24"/>
        </w:rPr>
        <w:t>Journal of the Royal Statistical Society: Series A (Statistics in Society), 156</w:t>
      </w:r>
      <w:r w:rsidRPr="009C33B9">
        <w:rPr>
          <w:rFonts w:eastAsia="Times New Roman" w:cs="Times New Roman"/>
          <w:sz w:val="24"/>
          <w:szCs w:val="24"/>
        </w:rPr>
        <w:t xml:space="preserve">(3), 379–392. </w:t>
      </w:r>
      <w:hyperlink r:id="rId24" w:history="1">
        <w:r w:rsidRPr="009C33B9">
          <w:rPr>
            <w:rFonts w:eastAsia="Times New Roman" w:cs="Times New Roman"/>
            <w:color w:val="0000FF"/>
            <w:sz w:val="24"/>
            <w:szCs w:val="24"/>
            <w:u w:val="single"/>
          </w:rPr>
          <w:t>https://doi.org/10.2307/2983064</w:t>
        </w:r>
      </w:hyperlink>
    </w:p>
    <w:p w14:paraId="5F390CF7"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Landau, D. (1983). Government expenditure and economic growth: A cross-country study. </w:t>
      </w:r>
      <w:r w:rsidRPr="009C33B9">
        <w:rPr>
          <w:rFonts w:eastAsia="Times New Roman" w:cs="Times New Roman"/>
          <w:i/>
          <w:iCs/>
          <w:sz w:val="24"/>
          <w:szCs w:val="24"/>
        </w:rPr>
        <w:t>Southern Economic Journal, 49</w:t>
      </w:r>
      <w:r w:rsidRPr="009C33B9">
        <w:rPr>
          <w:rFonts w:eastAsia="Times New Roman" w:cs="Times New Roman"/>
          <w:sz w:val="24"/>
          <w:szCs w:val="24"/>
        </w:rPr>
        <w:t xml:space="preserve">(3), 783–792. </w:t>
      </w:r>
      <w:hyperlink r:id="rId25" w:history="1">
        <w:r w:rsidRPr="009C33B9">
          <w:rPr>
            <w:rFonts w:eastAsia="Times New Roman" w:cs="Times New Roman"/>
            <w:color w:val="0000FF"/>
            <w:sz w:val="24"/>
            <w:szCs w:val="24"/>
            <w:u w:val="single"/>
          </w:rPr>
          <w:t>https://doi.org/10.2307/1058716</w:t>
        </w:r>
      </w:hyperlink>
    </w:p>
    <w:p w14:paraId="2AB359CA"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Lee, H.-H., &amp; Shin, K. (2019). Nonlinear effects of population aging on economic growth. </w:t>
      </w:r>
      <w:r w:rsidRPr="009C33B9">
        <w:rPr>
          <w:rFonts w:eastAsia="Times New Roman" w:cs="Times New Roman"/>
          <w:i/>
          <w:iCs/>
          <w:sz w:val="24"/>
          <w:szCs w:val="24"/>
        </w:rPr>
        <w:t>Japan and the World Economy, 51</w:t>
      </w:r>
      <w:r w:rsidRPr="009C33B9">
        <w:rPr>
          <w:rFonts w:eastAsia="Times New Roman" w:cs="Times New Roman"/>
          <w:sz w:val="24"/>
          <w:szCs w:val="24"/>
        </w:rPr>
        <w:t xml:space="preserve">, Article 100963. </w:t>
      </w:r>
      <w:hyperlink r:id="rId26" w:history="1">
        <w:r w:rsidRPr="009C33B9">
          <w:rPr>
            <w:rFonts w:eastAsia="Times New Roman" w:cs="Times New Roman"/>
            <w:color w:val="0000FF"/>
            <w:sz w:val="24"/>
            <w:szCs w:val="24"/>
            <w:u w:val="single"/>
          </w:rPr>
          <w:t>https://doi.org/10.1016/j.japwor.2019.100963</w:t>
        </w:r>
      </w:hyperlink>
    </w:p>
    <w:p w14:paraId="3D88701A"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lastRenderedPageBreak/>
        <w:t xml:space="preserve">Levin, A., Lin, C.-F., &amp; Chu, C.-S. J. (2002). Unit root tests in panel data: Asymptotic and finite-sample properties. </w:t>
      </w:r>
      <w:r w:rsidRPr="009C33B9">
        <w:rPr>
          <w:rFonts w:eastAsia="Times New Roman" w:cs="Times New Roman"/>
          <w:i/>
          <w:iCs/>
          <w:sz w:val="24"/>
          <w:szCs w:val="24"/>
        </w:rPr>
        <w:t>Journal of Econometrics, 108</w:t>
      </w:r>
      <w:r w:rsidRPr="009C33B9">
        <w:rPr>
          <w:rFonts w:eastAsia="Times New Roman" w:cs="Times New Roman"/>
          <w:sz w:val="24"/>
          <w:szCs w:val="24"/>
        </w:rPr>
        <w:t xml:space="preserve">(1), 1–24. </w:t>
      </w:r>
      <w:hyperlink r:id="rId27" w:history="1">
        <w:r w:rsidRPr="009C33B9">
          <w:rPr>
            <w:rFonts w:eastAsia="Times New Roman" w:cs="Times New Roman"/>
            <w:color w:val="0000FF"/>
            <w:sz w:val="24"/>
            <w:szCs w:val="24"/>
            <w:u w:val="single"/>
          </w:rPr>
          <w:t>https://doi.org/10.1016/S0304-4076(01)00098-7</w:t>
        </w:r>
      </w:hyperlink>
    </w:p>
    <w:p w14:paraId="3641677E"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Maddala, G. S., &amp; Wu, S. (1999). A comparative study of unit root tests with panel data and a new simple test. </w:t>
      </w:r>
      <w:r w:rsidRPr="009C33B9">
        <w:rPr>
          <w:rFonts w:eastAsia="Times New Roman" w:cs="Times New Roman"/>
          <w:i/>
          <w:iCs/>
          <w:sz w:val="24"/>
          <w:szCs w:val="24"/>
        </w:rPr>
        <w:t>Oxford Bulletin of Economics and Statistics, 61</w:t>
      </w:r>
      <w:r w:rsidRPr="009C33B9">
        <w:rPr>
          <w:rFonts w:eastAsia="Times New Roman" w:cs="Times New Roman"/>
          <w:sz w:val="24"/>
          <w:szCs w:val="24"/>
        </w:rPr>
        <w:t xml:space="preserve">(S1), 631–652. </w:t>
      </w:r>
      <w:hyperlink r:id="rId28" w:history="1">
        <w:r w:rsidRPr="009C33B9">
          <w:rPr>
            <w:rFonts w:eastAsia="Times New Roman" w:cs="Times New Roman"/>
            <w:color w:val="0000FF"/>
            <w:sz w:val="24"/>
            <w:szCs w:val="24"/>
            <w:u w:val="single"/>
          </w:rPr>
          <w:t>https://doi.org/10.1111/1468-0084.0610s1631</w:t>
        </w:r>
      </w:hyperlink>
    </w:p>
    <w:p w14:paraId="062C22A5"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Mamun, S. A. K., Rahman, M. M., &amp; Khanam, R. (2020). The relation between an ageing population and economic growth in Bangladesh: Evidence from an endogenous growth model. </w:t>
      </w:r>
      <w:r w:rsidRPr="009C33B9">
        <w:rPr>
          <w:rFonts w:eastAsia="Times New Roman" w:cs="Times New Roman"/>
          <w:i/>
          <w:iCs/>
          <w:sz w:val="24"/>
          <w:szCs w:val="24"/>
        </w:rPr>
        <w:t>Economic Analysis and Policy, 66</w:t>
      </w:r>
      <w:r w:rsidRPr="009C33B9">
        <w:rPr>
          <w:rFonts w:eastAsia="Times New Roman" w:cs="Times New Roman"/>
          <w:sz w:val="24"/>
          <w:szCs w:val="24"/>
        </w:rPr>
        <w:t xml:space="preserve">, 14–25. </w:t>
      </w:r>
      <w:hyperlink r:id="rId29" w:history="1">
        <w:r w:rsidRPr="009C33B9">
          <w:rPr>
            <w:rFonts w:eastAsia="Times New Roman" w:cs="Times New Roman"/>
            <w:color w:val="0000FF"/>
            <w:sz w:val="24"/>
            <w:szCs w:val="24"/>
            <w:u w:val="single"/>
          </w:rPr>
          <w:t>https://doi.org/10.1016/j.eap.2020.02.001</w:t>
        </w:r>
      </w:hyperlink>
    </w:p>
    <w:p w14:paraId="6639CD8F"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Mawutor</w:t>
      </w:r>
      <w:proofErr w:type="spellEnd"/>
      <w:r w:rsidRPr="009C33B9">
        <w:rPr>
          <w:rFonts w:eastAsia="Times New Roman" w:cs="Times New Roman"/>
          <w:sz w:val="24"/>
          <w:szCs w:val="24"/>
        </w:rPr>
        <w:t xml:space="preserve">, J. K. M., </w:t>
      </w:r>
      <w:proofErr w:type="spellStart"/>
      <w:r w:rsidRPr="009C33B9">
        <w:rPr>
          <w:rFonts w:eastAsia="Times New Roman" w:cs="Times New Roman"/>
          <w:sz w:val="24"/>
          <w:szCs w:val="24"/>
        </w:rPr>
        <w:t>Sogah</w:t>
      </w:r>
      <w:proofErr w:type="spellEnd"/>
      <w:r w:rsidRPr="009C33B9">
        <w:rPr>
          <w:rFonts w:eastAsia="Times New Roman" w:cs="Times New Roman"/>
          <w:sz w:val="24"/>
          <w:szCs w:val="24"/>
        </w:rPr>
        <w:t xml:space="preserve">, E., Christian, F. G., Aboagye, D., </w:t>
      </w:r>
      <w:proofErr w:type="spellStart"/>
      <w:r w:rsidRPr="009C33B9">
        <w:rPr>
          <w:rFonts w:eastAsia="Times New Roman" w:cs="Times New Roman"/>
          <w:sz w:val="24"/>
          <w:szCs w:val="24"/>
        </w:rPr>
        <w:t>Preko</w:t>
      </w:r>
      <w:proofErr w:type="spellEnd"/>
      <w:r w:rsidRPr="009C33B9">
        <w:rPr>
          <w:rFonts w:eastAsia="Times New Roman" w:cs="Times New Roman"/>
          <w:sz w:val="24"/>
          <w:szCs w:val="24"/>
        </w:rPr>
        <w:t xml:space="preserve">, A., Mensah, B. D., &amp; Boateng, O. N. (2023). Foreign direct investment, remittances, real exchange rate, imports, and economic growth in Ghana: An ARDL approach. </w:t>
      </w:r>
      <w:r w:rsidRPr="009C33B9">
        <w:rPr>
          <w:rFonts w:eastAsia="Times New Roman" w:cs="Times New Roman"/>
          <w:i/>
          <w:iCs/>
          <w:sz w:val="24"/>
          <w:szCs w:val="24"/>
        </w:rPr>
        <w:t>Cogent Economics &amp; Finance, 11</w:t>
      </w:r>
      <w:r w:rsidRPr="009C33B9">
        <w:rPr>
          <w:rFonts w:eastAsia="Times New Roman" w:cs="Times New Roman"/>
          <w:sz w:val="24"/>
          <w:szCs w:val="24"/>
        </w:rPr>
        <w:t xml:space="preserve">(1), Article 2185343. </w:t>
      </w:r>
      <w:hyperlink r:id="rId30" w:history="1">
        <w:r w:rsidRPr="009C33B9">
          <w:rPr>
            <w:rFonts w:eastAsia="Times New Roman" w:cs="Times New Roman"/>
            <w:color w:val="0000FF"/>
            <w:sz w:val="24"/>
            <w:szCs w:val="24"/>
            <w:u w:val="single"/>
          </w:rPr>
          <w:t>https://doi.org/10.1080/23322039.2023.2185343</w:t>
        </w:r>
      </w:hyperlink>
    </w:p>
    <w:p w14:paraId="528FDAF0"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Mose, N. (2020). Government expenditure and regional economic growth: The direction of causality. </w:t>
      </w:r>
      <w:r w:rsidRPr="009C33B9">
        <w:rPr>
          <w:rFonts w:eastAsia="Times New Roman" w:cs="Times New Roman"/>
          <w:i/>
          <w:iCs/>
          <w:sz w:val="24"/>
          <w:szCs w:val="24"/>
        </w:rPr>
        <w:t>Asian Journal of Economics, Business and Accounting, 18</w:t>
      </w:r>
      <w:r w:rsidRPr="009C33B9">
        <w:rPr>
          <w:rFonts w:eastAsia="Times New Roman" w:cs="Times New Roman"/>
          <w:sz w:val="24"/>
          <w:szCs w:val="24"/>
        </w:rPr>
        <w:t xml:space="preserve">(4), 9–17. </w:t>
      </w:r>
      <w:hyperlink r:id="rId31" w:history="1">
        <w:r w:rsidRPr="009C33B9">
          <w:rPr>
            <w:rFonts w:eastAsia="Times New Roman" w:cs="Times New Roman"/>
            <w:color w:val="0000FF"/>
            <w:sz w:val="24"/>
            <w:szCs w:val="24"/>
            <w:u w:val="single"/>
          </w:rPr>
          <w:t>https://doi.org/10.9734/ajeba/2020/v18i430289</w:t>
        </w:r>
      </w:hyperlink>
    </w:p>
    <w:p w14:paraId="73CF09EB"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Mose, N., &amp; Kipchirchir, E. (2024). Foreign direct investment and economic growth in Kenya: A comprehensive analysis. </w:t>
      </w:r>
      <w:r w:rsidRPr="009C33B9">
        <w:rPr>
          <w:rFonts w:eastAsia="Times New Roman" w:cs="Times New Roman"/>
          <w:i/>
          <w:iCs/>
          <w:sz w:val="24"/>
          <w:szCs w:val="24"/>
        </w:rPr>
        <w:t>Asian Journal of Economics, Business and Accounting, 24</w:t>
      </w:r>
      <w:r w:rsidRPr="009C33B9">
        <w:rPr>
          <w:rFonts w:eastAsia="Times New Roman" w:cs="Times New Roman"/>
          <w:sz w:val="24"/>
          <w:szCs w:val="24"/>
        </w:rPr>
        <w:t xml:space="preserve">(2), 1–13. </w:t>
      </w:r>
      <w:hyperlink r:id="rId32" w:history="1">
        <w:r w:rsidRPr="009C33B9">
          <w:rPr>
            <w:rFonts w:eastAsia="Times New Roman" w:cs="Times New Roman"/>
            <w:color w:val="0000FF"/>
            <w:sz w:val="24"/>
            <w:szCs w:val="24"/>
            <w:u w:val="single"/>
          </w:rPr>
          <w:t>https://doi.org/10.9734/ajeba/2024/v24i21215</w:t>
        </w:r>
      </w:hyperlink>
    </w:p>
    <w:p w14:paraId="68BC6951"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Nwaogu</w:t>
      </w:r>
      <w:proofErr w:type="spellEnd"/>
      <w:r w:rsidRPr="009C33B9">
        <w:rPr>
          <w:rFonts w:eastAsia="Times New Roman" w:cs="Times New Roman"/>
          <w:sz w:val="24"/>
          <w:szCs w:val="24"/>
        </w:rPr>
        <w:t xml:space="preserve">, U. G., &amp; Ryan, M. J. (2015). FDI, foreign aid, remittance and economic growth in developing countries. </w:t>
      </w:r>
      <w:r w:rsidRPr="009C33B9">
        <w:rPr>
          <w:rFonts w:eastAsia="Times New Roman" w:cs="Times New Roman"/>
          <w:i/>
          <w:iCs/>
          <w:sz w:val="24"/>
          <w:szCs w:val="24"/>
        </w:rPr>
        <w:t>Review of Development Economics, 19</w:t>
      </w:r>
      <w:r w:rsidRPr="009C33B9">
        <w:rPr>
          <w:rFonts w:eastAsia="Times New Roman" w:cs="Times New Roman"/>
          <w:sz w:val="24"/>
          <w:szCs w:val="24"/>
        </w:rPr>
        <w:t xml:space="preserve">(1), 100–115. </w:t>
      </w:r>
      <w:hyperlink r:id="rId33" w:history="1">
        <w:r w:rsidRPr="009C33B9">
          <w:rPr>
            <w:rFonts w:eastAsia="Times New Roman" w:cs="Times New Roman"/>
            <w:color w:val="0000FF"/>
            <w:sz w:val="24"/>
            <w:szCs w:val="24"/>
            <w:u w:val="single"/>
          </w:rPr>
          <w:t>https://doi.org/10.1111/rode.12130</w:t>
        </w:r>
      </w:hyperlink>
    </w:p>
    <w:p w14:paraId="1F212677"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Peacock, A., &amp; Scott, A. (2000). The curious attraction of Wagner’s law. </w:t>
      </w:r>
      <w:r w:rsidRPr="009C33B9">
        <w:rPr>
          <w:rFonts w:eastAsia="Times New Roman" w:cs="Times New Roman"/>
          <w:i/>
          <w:iCs/>
          <w:sz w:val="24"/>
          <w:szCs w:val="24"/>
        </w:rPr>
        <w:t>Public Choice, 102</w:t>
      </w:r>
      <w:r w:rsidRPr="009C33B9">
        <w:rPr>
          <w:rFonts w:eastAsia="Times New Roman" w:cs="Times New Roman"/>
          <w:sz w:val="24"/>
          <w:szCs w:val="24"/>
        </w:rPr>
        <w:t xml:space="preserve">(1–2), 1–17. </w:t>
      </w:r>
      <w:hyperlink r:id="rId34" w:history="1">
        <w:r w:rsidRPr="009C33B9">
          <w:rPr>
            <w:rFonts w:eastAsia="Times New Roman" w:cs="Times New Roman"/>
            <w:color w:val="0000FF"/>
            <w:sz w:val="24"/>
            <w:szCs w:val="24"/>
            <w:u w:val="single"/>
          </w:rPr>
          <w:t>https://doi.org/10.1023/A:1005032817804</w:t>
        </w:r>
      </w:hyperlink>
    </w:p>
    <w:p w14:paraId="55CD5522"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Pesaran</w:t>
      </w:r>
      <w:proofErr w:type="spellEnd"/>
      <w:r w:rsidRPr="009C33B9">
        <w:rPr>
          <w:rFonts w:eastAsia="Times New Roman" w:cs="Times New Roman"/>
          <w:sz w:val="24"/>
          <w:szCs w:val="24"/>
        </w:rPr>
        <w:t xml:space="preserve">, M. H. (2007). A simple panel unit root test in the presence of cross-section dependence. </w:t>
      </w:r>
      <w:r w:rsidRPr="009C33B9">
        <w:rPr>
          <w:rFonts w:eastAsia="Times New Roman" w:cs="Times New Roman"/>
          <w:i/>
          <w:iCs/>
          <w:sz w:val="24"/>
          <w:szCs w:val="24"/>
        </w:rPr>
        <w:t>Journal of Applied Econometrics, 22</w:t>
      </w:r>
      <w:r w:rsidRPr="009C33B9">
        <w:rPr>
          <w:rFonts w:eastAsia="Times New Roman" w:cs="Times New Roman"/>
          <w:sz w:val="24"/>
          <w:szCs w:val="24"/>
        </w:rPr>
        <w:t xml:space="preserve">(2), 265–312. </w:t>
      </w:r>
      <w:hyperlink r:id="rId35" w:history="1">
        <w:r w:rsidRPr="009C33B9">
          <w:rPr>
            <w:rFonts w:eastAsia="Times New Roman" w:cs="Times New Roman"/>
            <w:color w:val="0000FF"/>
            <w:sz w:val="24"/>
            <w:szCs w:val="24"/>
            <w:u w:val="single"/>
          </w:rPr>
          <w:t>https://doi.org/10.1002/jae.951</w:t>
        </w:r>
      </w:hyperlink>
    </w:p>
    <w:p w14:paraId="4147D224"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proofErr w:type="spellStart"/>
      <w:r w:rsidRPr="009C33B9">
        <w:rPr>
          <w:rFonts w:eastAsia="Times New Roman" w:cs="Times New Roman"/>
          <w:sz w:val="24"/>
          <w:szCs w:val="24"/>
        </w:rPr>
        <w:t>Pesaran</w:t>
      </w:r>
      <w:proofErr w:type="spellEnd"/>
      <w:r w:rsidRPr="009C33B9">
        <w:rPr>
          <w:rFonts w:eastAsia="Times New Roman" w:cs="Times New Roman"/>
          <w:sz w:val="24"/>
          <w:szCs w:val="24"/>
        </w:rPr>
        <w:t xml:space="preserve">, M. H. (2021). General diagnostic tests for cross-sectional dependence in panels. </w:t>
      </w:r>
      <w:r w:rsidRPr="009C33B9">
        <w:rPr>
          <w:rFonts w:eastAsia="Times New Roman" w:cs="Times New Roman"/>
          <w:i/>
          <w:iCs/>
          <w:sz w:val="24"/>
          <w:szCs w:val="24"/>
        </w:rPr>
        <w:t>Empirical Economics, 60</w:t>
      </w:r>
      <w:r w:rsidRPr="009C33B9">
        <w:rPr>
          <w:rFonts w:eastAsia="Times New Roman" w:cs="Times New Roman"/>
          <w:sz w:val="24"/>
          <w:szCs w:val="24"/>
        </w:rPr>
        <w:t xml:space="preserve">(1), 13–50. </w:t>
      </w:r>
      <w:hyperlink r:id="rId36" w:history="1">
        <w:r w:rsidRPr="009C33B9">
          <w:rPr>
            <w:rFonts w:eastAsia="Times New Roman" w:cs="Times New Roman"/>
            <w:color w:val="0000FF"/>
            <w:sz w:val="24"/>
            <w:szCs w:val="24"/>
            <w:u w:val="single"/>
          </w:rPr>
          <w:t>https://doi.org/10.1007/s00181-020-01875-7</w:t>
        </w:r>
      </w:hyperlink>
    </w:p>
    <w:p w14:paraId="7B559248"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Ram, R. (1986). Government size and economic growth: A new framework and some evidence from cross-section and time-series data. </w:t>
      </w:r>
      <w:r w:rsidRPr="009C33B9">
        <w:rPr>
          <w:rFonts w:eastAsia="Times New Roman" w:cs="Times New Roman"/>
          <w:i/>
          <w:iCs/>
          <w:sz w:val="24"/>
          <w:szCs w:val="24"/>
        </w:rPr>
        <w:t>American Economic Review, 76</w:t>
      </w:r>
      <w:r w:rsidRPr="009C33B9">
        <w:rPr>
          <w:rFonts w:eastAsia="Times New Roman" w:cs="Times New Roman"/>
          <w:sz w:val="24"/>
          <w:szCs w:val="24"/>
        </w:rPr>
        <w:t xml:space="preserve">(1), 191–203. </w:t>
      </w:r>
    </w:p>
    <w:p w14:paraId="1CD9C0E1"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Salifu, G. A.-N., &amp; Oduro-Mensah, I. (2026). Public expenditure and sustainable economic growth of Ghana: An ARDL bounds testing approach. </w:t>
      </w:r>
      <w:r w:rsidRPr="009C33B9">
        <w:rPr>
          <w:rFonts w:eastAsia="Times New Roman" w:cs="Times New Roman"/>
          <w:i/>
          <w:iCs/>
          <w:sz w:val="24"/>
          <w:szCs w:val="24"/>
        </w:rPr>
        <w:t>Cogent Social Sciences, 12</w:t>
      </w:r>
      <w:r w:rsidRPr="009C33B9">
        <w:rPr>
          <w:rFonts w:eastAsia="Times New Roman" w:cs="Times New Roman"/>
          <w:sz w:val="24"/>
          <w:szCs w:val="24"/>
        </w:rPr>
        <w:t xml:space="preserve">(1), Article 2709998. </w:t>
      </w:r>
      <w:hyperlink r:id="rId37" w:history="1">
        <w:r w:rsidRPr="009C33B9">
          <w:rPr>
            <w:rFonts w:eastAsia="Times New Roman" w:cs="Times New Roman"/>
            <w:color w:val="0000FF"/>
            <w:sz w:val="24"/>
            <w:szCs w:val="24"/>
            <w:u w:val="single"/>
          </w:rPr>
          <w:t>https://doi.org/10.1080/23311886.2026.2709998</w:t>
        </w:r>
      </w:hyperlink>
    </w:p>
    <w:p w14:paraId="68C940CB" w14:textId="77777777" w:rsidR="009C33B9" w:rsidRPr="009C33B9" w:rsidRDefault="009C33B9" w:rsidP="009C33B9">
      <w:pPr>
        <w:spacing w:before="100" w:beforeAutospacing="1" w:after="100" w:afterAutospacing="1" w:line="240" w:lineRule="auto"/>
        <w:ind w:left="540" w:hanging="540"/>
        <w:jc w:val="both"/>
        <w:rPr>
          <w:rFonts w:eastAsia="Times New Roman" w:cs="Times New Roman"/>
          <w:sz w:val="24"/>
          <w:szCs w:val="24"/>
        </w:rPr>
      </w:pPr>
      <w:r w:rsidRPr="009C33B9">
        <w:rPr>
          <w:rFonts w:eastAsia="Times New Roman" w:cs="Times New Roman"/>
          <w:sz w:val="24"/>
          <w:szCs w:val="24"/>
        </w:rPr>
        <w:t xml:space="preserve">World Bank. (2026). </w:t>
      </w:r>
      <w:r w:rsidRPr="009C33B9">
        <w:rPr>
          <w:rFonts w:eastAsia="Times New Roman" w:cs="Times New Roman"/>
          <w:i/>
          <w:iCs/>
          <w:sz w:val="24"/>
          <w:szCs w:val="24"/>
        </w:rPr>
        <w:t>World Development Indicators</w:t>
      </w:r>
      <w:r w:rsidRPr="009C33B9">
        <w:rPr>
          <w:rFonts w:eastAsia="Times New Roman" w:cs="Times New Roman"/>
          <w:sz w:val="24"/>
          <w:szCs w:val="24"/>
        </w:rPr>
        <w:t xml:space="preserve"> [Data set]. Retrieved October 2, 2026, from </w:t>
      </w:r>
      <w:hyperlink r:id="rId38" w:history="1">
        <w:r w:rsidRPr="009C33B9">
          <w:rPr>
            <w:rFonts w:eastAsia="Times New Roman" w:cs="Times New Roman"/>
            <w:color w:val="0000FF"/>
            <w:sz w:val="24"/>
            <w:szCs w:val="24"/>
            <w:u w:val="single"/>
          </w:rPr>
          <w:t>https://databank.worldbank.org/source/world-development-indicators</w:t>
        </w:r>
      </w:hyperlink>
    </w:p>
    <w:p w14:paraId="0BC78969" w14:textId="77777777" w:rsidR="009C33B9" w:rsidRDefault="009C33B9">
      <w:pPr>
        <w:spacing w:after="40" w:line="240" w:lineRule="auto"/>
        <w:ind w:left="720" w:hanging="720"/>
      </w:pPr>
    </w:p>
    <w:p w14:paraId="00EF3693" w14:textId="77777777" w:rsidR="00DF27C6" w:rsidRDefault="00000000">
      <w:pPr>
        <w:pStyle w:val="Heading1"/>
        <w:spacing w:before="160" w:after="80"/>
      </w:pPr>
      <w:r>
        <w:rPr>
          <w:rFonts w:ascii="Times New Roman" w:eastAsia="Times New Roman" w:hAnsi="Times New Roman"/>
        </w:rPr>
        <w:t>APPENDIX A</w:t>
      </w:r>
    </w:p>
    <w:p w14:paraId="740D4611" w14:textId="77777777" w:rsidR="00DF27C6" w:rsidRDefault="00000000">
      <w:pPr>
        <w:keepNext/>
        <w:spacing w:after="40"/>
        <w:jc w:val="both"/>
      </w:pPr>
      <w:r>
        <w:t>Appendix Table A1 presents the random-effects output for comparison with the fixed-effects specification. It is not used as the primary basis for substantive interpretation because the assumption that country-specific effects are uncorrelated with the regressors is difficult to defend in this setting, and the Hausman output also indicates specification instability.</w:t>
      </w:r>
    </w:p>
    <w:p w14:paraId="3C4601DF" w14:textId="77777777" w:rsidR="00DF27C6" w:rsidRDefault="00000000">
      <w:pPr>
        <w:keepNext/>
        <w:spacing w:before="80" w:after="40"/>
      </w:pPr>
      <w:r>
        <w:rPr>
          <w:rFonts w:eastAsia="Times New Roman"/>
          <w:b/>
          <w:sz w:val="20"/>
        </w:rPr>
        <w:t>Appendix Table A1. Random-effects GLS regression</w:t>
      </w:r>
    </w:p>
    <w:tbl>
      <w:tblPr>
        <w:tblStyle w:val="TableGrid"/>
        <w:tblW w:w="0" w:type="auto"/>
        <w:jc w:val="center"/>
        <w:tblLayout w:type="fixed"/>
        <w:tblLook w:val="04A0" w:firstRow="1" w:lastRow="0" w:firstColumn="1" w:lastColumn="0" w:noHBand="0" w:noVBand="1"/>
      </w:tblPr>
      <w:tblGrid>
        <w:gridCol w:w="2376"/>
        <w:gridCol w:w="1512"/>
        <w:gridCol w:w="1512"/>
        <w:gridCol w:w="1007"/>
        <w:gridCol w:w="1007"/>
        <w:gridCol w:w="1512"/>
        <w:gridCol w:w="1512"/>
      </w:tblGrid>
      <w:tr w:rsidR="00DF27C6" w14:paraId="22CF8A4B" w14:textId="77777777">
        <w:trPr>
          <w:tblHeader/>
          <w:jc w:val="center"/>
        </w:trPr>
        <w:tc>
          <w:tcPr>
            <w:tcW w:w="2376" w:type="dxa"/>
            <w:shd w:val="clear" w:color="auto" w:fill="D9E2F3"/>
            <w:tcMar>
              <w:top w:w="55" w:type="dxa"/>
              <w:left w:w="90" w:type="dxa"/>
              <w:bottom w:w="55" w:type="dxa"/>
              <w:right w:w="90" w:type="dxa"/>
            </w:tcMar>
            <w:vAlign w:val="center"/>
          </w:tcPr>
          <w:p w14:paraId="64C2AB97" w14:textId="77777777" w:rsidR="00DF27C6" w:rsidRDefault="00000000">
            <w:pPr>
              <w:jc w:val="center"/>
            </w:pPr>
            <w:r>
              <w:rPr>
                <w:rFonts w:eastAsia="Times New Roman"/>
                <w:b/>
                <w:sz w:val="15"/>
              </w:rPr>
              <w:t>Variable</w:t>
            </w:r>
          </w:p>
        </w:tc>
        <w:tc>
          <w:tcPr>
            <w:tcW w:w="1512" w:type="dxa"/>
            <w:shd w:val="clear" w:color="auto" w:fill="D9E2F3"/>
            <w:tcMar>
              <w:top w:w="55" w:type="dxa"/>
              <w:left w:w="90" w:type="dxa"/>
              <w:bottom w:w="55" w:type="dxa"/>
              <w:right w:w="90" w:type="dxa"/>
            </w:tcMar>
            <w:vAlign w:val="center"/>
          </w:tcPr>
          <w:p w14:paraId="1B3DA90F" w14:textId="77777777" w:rsidR="00DF27C6" w:rsidRDefault="00000000">
            <w:pPr>
              <w:jc w:val="center"/>
            </w:pPr>
            <w:r>
              <w:rPr>
                <w:rFonts w:eastAsia="Times New Roman"/>
                <w:b/>
                <w:sz w:val="15"/>
              </w:rPr>
              <w:t>Coefficient</w:t>
            </w:r>
          </w:p>
        </w:tc>
        <w:tc>
          <w:tcPr>
            <w:tcW w:w="1512" w:type="dxa"/>
            <w:shd w:val="clear" w:color="auto" w:fill="D9E2F3"/>
            <w:tcMar>
              <w:top w:w="55" w:type="dxa"/>
              <w:left w:w="90" w:type="dxa"/>
              <w:bottom w:w="55" w:type="dxa"/>
              <w:right w:w="90" w:type="dxa"/>
            </w:tcMar>
            <w:vAlign w:val="center"/>
          </w:tcPr>
          <w:p w14:paraId="278B58D3" w14:textId="77777777" w:rsidR="00DF27C6" w:rsidRDefault="00000000">
            <w:pPr>
              <w:jc w:val="center"/>
            </w:pPr>
            <w:r>
              <w:rPr>
                <w:rFonts w:eastAsia="Times New Roman"/>
                <w:b/>
                <w:sz w:val="15"/>
              </w:rPr>
              <w:t>Std. error</w:t>
            </w:r>
          </w:p>
        </w:tc>
        <w:tc>
          <w:tcPr>
            <w:tcW w:w="1007" w:type="dxa"/>
            <w:shd w:val="clear" w:color="auto" w:fill="D9E2F3"/>
            <w:tcMar>
              <w:top w:w="55" w:type="dxa"/>
              <w:left w:w="90" w:type="dxa"/>
              <w:bottom w:w="55" w:type="dxa"/>
              <w:right w:w="90" w:type="dxa"/>
            </w:tcMar>
            <w:vAlign w:val="center"/>
          </w:tcPr>
          <w:p w14:paraId="27DB6F38" w14:textId="77777777" w:rsidR="00DF27C6" w:rsidRDefault="00000000">
            <w:pPr>
              <w:jc w:val="center"/>
            </w:pPr>
            <w:r>
              <w:rPr>
                <w:rFonts w:eastAsia="Times New Roman"/>
                <w:b/>
                <w:sz w:val="15"/>
              </w:rPr>
              <w:t>z</w:t>
            </w:r>
          </w:p>
        </w:tc>
        <w:tc>
          <w:tcPr>
            <w:tcW w:w="1007" w:type="dxa"/>
            <w:shd w:val="clear" w:color="auto" w:fill="D9E2F3"/>
            <w:tcMar>
              <w:top w:w="55" w:type="dxa"/>
              <w:left w:w="90" w:type="dxa"/>
              <w:bottom w:w="55" w:type="dxa"/>
              <w:right w:w="90" w:type="dxa"/>
            </w:tcMar>
            <w:vAlign w:val="center"/>
          </w:tcPr>
          <w:p w14:paraId="284685A5" w14:textId="77777777" w:rsidR="00DF27C6" w:rsidRDefault="00000000">
            <w:pPr>
              <w:jc w:val="center"/>
            </w:pPr>
            <w:r>
              <w:rPr>
                <w:rFonts w:eastAsia="Times New Roman"/>
                <w:b/>
                <w:sz w:val="15"/>
              </w:rPr>
              <w:t>p</w:t>
            </w:r>
          </w:p>
        </w:tc>
        <w:tc>
          <w:tcPr>
            <w:tcW w:w="1512" w:type="dxa"/>
            <w:shd w:val="clear" w:color="auto" w:fill="D9E2F3"/>
            <w:tcMar>
              <w:top w:w="55" w:type="dxa"/>
              <w:left w:w="90" w:type="dxa"/>
              <w:bottom w:w="55" w:type="dxa"/>
              <w:right w:w="90" w:type="dxa"/>
            </w:tcMar>
            <w:vAlign w:val="center"/>
          </w:tcPr>
          <w:p w14:paraId="3481DDAA" w14:textId="77777777" w:rsidR="00DF27C6" w:rsidRDefault="00000000">
            <w:pPr>
              <w:jc w:val="center"/>
            </w:pPr>
            <w:r>
              <w:rPr>
                <w:rFonts w:eastAsia="Times New Roman"/>
                <w:b/>
                <w:sz w:val="15"/>
              </w:rPr>
              <w:t>95% CI lower</w:t>
            </w:r>
          </w:p>
        </w:tc>
        <w:tc>
          <w:tcPr>
            <w:tcW w:w="1512" w:type="dxa"/>
            <w:shd w:val="clear" w:color="auto" w:fill="D9E2F3"/>
            <w:tcMar>
              <w:top w:w="55" w:type="dxa"/>
              <w:left w:w="90" w:type="dxa"/>
              <w:bottom w:w="55" w:type="dxa"/>
              <w:right w:w="90" w:type="dxa"/>
            </w:tcMar>
            <w:vAlign w:val="center"/>
          </w:tcPr>
          <w:p w14:paraId="75218A9C" w14:textId="77777777" w:rsidR="00DF27C6" w:rsidRDefault="00000000">
            <w:pPr>
              <w:jc w:val="center"/>
            </w:pPr>
            <w:r>
              <w:rPr>
                <w:rFonts w:eastAsia="Times New Roman"/>
                <w:b/>
                <w:sz w:val="15"/>
              </w:rPr>
              <w:t>95% CI upper</w:t>
            </w:r>
          </w:p>
        </w:tc>
      </w:tr>
      <w:tr w:rsidR="00DF27C6" w14:paraId="792BB505" w14:textId="77777777">
        <w:trPr>
          <w:jc w:val="center"/>
        </w:trPr>
        <w:tc>
          <w:tcPr>
            <w:tcW w:w="2376" w:type="dxa"/>
            <w:tcMar>
              <w:top w:w="55" w:type="dxa"/>
              <w:left w:w="90" w:type="dxa"/>
              <w:bottom w:w="55" w:type="dxa"/>
              <w:right w:w="90" w:type="dxa"/>
            </w:tcMar>
            <w:vAlign w:val="center"/>
          </w:tcPr>
          <w:p w14:paraId="0EF93066" w14:textId="77777777" w:rsidR="00DF27C6" w:rsidRDefault="00000000">
            <w:r>
              <w:rPr>
                <w:rFonts w:eastAsia="Times New Roman"/>
                <w:sz w:val="15"/>
              </w:rPr>
              <w:t>ln FDI</w:t>
            </w:r>
          </w:p>
        </w:tc>
        <w:tc>
          <w:tcPr>
            <w:tcW w:w="1512" w:type="dxa"/>
            <w:tcMar>
              <w:top w:w="55" w:type="dxa"/>
              <w:left w:w="90" w:type="dxa"/>
              <w:bottom w:w="55" w:type="dxa"/>
              <w:right w:w="90" w:type="dxa"/>
            </w:tcMar>
            <w:vAlign w:val="center"/>
          </w:tcPr>
          <w:p w14:paraId="08C261AB" w14:textId="77777777" w:rsidR="00DF27C6" w:rsidRDefault="00000000">
            <w:pPr>
              <w:jc w:val="center"/>
            </w:pPr>
            <w:r>
              <w:rPr>
                <w:rFonts w:eastAsia="Times New Roman"/>
                <w:sz w:val="15"/>
              </w:rPr>
              <w:t>0.0626268</w:t>
            </w:r>
          </w:p>
        </w:tc>
        <w:tc>
          <w:tcPr>
            <w:tcW w:w="1512" w:type="dxa"/>
            <w:tcMar>
              <w:top w:w="55" w:type="dxa"/>
              <w:left w:w="90" w:type="dxa"/>
              <w:bottom w:w="55" w:type="dxa"/>
              <w:right w:w="90" w:type="dxa"/>
            </w:tcMar>
            <w:vAlign w:val="center"/>
          </w:tcPr>
          <w:p w14:paraId="2429A1D5" w14:textId="77777777" w:rsidR="00DF27C6" w:rsidRDefault="00000000">
            <w:pPr>
              <w:jc w:val="center"/>
            </w:pPr>
            <w:r>
              <w:rPr>
                <w:rFonts w:eastAsia="Times New Roman"/>
                <w:sz w:val="15"/>
              </w:rPr>
              <w:t>0.0149651</w:t>
            </w:r>
          </w:p>
        </w:tc>
        <w:tc>
          <w:tcPr>
            <w:tcW w:w="1007" w:type="dxa"/>
            <w:tcMar>
              <w:top w:w="55" w:type="dxa"/>
              <w:left w:w="90" w:type="dxa"/>
              <w:bottom w:w="55" w:type="dxa"/>
              <w:right w:w="90" w:type="dxa"/>
            </w:tcMar>
            <w:vAlign w:val="center"/>
          </w:tcPr>
          <w:p w14:paraId="6C323182" w14:textId="77777777" w:rsidR="00DF27C6" w:rsidRDefault="00000000">
            <w:pPr>
              <w:jc w:val="center"/>
            </w:pPr>
            <w:r>
              <w:rPr>
                <w:rFonts w:eastAsia="Times New Roman"/>
                <w:sz w:val="15"/>
              </w:rPr>
              <w:t>4.18</w:t>
            </w:r>
          </w:p>
        </w:tc>
        <w:tc>
          <w:tcPr>
            <w:tcW w:w="1007" w:type="dxa"/>
            <w:tcMar>
              <w:top w:w="55" w:type="dxa"/>
              <w:left w:w="90" w:type="dxa"/>
              <w:bottom w:w="55" w:type="dxa"/>
              <w:right w:w="90" w:type="dxa"/>
            </w:tcMar>
            <w:vAlign w:val="center"/>
          </w:tcPr>
          <w:p w14:paraId="5CA22CDB"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549FA54C" w14:textId="77777777" w:rsidR="00DF27C6" w:rsidRDefault="00000000">
            <w:pPr>
              <w:jc w:val="center"/>
            </w:pPr>
            <w:r>
              <w:rPr>
                <w:rFonts w:eastAsia="Times New Roman"/>
                <w:sz w:val="15"/>
              </w:rPr>
              <w:t>0.0332959</w:t>
            </w:r>
          </w:p>
        </w:tc>
        <w:tc>
          <w:tcPr>
            <w:tcW w:w="1512" w:type="dxa"/>
            <w:tcMar>
              <w:top w:w="55" w:type="dxa"/>
              <w:left w:w="90" w:type="dxa"/>
              <w:bottom w:w="55" w:type="dxa"/>
              <w:right w:w="90" w:type="dxa"/>
            </w:tcMar>
            <w:vAlign w:val="center"/>
          </w:tcPr>
          <w:p w14:paraId="0B95495A" w14:textId="77777777" w:rsidR="00DF27C6" w:rsidRDefault="00000000">
            <w:pPr>
              <w:jc w:val="center"/>
            </w:pPr>
            <w:r>
              <w:rPr>
                <w:rFonts w:eastAsia="Times New Roman"/>
                <w:sz w:val="15"/>
              </w:rPr>
              <w:t>0.0919578</w:t>
            </w:r>
          </w:p>
        </w:tc>
      </w:tr>
      <w:tr w:rsidR="00DF27C6" w14:paraId="22F70981" w14:textId="77777777">
        <w:trPr>
          <w:jc w:val="center"/>
        </w:trPr>
        <w:tc>
          <w:tcPr>
            <w:tcW w:w="2376" w:type="dxa"/>
            <w:tcMar>
              <w:top w:w="55" w:type="dxa"/>
              <w:left w:w="90" w:type="dxa"/>
              <w:bottom w:w="55" w:type="dxa"/>
              <w:right w:w="90" w:type="dxa"/>
            </w:tcMar>
            <w:vAlign w:val="center"/>
          </w:tcPr>
          <w:p w14:paraId="1CCC6AEB" w14:textId="77777777" w:rsidR="00DF27C6" w:rsidRDefault="00000000">
            <w:r>
              <w:rPr>
                <w:rFonts w:eastAsia="Times New Roman"/>
                <w:sz w:val="15"/>
              </w:rPr>
              <w:t>ln GGFCE</w:t>
            </w:r>
          </w:p>
        </w:tc>
        <w:tc>
          <w:tcPr>
            <w:tcW w:w="1512" w:type="dxa"/>
            <w:tcMar>
              <w:top w:w="55" w:type="dxa"/>
              <w:left w:w="90" w:type="dxa"/>
              <w:bottom w:w="55" w:type="dxa"/>
              <w:right w:w="90" w:type="dxa"/>
            </w:tcMar>
            <w:vAlign w:val="center"/>
          </w:tcPr>
          <w:p w14:paraId="692E74A3" w14:textId="77777777" w:rsidR="00DF27C6" w:rsidRDefault="00000000">
            <w:pPr>
              <w:jc w:val="center"/>
            </w:pPr>
            <w:r>
              <w:rPr>
                <w:rFonts w:eastAsia="Times New Roman"/>
                <w:sz w:val="15"/>
              </w:rPr>
              <w:t>-0.4729631</w:t>
            </w:r>
          </w:p>
        </w:tc>
        <w:tc>
          <w:tcPr>
            <w:tcW w:w="1512" w:type="dxa"/>
            <w:tcMar>
              <w:top w:w="55" w:type="dxa"/>
              <w:left w:w="90" w:type="dxa"/>
              <w:bottom w:w="55" w:type="dxa"/>
              <w:right w:w="90" w:type="dxa"/>
            </w:tcMar>
            <w:vAlign w:val="center"/>
          </w:tcPr>
          <w:p w14:paraId="363D850E" w14:textId="77777777" w:rsidR="00DF27C6" w:rsidRDefault="00000000">
            <w:pPr>
              <w:jc w:val="center"/>
            </w:pPr>
            <w:r>
              <w:rPr>
                <w:rFonts w:eastAsia="Times New Roman"/>
                <w:sz w:val="15"/>
              </w:rPr>
              <w:t>0.1009509</w:t>
            </w:r>
          </w:p>
        </w:tc>
        <w:tc>
          <w:tcPr>
            <w:tcW w:w="1007" w:type="dxa"/>
            <w:tcMar>
              <w:top w:w="55" w:type="dxa"/>
              <w:left w:w="90" w:type="dxa"/>
              <w:bottom w:w="55" w:type="dxa"/>
              <w:right w:w="90" w:type="dxa"/>
            </w:tcMar>
            <w:vAlign w:val="center"/>
          </w:tcPr>
          <w:p w14:paraId="71263CE1" w14:textId="77777777" w:rsidR="00DF27C6" w:rsidRDefault="00000000">
            <w:pPr>
              <w:jc w:val="center"/>
            </w:pPr>
            <w:r>
              <w:rPr>
                <w:rFonts w:eastAsia="Times New Roman"/>
                <w:sz w:val="15"/>
              </w:rPr>
              <w:t>-4.69</w:t>
            </w:r>
          </w:p>
        </w:tc>
        <w:tc>
          <w:tcPr>
            <w:tcW w:w="1007" w:type="dxa"/>
            <w:tcMar>
              <w:top w:w="55" w:type="dxa"/>
              <w:left w:w="90" w:type="dxa"/>
              <w:bottom w:w="55" w:type="dxa"/>
              <w:right w:w="90" w:type="dxa"/>
            </w:tcMar>
            <w:vAlign w:val="center"/>
          </w:tcPr>
          <w:p w14:paraId="62FA78ED"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3DFDF93C" w14:textId="77777777" w:rsidR="00DF27C6" w:rsidRDefault="00000000">
            <w:pPr>
              <w:jc w:val="center"/>
            </w:pPr>
            <w:r>
              <w:rPr>
                <w:rFonts w:eastAsia="Times New Roman"/>
                <w:sz w:val="15"/>
              </w:rPr>
              <w:t>-0.6708232</w:t>
            </w:r>
          </w:p>
        </w:tc>
        <w:tc>
          <w:tcPr>
            <w:tcW w:w="1512" w:type="dxa"/>
            <w:tcMar>
              <w:top w:w="55" w:type="dxa"/>
              <w:left w:w="90" w:type="dxa"/>
              <w:bottom w:w="55" w:type="dxa"/>
              <w:right w:w="90" w:type="dxa"/>
            </w:tcMar>
            <w:vAlign w:val="center"/>
          </w:tcPr>
          <w:p w14:paraId="534F442B" w14:textId="77777777" w:rsidR="00DF27C6" w:rsidRDefault="00000000">
            <w:pPr>
              <w:jc w:val="center"/>
            </w:pPr>
            <w:r>
              <w:rPr>
                <w:rFonts w:eastAsia="Times New Roman"/>
                <w:sz w:val="15"/>
              </w:rPr>
              <w:t>-0.2751029</w:t>
            </w:r>
          </w:p>
        </w:tc>
      </w:tr>
      <w:tr w:rsidR="00DF27C6" w14:paraId="75F98986" w14:textId="77777777">
        <w:trPr>
          <w:jc w:val="center"/>
        </w:trPr>
        <w:tc>
          <w:tcPr>
            <w:tcW w:w="2376" w:type="dxa"/>
            <w:tcMar>
              <w:top w:w="55" w:type="dxa"/>
              <w:left w:w="90" w:type="dxa"/>
              <w:bottom w:w="55" w:type="dxa"/>
              <w:right w:w="90" w:type="dxa"/>
            </w:tcMar>
            <w:vAlign w:val="center"/>
          </w:tcPr>
          <w:p w14:paraId="7A345235" w14:textId="77777777" w:rsidR="00DF27C6" w:rsidRDefault="00000000">
            <w:r>
              <w:rPr>
                <w:rFonts w:eastAsia="Times New Roman"/>
                <w:sz w:val="15"/>
              </w:rPr>
              <w:t>ln population growth</w:t>
            </w:r>
          </w:p>
        </w:tc>
        <w:tc>
          <w:tcPr>
            <w:tcW w:w="1512" w:type="dxa"/>
            <w:tcMar>
              <w:top w:w="55" w:type="dxa"/>
              <w:left w:w="90" w:type="dxa"/>
              <w:bottom w:w="55" w:type="dxa"/>
              <w:right w:w="90" w:type="dxa"/>
            </w:tcMar>
            <w:vAlign w:val="center"/>
          </w:tcPr>
          <w:p w14:paraId="4442ABDF" w14:textId="77777777" w:rsidR="00DF27C6" w:rsidRDefault="00000000">
            <w:pPr>
              <w:jc w:val="center"/>
            </w:pPr>
            <w:r>
              <w:rPr>
                <w:rFonts w:eastAsia="Times New Roman"/>
                <w:sz w:val="15"/>
              </w:rPr>
              <w:t>-0.6741029</w:t>
            </w:r>
          </w:p>
        </w:tc>
        <w:tc>
          <w:tcPr>
            <w:tcW w:w="1512" w:type="dxa"/>
            <w:tcMar>
              <w:top w:w="55" w:type="dxa"/>
              <w:left w:w="90" w:type="dxa"/>
              <w:bottom w:w="55" w:type="dxa"/>
              <w:right w:w="90" w:type="dxa"/>
            </w:tcMar>
            <w:vAlign w:val="center"/>
          </w:tcPr>
          <w:p w14:paraId="4CC86426" w14:textId="77777777" w:rsidR="00DF27C6" w:rsidRDefault="00000000">
            <w:pPr>
              <w:jc w:val="center"/>
            </w:pPr>
            <w:r>
              <w:rPr>
                <w:rFonts w:eastAsia="Times New Roman"/>
                <w:sz w:val="15"/>
              </w:rPr>
              <w:t>0.1377298</w:t>
            </w:r>
          </w:p>
        </w:tc>
        <w:tc>
          <w:tcPr>
            <w:tcW w:w="1007" w:type="dxa"/>
            <w:tcMar>
              <w:top w:w="55" w:type="dxa"/>
              <w:left w:w="90" w:type="dxa"/>
              <w:bottom w:w="55" w:type="dxa"/>
              <w:right w:w="90" w:type="dxa"/>
            </w:tcMar>
            <w:vAlign w:val="center"/>
          </w:tcPr>
          <w:p w14:paraId="3EB6F35A" w14:textId="77777777" w:rsidR="00DF27C6" w:rsidRDefault="00000000">
            <w:pPr>
              <w:jc w:val="center"/>
            </w:pPr>
            <w:r>
              <w:rPr>
                <w:rFonts w:eastAsia="Times New Roman"/>
                <w:sz w:val="15"/>
              </w:rPr>
              <w:t>-4.89</w:t>
            </w:r>
          </w:p>
        </w:tc>
        <w:tc>
          <w:tcPr>
            <w:tcW w:w="1007" w:type="dxa"/>
            <w:tcMar>
              <w:top w:w="55" w:type="dxa"/>
              <w:left w:w="90" w:type="dxa"/>
              <w:bottom w:w="55" w:type="dxa"/>
              <w:right w:w="90" w:type="dxa"/>
            </w:tcMar>
            <w:vAlign w:val="center"/>
          </w:tcPr>
          <w:p w14:paraId="0BA28C9B"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75F8BFAB" w14:textId="77777777" w:rsidR="00DF27C6" w:rsidRDefault="00000000">
            <w:pPr>
              <w:jc w:val="center"/>
            </w:pPr>
            <w:r>
              <w:rPr>
                <w:rFonts w:eastAsia="Times New Roman"/>
                <w:sz w:val="15"/>
              </w:rPr>
              <w:t>-0.9440483</w:t>
            </w:r>
          </w:p>
        </w:tc>
        <w:tc>
          <w:tcPr>
            <w:tcW w:w="1512" w:type="dxa"/>
            <w:tcMar>
              <w:top w:w="55" w:type="dxa"/>
              <w:left w:w="90" w:type="dxa"/>
              <w:bottom w:w="55" w:type="dxa"/>
              <w:right w:w="90" w:type="dxa"/>
            </w:tcMar>
            <w:vAlign w:val="center"/>
          </w:tcPr>
          <w:p w14:paraId="62DDE726" w14:textId="77777777" w:rsidR="00DF27C6" w:rsidRDefault="00000000">
            <w:pPr>
              <w:jc w:val="center"/>
            </w:pPr>
            <w:r>
              <w:rPr>
                <w:rFonts w:eastAsia="Times New Roman"/>
                <w:sz w:val="15"/>
              </w:rPr>
              <w:t>-0.4041574</w:t>
            </w:r>
          </w:p>
        </w:tc>
      </w:tr>
      <w:tr w:rsidR="00DF27C6" w14:paraId="44C3DE62" w14:textId="77777777">
        <w:trPr>
          <w:jc w:val="center"/>
        </w:trPr>
        <w:tc>
          <w:tcPr>
            <w:tcW w:w="2376" w:type="dxa"/>
            <w:tcMar>
              <w:top w:w="55" w:type="dxa"/>
              <w:left w:w="90" w:type="dxa"/>
              <w:bottom w:w="55" w:type="dxa"/>
              <w:right w:w="90" w:type="dxa"/>
            </w:tcMar>
            <w:vAlign w:val="center"/>
          </w:tcPr>
          <w:p w14:paraId="011DC907" w14:textId="77777777" w:rsidR="00DF27C6" w:rsidRDefault="00000000">
            <w:r>
              <w:rPr>
                <w:rFonts w:eastAsia="Times New Roman"/>
                <w:sz w:val="15"/>
              </w:rPr>
              <w:t>ln inflation</w:t>
            </w:r>
          </w:p>
        </w:tc>
        <w:tc>
          <w:tcPr>
            <w:tcW w:w="1512" w:type="dxa"/>
            <w:tcMar>
              <w:top w:w="55" w:type="dxa"/>
              <w:left w:w="90" w:type="dxa"/>
              <w:bottom w:w="55" w:type="dxa"/>
              <w:right w:w="90" w:type="dxa"/>
            </w:tcMar>
            <w:vAlign w:val="center"/>
          </w:tcPr>
          <w:p w14:paraId="6EB5C205" w14:textId="77777777" w:rsidR="00DF27C6" w:rsidRDefault="00000000">
            <w:pPr>
              <w:jc w:val="center"/>
            </w:pPr>
            <w:r>
              <w:rPr>
                <w:rFonts w:eastAsia="Times New Roman"/>
                <w:sz w:val="15"/>
              </w:rPr>
              <w:t>-0.0886925</w:t>
            </w:r>
          </w:p>
        </w:tc>
        <w:tc>
          <w:tcPr>
            <w:tcW w:w="1512" w:type="dxa"/>
            <w:tcMar>
              <w:top w:w="55" w:type="dxa"/>
              <w:left w:w="90" w:type="dxa"/>
              <w:bottom w:w="55" w:type="dxa"/>
              <w:right w:w="90" w:type="dxa"/>
            </w:tcMar>
            <w:vAlign w:val="center"/>
          </w:tcPr>
          <w:p w14:paraId="4DE127A9" w14:textId="77777777" w:rsidR="00DF27C6" w:rsidRDefault="00000000">
            <w:pPr>
              <w:jc w:val="center"/>
            </w:pPr>
            <w:r>
              <w:rPr>
                <w:rFonts w:eastAsia="Times New Roman"/>
                <w:sz w:val="15"/>
              </w:rPr>
              <w:t>0.0433964</w:t>
            </w:r>
          </w:p>
        </w:tc>
        <w:tc>
          <w:tcPr>
            <w:tcW w:w="1007" w:type="dxa"/>
            <w:tcMar>
              <w:top w:w="55" w:type="dxa"/>
              <w:left w:w="90" w:type="dxa"/>
              <w:bottom w:w="55" w:type="dxa"/>
              <w:right w:w="90" w:type="dxa"/>
            </w:tcMar>
            <w:vAlign w:val="center"/>
          </w:tcPr>
          <w:p w14:paraId="51BB6EB6" w14:textId="77777777" w:rsidR="00DF27C6" w:rsidRDefault="00000000">
            <w:pPr>
              <w:jc w:val="center"/>
            </w:pPr>
            <w:r>
              <w:rPr>
                <w:rFonts w:eastAsia="Times New Roman"/>
                <w:sz w:val="15"/>
              </w:rPr>
              <w:t>-2.04</w:t>
            </w:r>
          </w:p>
        </w:tc>
        <w:tc>
          <w:tcPr>
            <w:tcW w:w="1007" w:type="dxa"/>
            <w:tcMar>
              <w:top w:w="55" w:type="dxa"/>
              <w:left w:w="90" w:type="dxa"/>
              <w:bottom w:w="55" w:type="dxa"/>
              <w:right w:w="90" w:type="dxa"/>
            </w:tcMar>
            <w:vAlign w:val="center"/>
          </w:tcPr>
          <w:p w14:paraId="1E9320AC" w14:textId="77777777" w:rsidR="00DF27C6" w:rsidRDefault="00000000">
            <w:pPr>
              <w:jc w:val="center"/>
            </w:pPr>
            <w:r>
              <w:rPr>
                <w:rFonts w:eastAsia="Times New Roman"/>
                <w:sz w:val="15"/>
              </w:rPr>
              <w:t>0.041</w:t>
            </w:r>
          </w:p>
        </w:tc>
        <w:tc>
          <w:tcPr>
            <w:tcW w:w="1512" w:type="dxa"/>
            <w:tcMar>
              <w:top w:w="55" w:type="dxa"/>
              <w:left w:w="90" w:type="dxa"/>
              <w:bottom w:w="55" w:type="dxa"/>
              <w:right w:w="90" w:type="dxa"/>
            </w:tcMar>
            <w:vAlign w:val="center"/>
          </w:tcPr>
          <w:p w14:paraId="0D593730" w14:textId="77777777" w:rsidR="00DF27C6" w:rsidRDefault="00000000">
            <w:pPr>
              <w:jc w:val="center"/>
            </w:pPr>
            <w:r>
              <w:rPr>
                <w:rFonts w:eastAsia="Times New Roman"/>
                <w:sz w:val="15"/>
              </w:rPr>
              <w:t>-0.1737479</w:t>
            </w:r>
          </w:p>
        </w:tc>
        <w:tc>
          <w:tcPr>
            <w:tcW w:w="1512" w:type="dxa"/>
            <w:tcMar>
              <w:top w:w="55" w:type="dxa"/>
              <w:left w:w="90" w:type="dxa"/>
              <w:bottom w:w="55" w:type="dxa"/>
              <w:right w:w="90" w:type="dxa"/>
            </w:tcMar>
            <w:vAlign w:val="center"/>
          </w:tcPr>
          <w:p w14:paraId="32A6D19A" w14:textId="77777777" w:rsidR="00DF27C6" w:rsidRDefault="00000000">
            <w:pPr>
              <w:jc w:val="center"/>
            </w:pPr>
            <w:r>
              <w:rPr>
                <w:rFonts w:eastAsia="Times New Roman"/>
                <w:sz w:val="15"/>
              </w:rPr>
              <w:t>-0.0036371</w:t>
            </w:r>
          </w:p>
        </w:tc>
      </w:tr>
      <w:tr w:rsidR="00DF27C6" w14:paraId="661D0B21" w14:textId="77777777">
        <w:trPr>
          <w:jc w:val="center"/>
        </w:trPr>
        <w:tc>
          <w:tcPr>
            <w:tcW w:w="2376" w:type="dxa"/>
            <w:tcMar>
              <w:top w:w="55" w:type="dxa"/>
              <w:left w:w="90" w:type="dxa"/>
              <w:bottom w:w="55" w:type="dxa"/>
              <w:right w:w="90" w:type="dxa"/>
            </w:tcMar>
            <w:vAlign w:val="center"/>
          </w:tcPr>
          <w:p w14:paraId="29371C7C" w14:textId="77777777" w:rsidR="00DF27C6" w:rsidRDefault="00000000">
            <w:r>
              <w:rPr>
                <w:rFonts w:eastAsia="Times New Roman"/>
                <w:sz w:val="15"/>
              </w:rPr>
              <w:t>ln exchange rate</w:t>
            </w:r>
          </w:p>
        </w:tc>
        <w:tc>
          <w:tcPr>
            <w:tcW w:w="1512" w:type="dxa"/>
            <w:tcMar>
              <w:top w:w="55" w:type="dxa"/>
              <w:left w:w="90" w:type="dxa"/>
              <w:bottom w:w="55" w:type="dxa"/>
              <w:right w:w="90" w:type="dxa"/>
            </w:tcMar>
            <w:vAlign w:val="center"/>
          </w:tcPr>
          <w:p w14:paraId="424C9471" w14:textId="77777777" w:rsidR="00DF27C6" w:rsidRDefault="00000000">
            <w:pPr>
              <w:jc w:val="center"/>
            </w:pPr>
            <w:r>
              <w:rPr>
                <w:rFonts w:eastAsia="Times New Roman"/>
                <w:sz w:val="15"/>
              </w:rPr>
              <w:t>-0.1144825</w:t>
            </w:r>
          </w:p>
        </w:tc>
        <w:tc>
          <w:tcPr>
            <w:tcW w:w="1512" w:type="dxa"/>
            <w:tcMar>
              <w:top w:w="55" w:type="dxa"/>
              <w:left w:w="90" w:type="dxa"/>
              <w:bottom w:w="55" w:type="dxa"/>
              <w:right w:w="90" w:type="dxa"/>
            </w:tcMar>
            <w:vAlign w:val="center"/>
          </w:tcPr>
          <w:p w14:paraId="0EE79343" w14:textId="77777777" w:rsidR="00DF27C6" w:rsidRDefault="00000000">
            <w:pPr>
              <w:jc w:val="center"/>
            </w:pPr>
            <w:r>
              <w:rPr>
                <w:rFonts w:eastAsia="Times New Roman"/>
                <w:sz w:val="15"/>
              </w:rPr>
              <w:t>0.0251144</w:t>
            </w:r>
          </w:p>
        </w:tc>
        <w:tc>
          <w:tcPr>
            <w:tcW w:w="1007" w:type="dxa"/>
            <w:tcMar>
              <w:top w:w="55" w:type="dxa"/>
              <w:left w:w="90" w:type="dxa"/>
              <w:bottom w:w="55" w:type="dxa"/>
              <w:right w:w="90" w:type="dxa"/>
            </w:tcMar>
            <w:vAlign w:val="center"/>
          </w:tcPr>
          <w:p w14:paraId="65092D81" w14:textId="77777777" w:rsidR="00DF27C6" w:rsidRDefault="00000000">
            <w:pPr>
              <w:jc w:val="center"/>
            </w:pPr>
            <w:r>
              <w:rPr>
                <w:rFonts w:eastAsia="Times New Roman"/>
                <w:sz w:val="15"/>
              </w:rPr>
              <w:t>-4.56</w:t>
            </w:r>
          </w:p>
        </w:tc>
        <w:tc>
          <w:tcPr>
            <w:tcW w:w="1007" w:type="dxa"/>
            <w:tcMar>
              <w:top w:w="55" w:type="dxa"/>
              <w:left w:w="90" w:type="dxa"/>
              <w:bottom w:w="55" w:type="dxa"/>
              <w:right w:w="90" w:type="dxa"/>
            </w:tcMar>
            <w:vAlign w:val="center"/>
          </w:tcPr>
          <w:p w14:paraId="2C23A899"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6F07BD49" w14:textId="77777777" w:rsidR="00DF27C6" w:rsidRDefault="00000000">
            <w:pPr>
              <w:jc w:val="center"/>
            </w:pPr>
            <w:r>
              <w:rPr>
                <w:rFonts w:eastAsia="Times New Roman"/>
                <w:sz w:val="15"/>
              </w:rPr>
              <w:t>-0.1637058</w:t>
            </w:r>
          </w:p>
        </w:tc>
        <w:tc>
          <w:tcPr>
            <w:tcW w:w="1512" w:type="dxa"/>
            <w:tcMar>
              <w:top w:w="55" w:type="dxa"/>
              <w:left w:w="90" w:type="dxa"/>
              <w:bottom w:w="55" w:type="dxa"/>
              <w:right w:w="90" w:type="dxa"/>
            </w:tcMar>
            <w:vAlign w:val="center"/>
          </w:tcPr>
          <w:p w14:paraId="16F59335" w14:textId="77777777" w:rsidR="00DF27C6" w:rsidRDefault="00000000">
            <w:pPr>
              <w:jc w:val="center"/>
            </w:pPr>
            <w:r>
              <w:rPr>
                <w:rFonts w:eastAsia="Times New Roman"/>
                <w:sz w:val="15"/>
              </w:rPr>
              <w:t>-0.0652592</w:t>
            </w:r>
          </w:p>
        </w:tc>
      </w:tr>
      <w:tr w:rsidR="00DF27C6" w14:paraId="113304EF" w14:textId="77777777">
        <w:trPr>
          <w:jc w:val="center"/>
        </w:trPr>
        <w:tc>
          <w:tcPr>
            <w:tcW w:w="2376" w:type="dxa"/>
            <w:tcMar>
              <w:top w:w="55" w:type="dxa"/>
              <w:left w:w="90" w:type="dxa"/>
              <w:bottom w:w="55" w:type="dxa"/>
              <w:right w:w="90" w:type="dxa"/>
            </w:tcMar>
            <w:vAlign w:val="center"/>
          </w:tcPr>
          <w:p w14:paraId="0340D7A5" w14:textId="77777777" w:rsidR="00DF27C6" w:rsidRDefault="00000000">
            <w:r>
              <w:rPr>
                <w:rFonts w:eastAsia="Times New Roman"/>
                <w:sz w:val="15"/>
              </w:rPr>
              <w:t>ln ODA</w:t>
            </w:r>
          </w:p>
        </w:tc>
        <w:tc>
          <w:tcPr>
            <w:tcW w:w="1512" w:type="dxa"/>
            <w:tcMar>
              <w:top w:w="55" w:type="dxa"/>
              <w:left w:w="90" w:type="dxa"/>
              <w:bottom w:w="55" w:type="dxa"/>
              <w:right w:w="90" w:type="dxa"/>
            </w:tcMar>
            <w:vAlign w:val="center"/>
          </w:tcPr>
          <w:p w14:paraId="699D8292" w14:textId="77777777" w:rsidR="00DF27C6" w:rsidRDefault="00000000">
            <w:pPr>
              <w:jc w:val="center"/>
            </w:pPr>
            <w:r>
              <w:rPr>
                <w:rFonts w:eastAsia="Times New Roman"/>
                <w:sz w:val="15"/>
              </w:rPr>
              <w:t>-0.3836517</w:t>
            </w:r>
          </w:p>
        </w:tc>
        <w:tc>
          <w:tcPr>
            <w:tcW w:w="1512" w:type="dxa"/>
            <w:tcMar>
              <w:top w:w="55" w:type="dxa"/>
              <w:left w:w="90" w:type="dxa"/>
              <w:bottom w:w="55" w:type="dxa"/>
              <w:right w:w="90" w:type="dxa"/>
            </w:tcMar>
            <w:vAlign w:val="center"/>
          </w:tcPr>
          <w:p w14:paraId="5AA70CA2" w14:textId="77777777" w:rsidR="00DF27C6" w:rsidRDefault="00000000">
            <w:pPr>
              <w:jc w:val="center"/>
            </w:pPr>
            <w:r>
              <w:rPr>
                <w:rFonts w:eastAsia="Times New Roman"/>
                <w:sz w:val="15"/>
              </w:rPr>
              <w:t>0.0604446</w:t>
            </w:r>
          </w:p>
        </w:tc>
        <w:tc>
          <w:tcPr>
            <w:tcW w:w="1007" w:type="dxa"/>
            <w:tcMar>
              <w:top w:w="55" w:type="dxa"/>
              <w:left w:w="90" w:type="dxa"/>
              <w:bottom w:w="55" w:type="dxa"/>
              <w:right w:w="90" w:type="dxa"/>
            </w:tcMar>
            <w:vAlign w:val="center"/>
          </w:tcPr>
          <w:p w14:paraId="559C7B6A" w14:textId="77777777" w:rsidR="00DF27C6" w:rsidRDefault="00000000">
            <w:pPr>
              <w:jc w:val="center"/>
            </w:pPr>
            <w:r>
              <w:rPr>
                <w:rFonts w:eastAsia="Times New Roman"/>
                <w:sz w:val="15"/>
              </w:rPr>
              <w:t>-6.35</w:t>
            </w:r>
          </w:p>
        </w:tc>
        <w:tc>
          <w:tcPr>
            <w:tcW w:w="1007" w:type="dxa"/>
            <w:tcMar>
              <w:top w:w="55" w:type="dxa"/>
              <w:left w:w="90" w:type="dxa"/>
              <w:bottom w:w="55" w:type="dxa"/>
              <w:right w:w="90" w:type="dxa"/>
            </w:tcMar>
            <w:vAlign w:val="center"/>
          </w:tcPr>
          <w:p w14:paraId="6F37862B"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402318B5" w14:textId="77777777" w:rsidR="00DF27C6" w:rsidRDefault="00000000">
            <w:pPr>
              <w:jc w:val="center"/>
            </w:pPr>
            <w:r>
              <w:rPr>
                <w:rFonts w:eastAsia="Times New Roman"/>
                <w:sz w:val="15"/>
              </w:rPr>
              <w:t>-0.5021210</w:t>
            </w:r>
          </w:p>
        </w:tc>
        <w:tc>
          <w:tcPr>
            <w:tcW w:w="1512" w:type="dxa"/>
            <w:tcMar>
              <w:top w:w="55" w:type="dxa"/>
              <w:left w:w="90" w:type="dxa"/>
              <w:bottom w:w="55" w:type="dxa"/>
              <w:right w:w="90" w:type="dxa"/>
            </w:tcMar>
            <w:vAlign w:val="center"/>
          </w:tcPr>
          <w:p w14:paraId="1D779F9D" w14:textId="77777777" w:rsidR="00DF27C6" w:rsidRDefault="00000000">
            <w:pPr>
              <w:jc w:val="center"/>
            </w:pPr>
            <w:r>
              <w:rPr>
                <w:rFonts w:eastAsia="Times New Roman"/>
                <w:sz w:val="15"/>
              </w:rPr>
              <w:t>-0.2651824</w:t>
            </w:r>
          </w:p>
        </w:tc>
      </w:tr>
      <w:tr w:rsidR="00DF27C6" w14:paraId="1EC103B0" w14:textId="77777777">
        <w:trPr>
          <w:jc w:val="center"/>
        </w:trPr>
        <w:tc>
          <w:tcPr>
            <w:tcW w:w="2376" w:type="dxa"/>
            <w:tcMar>
              <w:top w:w="55" w:type="dxa"/>
              <w:left w:w="90" w:type="dxa"/>
              <w:bottom w:w="55" w:type="dxa"/>
              <w:right w:w="90" w:type="dxa"/>
            </w:tcMar>
            <w:vAlign w:val="center"/>
          </w:tcPr>
          <w:p w14:paraId="6D50EF75" w14:textId="77777777" w:rsidR="00DF27C6" w:rsidRDefault="00000000">
            <w:r>
              <w:rPr>
                <w:rFonts w:eastAsia="Times New Roman"/>
                <w:sz w:val="15"/>
              </w:rPr>
              <w:t>Constant</w:t>
            </w:r>
          </w:p>
        </w:tc>
        <w:tc>
          <w:tcPr>
            <w:tcW w:w="1512" w:type="dxa"/>
            <w:tcMar>
              <w:top w:w="55" w:type="dxa"/>
              <w:left w:w="90" w:type="dxa"/>
              <w:bottom w:w="55" w:type="dxa"/>
              <w:right w:w="90" w:type="dxa"/>
            </w:tcMar>
            <w:vAlign w:val="center"/>
          </w:tcPr>
          <w:p w14:paraId="54FF42E7" w14:textId="77777777" w:rsidR="00DF27C6" w:rsidRDefault="00000000">
            <w:pPr>
              <w:jc w:val="center"/>
            </w:pPr>
            <w:r>
              <w:rPr>
                <w:rFonts w:eastAsia="Times New Roman"/>
                <w:sz w:val="15"/>
              </w:rPr>
              <w:t>8.946545</w:t>
            </w:r>
          </w:p>
        </w:tc>
        <w:tc>
          <w:tcPr>
            <w:tcW w:w="1512" w:type="dxa"/>
            <w:tcMar>
              <w:top w:w="55" w:type="dxa"/>
              <w:left w:w="90" w:type="dxa"/>
              <w:bottom w:w="55" w:type="dxa"/>
              <w:right w:w="90" w:type="dxa"/>
            </w:tcMar>
            <w:vAlign w:val="center"/>
          </w:tcPr>
          <w:p w14:paraId="5FB68B3B" w14:textId="77777777" w:rsidR="00DF27C6" w:rsidRDefault="00000000">
            <w:pPr>
              <w:jc w:val="center"/>
            </w:pPr>
            <w:r>
              <w:rPr>
                <w:rFonts w:eastAsia="Times New Roman"/>
                <w:sz w:val="15"/>
              </w:rPr>
              <w:t>0.4957569</w:t>
            </w:r>
          </w:p>
        </w:tc>
        <w:tc>
          <w:tcPr>
            <w:tcW w:w="1007" w:type="dxa"/>
            <w:tcMar>
              <w:top w:w="55" w:type="dxa"/>
              <w:left w:w="90" w:type="dxa"/>
              <w:bottom w:w="55" w:type="dxa"/>
              <w:right w:w="90" w:type="dxa"/>
            </w:tcMar>
            <w:vAlign w:val="center"/>
          </w:tcPr>
          <w:p w14:paraId="7908452D" w14:textId="77777777" w:rsidR="00DF27C6" w:rsidRDefault="00000000">
            <w:pPr>
              <w:jc w:val="center"/>
            </w:pPr>
            <w:r>
              <w:rPr>
                <w:rFonts w:eastAsia="Times New Roman"/>
                <w:sz w:val="15"/>
              </w:rPr>
              <w:t>18.05</w:t>
            </w:r>
          </w:p>
        </w:tc>
        <w:tc>
          <w:tcPr>
            <w:tcW w:w="1007" w:type="dxa"/>
            <w:tcMar>
              <w:top w:w="55" w:type="dxa"/>
              <w:left w:w="90" w:type="dxa"/>
              <w:bottom w:w="55" w:type="dxa"/>
              <w:right w:w="90" w:type="dxa"/>
            </w:tcMar>
            <w:vAlign w:val="center"/>
          </w:tcPr>
          <w:p w14:paraId="4D52BB05" w14:textId="77777777" w:rsidR="00DF27C6" w:rsidRDefault="00000000">
            <w:pPr>
              <w:jc w:val="center"/>
            </w:pPr>
            <w:r>
              <w:rPr>
                <w:rFonts w:eastAsia="Times New Roman"/>
                <w:sz w:val="15"/>
              </w:rPr>
              <w:t>&lt;0.001</w:t>
            </w:r>
          </w:p>
        </w:tc>
        <w:tc>
          <w:tcPr>
            <w:tcW w:w="1512" w:type="dxa"/>
            <w:tcMar>
              <w:top w:w="55" w:type="dxa"/>
              <w:left w:w="90" w:type="dxa"/>
              <w:bottom w:w="55" w:type="dxa"/>
              <w:right w:w="90" w:type="dxa"/>
            </w:tcMar>
            <w:vAlign w:val="center"/>
          </w:tcPr>
          <w:p w14:paraId="79DD8967" w14:textId="77777777" w:rsidR="00DF27C6" w:rsidRDefault="00000000">
            <w:pPr>
              <w:jc w:val="center"/>
            </w:pPr>
            <w:r>
              <w:rPr>
                <w:rFonts w:eastAsia="Times New Roman"/>
                <w:sz w:val="15"/>
              </w:rPr>
              <w:t>7.974880</w:t>
            </w:r>
          </w:p>
        </w:tc>
        <w:tc>
          <w:tcPr>
            <w:tcW w:w="1512" w:type="dxa"/>
            <w:tcMar>
              <w:top w:w="55" w:type="dxa"/>
              <w:left w:w="90" w:type="dxa"/>
              <w:bottom w:w="55" w:type="dxa"/>
              <w:right w:w="90" w:type="dxa"/>
            </w:tcMar>
            <w:vAlign w:val="center"/>
          </w:tcPr>
          <w:p w14:paraId="42ED2569" w14:textId="77777777" w:rsidR="00DF27C6" w:rsidRDefault="00000000">
            <w:pPr>
              <w:jc w:val="center"/>
            </w:pPr>
            <w:r>
              <w:rPr>
                <w:rFonts w:eastAsia="Times New Roman"/>
                <w:sz w:val="15"/>
              </w:rPr>
              <w:t>9.918211</w:t>
            </w:r>
          </w:p>
        </w:tc>
      </w:tr>
    </w:tbl>
    <w:p w14:paraId="6DB748E8" w14:textId="77777777" w:rsidR="00DF27C6" w:rsidRDefault="00000000">
      <w:pPr>
        <w:spacing w:before="40" w:after="120"/>
      </w:pPr>
      <w:r>
        <w:rPr>
          <w:rFonts w:eastAsia="Times New Roman"/>
          <w:i/>
          <w:sz w:val="17"/>
        </w:rPr>
        <w:t>Source: Study data (2026). N = 84; countries = 5; within R² = 0.6418; between R² = 0.9896; overall R² = 0.9157; Wald χ²(6) = 836.42; ρ = 0.</w:t>
      </w:r>
    </w:p>
    <w:sectPr w:rsidR="00DF27C6" w:rsidSect="00034616">
      <w:footerReference w:type="default" r:id="rId39"/>
      <w:pgSz w:w="12240" w:h="15840"/>
      <w:pgMar w:top="1224" w:right="1224" w:bottom="1224"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43471" w14:textId="77777777" w:rsidR="00C90AB6" w:rsidRDefault="00C90AB6">
      <w:pPr>
        <w:spacing w:after="0" w:line="240" w:lineRule="auto"/>
      </w:pPr>
      <w:r>
        <w:separator/>
      </w:r>
    </w:p>
  </w:endnote>
  <w:endnote w:type="continuationSeparator" w:id="0">
    <w:p w14:paraId="5590C1F5" w14:textId="77777777" w:rsidR="00C90AB6" w:rsidRDefault="00C90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EDF6" w14:textId="77777777" w:rsidR="00DF27C6" w:rsidRDefault="00000000">
    <w:pPr>
      <w:pStyle w:val="Footer"/>
      <w:jc w:val="center"/>
    </w:pPr>
    <w:r>
      <w:rPr>
        <w:rFonts w:eastAsia="Times New Roman"/>
        <w:sz w:val="18"/>
      </w:rPr>
      <w:t xml:space="preserve">Page </w:t>
    </w: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076676">
      <w:rPr>
        <w:rFonts w:eastAsia="Times New Roman"/>
        <w:noProof/>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1C22" w14:textId="77777777" w:rsidR="00C90AB6" w:rsidRDefault="00C90AB6">
      <w:pPr>
        <w:spacing w:after="0" w:line="240" w:lineRule="auto"/>
      </w:pPr>
      <w:r>
        <w:separator/>
      </w:r>
    </w:p>
  </w:footnote>
  <w:footnote w:type="continuationSeparator" w:id="0">
    <w:p w14:paraId="2EAEA7CA" w14:textId="77777777" w:rsidR="00C90AB6" w:rsidRDefault="00C90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D46931"/>
    <w:multiLevelType w:val="hybridMultilevel"/>
    <w:tmpl w:val="B7AE0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11008"/>
    <w:multiLevelType w:val="hybridMultilevel"/>
    <w:tmpl w:val="5E7C19E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908639">
    <w:abstractNumId w:val="8"/>
  </w:num>
  <w:num w:numId="2" w16cid:durableId="878510875">
    <w:abstractNumId w:val="6"/>
  </w:num>
  <w:num w:numId="3" w16cid:durableId="393508719">
    <w:abstractNumId w:val="5"/>
  </w:num>
  <w:num w:numId="4" w16cid:durableId="1230572952">
    <w:abstractNumId w:val="4"/>
  </w:num>
  <w:num w:numId="5" w16cid:durableId="88743652">
    <w:abstractNumId w:val="7"/>
  </w:num>
  <w:num w:numId="6" w16cid:durableId="2055346932">
    <w:abstractNumId w:val="3"/>
  </w:num>
  <w:num w:numId="7" w16cid:durableId="1186945118">
    <w:abstractNumId w:val="2"/>
  </w:num>
  <w:num w:numId="8" w16cid:durableId="1543327028">
    <w:abstractNumId w:val="1"/>
  </w:num>
  <w:num w:numId="9" w16cid:durableId="1871602492">
    <w:abstractNumId w:val="0"/>
  </w:num>
  <w:num w:numId="10" w16cid:durableId="224924142">
    <w:abstractNumId w:val="9"/>
  </w:num>
  <w:num w:numId="11" w16cid:durableId="1976445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1MLM0MzM1MbQwsDRS0lEKTi0uzszPAykwrAUAtC6VVCwAAAA="/>
  </w:docVars>
  <w:rsids>
    <w:rsidRoot w:val="00B47730"/>
    <w:rsid w:val="00034616"/>
    <w:rsid w:val="0006063C"/>
    <w:rsid w:val="00076676"/>
    <w:rsid w:val="0015074B"/>
    <w:rsid w:val="0029639D"/>
    <w:rsid w:val="00302FFA"/>
    <w:rsid w:val="00326F90"/>
    <w:rsid w:val="00982F7A"/>
    <w:rsid w:val="009C33B9"/>
    <w:rsid w:val="00A15C0B"/>
    <w:rsid w:val="00A66659"/>
    <w:rsid w:val="00AA1D8D"/>
    <w:rsid w:val="00AD7650"/>
    <w:rsid w:val="00B47730"/>
    <w:rsid w:val="00C90AB6"/>
    <w:rsid w:val="00CB0664"/>
    <w:rsid w:val="00CC2ECC"/>
    <w:rsid w:val="00CD00B6"/>
    <w:rsid w:val="00DF27C6"/>
    <w:rsid w:val="00EB247B"/>
    <w:rsid w:val="00FC693F"/>
    <w:rsid w:val="00FE61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B29099"/>
  <w14:defaultImageDpi w14:val="300"/>
  <w15:docId w15:val="{5A1E910E-6B18-4DDF-BEEC-07819A013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C33B9"/>
    <w:rPr>
      <w:color w:val="0000FF" w:themeColor="hyperlink"/>
      <w:u w:val="single"/>
    </w:rPr>
  </w:style>
  <w:style w:type="character" w:styleId="UnresolvedMention">
    <w:name w:val="Unresolved Mention"/>
    <w:basedOn w:val="DefaultParagraphFont"/>
    <w:uiPriority w:val="99"/>
    <w:semiHidden/>
    <w:unhideWhenUsed/>
    <w:rsid w:val="009C3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07/1911963?utm_source=chatgpt.com" TargetMode="External"/><Relationship Id="rId18" Type="http://schemas.openxmlformats.org/officeDocument/2006/relationships/hyperlink" Target="https://doi.org/10.1162/003465398557825?utm_source=chatgpt.com" TargetMode="External"/><Relationship Id="rId26" Type="http://schemas.openxmlformats.org/officeDocument/2006/relationships/hyperlink" Target="https://doi.org/10.1016/j.japwor.2019.100963?utm_source=chatgpt.com" TargetMode="External"/><Relationship Id="rId39" Type="http://schemas.openxmlformats.org/officeDocument/2006/relationships/footer" Target="footer1.xml"/><Relationship Id="rId21" Type="http://schemas.openxmlformats.org/officeDocument/2006/relationships/hyperlink" Target="https://doi.org/10.1177/1536867X0700700301?utm_source=chatgpt.com" TargetMode="External"/><Relationship Id="rId34" Type="http://schemas.openxmlformats.org/officeDocument/2006/relationships/hyperlink" Target="https://doi.org/10.1023/A:1005032817804?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000368497327155?utm_source=chatgpt.com" TargetMode="External"/><Relationship Id="rId20" Type="http://schemas.openxmlformats.org/officeDocument/2006/relationships/hyperlink" Target="https://doi.org/10.2307/1913827?utm_source=chatgpt.com" TargetMode="External"/><Relationship Id="rId29" Type="http://schemas.openxmlformats.org/officeDocument/2006/relationships/hyperlink" Target="https://doi.org/10.1016/j.eap.2020.02.001?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6/261726?utm_source=chatgpt.com" TargetMode="External"/><Relationship Id="rId24" Type="http://schemas.openxmlformats.org/officeDocument/2006/relationships/hyperlink" Target="https://doi.org/10.2307/2983064?utm_source=chatgpt.com" TargetMode="External"/><Relationship Id="rId32" Type="http://schemas.openxmlformats.org/officeDocument/2006/relationships/hyperlink" Target="https://doi.org/10.9734/ajeba/2024/v24i21215?utm_source=chatgpt.com" TargetMode="External"/><Relationship Id="rId37" Type="http://schemas.openxmlformats.org/officeDocument/2006/relationships/hyperlink" Target="https://doi.org/10.1080/23311886.2026.2709998?utm_source=chatgpt.co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68/jhr.50.2.317?utm_source=chatgpt.com" TargetMode="External"/><Relationship Id="rId23" Type="http://schemas.openxmlformats.org/officeDocument/2006/relationships/hyperlink" Target="https://doi.org/10.4236/jmf.2023.131002?utm_source=chatgpt.com" TargetMode="External"/><Relationship Id="rId28" Type="http://schemas.openxmlformats.org/officeDocument/2006/relationships/hyperlink" Target="https://doi.org/10.1111/1468-0084.0610s1631?utm_source=chatgpt.com" TargetMode="External"/><Relationship Id="rId36" Type="http://schemas.openxmlformats.org/officeDocument/2006/relationships/hyperlink" Target="https://doi.org/10.1007/s00181-020-01875-7?utm_source=chatgpt.com" TargetMode="External"/><Relationship Id="rId10" Type="http://schemas.openxmlformats.org/officeDocument/2006/relationships/hyperlink" Target="https://doi.org/10.1016/j.worlddev.2013.12.016?utm_source=chatgpt.com" TargetMode="External"/><Relationship Id="rId19" Type="http://schemas.openxmlformats.org/officeDocument/2006/relationships/hyperlink" Target="https://doi.org/10.1007/s44282-026-00525-0?utm_source=chatgpt.com" TargetMode="External"/><Relationship Id="rId31" Type="http://schemas.openxmlformats.org/officeDocument/2006/relationships/hyperlink" Target="https://doi.org/10.9734/ajeba/2020/v18i430289?utm_source=chatgpt.com" TargetMode="External"/><Relationship Id="rId4" Type="http://schemas.openxmlformats.org/officeDocument/2006/relationships/settings" Target="settings.xml"/><Relationship Id="rId9" Type="http://schemas.openxmlformats.org/officeDocument/2006/relationships/hyperlink" Target="https://doi.org/10.1080/000368497327038?utm_source=chatgpt.com" TargetMode="External"/><Relationship Id="rId14" Type="http://schemas.openxmlformats.org/officeDocument/2006/relationships/hyperlink" Target="https://doi.org/10.1162/rest.90.3.414?utm_source=chatgpt.com" TargetMode="External"/><Relationship Id="rId22" Type="http://schemas.openxmlformats.org/officeDocument/2006/relationships/hyperlink" Target="https://doi.org/10.1016/0165-1765(80)90024-5?utm_source=chatgpt.com" TargetMode="External"/><Relationship Id="rId27" Type="http://schemas.openxmlformats.org/officeDocument/2006/relationships/hyperlink" Target="https://doi.org/10.1016/S0304-4076(01)00098-7?utm_source=chatgpt.com" TargetMode="External"/><Relationship Id="rId30" Type="http://schemas.openxmlformats.org/officeDocument/2006/relationships/hyperlink" Target="https://doi.org/10.1080/23322039.2023.2185343?utm_source=chatgpt.com" TargetMode="External"/><Relationship Id="rId35" Type="http://schemas.openxmlformats.org/officeDocument/2006/relationships/hyperlink" Target="https://doi.org/10.1002/jae.951?utm_source=chatgpt.com" TargetMode="External"/><Relationship Id="rId8" Type="http://schemas.openxmlformats.org/officeDocument/2006/relationships/hyperlink" Target="https://doi.org/10.70861/ujed20260301014?utm_source=chatgpt.com" TargetMode="External"/><Relationship Id="rId3" Type="http://schemas.openxmlformats.org/officeDocument/2006/relationships/styles" Target="styles.xml"/><Relationship Id="rId12" Type="http://schemas.openxmlformats.org/officeDocument/2006/relationships/hyperlink" Target="https://doi.org/10.1111/obes.12325?utm_source=chatgpt.com" TargetMode="External"/><Relationship Id="rId17" Type="http://schemas.openxmlformats.org/officeDocument/2006/relationships/hyperlink" Target="https://doi.org/10.1016/j.ejpoleco.2007.06.002?utm_source=chatgpt.com" TargetMode="External"/><Relationship Id="rId25" Type="http://schemas.openxmlformats.org/officeDocument/2006/relationships/hyperlink" Target="https://doi.org/10.2307/1058716?utm_source=chatgpt.com" TargetMode="External"/><Relationship Id="rId33" Type="http://schemas.openxmlformats.org/officeDocument/2006/relationships/hyperlink" Target="https://doi.org/10.1111/rode.12130?utm_source=chatgpt.com" TargetMode="External"/><Relationship Id="rId38" Type="http://schemas.openxmlformats.org/officeDocument/2006/relationships/hyperlink" Target="https://databank.worldbank.org/source/world-development-indicator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7734</Words>
  <Characters>44085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Government Final Consumption Expenditure and Nominal GDP per Capita in Five East African Countries: A Panel Association Analysis</dc:title>
  <dc:subject>Revised manuscript</dc:subject>
  <dc:creator>python-docx</dc:creator>
  <cp:keywords>GDP per capita; government final consumption expenditure; panel data; East Africa; fixed effects; fiscal policy</cp:keywords>
  <dc:description>generated by python-docx</dc:description>
  <cp:lastModifiedBy>SDI 1020</cp:lastModifiedBy>
  <cp:revision>6</cp:revision>
  <dcterms:created xsi:type="dcterms:W3CDTF">2013-12-23T23:15:00Z</dcterms:created>
  <dcterms:modified xsi:type="dcterms:W3CDTF">2026-10-03T13:17:00Z</dcterms:modified>
  <cp:category/>
</cp:coreProperties>
</file>