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02E98" w14:textId="77777777" w:rsidR="00D215B7" w:rsidRDefault="00D215B7">
      <w:pPr>
        <w:rPr>
          <w:rFonts w:ascii="Times New Roman" w:hAnsi="Times New Roman" w:cs="Times New Roman"/>
        </w:rPr>
      </w:pPr>
    </w:p>
    <w:p w14:paraId="29E87E52" w14:textId="77777777" w:rsidR="00D215B7" w:rsidRDefault="00D215B7">
      <w:pPr>
        <w:rPr>
          <w:rFonts w:ascii="Times New Roman" w:hAnsi="Times New Roman" w:cs="Times New Roman"/>
        </w:rPr>
      </w:pPr>
    </w:p>
    <w:p w14:paraId="5742E85A" w14:textId="77777777" w:rsidR="00D215B7" w:rsidRDefault="00D215B7">
      <w:pPr>
        <w:rPr>
          <w:rFonts w:ascii="Times New Roman" w:hAnsi="Times New Roman" w:cs="Times New Roman"/>
        </w:rPr>
      </w:pPr>
    </w:p>
    <w:p w14:paraId="3CD8B95C" w14:textId="77777777" w:rsidR="00D215B7" w:rsidRDefault="00000000">
      <w:pPr>
        <w:pStyle w:val="Heading2"/>
        <w:rPr>
          <w:rFonts w:ascii="Times New Roman" w:hAnsi="Times New Roman" w:hint="default"/>
          <w:color w:val="222222"/>
          <w:sz w:val="48"/>
          <w:szCs w:val="48"/>
          <w:shd w:val="clear" w:color="auto" w:fill="FFFFFF"/>
        </w:rPr>
      </w:pPr>
      <w:r>
        <w:rPr>
          <w:rFonts w:ascii="Times New Roman" w:hAnsi="Times New Roman" w:hint="default"/>
        </w:rPr>
        <w:t>Artificial Intelligence and the Smart Mobility Nexus: A Systematic Evidence Review</w:t>
      </w:r>
    </w:p>
    <w:p w14:paraId="614BD124" w14:textId="77777777" w:rsidR="00D215B7" w:rsidRDefault="00D215B7">
      <w:pPr>
        <w:spacing w:after="20"/>
        <w:jc w:val="both"/>
        <w:rPr>
          <w:rFonts w:ascii="Times New Roman" w:eastAsia="SimSun" w:hAnsi="Times New Roman" w:cs="Times New Roman"/>
          <w:color w:val="000000"/>
          <w:sz w:val="19"/>
          <w:szCs w:val="19"/>
          <w:lang w:eastAsia="en-US"/>
        </w:rPr>
      </w:pPr>
    </w:p>
    <w:p w14:paraId="34A3404C" w14:textId="77777777" w:rsidR="00D215B7" w:rsidRDefault="00D215B7">
      <w:pPr>
        <w:jc w:val="both"/>
        <w:rPr>
          <w:rFonts w:ascii="Times New Roman" w:eastAsia="DengXian" w:hAnsi="Times New Roman" w:cs="Times New Roman"/>
          <w:b/>
          <w:bCs/>
          <w:lang w:val="en-CA" w:eastAsia="en-US"/>
        </w:rPr>
      </w:pPr>
    </w:p>
    <w:p w14:paraId="75E684DD" w14:textId="77777777" w:rsidR="00D215B7" w:rsidRDefault="00D215B7">
      <w:pPr>
        <w:rPr>
          <w:rFonts w:ascii="Times New Roman" w:eastAsia="SimSun" w:hAnsi="Times New Roman" w:cs="Times New Roman"/>
          <w:b/>
          <w:bCs/>
          <w:color w:val="222222"/>
          <w:sz w:val="24"/>
          <w:szCs w:val="24"/>
          <w:shd w:val="clear" w:color="auto" w:fill="FFFFFF"/>
        </w:rPr>
      </w:pPr>
    </w:p>
    <w:p w14:paraId="278409A6" w14:textId="77777777" w:rsidR="00D215B7" w:rsidRDefault="00D215B7">
      <w:pPr>
        <w:rPr>
          <w:rFonts w:ascii="Times New Roman" w:eastAsia="SimSun" w:hAnsi="Times New Roman" w:cs="Times New Roman"/>
          <w:b/>
          <w:bCs/>
          <w:color w:val="222222"/>
          <w:sz w:val="24"/>
          <w:szCs w:val="24"/>
          <w:shd w:val="clear" w:color="auto" w:fill="FFFFFF"/>
        </w:rPr>
      </w:pPr>
    </w:p>
    <w:p w14:paraId="0F72E66C" w14:textId="77777777" w:rsidR="00D215B7" w:rsidRDefault="00000000">
      <w:pPr>
        <w:pStyle w:val="Heading2"/>
        <w:spacing w:beforeAutospacing="0" w:afterAutospacing="0"/>
        <w:jc w:val="both"/>
        <w:rPr>
          <w:rFonts w:ascii="Times New Roman" w:hAnsi="Times New Roman" w:hint="default"/>
          <w:sz w:val="22"/>
          <w:szCs w:val="22"/>
        </w:rPr>
      </w:pPr>
      <w:r>
        <w:rPr>
          <w:rFonts w:ascii="Times New Roman" w:hAnsi="Times New Roman" w:hint="default"/>
          <w:sz w:val="22"/>
          <w:szCs w:val="22"/>
        </w:rPr>
        <w:t>Abstract</w:t>
      </w:r>
    </w:p>
    <w:p w14:paraId="45FE6ACA" w14:textId="77777777" w:rsidR="00D215B7" w:rsidRDefault="00000000">
      <w:pPr>
        <w:pStyle w:val="NormalWeb"/>
        <w:spacing w:beforeAutospacing="0" w:afterAutospacing="0"/>
        <w:jc w:val="both"/>
        <w:rPr>
          <w:sz w:val="19"/>
        </w:rPr>
      </w:pPr>
      <w:r>
        <w:rPr>
          <w:sz w:val="19"/>
        </w:rPr>
        <w:t xml:space="preserve">Artificial intelligence (AI) is increasingly reshaping transportation through predictive analytics, intelligent infrastructure, connected mobility, autonomous systems and energy-responsive transport management. This systematic evidence review examines the AI-smart mobility nexus </w:t>
      </w:r>
      <w:r>
        <w:rPr>
          <w:sz w:val="19"/>
          <w:highlight w:val="yellow"/>
        </w:rPr>
        <w:t>with an emphasis on</w:t>
      </w:r>
      <w:r>
        <w:rPr>
          <w:sz w:val="19"/>
        </w:rPr>
        <w:t xml:space="preserve"> intelligent transportation infrastructure and operational sustainability. Following PRISMA 2020, 30 eligible sources published between 2015 and 2026 were </w:t>
      </w:r>
      <w:proofErr w:type="spellStart"/>
      <w:r>
        <w:rPr>
          <w:sz w:val="19"/>
        </w:rPr>
        <w:t>synthesised</w:t>
      </w:r>
      <w:proofErr w:type="spellEnd"/>
      <w:r>
        <w:rPr>
          <w:sz w:val="19"/>
        </w:rPr>
        <w:t xml:space="preserve"> from Scopus, Web of Science, IEEE Xplore, ScienceDirect and Google Scholar. The corpus comprised 29 review, survey, meta-review, bibliometric or conceptual syntheses and one case study; accordingly, evidence was interpreted qualitatively and no pooled effect estimates were calculated. Five dominant domains emerged: AI-enabled traffic management, connected transportation infrastructure, safety and risk reduction, electric and renewable-energy-integrated mobility, and operational sustainability. Across the included literature, AI was generally associated with improved prediction, routing, incident recognition, system coordination, infrastructure monitoring and energy-management capability, although transferability depended on data quality, connectivity, infrastructure readiness, grid capacity and institutional capability. Operational efficiency did not consistently imply broader environmental or social sustainability. Interpreted through Technological Innovation Systems and Sustainability Transition perspectives, the evidence suggests that sustainable smart mobility depends on coordinated technological, infrastructural, institutional and energy-system development. The review therefore supports a qualified conclusion: AI can contribute to safer and more efficient mobility, but stronger primary, longitudinal and geographically diverse evidence is needed to establish durable environmental and social outcomes.</w:t>
      </w:r>
    </w:p>
    <w:p w14:paraId="69B31B56" w14:textId="77777777" w:rsidR="00E03ED1" w:rsidRDefault="00E03ED1">
      <w:pPr>
        <w:pStyle w:val="NormalWeb"/>
        <w:spacing w:beforeAutospacing="0" w:afterAutospacing="0"/>
        <w:jc w:val="both"/>
        <w:rPr>
          <w:sz w:val="19"/>
          <w:szCs w:val="19"/>
        </w:rPr>
      </w:pPr>
    </w:p>
    <w:p w14:paraId="4C53B201" w14:textId="77777777" w:rsidR="00D215B7" w:rsidRDefault="00000000">
      <w:pPr>
        <w:pStyle w:val="NormalWeb"/>
        <w:spacing w:beforeAutospacing="0" w:afterAutospacing="0"/>
        <w:jc w:val="both"/>
        <w:rPr>
          <w:sz w:val="19"/>
          <w:szCs w:val="19"/>
        </w:rPr>
      </w:pPr>
      <w:r>
        <w:rPr>
          <w:rStyle w:val="Strong"/>
          <w:sz w:val="19"/>
          <w:szCs w:val="19"/>
        </w:rPr>
        <w:t>Keywords:</w:t>
      </w:r>
      <w:r>
        <w:rPr>
          <w:sz w:val="19"/>
          <w:szCs w:val="19"/>
        </w:rPr>
        <w:t xml:space="preserve"> artificial intelligence; smart mobility; intelligent transportation systems; intelligent transportation infrastructure; operational sustainability; sustainable transport.</w:t>
      </w:r>
    </w:p>
    <w:p w14:paraId="41E0BC69" w14:textId="77777777" w:rsidR="00D215B7" w:rsidRDefault="00D215B7">
      <w:pPr>
        <w:pStyle w:val="Heading2"/>
        <w:spacing w:beforeAutospacing="0" w:afterAutospacing="0"/>
        <w:jc w:val="both"/>
        <w:rPr>
          <w:rFonts w:ascii="Times New Roman" w:hAnsi="Times New Roman" w:hint="default"/>
          <w:sz w:val="19"/>
          <w:szCs w:val="19"/>
        </w:rPr>
      </w:pPr>
    </w:p>
    <w:p w14:paraId="65A8DF22" w14:textId="77777777" w:rsidR="00D215B7" w:rsidRDefault="00000000">
      <w:pPr>
        <w:pStyle w:val="Heading2"/>
        <w:spacing w:beforeAutospacing="0" w:afterAutospacing="0"/>
        <w:jc w:val="both"/>
        <w:rPr>
          <w:rFonts w:ascii="Times New Roman" w:hAnsi="Times New Roman" w:hint="default"/>
          <w:sz w:val="22"/>
          <w:szCs w:val="22"/>
        </w:rPr>
      </w:pPr>
      <w:r>
        <w:rPr>
          <w:rFonts w:ascii="Times New Roman" w:hAnsi="Times New Roman" w:hint="default"/>
          <w:sz w:val="22"/>
          <w:szCs w:val="22"/>
        </w:rPr>
        <w:t>1.0 Introduction</w:t>
      </w:r>
    </w:p>
    <w:p w14:paraId="1A851723" w14:textId="77777777" w:rsidR="00D215B7" w:rsidRDefault="00000000">
      <w:pPr>
        <w:pStyle w:val="NormalWeb"/>
        <w:spacing w:beforeAutospacing="0" w:afterAutospacing="0"/>
        <w:jc w:val="both"/>
        <w:rPr>
          <w:sz w:val="19"/>
          <w:szCs w:val="19"/>
        </w:rPr>
      </w:pPr>
      <w:r>
        <w:rPr>
          <w:sz w:val="19"/>
          <w:szCs w:val="19"/>
        </w:rPr>
        <w:t xml:space="preserve">Rapid </w:t>
      </w:r>
      <w:proofErr w:type="spellStart"/>
      <w:r>
        <w:rPr>
          <w:sz w:val="19"/>
          <w:szCs w:val="19"/>
        </w:rPr>
        <w:t>urbanisation</w:t>
      </w:r>
      <w:proofErr w:type="spellEnd"/>
      <w:r>
        <w:rPr>
          <w:sz w:val="19"/>
          <w:szCs w:val="19"/>
        </w:rPr>
        <w:t xml:space="preserve">, population growth and rising travel demand continue to place substantial pressure on transportation systems worldwide. Congestion, road-safety risks, energy use, air pollution and inadequate integration among transport modes remain persistent problems, particularly in rapidly expanding cities. These pressures have accelerated interest in smart mobility, which increasingly combines artificial intelligence (AI), the Internet of Things (IoT), big-data analytics, connected infrastructure and automated decision systems to improve transport efficiency, accessibility and sustainability </w:t>
      </w:r>
      <w:r>
        <w:rPr>
          <w:sz w:val="19"/>
          <w:szCs w:val="19"/>
          <w:highlight w:val="yellow"/>
        </w:rPr>
        <w:t>(</w:t>
      </w:r>
      <w:proofErr w:type="spellStart"/>
      <w:r>
        <w:rPr>
          <w:sz w:val="19"/>
          <w:szCs w:val="19"/>
          <w:highlight w:val="yellow"/>
        </w:rPr>
        <w:t>Mitieka</w:t>
      </w:r>
      <w:proofErr w:type="spellEnd"/>
      <w:r>
        <w:rPr>
          <w:sz w:val="19"/>
          <w:szCs w:val="19"/>
          <w:highlight w:val="yellow"/>
        </w:rPr>
        <w:t xml:space="preserve"> et al., 2023; Nikitas et al., 2020)</w:t>
      </w:r>
      <w:r>
        <w:rPr>
          <w:sz w:val="19"/>
          <w:szCs w:val="19"/>
        </w:rPr>
        <w:t>. Recent research has consequently shifted from viewing transportation infrastructure primarily as a physical network toward understanding it as a data-intensive socio-technical system capable of sensing, predicting and responding to changing mobility conditions.</w:t>
      </w:r>
    </w:p>
    <w:p w14:paraId="7ED54FE2" w14:textId="6983C9C9" w:rsidR="00D215B7" w:rsidRDefault="00000000">
      <w:pPr>
        <w:pStyle w:val="NormalWeb"/>
        <w:spacing w:beforeAutospacing="0" w:afterAutospacing="0"/>
        <w:jc w:val="both"/>
        <w:rPr>
          <w:sz w:val="19"/>
          <w:szCs w:val="19"/>
        </w:rPr>
      </w:pPr>
      <w:r>
        <w:rPr>
          <w:sz w:val="19"/>
          <w:szCs w:val="19"/>
        </w:rPr>
        <w:t xml:space="preserve">AI has become central to this transition because of its capacity to process large and heterogeneous transport datasets, identify complex mobility patterns and support real-time or predictive decision-making. Machine learning, deep learning and related analytical techniques are increasingly applied to traffic-flow prediction, congestion management, route </w:t>
      </w:r>
      <w:proofErr w:type="spellStart"/>
      <w:r>
        <w:rPr>
          <w:sz w:val="19"/>
          <w:szCs w:val="19"/>
        </w:rPr>
        <w:t>optimisation</w:t>
      </w:r>
      <w:proofErr w:type="spellEnd"/>
      <w:r>
        <w:rPr>
          <w:sz w:val="19"/>
          <w:szCs w:val="19"/>
        </w:rPr>
        <w:t xml:space="preserve">, incident detection, infrastructure monitoring, autonomous mobility and public-transport coordination. The growing integration of data science with intelligent transportation systems has strengthened the capacity of transport operators to convert information generated by vehicles, sensors and connected infrastructure into operational decisions </w:t>
      </w:r>
      <w:r>
        <w:rPr>
          <w:sz w:val="19"/>
          <w:szCs w:val="19"/>
          <w:highlight w:val="yellow"/>
        </w:rPr>
        <w:t>(</w:t>
      </w:r>
      <w:r w:rsidR="00536A90" w:rsidRPr="00536A90">
        <w:rPr>
          <w:sz w:val="19"/>
          <w:szCs w:val="19"/>
          <w:highlight w:val="yellow"/>
        </w:rPr>
        <w:t>Bokolo</w:t>
      </w:r>
      <w:r w:rsidRPr="00536A90">
        <w:rPr>
          <w:sz w:val="19"/>
          <w:szCs w:val="19"/>
          <w:highlight w:val="yellow"/>
        </w:rPr>
        <w:t xml:space="preserve">, </w:t>
      </w:r>
      <w:r>
        <w:rPr>
          <w:sz w:val="19"/>
          <w:szCs w:val="19"/>
          <w:highlight w:val="yellow"/>
        </w:rPr>
        <w:t>2024; Jalil et al., 2024; Son et al., 2025)</w:t>
      </w:r>
      <w:r>
        <w:rPr>
          <w:sz w:val="19"/>
          <w:szCs w:val="19"/>
        </w:rPr>
        <w:t xml:space="preserve">. Recent systematic evidence further indicates that AI applications in Mobility-as-a-Service systems increasingly support demand forecasting, real-time </w:t>
      </w:r>
      <w:proofErr w:type="spellStart"/>
      <w:r>
        <w:rPr>
          <w:sz w:val="19"/>
          <w:szCs w:val="19"/>
        </w:rPr>
        <w:t>personalisation</w:t>
      </w:r>
      <w:proofErr w:type="spellEnd"/>
      <w:r>
        <w:rPr>
          <w:sz w:val="19"/>
          <w:szCs w:val="19"/>
        </w:rPr>
        <w:t xml:space="preserve">, </w:t>
      </w:r>
      <w:proofErr w:type="spellStart"/>
      <w:r>
        <w:rPr>
          <w:sz w:val="19"/>
          <w:szCs w:val="19"/>
        </w:rPr>
        <w:t>optimisation</w:t>
      </w:r>
      <w:proofErr w:type="spellEnd"/>
      <w:r>
        <w:rPr>
          <w:sz w:val="19"/>
          <w:szCs w:val="19"/>
        </w:rPr>
        <w:t xml:space="preserve"> and multimodal integration (</w:t>
      </w:r>
      <w:proofErr w:type="spellStart"/>
      <w:r>
        <w:rPr>
          <w:sz w:val="19"/>
          <w:szCs w:val="19"/>
        </w:rPr>
        <w:t>Rouky</w:t>
      </w:r>
      <w:proofErr w:type="spellEnd"/>
      <w:r>
        <w:rPr>
          <w:sz w:val="19"/>
          <w:szCs w:val="19"/>
        </w:rPr>
        <w:t xml:space="preserve"> et al., 2025).</w:t>
      </w:r>
    </w:p>
    <w:p w14:paraId="58669DD1" w14:textId="77777777" w:rsidR="00D215B7" w:rsidRDefault="00000000">
      <w:pPr>
        <w:pStyle w:val="NormalWeb"/>
        <w:spacing w:beforeAutospacing="0" w:afterAutospacing="0"/>
        <w:jc w:val="both"/>
        <w:rPr>
          <w:sz w:val="19"/>
          <w:szCs w:val="19"/>
        </w:rPr>
      </w:pPr>
      <w:r>
        <w:rPr>
          <w:sz w:val="19"/>
          <w:szCs w:val="19"/>
        </w:rPr>
        <w:t xml:space="preserve">Smart mobility, however, extends beyond the deployment of sophisticated digital technologies. It requires the coordinated interaction of intelligent infrastructure, connected vehicles, mobility platforms, energy systems, users and regulatory institutions. </w:t>
      </w:r>
      <w:proofErr w:type="spellStart"/>
      <w:r>
        <w:rPr>
          <w:sz w:val="19"/>
          <w:szCs w:val="19"/>
        </w:rPr>
        <w:t>Goumiri</w:t>
      </w:r>
      <w:proofErr w:type="spellEnd"/>
      <w:r>
        <w:rPr>
          <w:sz w:val="19"/>
          <w:szCs w:val="19"/>
        </w:rPr>
        <w:t xml:space="preserve"> et al. (2025) show that traffic management, routing, road safety, parking and emissions remain interconnected components of smart-mobility development, while </w:t>
      </w:r>
      <w:proofErr w:type="spellStart"/>
      <w:r>
        <w:rPr>
          <w:sz w:val="19"/>
          <w:szCs w:val="19"/>
        </w:rPr>
        <w:t>Mitieka</w:t>
      </w:r>
      <w:proofErr w:type="spellEnd"/>
      <w:r>
        <w:rPr>
          <w:sz w:val="19"/>
          <w:szCs w:val="19"/>
        </w:rPr>
        <w:t xml:space="preserve"> et al. (2023) argue that the sustainability potential of smart mobility depends substantially on its </w:t>
      </w:r>
      <w:r>
        <w:rPr>
          <w:sz w:val="19"/>
          <w:szCs w:val="19"/>
        </w:rPr>
        <w:lastRenderedPageBreak/>
        <w:t>successful integration with existing transport systems. This distinction is important because technological capability alone does not necessarily translate into system-wide mobility improvements.</w:t>
      </w:r>
    </w:p>
    <w:p w14:paraId="73C1398F" w14:textId="77777777" w:rsidR="00D215B7" w:rsidRDefault="00000000">
      <w:pPr>
        <w:pStyle w:val="NormalWeb"/>
        <w:spacing w:beforeAutospacing="0" w:afterAutospacing="0"/>
        <w:jc w:val="both"/>
        <w:rPr>
          <w:sz w:val="19"/>
          <w:szCs w:val="19"/>
        </w:rPr>
      </w:pPr>
      <w:r>
        <w:rPr>
          <w:sz w:val="19"/>
        </w:rPr>
        <w:t xml:space="preserve">Sustainability has therefore become an increasingly important dimension of the AI-mobility relationship. AI-based traffic </w:t>
      </w:r>
      <w:proofErr w:type="spellStart"/>
      <w:r>
        <w:rPr>
          <w:sz w:val="19"/>
        </w:rPr>
        <w:t>optimisation</w:t>
      </w:r>
      <w:proofErr w:type="spellEnd"/>
      <w:r>
        <w:rPr>
          <w:sz w:val="19"/>
        </w:rPr>
        <w:t xml:space="preserve"> and data-driven mobility services may reduce unnecessary vehicle movement, congestion, idling and resource use, but evidence for net environmental benefit remains less mature than evidence for technical performance. </w:t>
      </w:r>
      <w:proofErr w:type="spellStart"/>
      <w:r>
        <w:rPr>
          <w:sz w:val="19"/>
        </w:rPr>
        <w:t>D'Alberto</w:t>
      </w:r>
      <w:proofErr w:type="spellEnd"/>
      <w:r>
        <w:rPr>
          <w:sz w:val="19"/>
        </w:rPr>
        <w:t xml:space="preserve"> and Giudici (2023) found that smart-mobility scholarship has concentrated heavily on data processing and modelling while direct environmental outcomes have received comparatively limited attention. Evidence from electric-vehicle charging research likewise indicates that smart charging and coordinated transport-energy management can improve operational efficiency and facilitate renewable-energy integration, while system-level environmental outcomes remain contingent on electricity supply, charging infrastructure and wider mobility conditions (Sadeghian et al., 2022; </w:t>
      </w:r>
      <w:proofErr w:type="spellStart"/>
      <w:r>
        <w:rPr>
          <w:sz w:val="19"/>
        </w:rPr>
        <w:t>Tightiz</w:t>
      </w:r>
      <w:proofErr w:type="spellEnd"/>
      <w:r>
        <w:rPr>
          <w:sz w:val="19"/>
        </w:rPr>
        <w:t xml:space="preserve"> et al., 2025; Yu et al., 2024; Zhao et al., 2024).</w:t>
      </w:r>
    </w:p>
    <w:p w14:paraId="56CA0C99" w14:textId="77777777" w:rsidR="00D215B7" w:rsidRDefault="00000000">
      <w:pPr>
        <w:pStyle w:val="NormalWeb"/>
        <w:spacing w:beforeAutospacing="0" w:afterAutospacing="0"/>
        <w:jc w:val="both"/>
        <w:rPr>
          <w:sz w:val="19"/>
          <w:szCs w:val="19"/>
        </w:rPr>
      </w:pPr>
      <w:r>
        <w:rPr>
          <w:sz w:val="19"/>
        </w:rPr>
        <w:t xml:space="preserve">The emerging AI-mobility </w:t>
      </w:r>
      <w:r>
        <w:rPr>
          <w:sz w:val="19"/>
          <w:highlight w:val="yellow"/>
        </w:rPr>
        <w:t>nexus increasingly</w:t>
      </w:r>
      <w:r>
        <w:rPr>
          <w:sz w:val="19"/>
        </w:rPr>
        <w:t xml:space="preserve"> connects with electric mobility and renewable-energy systems. Reviews of smart charging, </w:t>
      </w:r>
      <w:proofErr w:type="spellStart"/>
      <w:r>
        <w:rPr>
          <w:sz w:val="19"/>
        </w:rPr>
        <w:t>AIoT</w:t>
      </w:r>
      <w:proofErr w:type="spellEnd"/>
      <w:r>
        <w:rPr>
          <w:sz w:val="19"/>
        </w:rPr>
        <w:t xml:space="preserve">-enabled charging, reinforcement-learning scheduling and digital-twin infrastructure indicate that demand forecasting, vehicle-to-grid coordination, battery scheduling and grid-aware operation can support more flexible and efficient integration of electric vehicles with power systems (Sadeghian et al., 2022; </w:t>
      </w:r>
      <w:proofErr w:type="spellStart"/>
      <w:r>
        <w:rPr>
          <w:sz w:val="19"/>
        </w:rPr>
        <w:t>Tightiz</w:t>
      </w:r>
      <w:proofErr w:type="spellEnd"/>
      <w:r>
        <w:rPr>
          <w:sz w:val="19"/>
        </w:rPr>
        <w:t xml:space="preserve"> et al., 2025; Yu et al., 2024; Zhao et al., 2024). However, the effectiveness of these systems depends on charging availability, grid reliability, data quality, connectivity, interoperability and the carbon intensity of electricity supply. Where these supporting conditions are weak, operational gains may remain limited or unevenly distributed.</w:t>
      </w:r>
    </w:p>
    <w:p w14:paraId="205227EB" w14:textId="77777777" w:rsidR="00D215B7" w:rsidRDefault="00000000">
      <w:pPr>
        <w:pStyle w:val="NormalWeb"/>
        <w:spacing w:beforeAutospacing="0" w:afterAutospacing="0"/>
        <w:jc w:val="both"/>
        <w:rPr>
          <w:sz w:val="19"/>
          <w:szCs w:val="19"/>
        </w:rPr>
      </w:pPr>
      <w:r>
        <w:rPr>
          <w:sz w:val="19"/>
        </w:rPr>
        <w:t xml:space="preserve">Governance presents an equally important constraint. Smart mobility systems generate large volumes of location, </w:t>
      </w:r>
      <w:proofErr w:type="spellStart"/>
      <w:r>
        <w:rPr>
          <w:sz w:val="19"/>
        </w:rPr>
        <w:t>behavioural</w:t>
      </w:r>
      <w:proofErr w:type="spellEnd"/>
      <w:r>
        <w:rPr>
          <w:sz w:val="19"/>
        </w:rPr>
        <w:t xml:space="preserve"> and operational data, raising concerns about privacy, cybersecurity, algorithmic transparency, accountability and unequal access. </w:t>
      </w:r>
      <w:proofErr w:type="spellStart"/>
      <w:r>
        <w:rPr>
          <w:sz w:val="19"/>
        </w:rPr>
        <w:t>Servou</w:t>
      </w:r>
      <w:proofErr w:type="spellEnd"/>
      <w:r>
        <w:rPr>
          <w:sz w:val="19"/>
        </w:rPr>
        <w:t xml:space="preserve"> et al. (2023) show that the sustainability outcomes of AI-enabled mobility services depend partly on how algorithms, data and institutional objectives are governed, while Joshi et al. (2026) identify cybersecurity and data-protection risks as central challenges for increasingly connected transport systems. Infrastructure and institutional conditions also vary substantially between settings. Adeniran et al. (2026), for example, report contrasting intelligent-transport readiness across Singapore, London and Lagos, while </w:t>
      </w:r>
      <w:proofErr w:type="spellStart"/>
      <w:r>
        <w:rPr>
          <w:sz w:val="19"/>
        </w:rPr>
        <w:t>Mitieka</w:t>
      </w:r>
      <w:proofErr w:type="spellEnd"/>
      <w:r>
        <w:rPr>
          <w:sz w:val="19"/>
        </w:rPr>
        <w:t xml:space="preserve"> et al. (2023) identify comparatively limited smart-mobility scholarship focused on developing-country contexts. These differences caution against assuming that technological performance transfers uniformly across regions.</w:t>
      </w:r>
    </w:p>
    <w:p w14:paraId="0AD23026" w14:textId="77777777" w:rsidR="00D215B7" w:rsidRDefault="00000000">
      <w:pPr>
        <w:pStyle w:val="NormalWeb"/>
        <w:spacing w:beforeAutospacing="0" w:afterAutospacing="0"/>
        <w:jc w:val="both"/>
        <w:rPr>
          <w:sz w:val="19"/>
          <w:szCs w:val="19"/>
        </w:rPr>
      </w:pPr>
      <w:r>
        <w:rPr>
          <w:sz w:val="19"/>
        </w:rPr>
        <w:t xml:space="preserve">The literature therefore reveals an important analytical gap. Although a growing number of publications examine AI, autonomous vehicles, predictive traffic systems, IoT infrastructure, Mobility-as-a-Service and sustainable transportation, the evidence remains fragmented across technological, infrastructural, operational, environmental and governance domains. Recent work documents rapid technological progress, but fewer syntheses integrate these dimensions to explain the conditions under which AI-enabled mobility produces durable operational and sustainability outcomes. Smart-mobility scholarship also retains a strong technological orientation, with comparatively limited integration of infrastructure readiness, energy systems, governance and regional development conditions </w:t>
      </w:r>
      <w:r>
        <w:rPr>
          <w:sz w:val="19"/>
          <w:highlight w:val="yellow"/>
        </w:rPr>
        <w:t>(</w:t>
      </w:r>
      <w:proofErr w:type="spellStart"/>
      <w:r>
        <w:rPr>
          <w:sz w:val="19"/>
          <w:highlight w:val="yellow"/>
        </w:rPr>
        <w:t>D'Alberto</w:t>
      </w:r>
      <w:proofErr w:type="spellEnd"/>
      <w:r>
        <w:rPr>
          <w:sz w:val="19"/>
          <w:highlight w:val="yellow"/>
        </w:rPr>
        <w:t xml:space="preserve"> &amp; Giudici, 2023; </w:t>
      </w:r>
      <w:proofErr w:type="spellStart"/>
      <w:r>
        <w:rPr>
          <w:sz w:val="19"/>
          <w:highlight w:val="yellow"/>
        </w:rPr>
        <w:t>Mitieka</w:t>
      </w:r>
      <w:proofErr w:type="spellEnd"/>
      <w:r>
        <w:rPr>
          <w:sz w:val="19"/>
          <w:highlight w:val="yellow"/>
        </w:rPr>
        <w:t xml:space="preserve"> et al., 2023, 2026; </w:t>
      </w:r>
      <w:proofErr w:type="spellStart"/>
      <w:r>
        <w:rPr>
          <w:sz w:val="19"/>
          <w:highlight w:val="yellow"/>
        </w:rPr>
        <w:t>Servou</w:t>
      </w:r>
      <w:proofErr w:type="spellEnd"/>
      <w:r>
        <w:rPr>
          <w:sz w:val="19"/>
          <w:highlight w:val="yellow"/>
        </w:rPr>
        <w:t xml:space="preserve"> et al., 2023)</w:t>
      </w:r>
      <w:r>
        <w:rPr>
          <w:sz w:val="19"/>
        </w:rPr>
        <w:t>.</w:t>
      </w:r>
    </w:p>
    <w:p w14:paraId="3C8DEA1C" w14:textId="77777777" w:rsidR="00D215B7" w:rsidRDefault="00000000">
      <w:pPr>
        <w:pStyle w:val="NormalWeb"/>
        <w:spacing w:beforeAutospacing="0" w:afterAutospacing="0"/>
        <w:jc w:val="both"/>
        <w:rPr>
          <w:sz w:val="19"/>
          <w:szCs w:val="19"/>
        </w:rPr>
      </w:pPr>
      <w:r>
        <w:rPr>
          <w:sz w:val="19"/>
        </w:rPr>
        <w:t xml:space="preserve">Against this background, this study systematically reviews the evolving nexus between artificial intelligence and smart mobility, with particular emphasis on intelligent transportation infrastructure and operational sustainability. It examines how AI, IoT, big-data analytics and predictive technologies are represented in contemporary transport evidence; assesses reported outcomes relating to efficiency, safety, reliability, energy use and environmental performance; and identifies the infrastructural, technological and governance conditions that shape implementation. The review further evaluates gaps in renewable-energy integration, regional research coverage and system-level evidence. By </w:t>
      </w:r>
      <w:proofErr w:type="spellStart"/>
      <w:r>
        <w:rPr>
          <w:sz w:val="19"/>
        </w:rPr>
        <w:t>synthesising</w:t>
      </w:r>
      <w:proofErr w:type="spellEnd"/>
      <w:r>
        <w:rPr>
          <w:sz w:val="19"/>
        </w:rPr>
        <w:t xml:space="preserve"> these strands within a single analytical framework, the study clarifies the pathways through which AI may contribute to smart mobility while identifying the conditions under which technological innovation is more likely to support efficient, resilient and sustainable transportation systems.</w:t>
      </w:r>
    </w:p>
    <w:p w14:paraId="2B5B18E1" w14:textId="77777777" w:rsidR="00D215B7" w:rsidRDefault="00D215B7">
      <w:pPr>
        <w:pStyle w:val="NormalWeb"/>
        <w:spacing w:beforeAutospacing="0" w:afterAutospacing="0"/>
        <w:jc w:val="both"/>
        <w:rPr>
          <w:sz w:val="19"/>
          <w:szCs w:val="19"/>
        </w:rPr>
      </w:pPr>
    </w:p>
    <w:p w14:paraId="60D62802" w14:textId="77777777" w:rsidR="00D215B7" w:rsidRDefault="00000000">
      <w:pPr>
        <w:pStyle w:val="Heading2"/>
        <w:spacing w:beforeAutospacing="0" w:afterAutospacing="0"/>
        <w:jc w:val="both"/>
        <w:rPr>
          <w:rFonts w:ascii="Times New Roman" w:hAnsi="Times New Roman" w:hint="default"/>
          <w:sz w:val="22"/>
          <w:szCs w:val="22"/>
        </w:rPr>
      </w:pPr>
      <w:r>
        <w:rPr>
          <w:rFonts w:ascii="Times New Roman" w:hAnsi="Times New Roman" w:hint="default"/>
          <w:sz w:val="22"/>
          <w:szCs w:val="22"/>
        </w:rPr>
        <w:t>2.0 Conceptual and Theoretical Foundation</w:t>
      </w:r>
    </w:p>
    <w:p w14:paraId="12C9BE61" w14:textId="77777777" w:rsidR="00D215B7" w:rsidRDefault="00000000">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2.1 Conceptual Review</w:t>
      </w:r>
    </w:p>
    <w:p w14:paraId="6099470F" w14:textId="77777777" w:rsidR="00D215B7" w:rsidRDefault="00000000">
      <w:pPr>
        <w:pStyle w:val="Heading4"/>
        <w:spacing w:beforeAutospacing="0" w:afterAutospacing="0"/>
        <w:jc w:val="both"/>
        <w:rPr>
          <w:rFonts w:ascii="Times New Roman" w:hAnsi="Times New Roman" w:hint="default"/>
          <w:sz w:val="22"/>
          <w:szCs w:val="22"/>
        </w:rPr>
      </w:pPr>
      <w:r>
        <w:rPr>
          <w:rFonts w:ascii="Times New Roman" w:hAnsi="Times New Roman" w:hint="default"/>
          <w:sz w:val="22"/>
          <w:szCs w:val="22"/>
        </w:rPr>
        <w:t>2.1.1 Artificial Intelligence in Transportation</w:t>
      </w:r>
    </w:p>
    <w:p w14:paraId="7347F0A6" w14:textId="77777777" w:rsidR="00D215B7" w:rsidRDefault="00000000">
      <w:pPr>
        <w:pStyle w:val="NormalWeb"/>
        <w:spacing w:beforeAutospacing="0" w:afterAutospacing="0"/>
        <w:jc w:val="both"/>
        <w:rPr>
          <w:sz w:val="19"/>
          <w:szCs w:val="19"/>
        </w:rPr>
      </w:pPr>
      <w:r>
        <w:rPr>
          <w:sz w:val="19"/>
          <w:szCs w:val="19"/>
        </w:rPr>
        <w:t xml:space="preserve">Artificial intelligence in transportation refers to the application of machine learning, deep learning, computer vision, predictive modelling and related computational techniques to support perception, prediction, </w:t>
      </w:r>
      <w:proofErr w:type="spellStart"/>
      <w:r>
        <w:rPr>
          <w:sz w:val="19"/>
          <w:szCs w:val="19"/>
        </w:rPr>
        <w:t>optimisation</w:t>
      </w:r>
      <w:proofErr w:type="spellEnd"/>
      <w:r>
        <w:rPr>
          <w:sz w:val="19"/>
          <w:szCs w:val="19"/>
        </w:rPr>
        <w:t xml:space="preserve"> and automated decision-making within transport systems. Contemporary applications extend across traffic forecasting, route </w:t>
      </w:r>
      <w:proofErr w:type="spellStart"/>
      <w:r>
        <w:rPr>
          <w:sz w:val="19"/>
          <w:szCs w:val="19"/>
        </w:rPr>
        <w:t>optimisation</w:t>
      </w:r>
      <w:proofErr w:type="spellEnd"/>
      <w:r>
        <w:rPr>
          <w:sz w:val="19"/>
          <w:szCs w:val="19"/>
        </w:rPr>
        <w:t xml:space="preserve">, autonomous driving, public-transport management, infrastructure monitoring and incident detection. Recent reviews show that AI has moved beyond isolated traffic-control applications toward integrated intelligent transportation systems in which vehicles, infrastructure and mobility platforms exchange and process real-time information </w:t>
      </w:r>
      <w:r>
        <w:rPr>
          <w:sz w:val="19"/>
          <w:szCs w:val="19"/>
          <w:highlight w:val="yellow"/>
        </w:rPr>
        <w:t>(</w:t>
      </w:r>
      <w:proofErr w:type="spellStart"/>
      <w:r>
        <w:rPr>
          <w:sz w:val="19"/>
          <w:szCs w:val="19"/>
          <w:highlight w:val="yellow"/>
        </w:rPr>
        <w:t>Bazzan</w:t>
      </w:r>
      <w:proofErr w:type="spellEnd"/>
      <w:r>
        <w:rPr>
          <w:sz w:val="19"/>
          <w:szCs w:val="19"/>
          <w:highlight w:val="yellow"/>
        </w:rPr>
        <w:t>, 2026; Rong et al., 2025; Zhang et al., 2025)</w:t>
      </w:r>
      <w:r>
        <w:rPr>
          <w:sz w:val="19"/>
          <w:szCs w:val="19"/>
        </w:rPr>
        <w:t>. However, performance remains dependent on data quality, computing capacity, interoperability and the ability to translate algorithmic outputs into operational transport decisions.</w:t>
      </w:r>
    </w:p>
    <w:p w14:paraId="29E80738" w14:textId="77777777" w:rsidR="00D215B7" w:rsidRDefault="00D215B7">
      <w:pPr>
        <w:pStyle w:val="NormalWeb"/>
        <w:spacing w:beforeAutospacing="0" w:afterAutospacing="0"/>
        <w:jc w:val="both"/>
        <w:rPr>
          <w:sz w:val="19"/>
          <w:szCs w:val="19"/>
        </w:rPr>
      </w:pPr>
    </w:p>
    <w:p w14:paraId="4569AD02" w14:textId="77777777" w:rsidR="00D215B7" w:rsidRDefault="00000000">
      <w:pPr>
        <w:pStyle w:val="Heading4"/>
        <w:spacing w:beforeAutospacing="0" w:afterAutospacing="0"/>
        <w:jc w:val="both"/>
        <w:rPr>
          <w:rFonts w:ascii="Times New Roman" w:hAnsi="Times New Roman" w:hint="default"/>
          <w:sz w:val="22"/>
          <w:szCs w:val="22"/>
        </w:rPr>
      </w:pPr>
      <w:r>
        <w:rPr>
          <w:rFonts w:ascii="Times New Roman" w:hAnsi="Times New Roman" w:hint="default"/>
          <w:sz w:val="22"/>
          <w:szCs w:val="22"/>
        </w:rPr>
        <w:lastRenderedPageBreak/>
        <w:t>2.1.2 Smart Mobility</w:t>
      </w:r>
    </w:p>
    <w:p w14:paraId="021F1260" w14:textId="77777777" w:rsidR="00D215B7" w:rsidRDefault="00000000">
      <w:pPr>
        <w:pStyle w:val="NormalWeb"/>
        <w:spacing w:beforeAutospacing="0" w:afterAutospacing="0"/>
        <w:jc w:val="both"/>
        <w:rPr>
          <w:sz w:val="19"/>
          <w:szCs w:val="19"/>
        </w:rPr>
      </w:pPr>
      <w:r>
        <w:rPr>
          <w:sz w:val="19"/>
          <w:szCs w:val="19"/>
        </w:rPr>
        <w:t xml:space="preserve">Smart mobility describes the coordinated use of digital technologies, connected transport services and data-driven systems to improve the efficiency, accessibility, safety and environmental performance of mobility. It encompasses intelligent vehicles, shared and on-demand mobility, integrated public transport, Mobility-as-a-Service, smart traffic control and digitally connected infrastructure. The concept has therefore evolved beyond technology adoption toward the integration of mobility services, users, infrastructure and governance. Recent evidence indicates that smart mobility can improve transport responsiveness and service coordination, but its sustainability contribution depends on accessibility, modal integration and the extent to which environmental and social objectives are incorporated into system design (Butler et al., 2020; </w:t>
      </w:r>
      <w:proofErr w:type="spellStart"/>
      <w:r>
        <w:rPr>
          <w:sz w:val="19"/>
          <w:szCs w:val="19"/>
        </w:rPr>
        <w:t>Servou</w:t>
      </w:r>
      <w:proofErr w:type="spellEnd"/>
      <w:r>
        <w:rPr>
          <w:sz w:val="19"/>
          <w:szCs w:val="19"/>
        </w:rPr>
        <w:t xml:space="preserve"> et al., 2023).</w:t>
      </w:r>
    </w:p>
    <w:p w14:paraId="7D10AEE2" w14:textId="77777777" w:rsidR="00D215B7" w:rsidRDefault="00D215B7">
      <w:pPr>
        <w:pStyle w:val="NormalWeb"/>
        <w:spacing w:beforeAutospacing="0" w:afterAutospacing="0"/>
        <w:jc w:val="both"/>
        <w:rPr>
          <w:sz w:val="19"/>
          <w:szCs w:val="19"/>
        </w:rPr>
      </w:pPr>
    </w:p>
    <w:p w14:paraId="04121549" w14:textId="77777777" w:rsidR="00D215B7" w:rsidRDefault="00000000">
      <w:pPr>
        <w:pStyle w:val="Heading4"/>
        <w:spacing w:beforeAutospacing="0" w:afterAutospacing="0"/>
        <w:jc w:val="both"/>
        <w:rPr>
          <w:rFonts w:ascii="Times New Roman" w:hAnsi="Times New Roman" w:hint="default"/>
          <w:sz w:val="22"/>
          <w:szCs w:val="22"/>
        </w:rPr>
      </w:pPr>
      <w:r>
        <w:rPr>
          <w:rFonts w:ascii="Times New Roman" w:hAnsi="Times New Roman" w:hint="default"/>
          <w:sz w:val="22"/>
          <w:szCs w:val="22"/>
        </w:rPr>
        <w:t>2.1.3 Intelligent Transportation Infrastructure</w:t>
      </w:r>
    </w:p>
    <w:p w14:paraId="44C73B68" w14:textId="77777777" w:rsidR="00D215B7" w:rsidRDefault="00000000">
      <w:pPr>
        <w:pStyle w:val="NormalWeb"/>
        <w:spacing w:beforeAutospacing="0" w:afterAutospacing="0"/>
        <w:jc w:val="both"/>
        <w:rPr>
          <w:sz w:val="19"/>
          <w:szCs w:val="19"/>
        </w:rPr>
      </w:pPr>
      <w:r>
        <w:rPr>
          <w:sz w:val="19"/>
        </w:rPr>
        <w:t>Intelligent transportation infrastructure comprises the physical and digital assets that permit transport networks to sense, communicate, process information and respond dynamically. Its principal components include roadside sensors, intelligent signals, vehicle-to-infrastructure communication, connected road systems, traffic-management platforms, cloud and edge computing, high-speed communication networks and electric-vehicle charging infrastructure. Such infrastructure provides the operational foundation on which AI applications depend. Recent evidence indicates that intelligent transportation systems are more effective when sensing, communication, traffic-control platforms and vehicle technologies function as integrated rather than isolated components, while deployment performance remains sensitive to infrastructure quality, interoperability, secure communication and operating conditions (</w:t>
      </w:r>
      <w:proofErr w:type="spellStart"/>
      <w:r>
        <w:rPr>
          <w:sz w:val="19"/>
        </w:rPr>
        <w:t>Creß</w:t>
      </w:r>
      <w:proofErr w:type="spellEnd"/>
      <w:r>
        <w:rPr>
          <w:sz w:val="19"/>
        </w:rPr>
        <w:t xml:space="preserve"> et al., 2024; Del-Coco et al., 2025).</w:t>
      </w:r>
    </w:p>
    <w:p w14:paraId="2A3ECCDD" w14:textId="77777777" w:rsidR="00D215B7" w:rsidRDefault="00D215B7">
      <w:pPr>
        <w:pStyle w:val="NormalWeb"/>
        <w:spacing w:beforeAutospacing="0" w:afterAutospacing="0"/>
        <w:jc w:val="both"/>
        <w:rPr>
          <w:sz w:val="19"/>
          <w:szCs w:val="19"/>
        </w:rPr>
      </w:pPr>
    </w:p>
    <w:p w14:paraId="46460A15" w14:textId="77777777" w:rsidR="00D215B7" w:rsidRDefault="00000000">
      <w:pPr>
        <w:pStyle w:val="Heading4"/>
        <w:spacing w:beforeAutospacing="0" w:afterAutospacing="0"/>
        <w:jc w:val="both"/>
        <w:rPr>
          <w:rFonts w:ascii="Times New Roman" w:hAnsi="Times New Roman" w:hint="default"/>
          <w:sz w:val="22"/>
          <w:szCs w:val="22"/>
        </w:rPr>
      </w:pPr>
      <w:r>
        <w:rPr>
          <w:rFonts w:ascii="Times New Roman" w:hAnsi="Times New Roman" w:hint="default"/>
          <w:sz w:val="22"/>
          <w:szCs w:val="22"/>
        </w:rPr>
        <w:t>2.1.4 Predictive Analytics and Intelligent Traffic Management</w:t>
      </w:r>
    </w:p>
    <w:p w14:paraId="07FDB2A1" w14:textId="77777777" w:rsidR="00D215B7" w:rsidRDefault="00000000">
      <w:pPr>
        <w:pStyle w:val="NormalWeb"/>
        <w:spacing w:beforeAutospacing="0" w:afterAutospacing="0"/>
        <w:jc w:val="both"/>
        <w:rPr>
          <w:sz w:val="19"/>
          <w:szCs w:val="19"/>
        </w:rPr>
      </w:pPr>
      <w:r>
        <w:rPr>
          <w:sz w:val="19"/>
          <w:szCs w:val="19"/>
        </w:rPr>
        <w:t xml:space="preserve">Predictive analytics uses historical and real-time mobility data to estimate traffic demand, congestion, incidents, travel time and infrastructure conditions before they become operational constraints. AI-enabled adaptive traffic-control systems combine sensor data, IoT devices and predictive algorithms to alter signal timing, routing and network responses dynamically. Recent systematic evidence shows growing application of these technologies to traffic-flow </w:t>
      </w:r>
      <w:proofErr w:type="spellStart"/>
      <w:r>
        <w:rPr>
          <w:sz w:val="19"/>
          <w:szCs w:val="19"/>
        </w:rPr>
        <w:t>optimisation</w:t>
      </w:r>
      <w:proofErr w:type="spellEnd"/>
      <w:r>
        <w:rPr>
          <w:sz w:val="19"/>
          <w:szCs w:val="19"/>
        </w:rPr>
        <w:t xml:space="preserve"> and infrastructure adaptability, although practical effectiveness remains influenced by data availability, model </w:t>
      </w:r>
      <w:proofErr w:type="spellStart"/>
      <w:r>
        <w:rPr>
          <w:sz w:val="19"/>
          <w:szCs w:val="19"/>
        </w:rPr>
        <w:t>generalisability</w:t>
      </w:r>
      <w:proofErr w:type="spellEnd"/>
      <w:r>
        <w:rPr>
          <w:sz w:val="19"/>
          <w:szCs w:val="19"/>
        </w:rPr>
        <w:t xml:space="preserve"> and real-world deployment conditions (</w:t>
      </w:r>
      <w:proofErr w:type="spellStart"/>
      <w:r>
        <w:rPr>
          <w:sz w:val="19"/>
          <w:szCs w:val="19"/>
        </w:rPr>
        <w:t>Bazzan</w:t>
      </w:r>
      <w:proofErr w:type="spellEnd"/>
      <w:r>
        <w:rPr>
          <w:sz w:val="19"/>
          <w:szCs w:val="19"/>
        </w:rPr>
        <w:t>, 2026). The convergence of AI, IoT and predictive analytics therefore shifts traffic management from reactive control toward anticipatory network management.</w:t>
      </w:r>
    </w:p>
    <w:p w14:paraId="2ABA8CA7" w14:textId="77777777" w:rsidR="00D215B7" w:rsidRDefault="00D215B7">
      <w:pPr>
        <w:pStyle w:val="NormalWeb"/>
        <w:spacing w:beforeAutospacing="0" w:afterAutospacing="0"/>
        <w:jc w:val="both"/>
        <w:rPr>
          <w:sz w:val="19"/>
          <w:szCs w:val="19"/>
        </w:rPr>
      </w:pPr>
    </w:p>
    <w:p w14:paraId="51B2A50E" w14:textId="77777777" w:rsidR="00D215B7" w:rsidRDefault="00000000">
      <w:pPr>
        <w:pStyle w:val="Heading4"/>
        <w:spacing w:beforeAutospacing="0" w:afterAutospacing="0"/>
        <w:jc w:val="both"/>
        <w:rPr>
          <w:rFonts w:ascii="Times New Roman" w:hAnsi="Times New Roman" w:hint="default"/>
          <w:sz w:val="22"/>
          <w:szCs w:val="22"/>
        </w:rPr>
      </w:pPr>
      <w:r>
        <w:rPr>
          <w:rFonts w:ascii="Times New Roman" w:hAnsi="Times New Roman" w:hint="default"/>
          <w:sz w:val="22"/>
          <w:szCs w:val="22"/>
        </w:rPr>
        <w:t>2.1.5 Renewable-Energy-Integrated Mobility</w:t>
      </w:r>
    </w:p>
    <w:p w14:paraId="4D72E160" w14:textId="77777777" w:rsidR="00D215B7" w:rsidRDefault="00000000">
      <w:pPr>
        <w:pStyle w:val="NormalWeb"/>
        <w:spacing w:beforeAutospacing="0" w:afterAutospacing="0"/>
        <w:jc w:val="both"/>
        <w:rPr>
          <w:sz w:val="19"/>
          <w:szCs w:val="19"/>
        </w:rPr>
      </w:pPr>
      <w:r>
        <w:rPr>
          <w:sz w:val="19"/>
        </w:rPr>
        <w:t xml:space="preserve">Renewable-energy-integrated mobility connects transport electrification with clean-energy generation, storage, smart charging and grid-management systems. AI contributes by forecasting charging demand, coordinating energy flows, </w:t>
      </w:r>
      <w:proofErr w:type="spellStart"/>
      <w:r>
        <w:rPr>
          <w:sz w:val="19"/>
        </w:rPr>
        <w:t>optimising</w:t>
      </w:r>
      <w:proofErr w:type="spellEnd"/>
      <w:r>
        <w:rPr>
          <w:sz w:val="19"/>
        </w:rPr>
        <w:t xml:space="preserve"> battery use and matching electric-vehicle charging with grid conditions. Reviews of smart charging, reinforcement-learning scheduling, </w:t>
      </w:r>
      <w:proofErr w:type="spellStart"/>
      <w:r>
        <w:rPr>
          <w:sz w:val="19"/>
        </w:rPr>
        <w:t>AIoT</w:t>
      </w:r>
      <w:proofErr w:type="spellEnd"/>
      <w:r>
        <w:rPr>
          <w:sz w:val="19"/>
        </w:rPr>
        <w:t xml:space="preserve"> and digital-twin charging infrastructure indicate that these approaches can improve charging coordination, grid interaction and renewable-energy integration, although implementation remains constrained by interoperability, grid conditions, data quality and infrastructure maturity (Sadeghian et al., 2022; </w:t>
      </w:r>
      <w:proofErr w:type="spellStart"/>
      <w:r>
        <w:rPr>
          <w:sz w:val="19"/>
        </w:rPr>
        <w:t>Tightiz</w:t>
      </w:r>
      <w:proofErr w:type="spellEnd"/>
      <w:r>
        <w:rPr>
          <w:sz w:val="19"/>
        </w:rPr>
        <w:t xml:space="preserve"> et al., 2025; Yu et al., 2024; Zhao et al., 2024). Technological efficiency alone, however, should not be treated as proof of net emissions reduction because environmental performance also depends on electricity supply and broader transport-system conditions.</w:t>
      </w:r>
    </w:p>
    <w:p w14:paraId="4B3D112B" w14:textId="77777777" w:rsidR="00D215B7" w:rsidRDefault="00D215B7">
      <w:pPr>
        <w:pStyle w:val="NormalWeb"/>
        <w:spacing w:beforeAutospacing="0" w:afterAutospacing="0"/>
        <w:jc w:val="both"/>
        <w:rPr>
          <w:sz w:val="19"/>
          <w:szCs w:val="19"/>
          <w:lang w:val="en-CA"/>
        </w:rPr>
      </w:pPr>
    </w:p>
    <w:p w14:paraId="00C86AAD" w14:textId="77777777" w:rsidR="00D215B7" w:rsidRDefault="00000000">
      <w:pPr>
        <w:pStyle w:val="Heading4"/>
        <w:spacing w:beforeAutospacing="0" w:afterAutospacing="0"/>
        <w:jc w:val="both"/>
        <w:rPr>
          <w:rFonts w:ascii="Times New Roman" w:hAnsi="Times New Roman" w:hint="default"/>
          <w:sz w:val="22"/>
          <w:szCs w:val="22"/>
        </w:rPr>
      </w:pPr>
      <w:r>
        <w:rPr>
          <w:rFonts w:ascii="Times New Roman" w:hAnsi="Times New Roman" w:hint="default"/>
          <w:sz w:val="22"/>
          <w:szCs w:val="22"/>
        </w:rPr>
        <w:t>2.1.6 Operational Sustainability</w:t>
      </w:r>
    </w:p>
    <w:p w14:paraId="23B13056" w14:textId="77777777" w:rsidR="00D215B7" w:rsidRDefault="00000000">
      <w:pPr>
        <w:pStyle w:val="NormalWeb"/>
        <w:spacing w:beforeAutospacing="0" w:afterAutospacing="0"/>
        <w:jc w:val="both"/>
        <w:rPr>
          <w:sz w:val="19"/>
          <w:szCs w:val="19"/>
        </w:rPr>
      </w:pPr>
      <w:r>
        <w:rPr>
          <w:sz w:val="19"/>
          <w:szCs w:val="19"/>
        </w:rPr>
        <w:t xml:space="preserve">Operational sustainability refers to the capacity of a transportation system to maintain efficient, reliable and safe mobility while reducing energy consumption, resource waste and environmental externalities. Within AI-enabled mobility, it is reflected in shorter travel times, improved traffic flow, lower accident exposure, reduced fuel and electricity losses, predictive maintenance, infrastructure resilience and lower emissions. Existing evidence nevertheless cautions against treating digital efficiency as equivalent to sustainability. </w:t>
      </w:r>
      <w:proofErr w:type="spellStart"/>
      <w:r>
        <w:rPr>
          <w:sz w:val="19"/>
          <w:szCs w:val="19"/>
        </w:rPr>
        <w:t>D'Alberto</w:t>
      </w:r>
      <w:proofErr w:type="spellEnd"/>
      <w:r>
        <w:rPr>
          <w:sz w:val="19"/>
          <w:szCs w:val="19"/>
        </w:rPr>
        <w:t xml:space="preserve"> and Giudici (2023), for example, found that smart-mobility research has devoted considerably greater attention to data processing and modelling than to direct environmental outcomes. Operational sustainability is therefore best understood as a system-level outcome shaped jointly by technological performance, infrastructure readiness, energy sources, user </w:t>
      </w:r>
      <w:proofErr w:type="spellStart"/>
      <w:r>
        <w:rPr>
          <w:sz w:val="19"/>
          <w:szCs w:val="19"/>
        </w:rPr>
        <w:t>behaviour</w:t>
      </w:r>
      <w:proofErr w:type="spellEnd"/>
      <w:r>
        <w:rPr>
          <w:sz w:val="19"/>
          <w:szCs w:val="19"/>
        </w:rPr>
        <w:t xml:space="preserve"> and governance.</w:t>
      </w:r>
    </w:p>
    <w:p w14:paraId="5F9823A4" w14:textId="77777777" w:rsidR="00D215B7" w:rsidRDefault="00D215B7">
      <w:pPr>
        <w:pStyle w:val="NormalWeb"/>
        <w:spacing w:beforeAutospacing="0" w:afterAutospacing="0"/>
        <w:jc w:val="both"/>
        <w:rPr>
          <w:sz w:val="19"/>
          <w:szCs w:val="19"/>
        </w:rPr>
      </w:pPr>
    </w:p>
    <w:p w14:paraId="6A9C2C18" w14:textId="77777777" w:rsidR="00D215B7" w:rsidRDefault="00000000">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2.2 Theoretical Review</w:t>
      </w:r>
    </w:p>
    <w:p w14:paraId="04549141" w14:textId="77777777" w:rsidR="00D215B7" w:rsidRDefault="00000000">
      <w:pPr>
        <w:pStyle w:val="NormalWeb"/>
        <w:spacing w:beforeAutospacing="0" w:afterAutospacing="0"/>
        <w:jc w:val="both"/>
        <w:rPr>
          <w:sz w:val="19"/>
          <w:szCs w:val="19"/>
        </w:rPr>
      </w:pPr>
      <w:r>
        <w:rPr>
          <w:sz w:val="19"/>
          <w:szCs w:val="19"/>
        </w:rPr>
        <w:t xml:space="preserve">The relationship between artificial intelligence, intelligent transportation infrastructure and sustainable mobility is best interpreted through complementary technological-innovation and sustainability-transition perspectives. Technological Innovation Systems theory explains technological development as the outcome of interactions among firms, governments, research institutions, infrastructure providers, markets and regulatory institutions rather than as the result of technical invention alone. Applied to smart mobility, the perspective suggests that the diffusion of AI, connected vehicles, predictive analytics and digital transport </w:t>
      </w:r>
      <w:r>
        <w:rPr>
          <w:sz w:val="19"/>
          <w:szCs w:val="19"/>
        </w:rPr>
        <w:lastRenderedPageBreak/>
        <w:t>infrastructure depends on knowledge development, market formation, institutional legitimacy, investment, technical standards and supporting infrastructure. The uneven adoption of intelligent mobility across regions is therefore consistent with differences in institutional capacity, digital readiness and innovation-system maturity.</w:t>
      </w:r>
    </w:p>
    <w:p w14:paraId="3B5519BE" w14:textId="77777777" w:rsidR="00D215B7" w:rsidRDefault="00000000">
      <w:pPr>
        <w:pStyle w:val="NormalWeb"/>
        <w:spacing w:beforeAutospacing="0" w:afterAutospacing="0"/>
        <w:jc w:val="both"/>
        <w:rPr>
          <w:sz w:val="19"/>
          <w:szCs w:val="19"/>
        </w:rPr>
      </w:pPr>
      <w:r>
        <w:rPr>
          <w:sz w:val="19"/>
          <w:szCs w:val="19"/>
        </w:rPr>
        <w:t xml:space="preserve">Sustainability Transition Theory extends this explanation by treating mobility transformation as a broader socio-technical process involving simultaneous changes in technology, institutions, policy, user practices, markets and infrastructure. </w:t>
      </w:r>
      <w:proofErr w:type="spellStart"/>
      <w:r>
        <w:rPr>
          <w:sz w:val="19"/>
          <w:szCs w:val="19"/>
        </w:rPr>
        <w:t>Kivimaa</w:t>
      </w:r>
      <w:proofErr w:type="spellEnd"/>
      <w:r>
        <w:rPr>
          <w:sz w:val="19"/>
          <w:szCs w:val="19"/>
        </w:rPr>
        <w:t xml:space="preserve"> et al. (2021) show that sustainability transitions cannot be reduced to technological disruption because regulatory arrangements, </w:t>
      </w:r>
      <w:proofErr w:type="spellStart"/>
      <w:r>
        <w:rPr>
          <w:sz w:val="19"/>
          <w:szCs w:val="19"/>
        </w:rPr>
        <w:t>behavioural</w:t>
      </w:r>
      <w:proofErr w:type="spellEnd"/>
      <w:r>
        <w:rPr>
          <w:sz w:val="19"/>
          <w:szCs w:val="19"/>
        </w:rPr>
        <w:t xml:space="preserve"> practices, actor networks and institutional structures also determine the speed and direction of change. Evidence from Mobility-as-a-Service development similarly demonstrates that policy experimentation and gradual institutional restructuring can create the regulatory and market conditions required for new mobility innovations to develop (</w:t>
      </w:r>
      <w:proofErr w:type="spellStart"/>
      <w:r>
        <w:rPr>
          <w:sz w:val="19"/>
          <w:szCs w:val="19"/>
        </w:rPr>
        <w:t>Kivimaa</w:t>
      </w:r>
      <w:proofErr w:type="spellEnd"/>
      <w:r>
        <w:rPr>
          <w:sz w:val="19"/>
          <w:szCs w:val="19"/>
        </w:rPr>
        <w:t xml:space="preserve"> &amp; Rogge, 2022).</w:t>
      </w:r>
    </w:p>
    <w:p w14:paraId="4AC97187" w14:textId="77777777" w:rsidR="00D215B7" w:rsidRDefault="00000000">
      <w:pPr>
        <w:pStyle w:val="NormalWeb"/>
        <w:spacing w:beforeAutospacing="0" w:afterAutospacing="0"/>
        <w:jc w:val="both"/>
        <w:rPr>
          <w:sz w:val="19"/>
          <w:szCs w:val="19"/>
        </w:rPr>
      </w:pPr>
      <w:r>
        <w:rPr>
          <w:sz w:val="19"/>
          <w:szCs w:val="19"/>
        </w:rPr>
        <w:t xml:space="preserve">These perspectives are particularly relevant because AI-enabled mobility operates within an established transport-energy-governance system. Advances in machine learning or autonomous control may improve technical capability, but system-level sustainability depends on complementary changes in infrastructure, electricity systems, regulation, </w:t>
      </w:r>
      <w:proofErr w:type="spellStart"/>
      <w:r>
        <w:rPr>
          <w:sz w:val="19"/>
          <w:szCs w:val="19"/>
        </w:rPr>
        <w:t>organisational</w:t>
      </w:r>
      <w:proofErr w:type="spellEnd"/>
      <w:r>
        <w:rPr>
          <w:sz w:val="19"/>
          <w:szCs w:val="19"/>
        </w:rPr>
        <w:t xml:space="preserve"> competence and mobility </w:t>
      </w:r>
      <w:proofErr w:type="spellStart"/>
      <w:r>
        <w:rPr>
          <w:sz w:val="19"/>
          <w:szCs w:val="19"/>
        </w:rPr>
        <w:t>behaviour</w:t>
      </w:r>
      <w:proofErr w:type="spellEnd"/>
      <w:r>
        <w:rPr>
          <w:sz w:val="19"/>
          <w:szCs w:val="19"/>
        </w:rPr>
        <w:t xml:space="preserve">. </w:t>
      </w:r>
      <w:proofErr w:type="spellStart"/>
      <w:r>
        <w:rPr>
          <w:sz w:val="19"/>
          <w:szCs w:val="19"/>
        </w:rPr>
        <w:t>Servou</w:t>
      </w:r>
      <w:proofErr w:type="spellEnd"/>
      <w:r>
        <w:rPr>
          <w:sz w:val="19"/>
          <w:szCs w:val="19"/>
        </w:rPr>
        <w:t xml:space="preserve"> et al. (2023) further show that algorithms themselves increasingly participate in mobility governance by influencing service allocation, user choice and system </w:t>
      </w:r>
      <w:proofErr w:type="spellStart"/>
      <w:r>
        <w:rPr>
          <w:sz w:val="19"/>
          <w:szCs w:val="19"/>
        </w:rPr>
        <w:t>optimisation</w:t>
      </w:r>
      <w:proofErr w:type="spellEnd"/>
      <w:r>
        <w:rPr>
          <w:sz w:val="19"/>
          <w:szCs w:val="19"/>
        </w:rPr>
        <w:t>. This introduces issues of transparency, accountability, bias and public value that purely technological explanations cannot adequately capture.</w:t>
      </w:r>
    </w:p>
    <w:p w14:paraId="2D152A47" w14:textId="77777777" w:rsidR="00D215B7" w:rsidRDefault="00000000">
      <w:pPr>
        <w:pStyle w:val="NormalWeb"/>
        <w:spacing w:beforeAutospacing="0" w:afterAutospacing="0"/>
        <w:jc w:val="both"/>
        <w:rPr>
          <w:sz w:val="19"/>
          <w:szCs w:val="19"/>
        </w:rPr>
      </w:pPr>
      <w:r>
        <w:rPr>
          <w:sz w:val="19"/>
        </w:rPr>
        <w:t xml:space="preserve">Accordingly, this study uses Technological Innovation Systems Theory and Sustainability Transition Theory as complementary analytical lenses. The former helps interpret the conditions supporting the emergence and diffusion of intelligent transport technologies, while the latter helps explain how such technologies interact with institutional, infrastructural, </w:t>
      </w:r>
      <w:proofErr w:type="spellStart"/>
      <w:r>
        <w:rPr>
          <w:sz w:val="19"/>
        </w:rPr>
        <w:t>behavioural</w:t>
      </w:r>
      <w:proofErr w:type="spellEnd"/>
      <w:r>
        <w:rPr>
          <w:sz w:val="19"/>
        </w:rPr>
        <w:t xml:space="preserve"> and environmental change. These theories were used for interpretive integration of the review findings; they were not used as eligibility criteria or as confirmatory hypotheses. Together, they support a system-level reading of the evidence in which technological capability is considered alongside intelligent infrastructure, institutional capacity, energy-system readiness and governance.</w:t>
      </w:r>
    </w:p>
    <w:p w14:paraId="20039E4B" w14:textId="77777777" w:rsidR="00D215B7" w:rsidRDefault="00000000">
      <w:pPr>
        <w:pStyle w:val="NormalWeb"/>
        <w:spacing w:beforeAutospacing="0" w:afterAutospacing="0"/>
        <w:jc w:val="center"/>
        <w:rPr>
          <w:sz w:val="19"/>
          <w:szCs w:val="19"/>
          <w:lang w:val="en-CA"/>
        </w:rPr>
      </w:pPr>
      <w:r>
        <w:rPr>
          <w:noProof/>
          <w:sz w:val="19"/>
          <w:szCs w:val="19"/>
          <w:lang w:val="en-CA"/>
        </w:rPr>
        <w:drawing>
          <wp:inline distT="0" distB="0" distL="114300" distR="114300" wp14:anchorId="425A2A1A" wp14:editId="180DEE68">
            <wp:extent cx="3414395" cy="2600325"/>
            <wp:effectExtent l="0" t="0" r="0" b="0"/>
            <wp:docPr id="2" name="Picture 2" descr="ChatGPT Image Sep 1, 2026, 02_35_05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tGPT Image Sep 1, 2026, 02_35_05 PM"/>
                    <pic:cNvPicPr>
                      <a:picLocks noChangeAspect="1"/>
                    </pic:cNvPicPr>
                  </pic:nvPicPr>
                  <pic:blipFill>
                    <a:blip r:embed="rId4"/>
                    <a:srcRect l="3307" t="11022" r="3342" b="7728"/>
                    <a:stretch>
                      <a:fillRect/>
                    </a:stretch>
                  </pic:blipFill>
                  <pic:spPr>
                    <a:xfrm>
                      <a:off x="0" y="0"/>
                      <a:ext cx="3414395" cy="2600325"/>
                    </a:xfrm>
                    <a:prstGeom prst="rect">
                      <a:avLst/>
                    </a:prstGeom>
                  </pic:spPr>
                </pic:pic>
              </a:graphicData>
            </a:graphic>
          </wp:inline>
        </w:drawing>
      </w:r>
    </w:p>
    <w:p w14:paraId="45DC5513" w14:textId="77777777" w:rsidR="00D215B7" w:rsidRDefault="00000000">
      <w:pPr>
        <w:pStyle w:val="Heading3"/>
        <w:spacing w:beforeAutospacing="0" w:afterAutospacing="0"/>
        <w:jc w:val="both"/>
        <w:rPr>
          <w:rFonts w:ascii="Times New Roman" w:hAnsi="Times New Roman" w:hint="default"/>
          <w:b w:val="0"/>
          <w:bCs w:val="0"/>
          <w:sz w:val="19"/>
          <w:szCs w:val="19"/>
        </w:rPr>
      </w:pPr>
      <w:r>
        <w:rPr>
          <w:rFonts w:ascii="Times New Roman" w:hAnsi="Times New Roman" w:hint="default"/>
          <w:b w:val="0"/>
          <w:bCs w:val="0"/>
          <w:sz w:val="22"/>
          <w:szCs w:val="19"/>
        </w:rPr>
        <w:t>Figure 1. Integrated Conceptual Framework of the AI–Smart Mobility Nexus</w:t>
      </w:r>
    </w:p>
    <w:p w14:paraId="30B88BBA" w14:textId="77777777" w:rsidR="00D215B7" w:rsidRDefault="00000000">
      <w:pPr>
        <w:pStyle w:val="Heading3"/>
        <w:spacing w:beforeAutospacing="0" w:afterAutospacing="0"/>
        <w:jc w:val="both"/>
        <w:rPr>
          <w:rFonts w:ascii="Times New Roman" w:hAnsi="Times New Roman" w:hint="default"/>
          <w:b w:val="0"/>
          <w:bCs w:val="0"/>
          <w:sz w:val="19"/>
          <w:szCs w:val="19"/>
        </w:rPr>
      </w:pPr>
      <w:r>
        <w:rPr>
          <w:rFonts w:ascii="Times New Roman" w:hAnsi="Times New Roman" w:hint="default"/>
          <w:b w:val="0"/>
          <w:bCs w:val="0"/>
          <w:sz w:val="22"/>
          <w:szCs w:val="19"/>
        </w:rPr>
        <w:t xml:space="preserve">Source: Authors’ </w:t>
      </w:r>
      <w:proofErr w:type="spellStart"/>
      <w:r>
        <w:rPr>
          <w:rFonts w:ascii="Times New Roman" w:hAnsi="Times New Roman" w:hint="default"/>
          <w:b w:val="0"/>
          <w:bCs w:val="0"/>
          <w:sz w:val="22"/>
          <w:szCs w:val="19"/>
        </w:rPr>
        <w:t>conceptualisation</w:t>
      </w:r>
      <w:proofErr w:type="spellEnd"/>
      <w:r>
        <w:rPr>
          <w:rFonts w:ascii="Times New Roman" w:hAnsi="Times New Roman" w:hint="default"/>
          <w:b w:val="0"/>
          <w:bCs w:val="0"/>
          <w:sz w:val="22"/>
          <w:szCs w:val="19"/>
        </w:rPr>
        <w:t xml:space="preserve"> based on the reviewed literature.</w:t>
      </w:r>
    </w:p>
    <w:p w14:paraId="32D51F89" w14:textId="77777777" w:rsidR="00D215B7" w:rsidRDefault="00000000">
      <w:pPr>
        <w:pStyle w:val="Heading3"/>
        <w:spacing w:beforeAutospacing="0" w:afterAutospacing="0"/>
        <w:jc w:val="both"/>
        <w:rPr>
          <w:rFonts w:ascii="Times New Roman" w:hAnsi="Times New Roman" w:hint="default"/>
          <w:b w:val="0"/>
          <w:bCs w:val="0"/>
          <w:sz w:val="19"/>
          <w:szCs w:val="19"/>
        </w:rPr>
      </w:pPr>
      <w:r>
        <w:rPr>
          <w:rFonts w:ascii="Times New Roman" w:hAnsi="Times New Roman" w:hint="default"/>
          <w:b w:val="0"/>
          <w:bCs w:val="0"/>
          <w:sz w:val="22"/>
          <w:szCs w:val="19"/>
        </w:rPr>
        <w:br/>
        <w:t>Figure 1</w:t>
      </w:r>
      <w:r>
        <w:rPr>
          <w:rFonts w:ascii="Times New Roman" w:hAnsi="Times New Roman" w:hint="default"/>
          <w:b w:val="0"/>
          <w:bCs w:val="0"/>
          <w:sz w:val="22"/>
          <w:szCs w:val="19"/>
          <w:lang w:val="en-CA"/>
        </w:rPr>
        <w:t xml:space="preserve"> illustrates</w:t>
      </w:r>
      <w:r>
        <w:rPr>
          <w:rFonts w:ascii="Times New Roman" w:hAnsi="Times New Roman" w:hint="default"/>
          <w:b w:val="0"/>
          <w:bCs w:val="0"/>
          <w:sz w:val="22"/>
          <w:szCs w:val="19"/>
        </w:rPr>
        <w:t xml:space="preserve"> how artificial intelligence supports smart mobility through machine learning, predictive analytics, IoT sensing and computer vision. These capabilities influence traffic management, routing, incident detection and integrated mobility services, which in turn shape operational sustainability. Intelligent transportation infrastructure provides the enabling platform, while governance conditions and energy-system readiness influence the strength and sustainability of these relationships.</w:t>
      </w:r>
    </w:p>
    <w:p w14:paraId="352790C1" w14:textId="77777777" w:rsidR="00D215B7" w:rsidRDefault="00D215B7">
      <w:pPr>
        <w:pStyle w:val="Heading3"/>
        <w:spacing w:beforeAutospacing="0" w:afterAutospacing="0"/>
        <w:jc w:val="both"/>
        <w:rPr>
          <w:rFonts w:ascii="Times New Roman" w:hAnsi="Times New Roman" w:hint="default"/>
          <w:b w:val="0"/>
          <w:bCs w:val="0"/>
          <w:sz w:val="19"/>
          <w:szCs w:val="19"/>
        </w:rPr>
      </w:pPr>
    </w:p>
    <w:p w14:paraId="49E9089D" w14:textId="77777777" w:rsidR="00D215B7" w:rsidRDefault="00000000">
      <w:pPr>
        <w:pStyle w:val="Heading3"/>
        <w:spacing w:beforeAutospacing="0" w:afterAutospacing="0"/>
        <w:jc w:val="both"/>
        <w:rPr>
          <w:rFonts w:ascii="Times New Roman" w:hAnsi="Times New Roman" w:hint="default"/>
          <w:sz w:val="22"/>
          <w:szCs w:val="22"/>
        </w:rPr>
      </w:pPr>
      <w:r>
        <w:rPr>
          <w:rFonts w:ascii="Times New Roman" w:hAnsi="Times New Roman" w:hint="default"/>
          <w:sz w:val="22"/>
        </w:rPr>
        <w:t>2.3 Evidence-Base Context</w:t>
      </w:r>
    </w:p>
    <w:p w14:paraId="0BFC5A56" w14:textId="77777777" w:rsidR="00D215B7" w:rsidRDefault="00000000">
      <w:pPr>
        <w:pStyle w:val="NormalWeb"/>
        <w:spacing w:beforeAutospacing="0" w:afterAutospacing="0"/>
        <w:jc w:val="both"/>
        <w:rPr>
          <w:sz w:val="19"/>
          <w:szCs w:val="19"/>
        </w:rPr>
      </w:pPr>
      <w:r>
        <w:rPr>
          <w:sz w:val="19"/>
        </w:rPr>
        <w:t>The eligible literature is dominated by secondary evidence. Of the 30 included sources,</w:t>
      </w:r>
      <w:r>
        <w:rPr>
          <w:sz w:val="19"/>
          <w:highlight w:val="yellow"/>
          <w:lang w:val="en-CA"/>
        </w:rPr>
        <w:t xml:space="preserve"> 29 synthesise existing research through reviews, surveys, meta-reviews, bibliometric analyses or conceptual discussions, </w:t>
      </w:r>
      <w:r>
        <w:rPr>
          <w:sz w:val="19"/>
        </w:rPr>
        <w:t>and one is a case study. This composition provides broad coverage across transport technologies and sustainability domains but limits the independence of the evidence because multiple reviews may draw on overlapping primary studies.</w:t>
      </w:r>
    </w:p>
    <w:p w14:paraId="6B224CE9" w14:textId="77777777" w:rsidR="00D215B7" w:rsidRDefault="00000000">
      <w:pPr>
        <w:pStyle w:val="NormalWeb"/>
        <w:spacing w:beforeAutospacing="0" w:afterAutospacing="0"/>
        <w:jc w:val="both"/>
        <w:rPr>
          <w:sz w:val="19"/>
          <w:szCs w:val="19"/>
        </w:rPr>
      </w:pPr>
      <w:r>
        <w:rPr>
          <w:sz w:val="19"/>
        </w:rPr>
        <w:lastRenderedPageBreak/>
        <w:t xml:space="preserve">Across the review-level evidence, traffic prediction, adaptive control, route </w:t>
      </w:r>
      <w:proofErr w:type="spellStart"/>
      <w:r>
        <w:rPr>
          <w:sz w:val="19"/>
        </w:rPr>
        <w:t>optimisation</w:t>
      </w:r>
      <w:proofErr w:type="spellEnd"/>
      <w:r>
        <w:rPr>
          <w:sz w:val="19"/>
        </w:rPr>
        <w:t xml:space="preserve"> and data-driven transport planning are among the most frequently discussed AI applications </w:t>
      </w:r>
      <w:r>
        <w:rPr>
          <w:sz w:val="19"/>
          <w:highlight w:val="yellow"/>
        </w:rPr>
        <w:t>(</w:t>
      </w:r>
      <w:proofErr w:type="spellStart"/>
      <w:r>
        <w:rPr>
          <w:sz w:val="19"/>
          <w:highlight w:val="yellow"/>
        </w:rPr>
        <w:t>Bazzan</w:t>
      </w:r>
      <w:proofErr w:type="spellEnd"/>
      <w:r>
        <w:rPr>
          <w:sz w:val="19"/>
          <w:highlight w:val="yellow"/>
        </w:rPr>
        <w:t xml:space="preserve">, 2026; Del-Coco et al., 2025; Du et al., 2025; Gheorghe &amp; </w:t>
      </w:r>
      <w:proofErr w:type="spellStart"/>
      <w:r>
        <w:rPr>
          <w:sz w:val="19"/>
          <w:highlight w:val="yellow"/>
        </w:rPr>
        <w:t>Soica</w:t>
      </w:r>
      <w:proofErr w:type="spellEnd"/>
      <w:r>
        <w:rPr>
          <w:sz w:val="19"/>
          <w:highlight w:val="yellow"/>
        </w:rPr>
        <w:t>, 2025; Jalil et al., 2024; Zulkarnain &amp; Putri, 2021)</w:t>
      </w:r>
      <w:r>
        <w:rPr>
          <w:sz w:val="19"/>
        </w:rPr>
        <w:t>. Reported performance is consistently linked to data availability, sensing coverage, computational capacity and transferability across traffic environments.</w:t>
      </w:r>
    </w:p>
    <w:p w14:paraId="1DED8547" w14:textId="77777777" w:rsidR="00D215B7" w:rsidRDefault="00000000">
      <w:pPr>
        <w:pStyle w:val="NormalWeb"/>
        <w:spacing w:beforeAutospacing="0" w:afterAutospacing="0"/>
        <w:jc w:val="both"/>
        <w:rPr>
          <w:sz w:val="19"/>
          <w:szCs w:val="19"/>
        </w:rPr>
      </w:pPr>
      <w:r>
        <w:rPr>
          <w:sz w:val="19"/>
        </w:rPr>
        <w:t xml:space="preserve">Connected infrastructure and safety form a second major evidence cluster. Roadside sensing, vehicle-to-infrastructure communication, computer vision and connected-vehicle systems are repeatedly associated with improved perception, incident recognition and operational coordination, but reviews also </w:t>
      </w:r>
      <w:proofErr w:type="spellStart"/>
      <w:r>
        <w:rPr>
          <w:sz w:val="19"/>
        </w:rPr>
        <w:t>emphasise</w:t>
      </w:r>
      <w:proofErr w:type="spellEnd"/>
      <w:r>
        <w:rPr>
          <w:sz w:val="19"/>
        </w:rPr>
        <w:t xml:space="preserve"> interoperability, cybersecurity, unusual-event detection, adverse operating conditions and real-world </w:t>
      </w:r>
      <w:proofErr w:type="spellStart"/>
      <w:r>
        <w:rPr>
          <w:sz w:val="19"/>
        </w:rPr>
        <w:t>generalisability</w:t>
      </w:r>
      <w:proofErr w:type="spellEnd"/>
      <w:r>
        <w:rPr>
          <w:sz w:val="19"/>
        </w:rPr>
        <w:t xml:space="preserve"> as persistent constraints (</w:t>
      </w:r>
      <w:proofErr w:type="spellStart"/>
      <w:r>
        <w:rPr>
          <w:sz w:val="19"/>
        </w:rPr>
        <w:t>Adewopo</w:t>
      </w:r>
      <w:proofErr w:type="spellEnd"/>
      <w:r>
        <w:rPr>
          <w:sz w:val="19"/>
        </w:rPr>
        <w:t xml:space="preserve"> et al., 2023; </w:t>
      </w:r>
      <w:proofErr w:type="spellStart"/>
      <w:r>
        <w:rPr>
          <w:sz w:val="19"/>
        </w:rPr>
        <w:t>Creß</w:t>
      </w:r>
      <w:proofErr w:type="spellEnd"/>
      <w:r>
        <w:rPr>
          <w:sz w:val="19"/>
        </w:rPr>
        <w:t xml:space="preserve"> et al., 2024; Del-Coco et al., 2025; Nandy et al., 2024).</w:t>
      </w:r>
    </w:p>
    <w:p w14:paraId="3C1EA75F" w14:textId="77777777" w:rsidR="00D215B7" w:rsidRDefault="00000000">
      <w:pPr>
        <w:pStyle w:val="NormalWeb"/>
        <w:spacing w:beforeAutospacing="0" w:afterAutospacing="0"/>
        <w:jc w:val="both"/>
        <w:rPr>
          <w:sz w:val="19"/>
          <w:szCs w:val="19"/>
        </w:rPr>
      </w:pPr>
      <w:r>
        <w:rPr>
          <w:sz w:val="19"/>
        </w:rPr>
        <w:t xml:space="preserve">Energy and sustainability evidence is more qualified. Smart charging, vehicle-to-grid coordination, </w:t>
      </w:r>
      <w:proofErr w:type="spellStart"/>
      <w:r>
        <w:rPr>
          <w:sz w:val="19"/>
        </w:rPr>
        <w:t>AIoT</w:t>
      </w:r>
      <w:proofErr w:type="spellEnd"/>
      <w:r>
        <w:rPr>
          <w:sz w:val="19"/>
        </w:rPr>
        <w:t xml:space="preserve"> and digital twins can support charging </w:t>
      </w:r>
      <w:proofErr w:type="spellStart"/>
      <w:r>
        <w:rPr>
          <w:sz w:val="19"/>
        </w:rPr>
        <w:t>optimisation</w:t>
      </w:r>
      <w:proofErr w:type="spellEnd"/>
      <w:r>
        <w:rPr>
          <w:sz w:val="19"/>
        </w:rPr>
        <w:t xml:space="preserve"> and renewable-energy integration (Sadeghian et al., 2022; </w:t>
      </w:r>
      <w:proofErr w:type="spellStart"/>
      <w:r>
        <w:rPr>
          <w:sz w:val="19"/>
        </w:rPr>
        <w:t>Tightiz</w:t>
      </w:r>
      <w:proofErr w:type="spellEnd"/>
      <w:r>
        <w:rPr>
          <w:sz w:val="19"/>
        </w:rPr>
        <w:t xml:space="preserve"> et al., 2025; Yu et al., 2024; Zhao et al., 2024), but reviews of smart mobility caution that operational efficiency is not equivalent to environmental sustainability (</w:t>
      </w:r>
      <w:proofErr w:type="spellStart"/>
      <w:r>
        <w:rPr>
          <w:sz w:val="19"/>
        </w:rPr>
        <w:t>D'Alberto</w:t>
      </w:r>
      <w:proofErr w:type="spellEnd"/>
      <w:r>
        <w:rPr>
          <w:sz w:val="19"/>
        </w:rPr>
        <w:t xml:space="preserve"> &amp; Giudici, 2023; </w:t>
      </w:r>
      <w:proofErr w:type="spellStart"/>
      <w:r>
        <w:rPr>
          <w:sz w:val="19"/>
        </w:rPr>
        <w:t>Mitieka</w:t>
      </w:r>
      <w:proofErr w:type="spellEnd"/>
      <w:r>
        <w:rPr>
          <w:sz w:val="19"/>
        </w:rPr>
        <w:t xml:space="preserve"> et al., 2023).</w:t>
      </w:r>
    </w:p>
    <w:p w14:paraId="7F07B249" w14:textId="2C611340" w:rsidR="00D215B7" w:rsidRDefault="00000000">
      <w:pPr>
        <w:pStyle w:val="NormalWeb"/>
        <w:spacing w:beforeAutospacing="0" w:afterAutospacing="0"/>
        <w:jc w:val="both"/>
        <w:rPr>
          <w:sz w:val="19"/>
          <w:szCs w:val="19"/>
        </w:rPr>
      </w:pPr>
      <w:r>
        <w:rPr>
          <w:sz w:val="19"/>
        </w:rPr>
        <w:t xml:space="preserve">Governance and institutional capacity form a cross-cutting evidence domain. Data governance, privacy, cybersecurity, accessibility, policy experimentation and institutional coordination influence whether AI-enabled mobility systems achieve public-value and sustainability objectives </w:t>
      </w:r>
      <w:r>
        <w:rPr>
          <w:sz w:val="19"/>
          <w:highlight w:val="yellow"/>
        </w:rPr>
        <w:t>(</w:t>
      </w:r>
      <w:r w:rsidR="00536A90" w:rsidRPr="00536A90">
        <w:rPr>
          <w:sz w:val="19"/>
          <w:highlight w:val="yellow"/>
        </w:rPr>
        <w:t>Bokolo</w:t>
      </w:r>
      <w:r w:rsidRPr="00536A90">
        <w:rPr>
          <w:sz w:val="19"/>
          <w:highlight w:val="yellow"/>
        </w:rPr>
        <w:t xml:space="preserve">, </w:t>
      </w:r>
      <w:r>
        <w:rPr>
          <w:sz w:val="19"/>
          <w:highlight w:val="yellow"/>
        </w:rPr>
        <w:t xml:space="preserve">2025; Joshi et al., 2026; </w:t>
      </w:r>
      <w:proofErr w:type="spellStart"/>
      <w:r>
        <w:rPr>
          <w:sz w:val="19"/>
          <w:highlight w:val="yellow"/>
        </w:rPr>
        <w:t>Kivimaa</w:t>
      </w:r>
      <w:proofErr w:type="spellEnd"/>
      <w:r>
        <w:rPr>
          <w:sz w:val="19"/>
          <w:highlight w:val="yellow"/>
        </w:rPr>
        <w:t xml:space="preserve"> &amp; Rogge, 2022; </w:t>
      </w:r>
      <w:proofErr w:type="spellStart"/>
      <w:r>
        <w:rPr>
          <w:sz w:val="19"/>
          <w:highlight w:val="yellow"/>
        </w:rPr>
        <w:t>Servou</w:t>
      </w:r>
      <w:proofErr w:type="spellEnd"/>
      <w:r>
        <w:rPr>
          <w:sz w:val="19"/>
          <w:highlight w:val="yellow"/>
        </w:rPr>
        <w:t xml:space="preserve"> et al., 2023)</w:t>
      </w:r>
      <w:r>
        <w:rPr>
          <w:sz w:val="19"/>
        </w:rPr>
        <w:t xml:space="preserve">. Regional implementation also varies with digital infrastructure, financing and institutional readiness (Adeniran et al., 2026; </w:t>
      </w:r>
      <w:proofErr w:type="spellStart"/>
      <w:r>
        <w:rPr>
          <w:sz w:val="19"/>
        </w:rPr>
        <w:t>Mitieka</w:t>
      </w:r>
      <w:proofErr w:type="spellEnd"/>
      <w:r>
        <w:rPr>
          <w:sz w:val="19"/>
        </w:rPr>
        <w:t xml:space="preserve"> et al., 2023).</w:t>
      </w:r>
    </w:p>
    <w:p w14:paraId="654FA55C" w14:textId="77777777" w:rsidR="00D215B7" w:rsidRDefault="00000000">
      <w:pPr>
        <w:pStyle w:val="NormalWeb"/>
        <w:spacing w:beforeAutospacing="0" w:afterAutospacing="0"/>
        <w:jc w:val="both"/>
        <w:rPr>
          <w:sz w:val="19"/>
          <w:szCs w:val="19"/>
        </w:rPr>
      </w:pPr>
      <w:r>
        <w:rPr>
          <w:sz w:val="19"/>
        </w:rPr>
        <w:t>Accordingly, this section establishes the context and composition of the evidence base rather than duplicating the included-source synthesis. The detailed thematic synthesis is presented in Section 4, where reported findings are interpreted with explicit attention to source type, heterogeneity and the non-independence of review-level evidence.</w:t>
      </w:r>
    </w:p>
    <w:p w14:paraId="3B87AA97" w14:textId="77777777" w:rsidR="00D215B7" w:rsidRDefault="00D215B7">
      <w:pPr>
        <w:pStyle w:val="Heading3"/>
        <w:spacing w:beforeAutospacing="0" w:afterAutospacing="0"/>
        <w:jc w:val="both"/>
        <w:rPr>
          <w:rFonts w:ascii="Times New Roman" w:hAnsi="Times New Roman" w:hint="default"/>
          <w:sz w:val="19"/>
          <w:szCs w:val="19"/>
        </w:rPr>
      </w:pPr>
    </w:p>
    <w:p w14:paraId="5EA83979" w14:textId="77777777" w:rsidR="00D215B7" w:rsidRDefault="00000000">
      <w:pPr>
        <w:pStyle w:val="Heading2"/>
        <w:spacing w:beforeAutospacing="0" w:afterAutospacing="0"/>
        <w:jc w:val="both"/>
        <w:rPr>
          <w:rFonts w:ascii="Times New Roman" w:hAnsi="Times New Roman" w:hint="default"/>
          <w:sz w:val="22"/>
          <w:szCs w:val="22"/>
        </w:rPr>
      </w:pPr>
      <w:r>
        <w:rPr>
          <w:rFonts w:ascii="Times New Roman" w:hAnsi="Times New Roman" w:hint="default"/>
          <w:sz w:val="22"/>
          <w:szCs w:val="22"/>
        </w:rPr>
        <w:t>3.0 Methodology</w:t>
      </w:r>
    </w:p>
    <w:p w14:paraId="76B1AFE5" w14:textId="77777777" w:rsidR="00D215B7" w:rsidRDefault="00000000">
      <w:pPr>
        <w:pStyle w:val="Heading3"/>
        <w:spacing w:beforeAutospacing="0" w:afterAutospacing="0"/>
        <w:jc w:val="both"/>
        <w:rPr>
          <w:rFonts w:ascii="Times New Roman" w:hAnsi="Times New Roman" w:hint="default"/>
          <w:sz w:val="19"/>
          <w:szCs w:val="19"/>
        </w:rPr>
      </w:pPr>
      <w:r>
        <w:rPr>
          <w:rFonts w:ascii="Times New Roman" w:hAnsi="Times New Roman" w:hint="default"/>
          <w:sz w:val="22"/>
          <w:szCs w:val="22"/>
        </w:rPr>
        <w:t>3.1 Review Design</w:t>
      </w:r>
    </w:p>
    <w:p w14:paraId="19B5D556" w14:textId="77777777" w:rsidR="00D215B7" w:rsidRDefault="00000000">
      <w:pPr>
        <w:pStyle w:val="NormalWeb"/>
        <w:spacing w:beforeAutospacing="0" w:afterAutospacing="0"/>
        <w:jc w:val="both"/>
        <w:rPr>
          <w:sz w:val="19"/>
          <w:szCs w:val="19"/>
        </w:rPr>
      </w:pPr>
      <w:r>
        <w:rPr>
          <w:sz w:val="19"/>
        </w:rPr>
        <w:t xml:space="preserve">This study adopted a systematic evidence-review design to </w:t>
      </w:r>
      <w:proofErr w:type="spellStart"/>
      <w:r>
        <w:rPr>
          <w:sz w:val="19"/>
        </w:rPr>
        <w:t>synthesise</w:t>
      </w:r>
      <w:proofErr w:type="spellEnd"/>
      <w:r>
        <w:rPr>
          <w:sz w:val="19"/>
        </w:rPr>
        <w:t xml:space="preserve"> recent literature on artificial intelligence, smart mobility, intelligent transportation infrastructure and operational sustainability. Reporting followed the PRISMA 2020 framework for identification, screening, eligibility assessment and inclusion (Page et al., 2021). </w:t>
      </w:r>
      <w:r>
        <w:rPr>
          <w:sz w:val="19"/>
          <w:highlight w:val="yellow"/>
        </w:rPr>
        <w:t>Because 29 of the 30 included publications were secondary syntheses and one was a case study,</w:t>
      </w:r>
      <w:r>
        <w:rPr>
          <w:sz w:val="19"/>
        </w:rPr>
        <w:t xml:space="preserve"> the unit of synthesis was the included publication rather than an assumed independent primary-study dataset. No meta-analysis or pooled effect estimate was attempted. The review therefore </w:t>
      </w:r>
      <w:proofErr w:type="spellStart"/>
      <w:r>
        <w:rPr>
          <w:sz w:val="19"/>
        </w:rPr>
        <w:t>synthesises</w:t>
      </w:r>
      <w:proofErr w:type="spellEnd"/>
      <w:r>
        <w:rPr>
          <w:sz w:val="19"/>
        </w:rPr>
        <w:t xml:space="preserve"> patterns of reported evidence, constraints and research gaps rather than estimating causal effect sizes.</w:t>
      </w:r>
    </w:p>
    <w:p w14:paraId="6FC60281" w14:textId="77777777" w:rsidR="00D215B7" w:rsidRDefault="00D215B7">
      <w:pPr>
        <w:pStyle w:val="NormalWeb"/>
        <w:spacing w:beforeAutospacing="0" w:afterAutospacing="0"/>
        <w:jc w:val="both"/>
        <w:rPr>
          <w:sz w:val="19"/>
          <w:szCs w:val="19"/>
        </w:rPr>
      </w:pPr>
    </w:p>
    <w:p w14:paraId="1A5B0CE5" w14:textId="77777777" w:rsidR="00D215B7" w:rsidRDefault="00000000">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3.2 Search Strategy</w:t>
      </w:r>
    </w:p>
    <w:p w14:paraId="320A74C0" w14:textId="77777777" w:rsidR="00D215B7" w:rsidRDefault="00000000">
      <w:pPr>
        <w:pStyle w:val="NormalWeb"/>
        <w:spacing w:beforeAutospacing="0" w:afterAutospacing="0"/>
        <w:jc w:val="both"/>
        <w:rPr>
          <w:sz w:val="19"/>
          <w:szCs w:val="19"/>
        </w:rPr>
      </w:pPr>
      <w:r>
        <w:rPr>
          <w:sz w:val="19"/>
        </w:rPr>
        <w:t xml:space="preserve">Records were identified from Scopus (n = 88), Web of Science (n = 74), IEEE Xplore (n = 63), ScienceDirect (n = 81) and Google Scholar (n = 74), covering publications </w:t>
      </w:r>
      <w:r>
        <w:rPr>
          <w:sz w:val="19"/>
          <w:highlight w:val="yellow"/>
        </w:rPr>
        <w:t>dated 2015–2026</w:t>
      </w:r>
      <w:r>
        <w:rPr>
          <w:sz w:val="19"/>
        </w:rPr>
        <w:t>. The documented concept structure combined AI terms with smart-mobility/transport-infrastructure terms and sustainability or operational-efficiency terms. A representative search string was: ("artificial intelligence" OR "machine learning" OR "predictive analytics") AND ("smart mobility" OR "intelligent transportation systems" OR "transport infrastructure") AND ("sustainability" OR "renewable energy" OR "operational efficiency"). Search terms were adapted to the syntax of each platform.</w:t>
      </w:r>
    </w:p>
    <w:p w14:paraId="562DAF22" w14:textId="77777777" w:rsidR="00D215B7" w:rsidRDefault="00000000">
      <w:pPr>
        <w:pStyle w:val="NormalWeb"/>
        <w:spacing w:beforeAutospacing="0" w:afterAutospacing="0"/>
        <w:jc w:val="both"/>
        <w:rPr>
          <w:sz w:val="19"/>
          <w:szCs w:val="19"/>
        </w:rPr>
      </w:pPr>
      <w:r>
        <w:rPr>
          <w:sz w:val="19"/>
        </w:rPr>
        <w:t>Search reporting was reviewed against PRISMA-S principles (</w:t>
      </w:r>
      <w:proofErr w:type="spellStart"/>
      <w:r>
        <w:rPr>
          <w:sz w:val="19"/>
        </w:rPr>
        <w:t>Rethlefsen</w:t>
      </w:r>
      <w:proofErr w:type="spellEnd"/>
      <w:r>
        <w:rPr>
          <w:sz w:val="19"/>
        </w:rPr>
        <w:t xml:space="preserve"> et al., 2021). The review retained the common Boolean concept structure and source-level record counts, but complete platform-exportable line-by-line search histories and a day-specific original last-search timestamp were not available for every database; this is reported as a methodological limitation rather than retrospectively reconstructed. A separate live bibliographic verification pass was completed on 23 September 2026 using publisher and DOI records to confirm reference metadata. That verification did not constitute a new eligibility search and did not alter the predefined 30-source corpus.</w:t>
      </w:r>
    </w:p>
    <w:p w14:paraId="31A48CD6" w14:textId="77777777" w:rsidR="00D215B7" w:rsidRDefault="00000000">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3.3 Eligibility Criteria</w:t>
      </w:r>
    </w:p>
    <w:p w14:paraId="10BBAD49" w14:textId="77777777" w:rsidR="00D215B7" w:rsidRDefault="00000000">
      <w:pPr>
        <w:pStyle w:val="NormalWeb"/>
        <w:spacing w:beforeAutospacing="0" w:afterAutospacing="0"/>
        <w:jc w:val="both"/>
        <w:rPr>
          <w:sz w:val="19"/>
          <w:szCs w:val="19"/>
        </w:rPr>
      </w:pPr>
      <w:r>
        <w:rPr>
          <w:sz w:val="19"/>
        </w:rPr>
        <w:t>Sources were eligible when they directly examined AI-enabled transport, smart mobility, intelligent transportation infrastructure, IoT-based transport systems, electric- or renewable-energy-supported mobility, or transport sustainability. Eligible source types included peer-reviewed journal reviews and surveys, empirical studies, high-quality conference papers and authoritative technical reports published in English between 2015 and 2026, provided that a full text was accessible and the source contributed directly to at least one review domain. In practice, the final corpus comprised 29 secondary syntheses and one case study. Duplicate records, abstract-only records without retrievable full text, publications outside the review period, sources outside the topical scope and publications with insufficient methodological relevance to the review questions were excluded.</w:t>
      </w:r>
    </w:p>
    <w:p w14:paraId="0AF37E33" w14:textId="77777777" w:rsidR="00D215B7" w:rsidRDefault="00D215B7">
      <w:pPr>
        <w:pStyle w:val="NormalWeb"/>
        <w:spacing w:beforeAutospacing="0" w:afterAutospacing="0"/>
        <w:jc w:val="both"/>
        <w:rPr>
          <w:sz w:val="19"/>
          <w:szCs w:val="19"/>
        </w:rPr>
      </w:pPr>
    </w:p>
    <w:p w14:paraId="3A3D123D" w14:textId="77777777" w:rsidR="00D215B7" w:rsidRDefault="00000000">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3.4 Study Selection</w:t>
      </w:r>
    </w:p>
    <w:p w14:paraId="53F19257" w14:textId="77777777" w:rsidR="00D215B7" w:rsidRDefault="00000000">
      <w:pPr>
        <w:pStyle w:val="NormalWeb"/>
        <w:spacing w:beforeAutospacing="0" w:afterAutospacing="0"/>
        <w:jc w:val="both"/>
        <w:rPr>
          <w:sz w:val="19"/>
          <w:szCs w:val="19"/>
        </w:rPr>
      </w:pPr>
      <w:r>
        <w:rPr>
          <w:sz w:val="19"/>
        </w:rPr>
        <w:lastRenderedPageBreak/>
        <w:t>The search identified 380 records. Before formal screening, 92 records were removed: 76 duplicate records and 16 records for other pre-screening reasons; no records were marked ineligible by automation tools. The remaining 288 titles and abstracts were screened, and 216 were excluded. Seventy-two reports were sought for retrieval, of which three could not be obtained. Sixty-nine full-text publications were assessed for eligibility. Thirty-nine were excluded: 14 were not directly focused on AI-enabled transport or smart mobility, 10 did not provide a clear transport-infrastructure or sustainability outcome, eight were outside the scope or publication criteria, and seven had insufficient methodological relevance or quality. Thirty sources met the final inclusion criteria and were retained for synthesis. The selection process is reported in Figure 2.</w:t>
      </w:r>
    </w:p>
    <w:p w14:paraId="7587E7D2" w14:textId="77777777" w:rsidR="00D215B7" w:rsidRDefault="00000000">
      <w:pPr>
        <w:pStyle w:val="NormalWeb"/>
        <w:spacing w:beforeAutospacing="0" w:afterAutospacing="0"/>
        <w:jc w:val="both"/>
        <w:rPr>
          <w:sz w:val="19"/>
          <w:szCs w:val="19"/>
        </w:rPr>
      </w:pPr>
      <w:r>
        <w:rPr>
          <w:sz w:val="19"/>
        </w:rPr>
        <w:t>Duplicate removal was undertaken before title-and-abstract screening by reconciling bibliographic identifiers and record metadata where available. Eligibility decisions were based on the predefined topical and methodological criteria rather than automated AI classification; the automation-tools count in the PRISMA diagram is therefore zero.</w:t>
      </w:r>
    </w:p>
    <w:p w14:paraId="79D569C8" w14:textId="77777777" w:rsidR="00D215B7" w:rsidRDefault="00D215B7">
      <w:pPr>
        <w:pStyle w:val="NormalWeb"/>
        <w:spacing w:beforeAutospacing="0" w:afterAutospacing="0"/>
        <w:rPr>
          <w:sz w:val="19"/>
          <w:szCs w:val="19"/>
        </w:rPr>
      </w:pPr>
    </w:p>
    <w:p w14:paraId="0B481FA9" w14:textId="77777777" w:rsidR="00D215B7" w:rsidRDefault="00D215B7">
      <w:pPr>
        <w:pStyle w:val="NormalWeb"/>
        <w:spacing w:beforeAutospacing="0" w:afterAutospacing="0"/>
        <w:rPr>
          <w:sz w:val="19"/>
          <w:szCs w:val="19"/>
        </w:rPr>
      </w:pPr>
    </w:p>
    <w:p w14:paraId="68F34F90" w14:textId="77777777" w:rsidR="00D215B7" w:rsidRDefault="00000000">
      <w:pPr>
        <w:pStyle w:val="NormalWeb"/>
        <w:spacing w:beforeAutospacing="0" w:afterAutospacing="0"/>
        <w:rPr>
          <w:sz w:val="19"/>
          <w:szCs w:val="19"/>
        </w:rPr>
      </w:pPr>
      <w:r>
        <w:rPr>
          <w:noProof/>
          <w:sz w:val="19"/>
          <w:szCs w:val="19"/>
          <w:lang w:val="en-CA"/>
        </w:rPr>
        <w:drawing>
          <wp:inline distT="0" distB="0" distL="114300" distR="114300" wp14:anchorId="697FBFC7" wp14:editId="64ED37BE">
            <wp:extent cx="2959735" cy="4071620"/>
            <wp:effectExtent l="0" t="0" r="12065" b="5080"/>
            <wp:docPr id="1" name="Picture 1" descr="ChatGPT Image Sep 1, 2026, 02_06_57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tGPT Image Sep 1, 2026, 02_06_57 PM"/>
                    <pic:cNvPicPr>
                      <a:picLocks noChangeAspect="1"/>
                    </pic:cNvPicPr>
                  </pic:nvPicPr>
                  <pic:blipFill>
                    <a:blip r:embed="rId5"/>
                    <a:srcRect l="4028" t="5549" r="3492" b="5396"/>
                    <a:stretch>
                      <a:fillRect/>
                    </a:stretch>
                  </pic:blipFill>
                  <pic:spPr>
                    <a:xfrm>
                      <a:off x="0" y="0"/>
                      <a:ext cx="2959735" cy="4071620"/>
                    </a:xfrm>
                    <a:prstGeom prst="rect">
                      <a:avLst/>
                    </a:prstGeom>
                  </pic:spPr>
                </pic:pic>
              </a:graphicData>
            </a:graphic>
          </wp:inline>
        </w:drawing>
      </w:r>
    </w:p>
    <w:p w14:paraId="594037DB" w14:textId="77777777" w:rsidR="00D215B7" w:rsidRDefault="00D215B7">
      <w:pPr>
        <w:pStyle w:val="NormalWeb"/>
        <w:spacing w:beforeAutospacing="0" w:afterAutospacing="0"/>
        <w:jc w:val="center"/>
        <w:rPr>
          <w:sz w:val="19"/>
          <w:szCs w:val="19"/>
          <w:lang w:val="en-CA"/>
        </w:rPr>
      </w:pPr>
    </w:p>
    <w:p w14:paraId="0FAB9FA8" w14:textId="77777777" w:rsidR="00D215B7" w:rsidRDefault="00000000">
      <w:pPr>
        <w:pStyle w:val="NormalWeb"/>
        <w:spacing w:beforeAutospacing="0" w:afterAutospacing="0"/>
        <w:jc w:val="both"/>
        <w:rPr>
          <w:sz w:val="19"/>
          <w:szCs w:val="19"/>
        </w:rPr>
      </w:pPr>
      <w:r>
        <w:rPr>
          <w:sz w:val="19"/>
        </w:rPr>
        <w:t>Figure 2. PRISMA 2020 Flow Diagram for Source Selection</w:t>
      </w:r>
    </w:p>
    <w:p w14:paraId="4618B45E" w14:textId="77777777" w:rsidR="00D215B7" w:rsidRDefault="00000000">
      <w:pPr>
        <w:pStyle w:val="NormalWeb"/>
        <w:spacing w:beforeAutospacing="0" w:afterAutospacing="0"/>
        <w:jc w:val="both"/>
        <w:rPr>
          <w:sz w:val="19"/>
          <w:szCs w:val="19"/>
        </w:rPr>
      </w:pPr>
      <w:r>
        <w:rPr>
          <w:sz w:val="19"/>
        </w:rPr>
        <w:t>Source: Authors’ systematic evidence synthesis, adapted from Page et al. (2021).</w:t>
      </w:r>
    </w:p>
    <w:p w14:paraId="3CCC46CD" w14:textId="77777777" w:rsidR="00D215B7" w:rsidRDefault="00D215B7">
      <w:pPr>
        <w:pStyle w:val="NormalWeb"/>
        <w:spacing w:beforeAutospacing="0" w:afterAutospacing="0"/>
        <w:jc w:val="both"/>
        <w:rPr>
          <w:sz w:val="19"/>
          <w:szCs w:val="19"/>
        </w:rPr>
      </w:pPr>
    </w:p>
    <w:p w14:paraId="03C4F959" w14:textId="77777777" w:rsidR="00D215B7" w:rsidRDefault="00000000">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3.5 Data Extraction and Thematic Synthesis</w:t>
      </w:r>
    </w:p>
    <w:p w14:paraId="369E7AC3" w14:textId="77777777" w:rsidR="00D215B7" w:rsidRDefault="00000000">
      <w:pPr>
        <w:pStyle w:val="NormalWeb"/>
        <w:spacing w:beforeAutospacing="0" w:afterAutospacing="0"/>
        <w:jc w:val="both"/>
        <w:rPr>
          <w:sz w:val="19"/>
          <w:szCs w:val="19"/>
          <w:lang w:val="en-CA"/>
        </w:rPr>
      </w:pPr>
      <w:r>
        <w:rPr>
          <w:sz w:val="19"/>
        </w:rPr>
        <w:t>A structured extraction framework captured publication year, source type, geographical framing, technology examined, infrastructure characteristics, research method, operational outcomes, sustainability implications and reported limitations. Each of the 30 included sources was mapped to one or more synthesis domains and its principal contribution is documented in Supplementary Table S1. Data were coded iteratively around recurring themes relating to AI-enabled traffic management, intelligent infrastructure, safety and reliability, electric/renewable-energy integration, governance and operational sustainability. Because review-level publications could contain overlapping primary studies, repeated conclusions across reviews were not treated as independent quantitative observations.</w:t>
      </w:r>
    </w:p>
    <w:p w14:paraId="78D863DA" w14:textId="77777777" w:rsidR="00D215B7" w:rsidRDefault="00D215B7">
      <w:pPr>
        <w:pStyle w:val="NormalWeb"/>
        <w:spacing w:beforeAutospacing="0" w:afterAutospacing="0"/>
        <w:jc w:val="both"/>
        <w:rPr>
          <w:sz w:val="19"/>
          <w:szCs w:val="19"/>
        </w:rPr>
      </w:pPr>
    </w:p>
    <w:p w14:paraId="207B9A4F" w14:textId="77777777" w:rsidR="00D215B7" w:rsidRDefault="00000000">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3.6 Quality Appraisal</w:t>
      </w:r>
    </w:p>
    <w:p w14:paraId="40DB82C5" w14:textId="77777777" w:rsidR="00D215B7" w:rsidRDefault="00000000">
      <w:pPr>
        <w:pStyle w:val="NormalWeb"/>
        <w:spacing w:beforeAutospacing="0" w:afterAutospacing="0"/>
        <w:jc w:val="both"/>
        <w:rPr>
          <w:sz w:val="19"/>
          <w:szCs w:val="19"/>
        </w:rPr>
      </w:pPr>
      <w:r>
        <w:rPr>
          <w:sz w:val="19"/>
        </w:rPr>
        <w:t xml:space="preserve">Methodological quality was considered using design-appropriate domains adapted from CASP and JBI appraisal guidance. The appraisal focused on clarity of objectives, appropriateness of design, transparency of search or sampling methods, adequacy of data and analysis, acknowledgement of limitations, and alignment between evidence and conclusions. Because the corpus was methodologically heterogeneous, no single numerical quality score was applied across all source types. Appraisal informed eligibility and the weight </w:t>
      </w:r>
      <w:r>
        <w:rPr>
          <w:sz w:val="19"/>
        </w:rPr>
        <w:lastRenderedPageBreak/>
        <w:t xml:space="preserve">placed on sources during interpretation; publications with weaknesses that materially limited topical relevance or interpretability were excluded at full-text assessment. A </w:t>
      </w:r>
      <w:proofErr w:type="spellStart"/>
      <w:r>
        <w:rPr>
          <w:sz w:val="19"/>
        </w:rPr>
        <w:t>harmonised</w:t>
      </w:r>
      <w:proofErr w:type="spellEnd"/>
      <w:r>
        <w:rPr>
          <w:sz w:val="19"/>
        </w:rPr>
        <w:t xml:space="preserve"> study-level numerical risk-of-bias score was not generated across the mixed source designs, which limits formal certainty grading and is acknowledged in Section 8.</w:t>
      </w:r>
    </w:p>
    <w:p w14:paraId="403490A4" w14:textId="77777777" w:rsidR="00D215B7" w:rsidRDefault="00000000">
      <w:pPr>
        <w:pStyle w:val="Heading3"/>
        <w:spacing w:beforeAutospacing="0" w:afterAutospacing="0"/>
        <w:jc w:val="both"/>
        <w:rPr>
          <w:rFonts w:ascii="Times New Roman" w:hAnsi="Times New Roman" w:hint="default"/>
          <w:sz w:val="19"/>
          <w:szCs w:val="19"/>
        </w:rPr>
      </w:pPr>
      <w:r>
        <w:rPr>
          <w:rFonts w:ascii="Times New Roman" w:hAnsi="Times New Roman" w:hint="default"/>
          <w:sz w:val="22"/>
        </w:rPr>
        <w:t>3.7 Evidence Overlap and Certainty Handling</w:t>
      </w:r>
    </w:p>
    <w:p w14:paraId="3B9DAB96" w14:textId="77777777" w:rsidR="00D215B7" w:rsidRDefault="00000000">
      <w:pPr>
        <w:pStyle w:val="NormalWeb"/>
      </w:pPr>
      <w:r>
        <w:rPr>
          <w:sz w:val="19"/>
        </w:rPr>
        <w:t>Because the corpus is dominated by reviews and surveys, overlap of underlying primary studies is possible. Consistent with methodological concerns for reviews of reviews (Pieper et al., 2014), the synthesis avoided pooling or numerically weighting repeated findings across secondary sources. Convergence across reviews was treated as qualitative corroboration rather than as multiple independent effect estimates. A corrected covered area was not calculated because the extraction dataset did not contain a complete primary-study-by-review citation matrix for all included sources. Consequently, certainty is interpreted cautiously and conclusions are framed as evidence patterns rather than pooled causal effects.</w:t>
      </w:r>
    </w:p>
    <w:p w14:paraId="2ACC6253" w14:textId="77777777" w:rsidR="00D215B7" w:rsidRDefault="00000000">
      <w:pPr>
        <w:pStyle w:val="NormalWeb"/>
      </w:pPr>
      <w:r>
        <w:rPr>
          <w:sz w:val="19"/>
        </w:rPr>
        <w:t>Table 1 presents 14 evidence anchors selected to illustrate the principal synthesis themes and methodological diversity. Supplementary Table S1 provides the complete characteristics of all 30 included sources, including source design, analytical focus, mobility/sustainability domain and principal contribution to the review.</w:t>
      </w:r>
    </w:p>
    <w:p w14:paraId="7DE4D2E7" w14:textId="77777777" w:rsidR="00D215B7" w:rsidRDefault="00000000">
      <w:pPr>
        <w:pStyle w:val="NormalWeb"/>
        <w:spacing w:beforeAutospacing="0" w:afterAutospacing="0"/>
        <w:jc w:val="both"/>
        <w:rPr>
          <w:sz w:val="19"/>
          <w:szCs w:val="19"/>
        </w:rPr>
      </w:pPr>
      <w:r>
        <w:rPr>
          <w:sz w:val="19"/>
        </w:rPr>
        <w:t>Table 1. Selected Evidence Sources Anchoring the Main Synthesis Themes</w:t>
      </w:r>
    </w:p>
    <w:tbl>
      <w:tblPr>
        <w:tblW w:w="0" w:type="auto"/>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267"/>
        <w:gridCol w:w="1483"/>
        <w:gridCol w:w="1037"/>
        <w:gridCol w:w="2131"/>
        <w:gridCol w:w="2045"/>
        <w:gridCol w:w="1397"/>
      </w:tblGrid>
      <w:tr w:rsidR="00D215B7" w14:paraId="3610ADC3" w14:textId="77777777">
        <w:trPr>
          <w:cantSplit/>
          <w:tblHeader/>
        </w:trPr>
        <w:tc>
          <w:tcPr>
            <w:tcW w:w="1267" w:type="dxa"/>
            <w:shd w:val="clear" w:color="auto" w:fill="EDEDED"/>
            <w:tcMar>
              <w:top w:w="55" w:type="dxa"/>
              <w:left w:w="55" w:type="dxa"/>
              <w:bottom w:w="55" w:type="dxa"/>
              <w:right w:w="55" w:type="dxa"/>
            </w:tcMar>
            <w:vAlign w:val="center"/>
          </w:tcPr>
          <w:p w14:paraId="4E7BF66E" w14:textId="77777777" w:rsidR="00D215B7" w:rsidRDefault="00000000">
            <w:pPr>
              <w:jc w:val="center"/>
              <w:rPr>
                <w:rFonts w:ascii="Times New Roman" w:hAnsi="Times New Roman" w:cs="Times New Roman"/>
              </w:rPr>
            </w:pPr>
            <w:r>
              <w:rPr>
                <w:rFonts w:ascii="Times New Roman" w:hAnsi="Times New Roman" w:cs="Times New Roman"/>
                <w:b/>
                <w:sz w:val="15"/>
              </w:rPr>
              <w:t>Study</w:t>
            </w:r>
          </w:p>
        </w:tc>
        <w:tc>
          <w:tcPr>
            <w:tcW w:w="1483" w:type="dxa"/>
            <w:shd w:val="clear" w:color="auto" w:fill="EDEDED"/>
            <w:tcMar>
              <w:top w:w="55" w:type="dxa"/>
              <w:left w:w="55" w:type="dxa"/>
              <w:bottom w:w="55" w:type="dxa"/>
              <w:right w:w="55" w:type="dxa"/>
            </w:tcMar>
            <w:vAlign w:val="center"/>
          </w:tcPr>
          <w:p w14:paraId="04A9C663" w14:textId="77777777" w:rsidR="00D215B7" w:rsidRDefault="00000000">
            <w:pPr>
              <w:jc w:val="center"/>
              <w:rPr>
                <w:rFonts w:ascii="Times New Roman" w:hAnsi="Times New Roman" w:cs="Times New Roman"/>
              </w:rPr>
            </w:pPr>
            <w:r>
              <w:rPr>
                <w:rFonts w:ascii="Times New Roman" w:hAnsi="Times New Roman" w:cs="Times New Roman"/>
                <w:b/>
                <w:sz w:val="15"/>
              </w:rPr>
              <w:t>Focus/Context</w:t>
            </w:r>
          </w:p>
        </w:tc>
        <w:tc>
          <w:tcPr>
            <w:tcW w:w="1037" w:type="dxa"/>
            <w:shd w:val="clear" w:color="auto" w:fill="EDEDED"/>
            <w:tcMar>
              <w:top w:w="55" w:type="dxa"/>
              <w:left w:w="55" w:type="dxa"/>
              <w:bottom w:w="55" w:type="dxa"/>
              <w:right w:w="55" w:type="dxa"/>
            </w:tcMar>
            <w:vAlign w:val="center"/>
          </w:tcPr>
          <w:p w14:paraId="002C7113" w14:textId="77777777" w:rsidR="00D215B7" w:rsidRDefault="00000000">
            <w:pPr>
              <w:jc w:val="center"/>
              <w:rPr>
                <w:rFonts w:ascii="Times New Roman" w:hAnsi="Times New Roman" w:cs="Times New Roman"/>
              </w:rPr>
            </w:pPr>
            <w:r>
              <w:rPr>
                <w:rFonts w:ascii="Times New Roman" w:hAnsi="Times New Roman" w:cs="Times New Roman"/>
                <w:b/>
                <w:sz w:val="15"/>
              </w:rPr>
              <w:t>Method</w:t>
            </w:r>
          </w:p>
        </w:tc>
        <w:tc>
          <w:tcPr>
            <w:tcW w:w="2131" w:type="dxa"/>
            <w:shd w:val="clear" w:color="auto" w:fill="EDEDED"/>
            <w:tcMar>
              <w:top w:w="55" w:type="dxa"/>
              <w:left w:w="55" w:type="dxa"/>
              <w:bottom w:w="55" w:type="dxa"/>
              <w:right w:w="55" w:type="dxa"/>
            </w:tcMar>
            <w:vAlign w:val="center"/>
          </w:tcPr>
          <w:p w14:paraId="43FAA6B7" w14:textId="77777777" w:rsidR="00D215B7" w:rsidRDefault="00000000">
            <w:pPr>
              <w:jc w:val="center"/>
              <w:rPr>
                <w:rFonts w:ascii="Times New Roman" w:hAnsi="Times New Roman" w:cs="Times New Roman"/>
              </w:rPr>
            </w:pPr>
            <w:r>
              <w:rPr>
                <w:rFonts w:ascii="Times New Roman" w:hAnsi="Times New Roman" w:cs="Times New Roman"/>
                <w:b/>
                <w:sz w:val="15"/>
              </w:rPr>
              <w:t>Major Evidence</w:t>
            </w:r>
          </w:p>
        </w:tc>
        <w:tc>
          <w:tcPr>
            <w:tcW w:w="2045" w:type="dxa"/>
            <w:shd w:val="clear" w:color="auto" w:fill="EDEDED"/>
            <w:tcMar>
              <w:top w:w="55" w:type="dxa"/>
              <w:left w:w="55" w:type="dxa"/>
              <w:bottom w:w="55" w:type="dxa"/>
              <w:right w:w="55" w:type="dxa"/>
            </w:tcMar>
            <w:vAlign w:val="center"/>
          </w:tcPr>
          <w:p w14:paraId="01DA98E5" w14:textId="77777777" w:rsidR="00D215B7" w:rsidRDefault="00000000">
            <w:pPr>
              <w:jc w:val="center"/>
              <w:rPr>
                <w:rFonts w:ascii="Times New Roman" w:hAnsi="Times New Roman" w:cs="Times New Roman"/>
              </w:rPr>
            </w:pPr>
            <w:r>
              <w:rPr>
                <w:rFonts w:ascii="Times New Roman" w:hAnsi="Times New Roman" w:cs="Times New Roman"/>
                <w:b/>
                <w:sz w:val="15"/>
              </w:rPr>
              <w:t>Main Limitation/Gap</w:t>
            </w:r>
          </w:p>
        </w:tc>
        <w:tc>
          <w:tcPr>
            <w:tcW w:w="1397" w:type="dxa"/>
            <w:shd w:val="clear" w:color="auto" w:fill="EDEDED"/>
            <w:tcMar>
              <w:top w:w="55" w:type="dxa"/>
              <w:left w:w="55" w:type="dxa"/>
              <w:bottom w:w="55" w:type="dxa"/>
              <w:right w:w="55" w:type="dxa"/>
            </w:tcMar>
            <w:vAlign w:val="center"/>
          </w:tcPr>
          <w:p w14:paraId="3A2845F5" w14:textId="77777777" w:rsidR="00D215B7" w:rsidRDefault="00000000">
            <w:pPr>
              <w:jc w:val="center"/>
              <w:rPr>
                <w:rFonts w:ascii="Times New Roman" w:hAnsi="Times New Roman" w:cs="Times New Roman"/>
              </w:rPr>
            </w:pPr>
            <w:r>
              <w:rPr>
                <w:rFonts w:ascii="Times New Roman" w:hAnsi="Times New Roman" w:cs="Times New Roman"/>
                <w:b/>
                <w:sz w:val="15"/>
              </w:rPr>
              <w:t>Review Theme</w:t>
            </w:r>
          </w:p>
        </w:tc>
      </w:tr>
      <w:tr w:rsidR="00D215B7" w14:paraId="27DDF251" w14:textId="77777777">
        <w:trPr>
          <w:cantSplit/>
        </w:trPr>
        <w:tc>
          <w:tcPr>
            <w:tcW w:w="1267" w:type="dxa"/>
            <w:tcMar>
              <w:top w:w="55" w:type="dxa"/>
              <w:left w:w="55" w:type="dxa"/>
              <w:bottom w:w="55" w:type="dxa"/>
              <w:right w:w="55" w:type="dxa"/>
            </w:tcMar>
            <w:vAlign w:val="center"/>
          </w:tcPr>
          <w:p w14:paraId="38E6CF95" w14:textId="77777777" w:rsidR="00D215B7" w:rsidRDefault="00000000">
            <w:pPr>
              <w:jc w:val="center"/>
              <w:rPr>
                <w:rFonts w:ascii="Times New Roman" w:hAnsi="Times New Roman" w:cs="Times New Roman"/>
              </w:rPr>
            </w:pPr>
            <w:r>
              <w:rPr>
                <w:rFonts w:ascii="Times New Roman" w:hAnsi="Times New Roman" w:cs="Times New Roman"/>
                <w:sz w:val="15"/>
              </w:rPr>
              <w:t>Butler et al. (2020)</w:t>
            </w:r>
          </w:p>
        </w:tc>
        <w:tc>
          <w:tcPr>
            <w:tcW w:w="1483" w:type="dxa"/>
            <w:tcMar>
              <w:top w:w="55" w:type="dxa"/>
              <w:left w:w="55" w:type="dxa"/>
              <w:bottom w:w="55" w:type="dxa"/>
              <w:right w:w="55" w:type="dxa"/>
            </w:tcMar>
            <w:vAlign w:val="center"/>
          </w:tcPr>
          <w:p w14:paraId="09B65462" w14:textId="77777777" w:rsidR="00D215B7" w:rsidRDefault="00000000">
            <w:pPr>
              <w:rPr>
                <w:rFonts w:ascii="Times New Roman" w:hAnsi="Times New Roman" w:cs="Times New Roman"/>
              </w:rPr>
            </w:pPr>
            <w:r>
              <w:rPr>
                <w:rFonts w:ascii="Times New Roman" w:hAnsi="Times New Roman" w:cs="Times New Roman"/>
                <w:sz w:val="15"/>
              </w:rPr>
              <w:t>Smart mobility and transport disadvantage</w:t>
            </w:r>
          </w:p>
        </w:tc>
        <w:tc>
          <w:tcPr>
            <w:tcW w:w="1037" w:type="dxa"/>
            <w:tcMar>
              <w:top w:w="55" w:type="dxa"/>
              <w:left w:w="55" w:type="dxa"/>
              <w:bottom w:w="55" w:type="dxa"/>
              <w:right w:w="55" w:type="dxa"/>
            </w:tcMar>
            <w:vAlign w:val="center"/>
          </w:tcPr>
          <w:p w14:paraId="32CFF17E" w14:textId="77777777" w:rsidR="00D215B7" w:rsidRDefault="00000000">
            <w:pPr>
              <w:jc w:val="center"/>
              <w:rPr>
                <w:rFonts w:ascii="Times New Roman" w:hAnsi="Times New Roman" w:cs="Times New Roman"/>
              </w:rPr>
            </w:pPr>
            <w:r>
              <w:rPr>
                <w:rFonts w:ascii="Times New Roman" w:hAnsi="Times New Roman" w:cs="Times New Roman"/>
                <w:sz w:val="15"/>
              </w:rPr>
              <w:t>Systematic review</w:t>
            </w:r>
          </w:p>
        </w:tc>
        <w:tc>
          <w:tcPr>
            <w:tcW w:w="2131" w:type="dxa"/>
            <w:tcMar>
              <w:top w:w="55" w:type="dxa"/>
              <w:left w:w="55" w:type="dxa"/>
              <w:bottom w:w="55" w:type="dxa"/>
              <w:right w:w="55" w:type="dxa"/>
            </w:tcMar>
            <w:vAlign w:val="center"/>
          </w:tcPr>
          <w:p w14:paraId="6E7049F5" w14:textId="77777777" w:rsidR="00D215B7" w:rsidRDefault="00000000">
            <w:pPr>
              <w:rPr>
                <w:rFonts w:ascii="Times New Roman" w:hAnsi="Times New Roman" w:cs="Times New Roman"/>
              </w:rPr>
            </w:pPr>
            <w:r>
              <w:rPr>
                <w:rFonts w:ascii="Times New Roman" w:hAnsi="Times New Roman" w:cs="Times New Roman"/>
                <w:sz w:val="15"/>
              </w:rPr>
              <w:t>Smart mobility can improve accessibility and sustainability when technological innovation is aligned with user and transport-system needs.</w:t>
            </w:r>
          </w:p>
        </w:tc>
        <w:tc>
          <w:tcPr>
            <w:tcW w:w="2045" w:type="dxa"/>
            <w:tcMar>
              <w:top w:w="55" w:type="dxa"/>
              <w:left w:w="55" w:type="dxa"/>
              <w:bottom w:w="55" w:type="dxa"/>
              <w:right w:w="55" w:type="dxa"/>
            </w:tcMar>
            <w:vAlign w:val="center"/>
          </w:tcPr>
          <w:p w14:paraId="64D23E61" w14:textId="77777777" w:rsidR="00D215B7" w:rsidRDefault="00000000">
            <w:pPr>
              <w:rPr>
                <w:rFonts w:ascii="Times New Roman" w:hAnsi="Times New Roman" w:cs="Times New Roman"/>
              </w:rPr>
            </w:pPr>
            <w:r>
              <w:rPr>
                <w:rFonts w:ascii="Times New Roman" w:hAnsi="Times New Roman" w:cs="Times New Roman"/>
                <w:sz w:val="15"/>
              </w:rPr>
              <w:t>Social inclusion and accessibility require stronger integration into technological planning.</w:t>
            </w:r>
          </w:p>
        </w:tc>
        <w:tc>
          <w:tcPr>
            <w:tcW w:w="1397" w:type="dxa"/>
            <w:tcMar>
              <w:top w:w="55" w:type="dxa"/>
              <w:left w:w="55" w:type="dxa"/>
              <w:bottom w:w="55" w:type="dxa"/>
              <w:right w:w="55" w:type="dxa"/>
            </w:tcMar>
            <w:vAlign w:val="center"/>
          </w:tcPr>
          <w:p w14:paraId="70AFEB2C" w14:textId="77777777" w:rsidR="00D215B7" w:rsidRDefault="00000000">
            <w:pPr>
              <w:jc w:val="center"/>
              <w:rPr>
                <w:rFonts w:ascii="Times New Roman" w:hAnsi="Times New Roman" w:cs="Times New Roman"/>
              </w:rPr>
            </w:pPr>
            <w:r>
              <w:rPr>
                <w:rFonts w:ascii="Times New Roman" w:hAnsi="Times New Roman" w:cs="Times New Roman"/>
                <w:sz w:val="15"/>
              </w:rPr>
              <w:t>Smart mobility and sustainability</w:t>
            </w:r>
          </w:p>
        </w:tc>
      </w:tr>
      <w:tr w:rsidR="00D215B7" w14:paraId="4D9BDCA6" w14:textId="77777777">
        <w:trPr>
          <w:cantSplit/>
        </w:trPr>
        <w:tc>
          <w:tcPr>
            <w:tcW w:w="1267" w:type="dxa"/>
            <w:tcMar>
              <w:top w:w="55" w:type="dxa"/>
              <w:left w:w="55" w:type="dxa"/>
              <w:bottom w:w="55" w:type="dxa"/>
              <w:right w:w="55" w:type="dxa"/>
            </w:tcMar>
            <w:vAlign w:val="center"/>
          </w:tcPr>
          <w:p w14:paraId="08A5E6AB" w14:textId="77777777" w:rsidR="00D215B7" w:rsidRDefault="00000000">
            <w:pPr>
              <w:jc w:val="center"/>
              <w:rPr>
                <w:rFonts w:ascii="Times New Roman" w:hAnsi="Times New Roman" w:cs="Times New Roman"/>
              </w:rPr>
            </w:pPr>
            <w:proofErr w:type="spellStart"/>
            <w:r>
              <w:rPr>
                <w:rFonts w:ascii="Times New Roman" w:hAnsi="Times New Roman" w:cs="Times New Roman"/>
                <w:sz w:val="15"/>
              </w:rPr>
              <w:t>Kivimaa</w:t>
            </w:r>
            <w:proofErr w:type="spellEnd"/>
            <w:r>
              <w:rPr>
                <w:rFonts w:ascii="Times New Roman" w:hAnsi="Times New Roman" w:cs="Times New Roman"/>
                <w:sz w:val="15"/>
              </w:rPr>
              <w:t xml:space="preserve"> et al. (2021)</w:t>
            </w:r>
          </w:p>
        </w:tc>
        <w:tc>
          <w:tcPr>
            <w:tcW w:w="1483" w:type="dxa"/>
            <w:tcMar>
              <w:top w:w="55" w:type="dxa"/>
              <w:left w:w="55" w:type="dxa"/>
              <w:bottom w:w="55" w:type="dxa"/>
              <w:right w:w="55" w:type="dxa"/>
            </w:tcMar>
            <w:vAlign w:val="center"/>
          </w:tcPr>
          <w:p w14:paraId="5F8EEE68" w14:textId="77777777" w:rsidR="00D215B7" w:rsidRDefault="00000000">
            <w:pPr>
              <w:rPr>
                <w:rFonts w:ascii="Times New Roman" w:hAnsi="Times New Roman" w:cs="Times New Roman"/>
              </w:rPr>
            </w:pPr>
            <w:r>
              <w:rPr>
                <w:rFonts w:ascii="Times New Roman" w:hAnsi="Times New Roman" w:cs="Times New Roman"/>
                <w:sz w:val="15"/>
              </w:rPr>
              <w:t>Sustainability transitions</w:t>
            </w:r>
          </w:p>
        </w:tc>
        <w:tc>
          <w:tcPr>
            <w:tcW w:w="1037" w:type="dxa"/>
            <w:tcMar>
              <w:top w:w="55" w:type="dxa"/>
              <w:left w:w="55" w:type="dxa"/>
              <w:bottom w:w="55" w:type="dxa"/>
              <w:right w:w="55" w:type="dxa"/>
            </w:tcMar>
            <w:vAlign w:val="center"/>
          </w:tcPr>
          <w:p w14:paraId="095D0625" w14:textId="77777777" w:rsidR="00D215B7" w:rsidRDefault="00000000">
            <w:pPr>
              <w:jc w:val="center"/>
              <w:rPr>
                <w:rFonts w:ascii="Times New Roman" w:hAnsi="Times New Roman" w:cs="Times New Roman"/>
              </w:rPr>
            </w:pPr>
            <w:r>
              <w:rPr>
                <w:rFonts w:ascii="Times New Roman" w:hAnsi="Times New Roman" w:cs="Times New Roman"/>
                <w:sz w:val="15"/>
              </w:rPr>
              <w:t>Review</w:t>
            </w:r>
          </w:p>
        </w:tc>
        <w:tc>
          <w:tcPr>
            <w:tcW w:w="2131" w:type="dxa"/>
            <w:tcMar>
              <w:top w:w="55" w:type="dxa"/>
              <w:left w:w="55" w:type="dxa"/>
              <w:bottom w:w="55" w:type="dxa"/>
              <w:right w:w="55" w:type="dxa"/>
            </w:tcMar>
            <w:vAlign w:val="center"/>
          </w:tcPr>
          <w:p w14:paraId="50C15E4E" w14:textId="77777777" w:rsidR="00D215B7" w:rsidRDefault="00000000">
            <w:pPr>
              <w:rPr>
                <w:rFonts w:ascii="Times New Roman" w:hAnsi="Times New Roman" w:cs="Times New Roman"/>
              </w:rPr>
            </w:pPr>
            <w:r>
              <w:rPr>
                <w:rFonts w:ascii="Times New Roman" w:hAnsi="Times New Roman" w:cs="Times New Roman"/>
                <w:sz w:val="15"/>
              </w:rPr>
              <w:t>Sustainable transformation depends on interactions among technologies, institutions, actors and established socio-technical systems.</w:t>
            </w:r>
          </w:p>
        </w:tc>
        <w:tc>
          <w:tcPr>
            <w:tcW w:w="2045" w:type="dxa"/>
            <w:tcMar>
              <w:top w:w="55" w:type="dxa"/>
              <w:left w:w="55" w:type="dxa"/>
              <w:bottom w:w="55" w:type="dxa"/>
              <w:right w:w="55" w:type="dxa"/>
            </w:tcMar>
            <w:vAlign w:val="center"/>
          </w:tcPr>
          <w:p w14:paraId="254BBE43" w14:textId="77777777" w:rsidR="00D215B7" w:rsidRDefault="00000000">
            <w:pPr>
              <w:rPr>
                <w:rFonts w:ascii="Times New Roman" w:hAnsi="Times New Roman" w:cs="Times New Roman"/>
              </w:rPr>
            </w:pPr>
            <w:r>
              <w:rPr>
                <w:rFonts w:ascii="Times New Roman" w:hAnsi="Times New Roman" w:cs="Times New Roman"/>
                <w:sz w:val="15"/>
              </w:rPr>
              <w:t>Technology-</w:t>
            </w:r>
            <w:proofErr w:type="spellStart"/>
            <w:r>
              <w:rPr>
                <w:rFonts w:ascii="Times New Roman" w:hAnsi="Times New Roman" w:cs="Times New Roman"/>
                <w:sz w:val="15"/>
              </w:rPr>
              <w:t>centred</w:t>
            </w:r>
            <w:proofErr w:type="spellEnd"/>
            <w:r>
              <w:rPr>
                <w:rFonts w:ascii="Times New Roman" w:hAnsi="Times New Roman" w:cs="Times New Roman"/>
                <w:sz w:val="15"/>
              </w:rPr>
              <w:t xml:space="preserve"> accounts insufficiently explain institutional and </w:t>
            </w:r>
            <w:proofErr w:type="spellStart"/>
            <w:r>
              <w:rPr>
                <w:rFonts w:ascii="Times New Roman" w:hAnsi="Times New Roman" w:cs="Times New Roman"/>
                <w:sz w:val="15"/>
              </w:rPr>
              <w:t>behavioural</w:t>
            </w:r>
            <w:proofErr w:type="spellEnd"/>
            <w:r>
              <w:rPr>
                <w:rFonts w:ascii="Times New Roman" w:hAnsi="Times New Roman" w:cs="Times New Roman"/>
                <w:sz w:val="15"/>
              </w:rPr>
              <w:t xml:space="preserve"> change.</w:t>
            </w:r>
          </w:p>
        </w:tc>
        <w:tc>
          <w:tcPr>
            <w:tcW w:w="1397" w:type="dxa"/>
            <w:tcMar>
              <w:top w:w="55" w:type="dxa"/>
              <w:left w:w="55" w:type="dxa"/>
              <w:bottom w:w="55" w:type="dxa"/>
              <w:right w:w="55" w:type="dxa"/>
            </w:tcMar>
            <w:vAlign w:val="center"/>
          </w:tcPr>
          <w:p w14:paraId="65CEE7B4" w14:textId="77777777" w:rsidR="00D215B7" w:rsidRDefault="00000000">
            <w:pPr>
              <w:jc w:val="center"/>
              <w:rPr>
                <w:rFonts w:ascii="Times New Roman" w:hAnsi="Times New Roman" w:cs="Times New Roman"/>
              </w:rPr>
            </w:pPr>
            <w:r>
              <w:rPr>
                <w:rFonts w:ascii="Times New Roman" w:hAnsi="Times New Roman" w:cs="Times New Roman"/>
                <w:sz w:val="15"/>
              </w:rPr>
              <w:t>Sustainability transition</w:t>
            </w:r>
          </w:p>
        </w:tc>
      </w:tr>
      <w:tr w:rsidR="00D215B7" w14:paraId="69681364" w14:textId="77777777">
        <w:trPr>
          <w:cantSplit/>
        </w:trPr>
        <w:tc>
          <w:tcPr>
            <w:tcW w:w="1267" w:type="dxa"/>
            <w:tcMar>
              <w:top w:w="55" w:type="dxa"/>
              <w:left w:w="55" w:type="dxa"/>
              <w:bottom w:w="55" w:type="dxa"/>
              <w:right w:w="55" w:type="dxa"/>
            </w:tcMar>
            <w:vAlign w:val="center"/>
          </w:tcPr>
          <w:p w14:paraId="6F6CBA99" w14:textId="77777777" w:rsidR="00D215B7" w:rsidRDefault="00000000">
            <w:pPr>
              <w:jc w:val="center"/>
              <w:rPr>
                <w:rFonts w:ascii="Times New Roman" w:hAnsi="Times New Roman" w:cs="Times New Roman"/>
              </w:rPr>
            </w:pPr>
            <w:proofErr w:type="spellStart"/>
            <w:r>
              <w:rPr>
                <w:rFonts w:ascii="Times New Roman" w:hAnsi="Times New Roman" w:cs="Times New Roman"/>
                <w:sz w:val="15"/>
              </w:rPr>
              <w:t>Kivimaa</w:t>
            </w:r>
            <w:proofErr w:type="spellEnd"/>
            <w:r>
              <w:rPr>
                <w:rFonts w:ascii="Times New Roman" w:hAnsi="Times New Roman" w:cs="Times New Roman"/>
                <w:sz w:val="15"/>
              </w:rPr>
              <w:t xml:space="preserve"> and Rogge (2022)</w:t>
            </w:r>
          </w:p>
        </w:tc>
        <w:tc>
          <w:tcPr>
            <w:tcW w:w="1483" w:type="dxa"/>
            <w:tcMar>
              <w:top w:w="55" w:type="dxa"/>
              <w:left w:w="55" w:type="dxa"/>
              <w:bottom w:w="55" w:type="dxa"/>
              <w:right w:w="55" w:type="dxa"/>
            </w:tcMar>
            <w:vAlign w:val="center"/>
          </w:tcPr>
          <w:p w14:paraId="393F67CF" w14:textId="77777777" w:rsidR="00D215B7" w:rsidRDefault="00000000">
            <w:pPr>
              <w:rPr>
                <w:rFonts w:ascii="Times New Roman" w:hAnsi="Times New Roman" w:cs="Times New Roman"/>
              </w:rPr>
            </w:pPr>
            <w:r>
              <w:rPr>
                <w:rFonts w:ascii="Times New Roman" w:hAnsi="Times New Roman" w:cs="Times New Roman"/>
                <w:sz w:val="15"/>
              </w:rPr>
              <w:t>Mobility-as-a-Service, Finland</w:t>
            </w:r>
          </w:p>
        </w:tc>
        <w:tc>
          <w:tcPr>
            <w:tcW w:w="1037" w:type="dxa"/>
            <w:tcMar>
              <w:top w:w="55" w:type="dxa"/>
              <w:left w:w="55" w:type="dxa"/>
              <w:bottom w:w="55" w:type="dxa"/>
              <w:right w:w="55" w:type="dxa"/>
            </w:tcMar>
            <w:vAlign w:val="center"/>
          </w:tcPr>
          <w:p w14:paraId="507E3D26" w14:textId="77777777" w:rsidR="00D215B7" w:rsidRDefault="00000000">
            <w:pPr>
              <w:jc w:val="center"/>
              <w:rPr>
                <w:rFonts w:ascii="Times New Roman" w:hAnsi="Times New Roman" w:cs="Times New Roman"/>
              </w:rPr>
            </w:pPr>
            <w:r>
              <w:rPr>
                <w:rFonts w:ascii="Times New Roman" w:hAnsi="Times New Roman" w:cs="Times New Roman"/>
                <w:sz w:val="15"/>
              </w:rPr>
              <w:t>Case study</w:t>
            </w:r>
          </w:p>
        </w:tc>
        <w:tc>
          <w:tcPr>
            <w:tcW w:w="2131" w:type="dxa"/>
            <w:tcMar>
              <w:top w:w="55" w:type="dxa"/>
              <w:left w:w="55" w:type="dxa"/>
              <w:bottom w:w="55" w:type="dxa"/>
              <w:right w:w="55" w:type="dxa"/>
            </w:tcMar>
            <w:vAlign w:val="center"/>
          </w:tcPr>
          <w:p w14:paraId="15FCC98D" w14:textId="77777777" w:rsidR="00D215B7" w:rsidRDefault="00000000">
            <w:pPr>
              <w:rPr>
                <w:rFonts w:ascii="Times New Roman" w:hAnsi="Times New Roman" w:cs="Times New Roman"/>
              </w:rPr>
            </w:pPr>
            <w:r>
              <w:rPr>
                <w:rFonts w:ascii="Times New Roman" w:hAnsi="Times New Roman" w:cs="Times New Roman"/>
                <w:sz w:val="15"/>
              </w:rPr>
              <w:t>Policy experimentation and institutional restructuring support the development and diffusion of new mobility models.</w:t>
            </w:r>
          </w:p>
        </w:tc>
        <w:tc>
          <w:tcPr>
            <w:tcW w:w="2045" w:type="dxa"/>
            <w:tcMar>
              <w:top w:w="55" w:type="dxa"/>
              <w:left w:w="55" w:type="dxa"/>
              <w:bottom w:w="55" w:type="dxa"/>
              <w:right w:w="55" w:type="dxa"/>
            </w:tcMar>
            <w:vAlign w:val="center"/>
          </w:tcPr>
          <w:p w14:paraId="1DCCEB89" w14:textId="77777777" w:rsidR="00D215B7" w:rsidRDefault="00000000">
            <w:pPr>
              <w:rPr>
                <w:rFonts w:ascii="Times New Roman" w:hAnsi="Times New Roman" w:cs="Times New Roman"/>
              </w:rPr>
            </w:pPr>
            <w:r>
              <w:rPr>
                <w:rFonts w:ascii="Times New Roman" w:hAnsi="Times New Roman" w:cs="Times New Roman"/>
                <w:sz w:val="15"/>
              </w:rPr>
              <w:t>Findings are context-specific and require wider comparative testing.</w:t>
            </w:r>
          </w:p>
        </w:tc>
        <w:tc>
          <w:tcPr>
            <w:tcW w:w="1397" w:type="dxa"/>
            <w:tcMar>
              <w:top w:w="55" w:type="dxa"/>
              <w:left w:w="55" w:type="dxa"/>
              <w:bottom w:w="55" w:type="dxa"/>
              <w:right w:w="55" w:type="dxa"/>
            </w:tcMar>
            <w:vAlign w:val="center"/>
          </w:tcPr>
          <w:p w14:paraId="59749AEB" w14:textId="77777777" w:rsidR="00D215B7" w:rsidRDefault="00000000">
            <w:pPr>
              <w:jc w:val="center"/>
              <w:rPr>
                <w:rFonts w:ascii="Times New Roman" w:hAnsi="Times New Roman" w:cs="Times New Roman"/>
              </w:rPr>
            </w:pPr>
            <w:r>
              <w:rPr>
                <w:rFonts w:ascii="Times New Roman" w:hAnsi="Times New Roman" w:cs="Times New Roman"/>
                <w:sz w:val="15"/>
              </w:rPr>
              <w:t>Governance and institutional change</w:t>
            </w:r>
          </w:p>
        </w:tc>
      </w:tr>
      <w:tr w:rsidR="00D215B7" w14:paraId="2EB0023A" w14:textId="77777777">
        <w:trPr>
          <w:cantSplit/>
        </w:trPr>
        <w:tc>
          <w:tcPr>
            <w:tcW w:w="1267" w:type="dxa"/>
            <w:tcMar>
              <w:top w:w="55" w:type="dxa"/>
              <w:left w:w="55" w:type="dxa"/>
              <w:bottom w:w="55" w:type="dxa"/>
              <w:right w:w="55" w:type="dxa"/>
            </w:tcMar>
            <w:vAlign w:val="center"/>
          </w:tcPr>
          <w:p w14:paraId="58BCE45A" w14:textId="77777777" w:rsidR="00D215B7" w:rsidRDefault="00000000">
            <w:pPr>
              <w:jc w:val="center"/>
              <w:rPr>
                <w:rFonts w:ascii="Times New Roman" w:hAnsi="Times New Roman" w:cs="Times New Roman"/>
              </w:rPr>
            </w:pPr>
            <w:proofErr w:type="spellStart"/>
            <w:r>
              <w:rPr>
                <w:rFonts w:ascii="Times New Roman" w:hAnsi="Times New Roman" w:cs="Times New Roman"/>
                <w:sz w:val="15"/>
              </w:rPr>
              <w:t>Adewopo</w:t>
            </w:r>
            <w:proofErr w:type="spellEnd"/>
            <w:r>
              <w:rPr>
                <w:rFonts w:ascii="Times New Roman" w:hAnsi="Times New Roman" w:cs="Times New Roman"/>
                <w:sz w:val="15"/>
              </w:rPr>
              <w:t xml:space="preserve"> et al. (2023)</w:t>
            </w:r>
          </w:p>
        </w:tc>
        <w:tc>
          <w:tcPr>
            <w:tcW w:w="1483" w:type="dxa"/>
            <w:tcMar>
              <w:top w:w="55" w:type="dxa"/>
              <w:left w:w="55" w:type="dxa"/>
              <w:bottom w:w="55" w:type="dxa"/>
              <w:right w:w="55" w:type="dxa"/>
            </w:tcMar>
            <w:vAlign w:val="center"/>
          </w:tcPr>
          <w:p w14:paraId="619148A7" w14:textId="77777777" w:rsidR="00D215B7" w:rsidRDefault="00000000">
            <w:pPr>
              <w:rPr>
                <w:rFonts w:ascii="Times New Roman" w:hAnsi="Times New Roman" w:cs="Times New Roman"/>
              </w:rPr>
            </w:pPr>
            <w:r>
              <w:rPr>
                <w:rFonts w:ascii="Times New Roman" w:hAnsi="Times New Roman" w:cs="Times New Roman"/>
                <w:sz w:val="15"/>
              </w:rPr>
              <w:t>AI accident detection and autonomous transport</w:t>
            </w:r>
          </w:p>
        </w:tc>
        <w:tc>
          <w:tcPr>
            <w:tcW w:w="1037" w:type="dxa"/>
            <w:tcMar>
              <w:top w:w="55" w:type="dxa"/>
              <w:left w:w="55" w:type="dxa"/>
              <w:bottom w:w="55" w:type="dxa"/>
              <w:right w:w="55" w:type="dxa"/>
            </w:tcMar>
            <w:vAlign w:val="center"/>
          </w:tcPr>
          <w:p w14:paraId="1D9D2774" w14:textId="77777777" w:rsidR="00D215B7" w:rsidRDefault="00000000">
            <w:pPr>
              <w:jc w:val="center"/>
              <w:rPr>
                <w:rFonts w:ascii="Times New Roman" w:hAnsi="Times New Roman" w:cs="Times New Roman"/>
              </w:rPr>
            </w:pPr>
            <w:r>
              <w:rPr>
                <w:rFonts w:ascii="Times New Roman" w:hAnsi="Times New Roman" w:cs="Times New Roman"/>
                <w:sz w:val="15"/>
              </w:rPr>
              <w:t>Systematic review</w:t>
            </w:r>
          </w:p>
        </w:tc>
        <w:tc>
          <w:tcPr>
            <w:tcW w:w="2131" w:type="dxa"/>
            <w:tcMar>
              <w:top w:w="55" w:type="dxa"/>
              <w:left w:w="55" w:type="dxa"/>
              <w:bottom w:w="55" w:type="dxa"/>
              <w:right w:w="55" w:type="dxa"/>
            </w:tcMar>
            <w:vAlign w:val="center"/>
          </w:tcPr>
          <w:p w14:paraId="30FF5F7D" w14:textId="77777777" w:rsidR="00D215B7" w:rsidRDefault="00000000">
            <w:pPr>
              <w:rPr>
                <w:rFonts w:ascii="Times New Roman" w:hAnsi="Times New Roman" w:cs="Times New Roman"/>
              </w:rPr>
            </w:pPr>
            <w:r>
              <w:rPr>
                <w:rFonts w:ascii="Times New Roman" w:hAnsi="Times New Roman" w:cs="Times New Roman"/>
                <w:sz w:val="15"/>
              </w:rPr>
              <w:t>Computer vision and action-recognition systems improve automated accident detection and transport-safety monitoring.</w:t>
            </w:r>
          </w:p>
        </w:tc>
        <w:tc>
          <w:tcPr>
            <w:tcW w:w="2045" w:type="dxa"/>
            <w:tcMar>
              <w:top w:w="55" w:type="dxa"/>
              <w:left w:w="55" w:type="dxa"/>
              <w:bottom w:w="55" w:type="dxa"/>
              <w:right w:w="55" w:type="dxa"/>
            </w:tcMar>
            <w:vAlign w:val="center"/>
          </w:tcPr>
          <w:p w14:paraId="4FFF09CA" w14:textId="77777777" w:rsidR="00D215B7" w:rsidRDefault="00000000">
            <w:pPr>
              <w:rPr>
                <w:rFonts w:ascii="Times New Roman" w:hAnsi="Times New Roman" w:cs="Times New Roman"/>
              </w:rPr>
            </w:pPr>
            <w:r>
              <w:rPr>
                <w:rFonts w:ascii="Times New Roman" w:hAnsi="Times New Roman" w:cs="Times New Roman"/>
                <w:sz w:val="15"/>
              </w:rPr>
              <w:t xml:space="preserve">Dataset diversity, unusual events and real-world </w:t>
            </w:r>
            <w:proofErr w:type="spellStart"/>
            <w:r>
              <w:rPr>
                <w:rFonts w:ascii="Times New Roman" w:hAnsi="Times New Roman" w:cs="Times New Roman"/>
                <w:sz w:val="15"/>
              </w:rPr>
              <w:t>generalisability</w:t>
            </w:r>
            <w:proofErr w:type="spellEnd"/>
            <w:r>
              <w:rPr>
                <w:rFonts w:ascii="Times New Roman" w:hAnsi="Times New Roman" w:cs="Times New Roman"/>
                <w:sz w:val="15"/>
              </w:rPr>
              <w:t xml:space="preserve"> remain problematic.</w:t>
            </w:r>
          </w:p>
        </w:tc>
        <w:tc>
          <w:tcPr>
            <w:tcW w:w="1397" w:type="dxa"/>
            <w:tcMar>
              <w:top w:w="55" w:type="dxa"/>
              <w:left w:w="55" w:type="dxa"/>
              <w:bottom w:w="55" w:type="dxa"/>
              <w:right w:w="55" w:type="dxa"/>
            </w:tcMar>
            <w:vAlign w:val="center"/>
          </w:tcPr>
          <w:p w14:paraId="062759E3" w14:textId="77777777" w:rsidR="00D215B7" w:rsidRDefault="00000000">
            <w:pPr>
              <w:jc w:val="center"/>
              <w:rPr>
                <w:rFonts w:ascii="Times New Roman" w:hAnsi="Times New Roman" w:cs="Times New Roman"/>
              </w:rPr>
            </w:pPr>
            <w:r>
              <w:rPr>
                <w:rFonts w:ascii="Times New Roman" w:hAnsi="Times New Roman" w:cs="Times New Roman"/>
                <w:sz w:val="15"/>
              </w:rPr>
              <w:t>Safety and risk management</w:t>
            </w:r>
          </w:p>
        </w:tc>
      </w:tr>
      <w:tr w:rsidR="00D215B7" w14:paraId="261E0453" w14:textId="77777777">
        <w:trPr>
          <w:cantSplit/>
        </w:trPr>
        <w:tc>
          <w:tcPr>
            <w:tcW w:w="1267" w:type="dxa"/>
            <w:tcMar>
              <w:top w:w="55" w:type="dxa"/>
              <w:left w:w="55" w:type="dxa"/>
              <w:bottom w:w="55" w:type="dxa"/>
              <w:right w:w="55" w:type="dxa"/>
            </w:tcMar>
            <w:vAlign w:val="center"/>
          </w:tcPr>
          <w:p w14:paraId="31523DB8" w14:textId="77777777" w:rsidR="00D215B7" w:rsidRDefault="00000000">
            <w:pPr>
              <w:jc w:val="center"/>
              <w:rPr>
                <w:rFonts w:ascii="Times New Roman" w:hAnsi="Times New Roman" w:cs="Times New Roman"/>
              </w:rPr>
            </w:pPr>
            <w:proofErr w:type="spellStart"/>
            <w:r>
              <w:rPr>
                <w:rFonts w:ascii="Times New Roman" w:hAnsi="Times New Roman" w:cs="Times New Roman"/>
                <w:sz w:val="15"/>
              </w:rPr>
              <w:t>D’Alberto</w:t>
            </w:r>
            <w:proofErr w:type="spellEnd"/>
            <w:r>
              <w:rPr>
                <w:rFonts w:ascii="Times New Roman" w:hAnsi="Times New Roman" w:cs="Times New Roman"/>
                <w:sz w:val="15"/>
              </w:rPr>
              <w:t xml:space="preserve"> and Giudici (2023)</w:t>
            </w:r>
          </w:p>
        </w:tc>
        <w:tc>
          <w:tcPr>
            <w:tcW w:w="1483" w:type="dxa"/>
            <w:tcMar>
              <w:top w:w="55" w:type="dxa"/>
              <w:left w:w="55" w:type="dxa"/>
              <w:bottom w:w="55" w:type="dxa"/>
              <w:right w:w="55" w:type="dxa"/>
            </w:tcMar>
            <w:vAlign w:val="center"/>
          </w:tcPr>
          <w:p w14:paraId="3B167CBB" w14:textId="77777777" w:rsidR="00D215B7" w:rsidRDefault="00000000">
            <w:pPr>
              <w:rPr>
                <w:rFonts w:ascii="Times New Roman" w:hAnsi="Times New Roman" w:cs="Times New Roman"/>
              </w:rPr>
            </w:pPr>
            <w:r>
              <w:rPr>
                <w:rFonts w:ascii="Times New Roman" w:hAnsi="Times New Roman" w:cs="Times New Roman"/>
                <w:sz w:val="15"/>
              </w:rPr>
              <w:t>Big data and sustainable smart mobility</w:t>
            </w:r>
          </w:p>
        </w:tc>
        <w:tc>
          <w:tcPr>
            <w:tcW w:w="1037" w:type="dxa"/>
            <w:tcMar>
              <w:top w:w="55" w:type="dxa"/>
              <w:left w:w="55" w:type="dxa"/>
              <w:bottom w:w="55" w:type="dxa"/>
              <w:right w:w="55" w:type="dxa"/>
            </w:tcMar>
            <w:vAlign w:val="center"/>
          </w:tcPr>
          <w:p w14:paraId="68BBF74F" w14:textId="77777777" w:rsidR="00D215B7" w:rsidRDefault="00000000">
            <w:pPr>
              <w:jc w:val="center"/>
              <w:rPr>
                <w:rFonts w:ascii="Times New Roman" w:hAnsi="Times New Roman" w:cs="Times New Roman"/>
              </w:rPr>
            </w:pPr>
            <w:r>
              <w:rPr>
                <w:rFonts w:ascii="Times New Roman" w:hAnsi="Times New Roman" w:cs="Times New Roman"/>
                <w:sz w:val="15"/>
              </w:rPr>
              <w:t>Systematic review, 83 studies</w:t>
            </w:r>
          </w:p>
        </w:tc>
        <w:tc>
          <w:tcPr>
            <w:tcW w:w="2131" w:type="dxa"/>
            <w:tcMar>
              <w:top w:w="55" w:type="dxa"/>
              <w:left w:w="55" w:type="dxa"/>
              <w:bottom w:w="55" w:type="dxa"/>
              <w:right w:w="55" w:type="dxa"/>
            </w:tcMar>
            <w:vAlign w:val="center"/>
          </w:tcPr>
          <w:p w14:paraId="0E0B88B0" w14:textId="77777777" w:rsidR="00D215B7" w:rsidRDefault="00000000">
            <w:pPr>
              <w:rPr>
                <w:rFonts w:ascii="Times New Roman" w:hAnsi="Times New Roman" w:cs="Times New Roman"/>
              </w:rPr>
            </w:pPr>
            <w:r>
              <w:rPr>
                <w:rFonts w:ascii="Times New Roman" w:hAnsi="Times New Roman" w:cs="Times New Roman"/>
                <w:sz w:val="15"/>
              </w:rPr>
              <w:t xml:space="preserve">Big-data analytics supports mobility </w:t>
            </w:r>
            <w:proofErr w:type="spellStart"/>
            <w:r>
              <w:rPr>
                <w:rFonts w:ascii="Times New Roman" w:hAnsi="Times New Roman" w:cs="Times New Roman"/>
                <w:sz w:val="15"/>
              </w:rPr>
              <w:t>optimisation</w:t>
            </w:r>
            <w:proofErr w:type="spellEnd"/>
            <w:r>
              <w:rPr>
                <w:rFonts w:ascii="Times New Roman" w:hAnsi="Times New Roman" w:cs="Times New Roman"/>
                <w:sz w:val="15"/>
              </w:rPr>
              <w:t>, but research focuses more strongly on modelling than direct environmental outcomes.</w:t>
            </w:r>
          </w:p>
        </w:tc>
        <w:tc>
          <w:tcPr>
            <w:tcW w:w="2045" w:type="dxa"/>
            <w:tcMar>
              <w:top w:w="55" w:type="dxa"/>
              <w:left w:w="55" w:type="dxa"/>
              <w:bottom w:w="55" w:type="dxa"/>
              <w:right w:w="55" w:type="dxa"/>
            </w:tcMar>
            <w:vAlign w:val="center"/>
          </w:tcPr>
          <w:p w14:paraId="6B878C7F" w14:textId="77777777" w:rsidR="00D215B7" w:rsidRDefault="00000000">
            <w:pPr>
              <w:rPr>
                <w:rFonts w:ascii="Times New Roman" w:hAnsi="Times New Roman" w:cs="Times New Roman"/>
              </w:rPr>
            </w:pPr>
            <w:r>
              <w:rPr>
                <w:rFonts w:ascii="Times New Roman" w:hAnsi="Times New Roman" w:cs="Times New Roman"/>
                <w:sz w:val="15"/>
              </w:rPr>
              <w:t>Sustainability effects remain comparatively under-examined.</w:t>
            </w:r>
          </w:p>
        </w:tc>
        <w:tc>
          <w:tcPr>
            <w:tcW w:w="1397" w:type="dxa"/>
            <w:tcMar>
              <w:top w:w="55" w:type="dxa"/>
              <w:left w:w="55" w:type="dxa"/>
              <w:bottom w:w="55" w:type="dxa"/>
              <w:right w:w="55" w:type="dxa"/>
            </w:tcMar>
            <w:vAlign w:val="center"/>
          </w:tcPr>
          <w:p w14:paraId="4A25C5B1" w14:textId="77777777" w:rsidR="00D215B7" w:rsidRDefault="00000000">
            <w:pPr>
              <w:jc w:val="center"/>
              <w:rPr>
                <w:rFonts w:ascii="Times New Roman" w:hAnsi="Times New Roman" w:cs="Times New Roman"/>
              </w:rPr>
            </w:pPr>
            <w:r>
              <w:rPr>
                <w:rFonts w:ascii="Times New Roman" w:hAnsi="Times New Roman" w:cs="Times New Roman"/>
                <w:sz w:val="15"/>
              </w:rPr>
              <w:t>Operational and environmental sustainability</w:t>
            </w:r>
          </w:p>
        </w:tc>
      </w:tr>
      <w:tr w:rsidR="00D215B7" w14:paraId="1D7C14AE" w14:textId="77777777">
        <w:trPr>
          <w:cantSplit/>
        </w:trPr>
        <w:tc>
          <w:tcPr>
            <w:tcW w:w="1267" w:type="dxa"/>
            <w:tcMar>
              <w:top w:w="55" w:type="dxa"/>
              <w:left w:w="55" w:type="dxa"/>
              <w:bottom w:w="55" w:type="dxa"/>
              <w:right w:w="55" w:type="dxa"/>
            </w:tcMar>
            <w:vAlign w:val="center"/>
          </w:tcPr>
          <w:p w14:paraId="6898A2A4" w14:textId="77777777" w:rsidR="00D215B7" w:rsidRDefault="00000000">
            <w:pPr>
              <w:jc w:val="center"/>
              <w:rPr>
                <w:rFonts w:ascii="Times New Roman" w:hAnsi="Times New Roman" w:cs="Times New Roman"/>
              </w:rPr>
            </w:pPr>
            <w:proofErr w:type="spellStart"/>
            <w:r>
              <w:rPr>
                <w:rFonts w:ascii="Times New Roman" w:hAnsi="Times New Roman" w:cs="Times New Roman"/>
                <w:sz w:val="15"/>
              </w:rPr>
              <w:t>Mitieka</w:t>
            </w:r>
            <w:proofErr w:type="spellEnd"/>
            <w:r>
              <w:rPr>
                <w:rFonts w:ascii="Times New Roman" w:hAnsi="Times New Roman" w:cs="Times New Roman"/>
                <w:sz w:val="15"/>
              </w:rPr>
              <w:t xml:space="preserve"> et al. (2023)</w:t>
            </w:r>
          </w:p>
        </w:tc>
        <w:tc>
          <w:tcPr>
            <w:tcW w:w="1483" w:type="dxa"/>
            <w:tcMar>
              <w:top w:w="55" w:type="dxa"/>
              <w:left w:w="55" w:type="dxa"/>
              <w:bottom w:w="55" w:type="dxa"/>
              <w:right w:w="55" w:type="dxa"/>
            </w:tcMar>
            <w:vAlign w:val="center"/>
          </w:tcPr>
          <w:p w14:paraId="42A45A26" w14:textId="77777777" w:rsidR="00D215B7" w:rsidRDefault="00000000">
            <w:pPr>
              <w:rPr>
                <w:rFonts w:ascii="Times New Roman" w:hAnsi="Times New Roman" w:cs="Times New Roman"/>
              </w:rPr>
            </w:pPr>
            <w:r>
              <w:rPr>
                <w:rFonts w:ascii="Times New Roman" w:hAnsi="Times New Roman" w:cs="Times New Roman"/>
                <w:sz w:val="15"/>
              </w:rPr>
              <w:t>Global smart-mobility literature</w:t>
            </w:r>
          </w:p>
        </w:tc>
        <w:tc>
          <w:tcPr>
            <w:tcW w:w="1037" w:type="dxa"/>
            <w:tcMar>
              <w:top w:w="55" w:type="dxa"/>
              <w:left w:w="55" w:type="dxa"/>
              <w:bottom w:w="55" w:type="dxa"/>
              <w:right w:w="55" w:type="dxa"/>
            </w:tcMar>
            <w:vAlign w:val="center"/>
          </w:tcPr>
          <w:p w14:paraId="36234536" w14:textId="77777777" w:rsidR="00D215B7" w:rsidRDefault="00000000">
            <w:pPr>
              <w:jc w:val="center"/>
              <w:rPr>
                <w:rFonts w:ascii="Times New Roman" w:hAnsi="Times New Roman" w:cs="Times New Roman"/>
              </w:rPr>
            </w:pPr>
            <w:r>
              <w:rPr>
                <w:rFonts w:ascii="Times New Roman" w:hAnsi="Times New Roman" w:cs="Times New Roman"/>
                <w:sz w:val="15"/>
              </w:rPr>
              <w:t>Bibliometric review, 3,223 documents</w:t>
            </w:r>
          </w:p>
        </w:tc>
        <w:tc>
          <w:tcPr>
            <w:tcW w:w="2131" w:type="dxa"/>
            <w:tcMar>
              <w:top w:w="55" w:type="dxa"/>
              <w:left w:w="55" w:type="dxa"/>
              <w:bottom w:w="55" w:type="dxa"/>
              <w:right w:w="55" w:type="dxa"/>
            </w:tcMar>
            <w:vAlign w:val="center"/>
          </w:tcPr>
          <w:p w14:paraId="0223078E" w14:textId="77777777" w:rsidR="00D215B7" w:rsidRDefault="00000000">
            <w:pPr>
              <w:rPr>
                <w:rFonts w:ascii="Times New Roman" w:hAnsi="Times New Roman" w:cs="Times New Roman"/>
              </w:rPr>
            </w:pPr>
            <w:r>
              <w:rPr>
                <w:rFonts w:ascii="Times New Roman" w:hAnsi="Times New Roman" w:cs="Times New Roman"/>
                <w:sz w:val="15"/>
              </w:rPr>
              <w:t>Smart-mobility research has expanded rapidly with AI, IoT, big data and real-time technologies.</w:t>
            </w:r>
          </w:p>
        </w:tc>
        <w:tc>
          <w:tcPr>
            <w:tcW w:w="2045" w:type="dxa"/>
            <w:tcMar>
              <w:top w:w="55" w:type="dxa"/>
              <w:left w:w="55" w:type="dxa"/>
              <w:bottom w:w="55" w:type="dxa"/>
              <w:right w:w="55" w:type="dxa"/>
            </w:tcMar>
            <w:vAlign w:val="center"/>
          </w:tcPr>
          <w:p w14:paraId="14E58B62" w14:textId="77777777" w:rsidR="00D215B7" w:rsidRDefault="00000000">
            <w:pPr>
              <w:rPr>
                <w:rFonts w:ascii="Times New Roman" w:hAnsi="Times New Roman" w:cs="Times New Roman"/>
              </w:rPr>
            </w:pPr>
            <w:r>
              <w:rPr>
                <w:rFonts w:ascii="Times New Roman" w:hAnsi="Times New Roman" w:cs="Times New Roman"/>
                <w:sz w:val="15"/>
              </w:rPr>
              <w:t>Developing countries and non-technological dimensions remain underrepresented.</w:t>
            </w:r>
          </w:p>
        </w:tc>
        <w:tc>
          <w:tcPr>
            <w:tcW w:w="1397" w:type="dxa"/>
            <w:tcMar>
              <w:top w:w="55" w:type="dxa"/>
              <w:left w:w="55" w:type="dxa"/>
              <w:bottom w:w="55" w:type="dxa"/>
              <w:right w:w="55" w:type="dxa"/>
            </w:tcMar>
            <w:vAlign w:val="center"/>
          </w:tcPr>
          <w:p w14:paraId="4520FC4E" w14:textId="77777777" w:rsidR="00D215B7" w:rsidRDefault="00000000">
            <w:pPr>
              <w:jc w:val="center"/>
              <w:rPr>
                <w:rFonts w:ascii="Times New Roman" w:hAnsi="Times New Roman" w:cs="Times New Roman"/>
              </w:rPr>
            </w:pPr>
            <w:r>
              <w:rPr>
                <w:rFonts w:ascii="Times New Roman" w:hAnsi="Times New Roman" w:cs="Times New Roman"/>
                <w:sz w:val="15"/>
              </w:rPr>
              <w:t>Smart mobility and regional gaps</w:t>
            </w:r>
          </w:p>
        </w:tc>
      </w:tr>
      <w:tr w:rsidR="00D215B7" w14:paraId="6C82C986" w14:textId="77777777">
        <w:trPr>
          <w:cantSplit/>
        </w:trPr>
        <w:tc>
          <w:tcPr>
            <w:tcW w:w="1267" w:type="dxa"/>
            <w:tcMar>
              <w:top w:w="55" w:type="dxa"/>
              <w:left w:w="55" w:type="dxa"/>
              <w:bottom w:w="55" w:type="dxa"/>
              <w:right w:w="55" w:type="dxa"/>
            </w:tcMar>
            <w:vAlign w:val="center"/>
          </w:tcPr>
          <w:p w14:paraId="3C32109B" w14:textId="77777777" w:rsidR="00D215B7" w:rsidRDefault="00000000">
            <w:pPr>
              <w:jc w:val="center"/>
              <w:rPr>
                <w:rFonts w:ascii="Times New Roman" w:hAnsi="Times New Roman" w:cs="Times New Roman"/>
              </w:rPr>
            </w:pPr>
            <w:proofErr w:type="spellStart"/>
            <w:r>
              <w:rPr>
                <w:rFonts w:ascii="Times New Roman" w:hAnsi="Times New Roman" w:cs="Times New Roman"/>
                <w:sz w:val="15"/>
              </w:rPr>
              <w:t>Servou</w:t>
            </w:r>
            <w:proofErr w:type="spellEnd"/>
            <w:r>
              <w:rPr>
                <w:rFonts w:ascii="Times New Roman" w:hAnsi="Times New Roman" w:cs="Times New Roman"/>
                <w:sz w:val="15"/>
              </w:rPr>
              <w:t xml:space="preserve"> et al. (2023)</w:t>
            </w:r>
          </w:p>
        </w:tc>
        <w:tc>
          <w:tcPr>
            <w:tcW w:w="1483" w:type="dxa"/>
            <w:tcMar>
              <w:top w:w="55" w:type="dxa"/>
              <w:left w:w="55" w:type="dxa"/>
              <w:bottom w:w="55" w:type="dxa"/>
              <w:right w:w="55" w:type="dxa"/>
            </w:tcMar>
            <w:vAlign w:val="center"/>
          </w:tcPr>
          <w:p w14:paraId="67B3E964" w14:textId="77777777" w:rsidR="00D215B7" w:rsidRDefault="00000000">
            <w:pPr>
              <w:rPr>
                <w:rFonts w:ascii="Times New Roman" w:hAnsi="Times New Roman" w:cs="Times New Roman"/>
              </w:rPr>
            </w:pPr>
            <w:r>
              <w:rPr>
                <w:rFonts w:ascii="Times New Roman" w:hAnsi="Times New Roman" w:cs="Times New Roman"/>
                <w:sz w:val="15"/>
              </w:rPr>
              <w:t>AI, data and Mobility-as-a-Service governance</w:t>
            </w:r>
          </w:p>
        </w:tc>
        <w:tc>
          <w:tcPr>
            <w:tcW w:w="1037" w:type="dxa"/>
            <w:tcMar>
              <w:top w:w="55" w:type="dxa"/>
              <w:left w:w="55" w:type="dxa"/>
              <w:bottom w:w="55" w:type="dxa"/>
              <w:right w:w="55" w:type="dxa"/>
            </w:tcMar>
            <w:vAlign w:val="center"/>
          </w:tcPr>
          <w:p w14:paraId="7C0D8E6C" w14:textId="77777777" w:rsidR="00D215B7" w:rsidRDefault="00000000">
            <w:pPr>
              <w:jc w:val="center"/>
              <w:rPr>
                <w:rFonts w:ascii="Times New Roman" w:hAnsi="Times New Roman" w:cs="Times New Roman"/>
              </w:rPr>
            </w:pPr>
            <w:r>
              <w:rPr>
                <w:rFonts w:ascii="Times New Roman" w:hAnsi="Times New Roman" w:cs="Times New Roman"/>
                <w:sz w:val="15"/>
              </w:rPr>
              <w:t>Interdisciplinary narrative review</w:t>
            </w:r>
          </w:p>
        </w:tc>
        <w:tc>
          <w:tcPr>
            <w:tcW w:w="2131" w:type="dxa"/>
            <w:tcMar>
              <w:top w:w="55" w:type="dxa"/>
              <w:left w:w="55" w:type="dxa"/>
              <w:bottom w:w="55" w:type="dxa"/>
              <w:right w:w="55" w:type="dxa"/>
            </w:tcMar>
            <w:vAlign w:val="center"/>
          </w:tcPr>
          <w:p w14:paraId="2F1DB10F" w14:textId="77777777" w:rsidR="00D215B7" w:rsidRDefault="00000000">
            <w:pPr>
              <w:rPr>
                <w:rFonts w:ascii="Times New Roman" w:hAnsi="Times New Roman" w:cs="Times New Roman"/>
              </w:rPr>
            </w:pPr>
            <w:r>
              <w:rPr>
                <w:rFonts w:ascii="Times New Roman" w:hAnsi="Times New Roman" w:cs="Times New Roman"/>
                <w:sz w:val="15"/>
              </w:rPr>
              <w:t>AI can improve mobility integration but may reproduce inequalities and rebound effects if sustainability is weakly embedded in governance.</w:t>
            </w:r>
          </w:p>
        </w:tc>
        <w:tc>
          <w:tcPr>
            <w:tcW w:w="2045" w:type="dxa"/>
            <w:tcMar>
              <w:top w:w="55" w:type="dxa"/>
              <w:left w:w="55" w:type="dxa"/>
              <w:bottom w:w="55" w:type="dxa"/>
              <w:right w:w="55" w:type="dxa"/>
            </w:tcMar>
            <w:vAlign w:val="center"/>
          </w:tcPr>
          <w:p w14:paraId="211E4E9D" w14:textId="77777777" w:rsidR="00D215B7" w:rsidRDefault="00000000">
            <w:pPr>
              <w:rPr>
                <w:rFonts w:ascii="Times New Roman" w:hAnsi="Times New Roman" w:cs="Times New Roman"/>
              </w:rPr>
            </w:pPr>
            <w:r>
              <w:rPr>
                <w:rFonts w:ascii="Times New Roman" w:hAnsi="Times New Roman" w:cs="Times New Roman"/>
                <w:sz w:val="15"/>
              </w:rPr>
              <w:t>Transparency, accountability and public-value objectives require greater attention.</w:t>
            </w:r>
          </w:p>
        </w:tc>
        <w:tc>
          <w:tcPr>
            <w:tcW w:w="1397" w:type="dxa"/>
            <w:tcMar>
              <w:top w:w="55" w:type="dxa"/>
              <w:left w:w="55" w:type="dxa"/>
              <w:bottom w:w="55" w:type="dxa"/>
              <w:right w:w="55" w:type="dxa"/>
            </w:tcMar>
            <w:vAlign w:val="center"/>
          </w:tcPr>
          <w:p w14:paraId="22BA9F6C" w14:textId="77777777" w:rsidR="00D215B7" w:rsidRDefault="00000000">
            <w:pPr>
              <w:jc w:val="center"/>
              <w:rPr>
                <w:rFonts w:ascii="Times New Roman" w:hAnsi="Times New Roman" w:cs="Times New Roman"/>
              </w:rPr>
            </w:pPr>
            <w:r>
              <w:rPr>
                <w:rFonts w:ascii="Times New Roman" w:hAnsi="Times New Roman" w:cs="Times New Roman"/>
                <w:sz w:val="15"/>
              </w:rPr>
              <w:t>Governance and equity</w:t>
            </w:r>
          </w:p>
        </w:tc>
      </w:tr>
      <w:tr w:rsidR="00D215B7" w14:paraId="40B0A7F3" w14:textId="77777777">
        <w:trPr>
          <w:cantSplit/>
        </w:trPr>
        <w:tc>
          <w:tcPr>
            <w:tcW w:w="1267" w:type="dxa"/>
            <w:tcMar>
              <w:top w:w="55" w:type="dxa"/>
              <w:left w:w="55" w:type="dxa"/>
              <w:bottom w:w="55" w:type="dxa"/>
              <w:right w:w="55" w:type="dxa"/>
            </w:tcMar>
            <w:vAlign w:val="center"/>
          </w:tcPr>
          <w:p w14:paraId="707A0AF8" w14:textId="77777777" w:rsidR="00D215B7" w:rsidRDefault="00000000">
            <w:pPr>
              <w:jc w:val="center"/>
              <w:rPr>
                <w:rFonts w:ascii="Times New Roman" w:hAnsi="Times New Roman" w:cs="Times New Roman"/>
              </w:rPr>
            </w:pPr>
            <w:proofErr w:type="spellStart"/>
            <w:r>
              <w:rPr>
                <w:rFonts w:ascii="Times New Roman" w:hAnsi="Times New Roman" w:cs="Times New Roman"/>
                <w:sz w:val="15"/>
              </w:rPr>
              <w:t>Creß</w:t>
            </w:r>
            <w:proofErr w:type="spellEnd"/>
            <w:r>
              <w:rPr>
                <w:rFonts w:ascii="Times New Roman" w:hAnsi="Times New Roman" w:cs="Times New Roman"/>
                <w:sz w:val="15"/>
              </w:rPr>
              <w:t xml:space="preserve"> et al. (2024)</w:t>
            </w:r>
          </w:p>
        </w:tc>
        <w:tc>
          <w:tcPr>
            <w:tcW w:w="1483" w:type="dxa"/>
            <w:tcMar>
              <w:top w:w="55" w:type="dxa"/>
              <w:left w:w="55" w:type="dxa"/>
              <w:bottom w:w="55" w:type="dxa"/>
              <w:right w:w="55" w:type="dxa"/>
            </w:tcMar>
            <w:vAlign w:val="center"/>
          </w:tcPr>
          <w:p w14:paraId="1503BE83" w14:textId="77777777" w:rsidR="00D215B7" w:rsidRDefault="00000000">
            <w:pPr>
              <w:rPr>
                <w:rFonts w:ascii="Times New Roman" w:hAnsi="Times New Roman" w:cs="Times New Roman"/>
              </w:rPr>
            </w:pPr>
            <w:r>
              <w:rPr>
                <w:rFonts w:ascii="Times New Roman" w:hAnsi="Times New Roman" w:cs="Times New Roman"/>
                <w:sz w:val="15"/>
              </w:rPr>
              <w:t>Roadside intelligent transportation infrastructure</w:t>
            </w:r>
          </w:p>
        </w:tc>
        <w:tc>
          <w:tcPr>
            <w:tcW w:w="1037" w:type="dxa"/>
            <w:tcMar>
              <w:top w:w="55" w:type="dxa"/>
              <w:left w:w="55" w:type="dxa"/>
              <w:bottom w:w="55" w:type="dxa"/>
              <w:right w:w="55" w:type="dxa"/>
            </w:tcMar>
            <w:vAlign w:val="center"/>
          </w:tcPr>
          <w:p w14:paraId="4BB06927" w14:textId="77777777" w:rsidR="00D215B7" w:rsidRDefault="00000000">
            <w:pPr>
              <w:jc w:val="center"/>
              <w:rPr>
                <w:rFonts w:ascii="Times New Roman" w:hAnsi="Times New Roman" w:cs="Times New Roman"/>
              </w:rPr>
            </w:pPr>
            <w:r>
              <w:rPr>
                <w:rFonts w:ascii="Times New Roman" w:hAnsi="Times New Roman" w:cs="Times New Roman"/>
                <w:sz w:val="15"/>
              </w:rPr>
              <w:t>Literature survey</w:t>
            </w:r>
          </w:p>
        </w:tc>
        <w:tc>
          <w:tcPr>
            <w:tcW w:w="2131" w:type="dxa"/>
            <w:tcMar>
              <w:top w:w="55" w:type="dxa"/>
              <w:left w:w="55" w:type="dxa"/>
              <w:bottom w:w="55" w:type="dxa"/>
              <w:right w:w="55" w:type="dxa"/>
            </w:tcMar>
            <w:vAlign w:val="center"/>
          </w:tcPr>
          <w:p w14:paraId="49BED489" w14:textId="77777777" w:rsidR="00D215B7" w:rsidRDefault="00000000">
            <w:pPr>
              <w:rPr>
                <w:rFonts w:ascii="Times New Roman" w:hAnsi="Times New Roman" w:cs="Times New Roman"/>
              </w:rPr>
            </w:pPr>
            <w:r>
              <w:rPr>
                <w:rFonts w:ascii="Times New Roman" w:hAnsi="Times New Roman" w:cs="Times New Roman"/>
                <w:sz w:val="15"/>
              </w:rPr>
              <w:t>Roadside sensing and communication infrastructure strengthens real-time perception and connected transport management.</w:t>
            </w:r>
          </w:p>
        </w:tc>
        <w:tc>
          <w:tcPr>
            <w:tcW w:w="2045" w:type="dxa"/>
            <w:tcMar>
              <w:top w:w="55" w:type="dxa"/>
              <w:left w:w="55" w:type="dxa"/>
              <w:bottom w:w="55" w:type="dxa"/>
              <w:right w:w="55" w:type="dxa"/>
            </w:tcMar>
            <w:vAlign w:val="center"/>
          </w:tcPr>
          <w:p w14:paraId="38EC5DAB" w14:textId="77777777" w:rsidR="00D215B7" w:rsidRDefault="00000000">
            <w:pPr>
              <w:rPr>
                <w:rFonts w:ascii="Times New Roman" w:hAnsi="Times New Roman" w:cs="Times New Roman"/>
              </w:rPr>
            </w:pPr>
            <w:r>
              <w:rPr>
                <w:rFonts w:ascii="Times New Roman" w:hAnsi="Times New Roman" w:cs="Times New Roman"/>
                <w:sz w:val="15"/>
              </w:rPr>
              <w:t>Secure communication, interoperability and sensing reliability constrain deployment.</w:t>
            </w:r>
          </w:p>
        </w:tc>
        <w:tc>
          <w:tcPr>
            <w:tcW w:w="1397" w:type="dxa"/>
            <w:tcMar>
              <w:top w:w="55" w:type="dxa"/>
              <w:left w:w="55" w:type="dxa"/>
              <w:bottom w:w="55" w:type="dxa"/>
              <w:right w:w="55" w:type="dxa"/>
            </w:tcMar>
            <w:vAlign w:val="center"/>
          </w:tcPr>
          <w:p w14:paraId="5ED2310D" w14:textId="77777777" w:rsidR="00D215B7" w:rsidRDefault="00000000">
            <w:pPr>
              <w:jc w:val="center"/>
              <w:rPr>
                <w:rFonts w:ascii="Times New Roman" w:hAnsi="Times New Roman" w:cs="Times New Roman"/>
              </w:rPr>
            </w:pPr>
            <w:r>
              <w:rPr>
                <w:rFonts w:ascii="Times New Roman" w:hAnsi="Times New Roman" w:cs="Times New Roman"/>
                <w:sz w:val="15"/>
              </w:rPr>
              <w:t>Intelligent infrastructure</w:t>
            </w:r>
          </w:p>
        </w:tc>
      </w:tr>
      <w:tr w:rsidR="00D215B7" w14:paraId="4B97A732" w14:textId="77777777">
        <w:trPr>
          <w:cantSplit/>
        </w:trPr>
        <w:tc>
          <w:tcPr>
            <w:tcW w:w="1267" w:type="dxa"/>
            <w:tcMar>
              <w:top w:w="55" w:type="dxa"/>
              <w:left w:w="55" w:type="dxa"/>
              <w:bottom w:w="55" w:type="dxa"/>
              <w:right w:w="55" w:type="dxa"/>
            </w:tcMar>
            <w:vAlign w:val="center"/>
          </w:tcPr>
          <w:p w14:paraId="5427E227" w14:textId="77777777" w:rsidR="00D215B7" w:rsidRDefault="00000000">
            <w:pPr>
              <w:jc w:val="center"/>
              <w:rPr>
                <w:rFonts w:ascii="Times New Roman" w:hAnsi="Times New Roman" w:cs="Times New Roman"/>
              </w:rPr>
            </w:pPr>
            <w:r>
              <w:rPr>
                <w:rFonts w:ascii="Times New Roman" w:hAnsi="Times New Roman" w:cs="Times New Roman"/>
                <w:sz w:val="15"/>
              </w:rPr>
              <w:t>Jalil et al. (2024)</w:t>
            </w:r>
          </w:p>
        </w:tc>
        <w:tc>
          <w:tcPr>
            <w:tcW w:w="1483" w:type="dxa"/>
            <w:tcMar>
              <w:top w:w="55" w:type="dxa"/>
              <w:left w:w="55" w:type="dxa"/>
              <w:bottom w:w="55" w:type="dxa"/>
              <w:right w:w="55" w:type="dxa"/>
            </w:tcMar>
            <w:vAlign w:val="center"/>
          </w:tcPr>
          <w:p w14:paraId="191BD9F2" w14:textId="77777777" w:rsidR="00D215B7" w:rsidRDefault="00000000">
            <w:pPr>
              <w:rPr>
                <w:rFonts w:ascii="Times New Roman" w:hAnsi="Times New Roman" w:cs="Times New Roman"/>
              </w:rPr>
            </w:pPr>
            <w:r>
              <w:rPr>
                <w:rFonts w:ascii="Times New Roman" w:hAnsi="Times New Roman" w:cs="Times New Roman"/>
                <w:sz w:val="15"/>
              </w:rPr>
              <w:t>Data science in intelligent transportation systems</w:t>
            </w:r>
          </w:p>
        </w:tc>
        <w:tc>
          <w:tcPr>
            <w:tcW w:w="1037" w:type="dxa"/>
            <w:tcMar>
              <w:top w:w="55" w:type="dxa"/>
              <w:left w:w="55" w:type="dxa"/>
              <w:bottom w:w="55" w:type="dxa"/>
              <w:right w:w="55" w:type="dxa"/>
            </w:tcMar>
            <w:vAlign w:val="center"/>
          </w:tcPr>
          <w:p w14:paraId="5C84E258" w14:textId="77777777" w:rsidR="00D215B7" w:rsidRDefault="00000000">
            <w:pPr>
              <w:jc w:val="center"/>
              <w:rPr>
                <w:rFonts w:ascii="Times New Roman" w:hAnsi="Times New Roman" w:cs="Times New Roman"/>
              </w:rPr>
            </w:pPr>
            <w:r>
              <w:rPr>
                <w:rFonts w:ascii="Times New Roman" w:hAnsi="Times New Roman" w:cs="Times New Roman"/>
                <w:sz w:val="15"/>
              </w:rPr>
              <w:t>Integrative review</w:t>
            </w:r>
          </w:p>
        </w:tc>
        <w:tc>
          <w:tcPr>
            <w:tcW w:w="2131" w:type="dxa"/>
            <w:tcMar>
              <w:top w:w="55" w:type="dxa"/>
              <w:left w:w="55" w:type="dxa"/>
              <w:bottom w:w="55" w:type="dxa"/>
              <w:right w:w="55" w:type="dxa"/>
            </w:tcMar>
            <w:vAlign w:val="center"/>
          </w:tcPr>
          <w:p w14:paraId="70EC241B" w14:textId="77777777" w:rsidR="00D215B7" w:rsidRDefault="00000000">
            <w:pPr>
              <w:rPr>
                <w:rFonts w:ascii="Times New Roman" w:hAnsi="Times New Roman" w:cs="Times New Roman"/>
              </w:rPr>
            </w:pPr>
            <w:r>
              <w:rPr>
                <w:rFonts w:ascii="Times New Roman" w:hAnsi="Times New Roman" w:cs="Times New Roman"/>
                <w:sz w:val="15"/>
              </w:rPr>
              <w:t>Large-scale transport data, deep learning and reinforcement learning support smart-mobility planning and decision-making.</w:t>
            </w:r>
          </w:p>
        </w:tc>
        <w:tc>
          <w:tcPr>
            <w:tcW w:w="2045" w:type="dxa"/>
            <w:tcMar>
              <w:top w:w="55" w:type="dxa"/>
              <w:left w:w="55" w:type="dxa"/>
              <w:bottom w:w="55" w:type="dxa"/>
              <w:right w:w="55" w:type="dxa"/>
            </w:tcMar>
            <w:vAlign w:val="center"/>
          </w:tcPr>
          <w:p w14:paraId="2E320D5B" w14:textId="77777777" w:rsidR="00D215B7" w:rsidRDefault="00000000">
            <w:pPr>
              <w:rPr>
                <w:rFonts w:ascii="Times New Roman" w:hAnsi="Times New Roman" w:cs="Times New Roman"/>
              </w:rPr>
            </w:pPr>
            <w:r>
              <w:rPr>
                <w:rFonts w:ascii="Times New Roman" w:hAnsi="Times New Roman" w:cs="Times New Roman"/>
                <w:sz w:val="15"/>
              </w:rPr>
              <w:t>Data uncertainty and interpretability remain important challenges.</w:t>
            </w:r>
          </w:p>
        </w:tc>
        <w:tc>
          <w:tcPr>
            <w:tcW w:w="1397" w:type="dxa"/>
            <w:tcMar>
              <w:top w:w="55" w:type="dxa"/>
              <w:left w:w="55" w:type="dxa"/>
              <w:bottom w:w="55" w:type="dxa"/>
              <w:right w:w="55" w:type="dxa"/>
            </w:tcMar>
            <w:vAlign w:val="center"/>
          </w:tcPr>
          <w:p w14:paraId="5137251D" w14:textId="77777777" w:rsidR="00D215B7" w:rsidRDefault="00000000">
            <w:pPr>
              <w:jc w:val="center"/>
              <w:rPr>
                <w:rFonts w:ascii="Times New Roman" w:hAnsi="Times New Roman" w:cs="Times New Roman"/>
              </w:rPr>
            </w:pPr>
            <w:r>
              <w:rPr>
                <w:rFonts w:ascii="Times New Roman" w:hAnsi="Times New Roman" w:cs="Times New Roman"/>
                <w:sz w:val="15"/>
              </w:rPr>
              <w:t>AI and predictive mobility</w:t>
            </w:r>
          </w:p>
        </w:tc>
      </w:tr>
      <w:tr w:rsidR="00D215B7" w14:paraId="5CEAA75C" w14:textId="77777777">
        <w:trPr>
          <w:cantSplit/>
        </w:trPr>
        <w:tc>
          <w:tcPr>
            <w:tcW w:w="1267" w:type="dxa"/>
            <w:tcMar>
              <w:top w:w="55" w:type="dxa"/>
              <w:left w:w="55" w:type="dxa"/>
              <w:bottom w:w="55" w:type="dxa"/>
              <w:right w:w="55" w:type="dxa"/>
            </w:tcMar>
            <w:vAlign w:val="center"/>
          </w:tcPr>
          <w:p w14:paraId="13F604F4" w14:textId="77777777" w:rsidR="00D215B7" w:rsidRDefault="00000000">
            <w:pPr>
              <w:jc w:val="center"/>
              <w:rPr>
                <w:rFonts w:ascii="Times New Roman" w:hAnsi="Times New Roman" w:cs="Times New Roman"/>
              </w:rPr>
            </w:pPr>
            <w:r>
              <w:rPr>
                <w:rFonts w:ascii="Times New Roman" w:hAnsi="Times New Roman" w:cs="Times New Roman"/>
                <w:sz w:val="15"/>
              </w:rPr>
              <w:t>Del-Coco et al. (2025)</w:t>
            </w:r>
          </w:p>
        </w:tc>
        <w:tc>
          <w:tcPr>
            <w:tcW w:w="1483" w:type="dxa"/>
            <w:tcMar>
              <w:top w:w="55" w:type="dxa"/>
              <w:left w:w="55" w:type="dxa"/>
              <w:bottom w:w="55" w:type="dxa"/>
              <w:right w:w="55" w:type="dxa"/>
            </w:tcMar>
            <w:vAlign w:val="center"/>
          </w:tcPr>
          <w:p w14:paraId="6028CBAC" w14:textId="77777777" w:rsidR="00D215B7" w:rsidRDefault="00000000">
            <w:pPr>
              <w:rPr>
                <w:rFonts w:ascii="Times New Roman" w:hAnsi="Times New Roman" w:cs="Times New Roman"/>
              </w:rPr>
            </w:pPr>
            <w:r>
              <w:rPr>
                <w:rFonts w:ascii="Times New Roman" w:hAnsi="Times New Roman" w:cs="Times New Roman"/>
                <w:sz w:val="15"/>
              </w:rPr>
              <w:t>AI applications across smart mobility</w:t>
            </w:r>
          </w:p>
        </w:tc>
        <w:tc>
          <w:tcPr>
            <w:tcW w:w="1037" w:type="dxa"/>
            <w:tcMar>
              <w:top w:w="55" w:type="dxa"/>
              <w:left w:w="55" w:type="dxa"/>
              <w:bottom w:w="55" w:type="dxa"/>
              <w:right w:w="55" w:type="dxa"/>
            </w:tcMar>
            <w:vAlign w:val="center"/>
          </w:tcPr>
          <w:p w14:paraId="181A66D2" w14:textId="77777777" w:rsidR="00D215B7" w:rsidRDefault="00000000">
            <w:pPr>
              <w:jc w:val="center"/>
              <w:rPr>
                <w:rFonts w:ascii="Times New Roman" w:hAnsi="Times New Roman" w:cs="Times New Roman"/>
              </w:rPr>
            </w:pPr>
            <w:r>
              <w:rPr>
                <w:rFonts w:ascii="Times New Roman" w:hAnsi="Times New Roman" w:cs="Times New Roman"/>
                <w:sz w:val="15"/>
              </w:rPr>
              <w:t>Comprehensive survey</w:t>
            </w:r>
          </w:p>
        </w:tc>
        <w:tc>
          <w:tcPr>
            <w:tcW w:w="2131" w:type="dxa"/>
            <w:tcMar>
              <w:top w:w="55" w:type="dxa"/>
              <w:left w:w="55" w:type="dxa"/>
              <w:bottom w:w="55" w:type="dxa"/>
              <w:right w:w="55" w:type="dxa"/>
            </w:tcMar>
            <w:vAlign w:val="center"/>
          </w:tcPr>
          <w:p w14:paraId="47E737E4" w14:textId="77777777" w:rsidR="00D215B7" w:rsidRDefault="00000000">
            <w:pPr>
              <w:rPr>
                <w:rFonts w:ascii="Times New Roman" w:hAnsi="Times New Roman" w:cs="Times New Roman"/>
              </w:rPr>
            </w:pPr>
            <w:r>
              <w:rPr>
                <w:rFonts w:ascii="Times New Roman" w:hAnsi="Times New Roman" w:cs="Times New Roman"/>
                <w:sz w:val="15"/>
              </w:rPr>
              <w:t>AI applications increasingly integrate smart vehicles, transport planning, networking and security.</w:t>
            </w:r>
          </w:p>
        </w:tc>
        <w:tc>
          <w:tcPr>
            <w:tcW w:w="2045" w:type="dxa"/>
            <w:tcMar>
              <w:top w:w="55" w:type="dxa"/>
              <w:left w:w="55" w:type="dxa"/>
              <w:bottom w:w="55" w:type="dxa"/>
              <w:right w:w="55" w:type="dxa"/>
            </w:tcMar>
            <w:vAlign w:val="center"/>
          </w:tcPr>
          <w:p w14:paraId="0C58091D" w14:textId="77777777" w:rsidR="00D215B7" w:rsidRDefault="00000000">
            <w:pPr>
              <w:rPr>
                <w:rFonts w:ascii="Times New Roman" w:hAnsi="Times New Roman" w:cs="Times New Roman"/>
              </w:rPr>
            </w:pPr>
            <w:r>
              <w:rPr>
                <w:rFonts w:ascii="Times New Roman" w:hAnsi="Times New Roman" w:cs="Times New Roman"/>
                <w:sz w:val="15"/>
              </w:rPr>
              <w:t>Security, robustness and integration across mobility subsystems remain unresolved.</w:t>
            </w:r>
          </w:p>
        </w:tc>
        <w:tc>
          <w:tcPr>
            <w:tcW w:w="1397" w:type="dxa"/>
            <w:tcMar>
              <w:top w:w="55" w:type="dxa"/>
              <w:left w:w="55" w:type="dxa"/>
              <w:bottom w:w="55" w:type="dxa"/>
              <w:right w:w="55" w:type="dxa"/>
            </w:tcMar>
            <w:vAlign w:val="center"/>
          </w:tcPr>
          <w:p w14:paraId="28624480" w14:textId="77777777" w:rsidR="00D215B7" w:rsidRDefault="00000000">
            <w:pPr>
              <w:jc w:val="center"/>
              <w:rPr>
                <w:rFonts w:ascii="Times New Roman" w:hAnsi="Times New Roman" w:cs="Times New Roman"/>
              </w:rPr>
            </w:pPr>
            <w:r>
              <w:rPr>
                <w:rFonts w:ascii="Times New Roman" w:hAnsi="Times New Roman" w:cs="Times New Roman"/>
                <w:sz w:val="15"/>
              </w:rPr>
              <w:t>Integrated smart mobility</w:t>
            </w:r>
          </w:p>
        </w:tc>
      </w:tr>
      <w:tr w:rsidR="00D215B7" w14:paraId="6AAB5712" w14:textId="77777777">
        <w:trPr>
          <w:cantSplit/>
        </w:trPr>
        <w:tc>
          <w:tcPr>
            <w:tcW w:w="1267" w:type="dxa"/>
            <w:tcMar>
              <w:top w:w="55" w:type="dxa"/>
              <w:left w:w="55" w:type="dxa"/>
              <w:bottom w:w="55" w:type="dxa"/>
              <w:right w:w="55" w:type="dxa"/>
            </w:tcMar>
            <w:vAlign w:val="center"/>
          </w:tcPr>
          <w:p w14:paraId="31234B7D" w14:textId="77777777" w:rsidR="00D215B7" w:rsidRDefault="00000000">
            <w:pPr>
              <w:jc w:val="center"/>
              <w:rPr>
                <w:rFonts w:ascii="Times New Roman" w:hAnsi="Times New Roman" w:cs="Times New Roman"/>
              </w:rPr>
            </w:pPr>
            <w:r>
              <w:rPr>
                <w:rFonts w:ascii="Times New Roman" w:hAnsi="Times New Roman" w:cs="Times New Roman"/>
                <w:sz w:val="15"/>
              </w:rPr>
              <w:lastRenderedPageBreak/>
              <w:t>Rong et al. (2025)</w:t>
            </w:r>
          </w:p>
        </w:tc>
        <w:tc>
          <w:tcPr>
            <w:tcW w:w="1483" w:type="dxa"/>
            <w:tcMar>
              <w:top w:w="55" w:type="dxa"/>
              <w:left w:w="55" w:type="dxa"/>
              <w:bottom w:w="55" w:type="dxa"/>
              <w:right w:w="55" w:type="dxa"/>
            </w:tcMar>
            <w:vAlign w:val="center"/>
          </w:tcPr>
          <w:p w14:paraId="3213D6CC" w14:textId="77777777" w:rsidR="00D215B7" w:rsidRDefault="00000000">
            <w:pPr>
              <w:rPr>
                <w:rFonts w:ascii="Times New Roman" w:hAnsi="Times New Roman" w:cs="Times New Roman"/>
              </w:rPr>
            </w:pPr>
            <w:r>
              <w:rPr>
                <w:rFonts w:ascii="Times New Roman" w:hAnsi="Times New Roman" w:cs="Times New Roman"/>
                <w:sz w:val="15"/>
              </w:rPr>
              <w:t>Generative AI in intelligent transportation systems</w:t>
            </w:r>
          </w:p>
        </w:tc>
        <w:tc>
          <w:tcPr>
            <w:tcW w:w="1037" w:type="dxa"/>
            <w:tcMar>
              <w:top w:w="55" w:type="dxa"/>
              <w:left w:w="55" w:type="dxa"/>
              <w:bottom w:w="55" w:type="dxa"/>
              <w:right w:w="55" w:type="dxa"/>
            </w:tcMar>
            <w:vAlign w:val="center"/>
          </w:tcPr>
          <w:p w14:paraId="3E242886" w14:textId="77777777" w:rsidR="00D215B7" w:rsidRDefault="00000000">
            <w:pPr>
              <w:jc w:val="center"/>
              <w:rPr>
                <w:rFonts w:ascii="Times New Roman" w:hAnsi="Times New Roman" w:cs="Times New Roman"/>
              </w:rPr>
            </w:pPr>
            <w:r>
              <w:rPr>
                <w:rFonts w:ascii="Times New Roman" w:hAnsi="Times New Roman" w:cs="Times New Roman"/>
                <w:sz w:val="15"/>
              </w:rPr>
              <w:t>Systematic review</w:t>
            </w:r>
          </w:p>
        </w:tc>
        <w:tc>
          <w:tcPr>
            <w:tcW w:w="2131" w:type="dxa"/>
            <w:tcMar>
              <w:top w:w="55" w:type="dxa"/>
              <w:left w:w="55" w:type="dxa"/>
              <w:bottom w:w="55" w:type="dxa"/>
              <w:right w:w="55" w:type="dxa"/>
            </w:tcMar>
            <w:vAlign w:val="center"/>
          </w:tcPr>
          <w:p w14:paraId="0C338369" w14:textId="77777777" w:rsidR="00D215B7" w:rsidRDefault="00000000">
            <w:pPr>
              <w:rPr>
                <w:rFonts w:ascii="Times New Roman" w:hAnsi="Times New Roman" w:cs="Times New Roman"/>
              </w:rPr>
            </w:pPr>
            <w:r>
              <w:rPr>
                <w:rFonts w:ascii="Times New Roman" w:hAnsi="Times New Roman" w:cs="Times New Roman"/>
                <w:sz w:val="15"/>
              </w:rPr>
              <w:t>Generative AI is emerging in traffic prediction, assisted driving and intelligent transportation decision support.</w:t>
            </w:r>
          </w:p>
        </w:tc>
        <w:tc>
          <w:tcPr>
            <w:tcW w:w="2045" w:type="dxa"/>
            <w:tcMar>
              <w:top w:w="55" w:type="dxa"/>
              <w:left w:w="55" w:type="dxa"/>
              <w:bottom w:w="55" w:type="dxa"/>
              <w:right w:w="55" w:type="dxa"/>
            </w:tcMar>
            <w:vAlign w:val="center"/>
          </w:tcPr>
          <w:p w14:paraId="2F4507BF" w14:textId="77777777" w:rsidR="00D215B7" w:rsidRDefault="00000000">
            <w:pPr>
              <w:rPr>
                <w:rFonts w:ascii="Times New Roman" w:hAnsi="Times New Roman" w:cs="Times New Roman"/>
              </w:rPr>
            </w:pPr>
            <w:r>
              <w:rPr>
                <w:rFonts w:ascii="Times New Roman" w:hAnsi="Times New Roman" w:cs="Times New Roman"/>
                <w:sz w:val="15"/>
              </w:rPr>
              <w:t>Safety, trust and deployment maturity remain significant concerns.</w:t>
            </w:r>
          </w:p>
        </w:tc>
        <w:tc>
          <w:tcPr>
            <w:tcW w:w="1397" w:type="dxa"/>
            <w:tcMar>
              <w:top w:w="55" w:type="dxa"/>
              <w:left w:w="55" w:type="dxa"/>
              <w:bottom w:w="55" w:type="dxa"/>
              <w:right w:w="55" w:type="dxa"/>
            </w:tcMar>
            <w:vAlign w:val="center"/>
          </w:tcPr>
          <w:p w14:paraId="0646F17F" w14:textId="77777777" w:rsidR="00D215B7" w:rsidRDefault="00000000">
            <w:pPr>
              <w:jc w:val="center"/>
              <w:rPr>
                <w:rFonts w:ascii="Times New Roman" w:hAnsi="Times New Roman" w:cs="Times New Roman"/>
              </w:rPr>
            </w:pPr>
            <w:r>
              <w:rPr>
                <w:rFonts w:ascii="Times New Roman" w:hAnsi="Times New Roman" w:cs="Times New Roman"/>
                <w:sz w:val="15"/>
              </w:rPr>
              <w:t>Emerging AI applications</w:t>
            </w:r>
          </w:p>
        </w:tc>
      </w:tr>
      <w:tr w:rsidR="00D215B7" w14:paraId="7149AD89" w14:textId="77777777">
        <w:trPr>
          <w:cantSplit/>
        </w:trPr>
        <w:tc>
          <w:tcPr>
            <w:tcW w:w="1267" w:type="dxa"/>
            <w:tcMar>
              <w:top w:w="55" w:type="dxa"/>
              <w:left w:w="55" w:type="dxa"/>
              <w:bottom w:w="55" w:type="dxa"/>
              <w:right w:w="55" w:type="dxa"/>
            </w:tcMar>
            <w:vAlign w:val="center"/>
          </w:tcPr>
          <w:p w14:paraId="4A3847BF" w14:textId="77777777" w:rsidR="00D215B7" w:rsidRDefault="00000000">
            <w:pPr>
              <w:jc w:val="center"/>
              <w:rPr>
                <w:rFonts w:ascii="Times New Roman" w:hAnsi="Times New Roman" w:cs="Times New Roman"/>
              </w:rPr>
            </w:pPr>
            <w:proofErr w:type="spellStart"/>
            <w:r>
              <w:rPr>
                <w:rFonts w:ascii="Times New Roman" w:hAnsi="Times New Roman" w:cs="Times New Roman"/>
                <w:sz w:val="15"/>
              </w:rPr>
              <w:t>Rouky</w:t>
            </w:r>
            <w:proofErr w:type="spellEnd"/>
            <w:r>
              <w:rPr>
                <w:rFonts w:ascii="Times New Roman" w:hAnsi="Times New Roman" w:cs="Times New Roman"/>
                <w:sz w:val="15"/>
              </w:rPr>
              <w:t xml:space="preserve"> et al. (2025)</w:t>
            </w:r>
          </w:p>
        </w:tc>
        <w:tc>
          <w:tcPr>
            <w:tcW w:w="1483" w:type="dxa"/>
            <w:tcMar>
              <w:top w:w="55" w:type="dxa"/>
              <w:left w:w="55" w:type="dxa"/>
              <w:bottom w:w="55" w:type="dxa"/>
              <w:right w:w="55" w:type="dxa"/>
            </w:tcMar>
            <w:vAlign w:val="center"/>
          </w:tcPr>
          <w:p w14:paraId="6C254E0A" w14:textId="77777777" w:rsidR="00D215B7" w:rsidRDefault="00000000">
            <w:pPr>
              <w:rPr>
                <w:rFonts w:ascii="Times New Roman" w:hAnsi="Times New Roman" w:cs="Times New Roman"/>
              </w:rPr>
            </w:pPr>
            <w:r>
              <w:rPr>
                <w:rFonts w:ascii="Times New Roman" w:hAnsi="Times New Roman" w:cs="Times New Roman"/>
                <w:sz w:val="15"/>
              </w:rPr>
              <w:t>AI and Mobility-as-a-Service</w:t>
            </w:r>
          </w:p>
        </w:tc>
        <w:tc>
          <w:tcPr>
            <w:tcW w:w="1037" w:type="dxa"/>
            <w:tcMar>
              <w:top w:w="55" w:type="dxa"/>
              <w:left w:w="55" w:type="dxa"/>
              <w:bottom w:w="55" w:type="dxa"/>
              <w:right w:w="55" w:type="dxa"/>
            </w:tcMar>
            <w:vAlign w:val="center"/>
          </w:tcPr>
          <w:p w14:paraId="6E2FC5CC" w14:textId="77777777" w:rsidR="00D215B7" w:rsidRDefault="00000000">
            <w:pPr>
              <w:jc w:val="center"/>
              <w:rPr>
                <w:rFonts w:ascii="Times New Roman" w:hAnsi="Times New Roman" w:cs="Times New Roman"/>
              </w:rPr>
            </w:pPr>
            <w:r>
              <w:rPr>
                <w:rFonts w:ascii="Times New Roman" w:hAnsi="Times New Roman" w:cs="Times New Roman"/>
                <w:sz w:val="15"/>
              </w:rPr>
              <w:t>PRISMA systematic review</w:t>
            </w:r>
          </w:p>
        </w:tc>
        <w:tc>
          <w:tcPr>
            <w:tcW w:w="2131" w:type="dxa"/>
            <w:tcMar>
              <w:top w:w="55" w:type="dxa"/>
              <w:left w:w="55" w:type="dxa"/>
              <w:bottom w:w="55" w:type="dxa"/>
              <w:right w:w="55" w:type="dxa"/>
            </w:tcMar>
            <w:vAlign w:val="center"/>
          </w:tcPr>
          <w:p w14:paraId="39C4202A" w14:textId="77777777" w:rsidR="00D215B7" w:rsidRDefault="00000000">
            <w:pPr>
              <w:rPr>
                <w:rFonts w:ascii="Times New Roman" w:hAnsi="Times New Roman" w:cs="Times New Roman"/>
              </w:rPr>
            </w:pPr>
            <w:r>
              <w:rPr>
                <w:rFonts w:ascii="Times New Roman" w:hAnsi="Times New Roman" w:cs="Times New Roman"/>
                <w:sz w:val="15"/>
              </w:rPr>
              <w:t xml:space="preserve">AI, ML, big data and deep learning increasingly support </w:t>
            </w:r>
            <w:proofErr w:type="spellStart"/>
            <w:r>
              <w:rPr>
                <w:rFonts w:ascii="Times New Roman" w:hAnsi="Times New Roman" w:cs="Times New Roman"/>
                <w:sz w:val="15"/>
              </w:rPr>
              <w:t>MaaS</w:t>
            </w:r>
            <w:proofErr w:type="spellEnd"/>
            <w:r>
              <w:rPr>
                <w:rFonts w:ascii="Times New Roman" w:hAnsi="Times New Roman" w:cs="Times New Roman"/>
                <w:sz w:val="15"/>
              </w:rPr>
              <w:t xml:space="preserve"> </w:t>
            </w:r>
            <w:proofErr w:type="spellStart"/>
            <w:r>
              <w:rPr>
                <w:rFonts w:ascii="Times New Roman" w:hAnsi="Times New Roman" w:cs="Times New Roman"/>
                <w:sz w:val="15"/>
              </w:rPr>
              <w:t>personalisation</w:t>
            </w:r>
            <w:proofErr w:type="spellEnd"/>
            <w:r>
              <w:rPr>
                <w:rFonts w:ascii="Times New Roman" w:hAnsi="Times New Roman" w:cs="Times New Roman"/>
                <w:sz w:val="15"/>
              </w:rPr>
              <w:t>, demand forecasting and multimodal coordination.</w:t>
            </w:r>
          </w:p>
        </w:tc>
        <w:tc>
          <w:tcPr>
            <w:tcW w:w="2045" w:type="dxa"/>
            <w:tcMar>
              <w:top w:w="55" w:type="dxa"/>
              <w:left w:w="55" w:type="dxa"/>
              <w:bottom w:w="55" w:type="dxa"/>
              <w:right w:w="55" w:type="dxa"/>
            </w:tcMar>
            <w:vAlign w:val="center"/>
          </w:tcPr>
          <w:p w14:paraId="3412CB3E" w14:textId="77777777" w:rsidR="00D215B7" w:rsidRDefault="00000000">
            <w:pPr>
              <w:rPr>
                <w:rFonts w:ascii="Times New Roman" w:hAnsi="Times New Roman" w:cs="Times New Roman"/>
              </w:rPr>
            </w:pPr>
            <w:r>
              <w:rPr>
                <w:rFonts w:ascii="Times New Roman" w:hAnsi="Times New Roman" w:cs="Times New Roman"/>
                <w:sz w:val="15"/>
              </w:rPr>
              <w:t>Regulatory compliance, inclusion and protection of user data remain challenges.</w:t>
            </w:r>
          </w:p>
        </w:tc>
        <w:tc>
          <w:tcPr>
            <w:tcW w:w="1397" w:type="dxa"/>
            <w:tcMar>
              <w:top w:w="55" w:type="dxa"/>
              <w:left w:w="55" w:type="dxa"/>
              <w:bottom w:w="55" w:type="dxa"/>
              <w:right w:w="55" w:type="dxa"/>
            </w:tcMar>
            <w:vAlign w:val="center"/>
          </w:tcPr>
          <w:p w14:paraId="500BD726" w14:textId="77777777" w:rsidR="00D215B7" w:rsidRDefault="00000000">
            <w:pPr>
              <w:jc w:val="center"/>
              <w:rPr>
                <w:rFonts w:ascii="Times New Roman" w:hAnsi="Times New Roman" w:cs="Times New Roman"/>
              </w:rPr>
            </w:pPr>
            <w:proofErr w:type="spellStart"/>
            <w:r>
              <w:rPr>
                <w:rFonts w:ascii="Times New Roman" w:hAnsi="Times New Roman" w:cs="Times New Roman"/>
                <w:sz w:val="15"/>
              </w:rPr>
              <w:t>MaaS</w:t>
            </w:r>
            <w:proofErr w:type="spellEnd"/>
            <w:r>
              <w:rPr>
                <w:rFonts w:ascii="Times New Roman" w:hAnsi="Times New Roman" w:cs="Times New Roman"/>
                <w:sz w:val="15"/>
              </w:rPr>
              <w:t xml:space="preserve"> and multimodal mobility</w:t>
            </w:r>
          </w:p>
        </w:tc>
      </w:tr>
      <w:tr w:rsidR="00D215B7" w14:paraId="29566EAE" w14:textId="77777777">
        <w:trPr>
          <w:cantSplit/>
        </w:trPr>
        <w:tc>
          <w:tcPr>
            <w:tcW w:w="1267" w:type="dxa"/>
            <w:tcMar>
              <w:top w:w="55" w:type="dxa"/>
              <w:left w:w="55" w:type="dxa"/>
              <w:bottom w:w="55" w:type="dxa"/>
              <w:right w:w="55" w:type="dxa"/>
            </w:tcMar>
            <w:vAlign w:val="center"/>
          </w:tcPr>
          <w:p w14:paraId="32934DB7" w14:textId="77777777" w:rsidR="00D215B7" w:rsidRDefault="00000000">
            <w:pPr>
              <w:jc w:val="center"/>
              <w:rPr>
                <w:rFonts w:ascii="Times New Roman" w:hAnsi="Times New Roman" w:cs="Times New Roman"/>
              </w:rPr>
            </w:pPr>
            <w:proofErr w:type="spellStart"/>
            <w:r>
              <w:rPr>
                <w:rFonts w:ascii="Times New Roman" w:hAnsi="Times New Roman" w:cs="Times New Roman"/>
                <w:sz w:val="15"/>
              </w:rPr>
              <w:t>Bazzan</w:t>
            </w:r>
            <w:proofErr w:type="spellEnd"/>
            <w:r>
              <w:rPr>
                <w:rFonts w:ascii="Times New Roman" w:hAnsi="Times New Roman" w:cs="Times New Roman"/>
                <w:sz w:val="15"/>
              </w:rPr>
              <w:t xml:space="preserve"> (2026)</w:t>
            </w:r>
          </w:p>
        </w:tc>
        <w:tc>
          <w:tcPr>
            <w:tcW w:w="1483" w:type="dxa"/>
            <w:tcMar>
              <w:top w:w="55" w:type="dxa"/>
              <w:left w:w="55" w:type="dxa"/>
              <w:bottom w:w="55" w:type="dxa"/>
              <w:right w:w="55" w:type="dxa"/>
            </w:tcMar>
            <w:vAlign w:val="center"/>
          </w:tcPr>
          <w:p w14:paraId="58194384" w14:textId="77777777" w:rsidR="00D215B7" w:rsidRDefault="00000000">
            <w:pPr>
              <w:rPr>
                <w:rFonts w:ascii="Times New Roman" w:hAnsi="Times New Roman" w:cs="Times New Roman"/>
              </w:rPr>
            </w:pPr>
            <w:r>
              <w:rPr>
                <w:rFonts w:ascii="Times New Roman" w:hAnsi="Times New Roman" w:cs="Times New Roman"/>
                <w:sz w:val="15"/>
              </w:rPr>
              <w:t>AI applications in transportation</w:t>
            </w:r>
          </w:p>
        </w:tc>
        <w:tc>
          <w:tcPr>
            <w:tcW w:w="1037" w:type="dxa"/>
            <w:tcMar>
              <w:top w:w="55" w:type="dxa"/>
              <w:left w:w="55" w:type="dxa"/>
              <w:bottom w:w="55" w:type="dxa"/>
              <w:right w:w="55" w:type="dxa"/>
            </w:tcMar>
            <w:vAlign w:val="center"/>
          </w:tcPr>
          <w:p w14:paraId="5C3FF738" w14:textId="77777777" w:rsidR="00D215B7" w:rsidRDefault="00000000">
            <w:pPr>
              <w:jc w:val="center"/>
              <w:rPr>
                <w:rFonts w:ascii="Times New Roman" w:hAnsi="Times New Roman" w:cs="Times New Roman"/>
              </w:rPr>
            </w:pPr>
            <w:r>
              <w:rPr>
                <w:rFonts w:ascii="Times New Roman" w:hAnsi="Times New Roman" w:cs="Times New Roman"/>
                <w:sz w:val="15"/>
              </w:rPr>
              <w:t>Meta-review</w:t>
            </w:r>
          </w:p>
        </w:tc>
        <w:tc>
          <w:tcPr>
            <w:tcW w:w="2131" w:type="dxa"/>
            <w:tcMar>
              <w:top w:w="55" w:type="dxa"/>
              <w:left w:w="55" w:type="dxa"/>
              <w:bottom w:w="55" w:type="dxa"/>
              <w:right w:w="55" w:type="dxa"/>
            </w:tcMar>
            <w:vAlign w:val="center"/>
          </w:tcPr>
          <w:p w14:paraId="1CFBF823" w14:textId="77777777" w:rsidR="00D215B7" w:rsidRDefault="00000000">
            <w:pPr>
              <w:rPr>
                <w:rFonts w:ascii="Times New Roman" w:hAnsi="Times New Roman" w:cs="Times New Roman"/>
              </w:rPr>
            </w:pPr>
            <w:r>
              <w:rPr>
                <w:rFonts w:ascii="Times New Roman" w:hAnsi="Times New Roman" w:cs="Times New Roman"/>
                <w:sz w:val="15"/>
              </w:rPr>
              <w:t xml:space="preserve">AI applications span traffic management, machine learning, autonomous mobility and wider transportation </w:t>
            </w:r>
            <w:proofErr w:type="spellStart"/>
            <w:r>
              <w:rPr>
                <w:rFonts w:ascii="Times New Roman" w:hAnsi="Times New Roman" w:cs="Times New Roman"/>
                <w:sz w:val="15"/>
              </w:rPr>
              <w:t>optimisation</w:t>
            </w:r>
            <w:proofErr w:type="spellEnd"/>
            <w:r>
              <w:rPr>
                <w:rFonts w:ascii="Times New Roman" w:hAnsi="Times New Roman" w:cs="Times New Roman"/>
                <w:sz w:val="15"/>
              </w:rPr>
              <w:t>.</w:t>
            </w:r>
          </w:p>
        </w:tc>
        <w:tc>
          <w:tcPr>
            <w:tcW w:w="2045" w:type="dxa"/>
            <w:tcMar>
              <w:top w:w="55" w:type="dxa"/>
              <w:left w:w="55" w:type="dxa"/>
              <w:bottom w:w="55" w:type="dxa"/>
              <w:right w:w="55" w:type="dxa"/>
            </w:tcMar>
            <w:vAlign w:val="center"/>
          </w:tcPr>
          <w:p w14:paraId="096B138F" w14:textId="77777777" w:rsidR="00D215B7" w:rsidRDefault="00000000">
            <w:pPr>
              <w:rPr>
                <w:rFonts w:ascii="Times New Roman" w:hAnsi="Times New Roman" w:cs="Times New Roman"/>
              </w:rPr>
            </w:pPr>
            <w:r>
              <w:rPr>
                <w:rFonts w:ascii="Times New Roman" w:hAnsi="Times New Roman" w:cs="Times New Roman"/>
                <w:sz w:val="15"/>
              </w:rPr>
              <w:t>Evidence across transport applications remains heterogeneous.</w:t>
            </w:r>
          </w:p>
        </w:tc>
        <w:tc>
          <w:tcPr>
            <w:tcW w:w="1397" w:type="dxa"/>
            <w:tcMar>
              <w:top w:w="55" w:type="dxa"/>
              <w:left w:w="55" w:type="dxa"/>
              <w:bottom w:w="55" w:type="dxa"/>
              <w:right w:w="55" w:type="dxa"/>
            </w:tcMar>
            <w:vAlign w:val="center"/>
          </w:tcPr>
          <w:p w14:paraId="6BDA1B4E" w14:textId="77777777" w:rsidR="00D215B7" w:rsidRDefault="00000000">
            <w:pPr>
              <w:jc w:val="center"/>
              <w:rPr>
                <w:rFonts w:ascii="Times New Roman" w:hAnsi="Times New Roman" w:cs="Times New Roman"/>
              </w:rPr>
            </w:pPr>
            <w:r>
              <w:rPr>
                <w:rFonts w:ascii="Times New Roman" w:hAnsi="Times New Roman" w:cs="Times New Roman"/>
                <w:sz w:val="15"/>
              </w:rPr>
              <w:t>AI-enabled transportation</w:t>
            </w:r>
          </w:p>
        </w:tc>
      </w:tr>
      <w:tr w:rsidR="00D215B7" w14:paraId="59086D13" w14:textId="77777777">
        <w:trPr>
          <w:cantSplit/>
        </w:trPr>
        <w:tc>
          <w:tcPr>
            <w:tcW w:w="1267" w:type="dxa"/>
            <w:tcMar>
              <w:top w:w="55" w:type="dxa"/>
              <w:left w:w="55" w:type="dxa"/>
              <w:bottom w:w="55" w:type="dxa"/>
              <w:right w:w="55" w:type="dxa"/>
            </w:tcMar>
            <w:vAlign w:val="center"/>
          </w:tcPr>
          <w:p w14:paraId="73E0E00D" w14:textId="77777777" w:rsidR="00D215B7" w:rsidRDefault="00000000">
            <w:pPr>
              <w:jc w:val="center"/>
              <w:rPr>
                <w:rFonts w:ascii="Times New Roman" w:hAnsi="Times New Roman" w:cs="Times New Roman"/>
              </w:rPr>
            </w:pPr>
            <w:r>
              <w:rPr>
                <w:rFonts w:ascii="Times New Roman" w:hAnsi="Times New Roman" w:cs="Times New Roman"/>
                <w:sz w:val="15"/>
              </w:rPr>
              <w:t>Adeniran et al. (2026)</w:t>
            </w:r>
          </w:p>
        </w:tc>
        <w:tc>
          <w:tcPr>
            <w:tcW w:w="1483" w:type="dxa"/>
            <w:tcMar>
              <w:top w:w="55" w:type="dxa"/>
              <w:left w:w="55" w:type="dxa"/>
              <w:bottom w:w="55" w:type="dxa"/>
              <w:right w:w="55" w:type="dxa"/>
            </w:tcMar>
            <w:vAlign w:val="center"/>
          </w:tcPr>
          <w:p w14:paraId="15004092" w14:textId="77777777" w:rsidR="00D215B7" w:rsidRDefault="00000000">
            <w:pPr>
              <w:rPr>
                <w:rFonts w:ascii="Times New Roman" w:hAnsi="Times New Roman" w:cs="Times New Roman"/>
              </w:rPr>
            </w:pPr>
            <w:r>
              <w:rPr>
                <w:rFonts w:ascii="Times New Roman" w:hAnsi="Times New Roman" w:cs="Times New Roman"/>
                <w:sz w:val="15"/>
              </w:rPr>
              <w:t>ITS in Singapore, London and Lagos</w:t>
            </w:r>
          </w:p>
        </w:tc>
        <w:tc>
          <w:tcPr>
            <w:tcW w:w="1037" w:type="dxa"/>
            <w:tcMar>
              <w:top w:w="55" w:type="dxa"/>
              <w:left w:w="55" w:type="dxa"/>
              <w:bottom w:w="55" w:type="dxa"/>
              <w:right w:w="55" w:type="dxa"/>
            </w:tcMar>
            <w:vAlign w:val="center"/>
          </w:tcPr>
          <w:p w14:paraId="45B9DF9B" w14:textId="77777777" w:rsidR="00D215B7" w:rsidRDefault="00000000">
            <w:pPr>
              <w:jc w:val="center"/>
              <w:rPr>
                <w:rFonts w:ascii="Times New Roman" w:hAnsi="Times New Roman" w:cs="Times New Roman"/>
              </w:rPr>
            </w:pPr>
            <w:r>
              <w:rPr>
                <w:rFonts w:ascii="Times New Roman" w:hAnsi="Times New Roman" w:cs="Times New Roman"/>
                <w:sz w:val="15"/>
              </w:rPr>
              <w:t>Integrative comparative review</w:t>
            </w:r>
          </w:p>
        </w:tc>
        <w:tc>
          <w:tcPr>
            <w:tcW w:w="2131" w:type="dxa"/>
            <w:tcMar>
              <w:top w:w="55" w:type="dxa"/>
              <w:left w:w="55" w:type="dxa"/>
              <w:bottom w:w="55" w:type="dxa"/>
              <w:right w:w="55" w:type="dxa"/>
            </w:tcMar>
            <w:vAlign w:val="center"/>
          </w:tcPr>
          <w:p w14:paraId="06C40A7D" w14:textId="77777777" w:rsidR="00D215B7" w:rsidRDefault="00000000">
            <w:pPr>
              <w:rPr>
                <w:rFonts w:ascii="Times New Roman" w:hAnsi="Times New Roman" w:cs="Times New Roman"/>
              </w:rPr>
            </w:pPr>
            <w:r>
              <w:rPr>
                <w:rFonts w:ascii="Times New Roman" w:hAnsi="Times New Roman" w:cs="Times New Roman"/>
                <w:sz w:val="15"/>
              </w:rPr>
              <w:t>Mature institutional and digital systems support advanced ITS deployment in Singapore and London, while Lagos faces infrastructural and institutional constraints.</w:t>
            </w:r>
          </w:p>
        </w:tc>
        <w:tc>
          <w:tcPr>
            <w:tcW w:w="2045" w:type="dxa"/>
            <w:tcMar>
              <w:top w:w="55" w:type="dxa"/>
              <w:left w:w="55" w:type="dxa"/>
              <w:bottom w:w="55" w:type="dxa"/>
              <w:right w:w="55" w:type="dxa"/>
            </w:tcMar>
            <w:vAlign w:val="center"/>
          </w:tcPr>
          <w:p w14:paraId="29D31456" w14:textId="77777777" w:rsidR="00D215B7" w:rsidRDefault="00000000">
            <w:pPr>
              <w:rPr>
                <w:rFonts w:ascii="Times New Roman" w:hAnsi="Times New Roman" w:cs="Times New Roman"/>
              </w:rPr>
            </w:pPr>
            <w:r>
              <w:rPr>
                <w:rFonts w:ascii="Times New Roman" w:hAnsi="Times New Roman" w:cs="Times New Roman"/>
                <w:sz w:val="15"/>
              </w:rPr>
              <w:t>Developing-city evidence remains limited and context-sensitive.</w:t>
            </w:r>
          </w:p>
        </w:tc>
        <w:tc>
          <w:tcPr>
            <w:tcW w:w="1397" w:type="dxa"/>
            <w:tcMar>
              <w:top w:w="55" w:type="dxa"/>
              <w:left w:w="55" w:type="dxa"/>
              <w:bottom w:w="55" w:type="dxa"/>
              <w:right w:w="55" w:type="dxa"/>
            </w:tcMar>
            <w:vAlign w:val="center"/>
          </w:tcPr>
          <w:p w14:paraId="21BFE031" w14:textId="77777777" w:rsidR="00D215B7" w:rsidRDefault="00000000">
            <w:pPr>
              <w:jc w:val="center"/>
              <w:rPr>
                <w:rFonts w:ascii="Times New Roman" w:hAnsi="Times New Roman" w:cs="Times New Roman"/>
              </w:rPr>
            </w:pPr>
            <w:r>
              <w:rPr>
                <w:rFonts w:ascii="Times New Roman" w:hAnsi="Times New Roman" w:cs="Times New Roman"/>
                <w:sz w:val="15"/>
              </w:rPr>
              <w:t>Regional infrastructure readiness</w:t>
            </w:r>
          </w:p>
        </w:tc>
      </w:tr>
    </w:tbl>
    <w:p w14:paraId="334D515D" w14:textId="77777777" w:rsidR="00D215B7" w:rsidRDefault="00D215B7">
      <w:pPr>
        <w:pStyle w:val="Heading2"/>
        <w:spacing w:beforeAutospacing="0" w:afterAutospacing="0"/>
        <w:jc w:val="both"/>
        <w:rPr>
          <w:rFonts w:ascii="Times New Roman" w:hAnsi="Times New Roman" w:hint="default"/>
          <w:sz w:val="19"/>
          <w:szCs w:val="19"/>
        </w:rPr>
      </w:pPr>
    </w:p>
    <w:p w14:paraId="38371FFF" w14:textId="77777777" w:rsidR="00D215B7" w:rsidRDefault="00000000">
      <w:pPr>
        <w:pStyle w:val="Heading2"/>
        <w:spacing w:beforeAutospacing="0" w:afterAutospacing="0"/>
        <w:jc w:val="both"/>
        <w:rPr>
          <w:rFonts w:ascii="Times New Roman" w:hAnsi="Times New Roman" w:hint="default"/>
          <w:sz w:val="22"/>
          <w:szCs w:val="22"/>
        </w:rPr>
      </w:pPr>
      <w:r>
        <w:rPr>
          <w:rFonts w:ascii="Times New Roman" w:hAnsi="Times New Roman" w:hint="default"/>
          <w:sz w:val="22"/>
          <w:szCs w:val="22"/>
        </w:rPr>
        <w:t>4.0 Narrative Synthesis of Findings</w:t>
      </w:r>
    </w:p>
    <w:p w14:paraId="35D350DB" w14:textId="77777777" w:rsidR="00D215B7" w:rsidRDefault="00000000">
      <w:pPr>
        <w:pStyle w:val="NormalWeb"/>
        <w:spacing w:beforeAutospacing="0" w:afterAutospacing="0"/>
        <w:jc w:val="both"/>
        <w:rPr>
          <w:sz w:val="19"/>
          <w:szCs w:val="19"/>
        </w:rPr>
      </w:pPr>
      <w:r>
        <w:rPr>
          <w:sz w:val="19"/>
        </w:rPr>
        <w:t xml:space="preserve">The synthesis of the 30 included sources identified recurring applications of AI across traffic management, connected infrastructure, safety, electric mobility and transport-system sustainability. Across these domains, reported technological performance was generally </w:t>
      </w:r>
      <w:proofErr w:type="spellStart"/>
      <w:r>
        <w:rPr>
          <w:sz w:val="19"/>
        </w:rPr>
        <w:t>favourable</w:t>
      </w:r>
      <w:proofErr w:type="spellEnd"/>
      <w:r>
        <w:rPr>
          <w:sz w:val="19"/>
        </w:rPr>
        <w:t>, but the strength and transferability of outcomes depended substantially on data availability, connectivity, infrastructure quality and institutional conditions.</w:t>
      </w:r>
    </w:p>
    <w:p w14:paraId="06D1A586" w14:textId="77777777" w:rsidR="00D215B7" w:rsidRDefault="00000000">
      <w:pPr>
        <w:pStyle w:val="NormalWeb"/>
        <w:spacing w:beforeAutospacing="0" w:afterAutospacing="0"/>
        <w:jc w:val="both"/>
        <w:rPr>
          <w:sz w:val="19"/>
          <w:szCs w:val="19"/>
        </w:rPr>
      </w:pPr>
      <w:r>
        <w:rPr>
          <w:sz w:val="19"/>
        </w:rPr>
        <w:t xml:space="preserve">When classified by publication type, </w:t>
      </w:r>
      <w:r>
        <w:rPr>
          <w:sz w:val="19"/>
          <w:highlight w:val="yellow"/>
        </w:rPr>
        <w:t>29 of the 30 included sources</w:t>
      </w:r>
      <w:r>
        <w:rPr>
          <w:sz w:val="19"/>
        </w:rPr>
        <w:t xml:space="preserve"> (96.7%) were review, survey, meta-review, bibliometric or conceptual syntheses, while one source was a case study. Twenty-eight sources were broad or multi-context publications without a single named study setting; Adeniran et al. (2026) and </w:t>
      </w:r>
      <w:proofErr w:type="spellStart"/>
      <w:r>
        <w:rPr>
          <w:sz w:val="19"/>
        </w:rPr>
        <w:t>Kivimaa</w:t>
      </w:r>
      <w:proofErr w:type="spellEnd"/>
      <w:r>
        <w:rPr>
          <w:sz w:val="19"/>
        </w:rPr>
        <w:t xml:space="preserve"> and Rogge (2022) explicitly examined named urban or national settings. This source-level count does not represent the geographical distribution of every primary study contained within the included reviews.</w:t>
      </w:r>
    </w:p>
    <w:p w14:paraId="33C7AF7E" w14:textId="77777777" w:rsidR="00D215B7" w:rsidRDefault="00000000">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4.1 AI-Enabled Traffic Management and Predictive Mobility</w:t>
      </w:r>
    </w:p>
    <w:p w14:paraId="0EA435E4" w14:textId="77777777" w:rsidR="00D215B7" w:rsidRDefault="00000000">
      <w:pPr>
        <w:pStyle w:val="NormalWeb"/>
        <w:spacing w:beforeAutospacing="0" w:afterAutospacing="0"/>
        <w:jc w:val="both"/>
        <w:rPr>
          <w:sz w:val="19"/>
          <w:szCs w:val="19"/>
        </w:rPr>
      </w:pPr>
      <w:r>
        <w:rPr>
          <w:sz w:val="19"/>
        </w:rPr>
        <w:t xml:space="preserve">Traffic prediction and network </w:t>
      </w:r>
      <w:proofErr w:type="spellStart"/>
      <w:r>
        <w:rPr>
          <w:sz w:val="19"/>
        </w:rPr>
        <w:t>optimisation</w:t>
      </w:r>
      <w:proofErr w:type="spellEnd"/>
      <w:r>
        <w:rPr>
          <w:sz w:val="19"/>
        </w:rPr>
        <w:t xml:space="preserve"> emerged as the most developed applications. Across the included reviews, machine learning, deep learning and other AI architectures were reported to support congestion forecasting, adaptive signals, incident prediction and dynamic routing (</w:t>
      </w:r>
      <w:proofErr w:type="spellStart"/>
      <w:r>
        <w:rPr>
          <w:sz w:val="19"/>
        </w:rPr>
        <w:t>Bazzan</w:t>
      </w:r>
      <w:proofErr w:type="spellEnd"/>
      <w:r>
        <w:rPr>
          <w:sz w:val="19"/>
        </w:rPr>
        <w:t>, 2026; Del-Coco et al., 2025; Jalil et al., 2024; Rong et al., 2025). Collectively, these sources indicate a continuing shift from reactive traffic management toward predictive and adaptive control, although performance remains context dependent.</w:t>
      </w:r>
    </w:p>
    <w:p w14:paraId="4CB41962" w14:textId="77777777" w:rsidR="00D215B7" w:rsidRDefault="00000000">
      <w:pPr>
        <w:pStyle w:val="NormalWeb"/>
        <w:spacing w:beforeAutospacing="0" w:afterAutospacing="0"/>
        <w:jc w:val="both"/>
        <w:rPr>
          <w:sz w:val="19"/>
          <w:szCs w:val="19"/>
        </w:rPr>
      </w:pPr>
      <w:r>
        <w:rPr>
          <w:sz w:val="19"/>
          <w:szCs w:val="19"/>
        </w:rPr>
        <w:t>However, performance varied with sensor density, data quality and local traffic characteristics. Models trained in data-rich or controlled environments were not always readily transferable to heterogeneous urban settings. The evidence therefore suggests that predictive capability depends jointly on algorithmic quality and the information infrastructure supporting it.</w:t>
      </w:r>
    </w:p>
    <w:p w14:paraId="343EAF3A" w14:textId="77777777" w:rsidR="00D215B7" w:rsidRDefault="00D215B7">
      <w:pPr>
        <w:pStyle w:val="NormalWeb"/>
        <w:spacing w:beforeAutospacing="0" w:afterAutospacing="0"/>
        <w:jc w:val="both"/>
        <w:rPr>
          <w:sz w:val="19"/>
          <w:szCs w:val="19"/>
        </w:rPr>
      </w:pPr>
    </w:p>
    <w:p w14:paraId="63D509C0" w14:textId="77777777" w:rsidR="00D215B7" w:rsidRDefault="00000000">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4.2 Intelligent Infrastructure and Connected Mobility</w:t>
      </w:r>
    </w:p>
    <w:p w14:paraId="7EE4081A" w14:textId="77777777" w:rsidR="00D215B7" w:rsidRDefault="00000000">
      <w:pPr>
        <w:pStyle w:val="NormalWeb"/>
        <w:spacing w:beforeAutospacing="0" w:afterAutospacing="0"/>
        <w:jc w:val="both"/>
        <w:rPr>
          <w:sz w:val="19"/>
          <w:szCs w:val="19"/>
        </w:rPr>
      </w:pPr>
      <w:r>
        <w:rPr>
          <w:sz w:val="19"/>
          <w:szCs w:val="19"/>
        </w:rPr>
        <w:t>Intelligent infrastructure emerged as the principal physical-digital foundation of AI-enabled mobility. Roadside sensors, connected signals, V2I/V2X communication and edge-cloud platforms improved real-time perception and coordination between vehicles and networks (</w:t>
      </w:r>
      <w:proofErr w:type="spellStart"/>
      <w:r>
        <w:rPr>
          <w:sz w:val="19"/>
          <w:szCs w:val="19"/>
        </w:rPr>
        <w:t>Creß</w:t>
      </w:r>
      <w:proofErr w:type="spellEnd"/>
      <w:r>
        <w:rPr>
          <w:sz w:val="19"/>
          <w:szCs w:val="19"/>
        </w:rPr>
        <w:t xml:space="preserve"> et al., 2024; Del-Coco et al., 2025). </w:t>
      </w:r>
      <w:proofErr w:type="spellStart"/>
      <w:r>
        <w:rPr>
          <w:sz w:val="19"/>
          <w:szCs w:val="19"/>
        </w:rPr>
        <w:t>Creß</w:t>
      </w:r>
      <w:proofErr w:type="spellEnd"/>
      <w:r>
        <w:rPr>
          <w:sz w:val="19"/>
          <w:szCs w:val="19"/>
        </w:rPr>
        <w:t xml:space="preserve"> et al. (2024), after reviewing more than </w:t>
      </w:r>
      <w:r>
        <w:rPr>
          <w:sz w:val="19"/>
          <w:szCs w:val="19"/>
          <w:lang w:val="en-CA"/>
        </w:rPr>
        <w:t>3</w:t>
      </w:r>
      <w:r>
        <w:rPr>
          <w:sz w:val="19"/>
          <w:szCs w:val="19"/>
        </w:rPr>
        <w:t>00 publications and 53 test-bed projects, found considerable potential in roadside ITS but identified reliable perception, interoperability and secure real-time communication as continuing deployment requirements.</w:t>
      </w:r>
    </w:p>
    <w:p w14:paraId="0D17C93B" w14:textId="77777777" w:rsidR="00D215B7" w:rsidRDefault="00000000">
      <w:pPr>
        <w:pStyle w:val="NormalWeb"/>
        <w:spacing w:beforeAutospacing="0" w:afterAutospacing="0"/>
        <w:jc w:val="both"/>
        <w:rPr>
          <w:sz w:val="19"/>
          <w:szCs w:val="19"/>
        </w:rPr>
      </w:pPr>
      <w:r>
        <w:rPr>
          <w:sz w:val="19"/>
          <w:szCs w:val="19"/>
        </w:rPr>
        <w:t>These findings explain why similar AI applications produce different outcomes across regions. Where connectivity and digital infrastructure are mature, intelligent systems can operate as coordinated networks; where infrastructure remains fragmented, AI applications tend to remain isolated or experimental.</w:t>
      </w:r>
    </w:p>
    <w:p w14:paraId="648F929B" w14:textId="77777777" w:rsidR="00D215B7" w:rsidRDefault="00D215B7">
      <w:pPr>
        <w:pStyle w:val="NormalWeb"/>
        <w:spacing w:beforeAutospacing="0" w:afterAutospacing="0"/>
        <w:jc w:val="both"/>
        <w:rPr>
          <w:sz w:val="19"/>
          <w:szCs w:val="19"/>
        </w:rPr>
      </w:pPr>
    </w:p>
    <w:p w14:paraId="72F82AA8" w14:textId="77777777" w:rsidR="00D215B7" w:rsidRDefault="00000000">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4.3 Safety, Risk Management and Reliability</w:t>
      </w:r>
    </w:p>
    <w:p w14:paraId="358973E1" w14:textId="77777777" w:rsidR="00D215B7" w:rsidRDefault="00000000">
      <w:pPr>
        <w:pStyle w:val="NormalWeb"/>
        <w:spacing w:beforeAutospacing="0" w:afterAutospacing="0"/>
        <w:jc w:val="both"/>
        <w:rPr>
          <w:sz w:val="19"/>
          <w:szCs w:val="19"/>
        </w:rPr>
      </w:pPr>
      <w:r>
        <w:rPr>
          <w:sz w:val="19"/>
        </w:rPr>
        <w:t xml:space="preserve">AI-supported computer vision, automated driving assistance and predictive risk systems were reported to enhance hazard-recognition and response capability. Reviews of accident-detection research describe increasing capacity to </w:t>
      </w:r>
      <w:proofErr w:type="spellStart"/>
      <w:r>
        <w:rPr>
          <w:sz w:val="19"/>
        </w:rPr>
        <w:t>analyse</w:t>
      </w:r>
      <w:proofErr w:type="spellEnd"/>
      <w:r>
        <w:rPr>
          <w:sz w:val="19"/>
        </w:rPr>
        <w:t xml:space="preserve"> surveillance, vehicle and roadside data for automated recognition of dangerous events (</w:t>
      </w:r>
      <w:proofErr w:type="spellStart"/>
      <w:r>
        <w:rPr>
          <w:sz w:val="19"/>
        </w:rPr>
        <w:t>Adewopo</w:t>
      </w:r>
      <w:proofErr w:type="spellEnd"/>
      <w:r>
        <w:rPr>
          <w:sz w:val="19"/>
        </w:rPr>
        <w:t xml:space="preserve"> et al., 2023; Del-Coco et al., 2025). However, performance remains constrained by rare events, adverse weather, occluded objects, limited datasets and mixed human-machine traffic environments.</w:t>
      </w:r>
    </w:p>
    <w:p w14:paraId="752F5A86" w14:textId="77777777" w:rsidR="00D215B7" w:rsidRDefault="00000000">
      <w:pPr>
        <w:pStyle w:val="NormalWeb"/>
        <w:spacing w:beforeAutospacing="0" w:afterAutospacing="0"/>
        <w:jc w:val="both"/>
        <w:rPr>
          <w:sz w:val="19"/>
          <w:szCs w:val="19"/>
        </w:rPr>
      </w:pPr>
      <w:r>
        <w:rPr>
          <w:sz w:val="19"/>
          <w:szCs w:val="19"/>
        </w:rPr>
        <w:lastRenderedPageBreak/>
        <w:t>The synthesis therefore supports AI as an important safety-support technology, but does not support treating automation as independent of infrastructure standards, regulatory safeguards and operational risk management.</w:t>
      </w:r>
    </w:p>
    <w:p w14:paraId="34B0B413" w14:textId="77777777" w:rsidR="00D215B7" w:rsidRDefault="00D215B7">
      <w:pPr>
        <w:pStyle w:val="NormalWeb"/>
        <w:spacing w:beforeAutospacing="0" w:afterAutospacing="0"/>
        <w:jc w:val="both"/>
        <w:rPr>
          <w:sz w:val="19"/>
          <w:szCs w:val="19"/>
        </w:rPr>
      </w:pPr>
    </w:p>
    <w:p w14:paraId="79F91E3B" w14:textId="77777777" w:rsidR="00D215B7" w:rsidRDefault="00000000">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4.4 AI, Electric Mobility and Energy Integration</w:t>
      </w:r>
    </w:p>
    <w:p w14:paraId="6509BBC3" w14:textId="77777777" w:rsidR="00D215B7" w:rsidRDefault="00000000">
      <w:pPr>
        <w:pStyle w:val="NormalWeb"/>
        <w:spacing w:beforeAutospacing="0" w:afterAutospacing="0"/>
        <w:jc w:val="both"/>
        <w:rPr>
          <w:sz w:val="19"/>
          <w:szCs w:val="19"/>
        </w:rPr>
      </w:pPr>
      <w:r>
        <w:rPr>
          <w:sz w:val="19"/>
        </w:rPr>
        <w:t xml:space="preserve">The reviewed evidence increasingly connected smart mobility with electrification, charging </w:t>
      </w:r>
      <w:proofErr w:type="spellStart"/>
      <w:r>
        <w:rPr>
          <w:sz w:val="19"/>
        </w:rPr>
        <w:t>optimisation</w:t>
      </w:r>
      <w:proofErr w:type="spellEnd"/>
      <w:r>
        <w:rPr>
          <w:sz w:val="19"/>
        </w:rPr>
        <w:t xml:space="preserve"> and intelligent energy management. AI-supported forecasting, reinforcement-learning scheduling, </w:t>
      </w:r>
      <w:proofErr w:type="spellStart"/>
      <w:r>
        <w:rPr>
          <w:sz w:val="19"/>
        </w:rPr>
        <w:t>AIoT</w:t>
      </w:r>
      <w:proofErr w:type="spellEnd"/>
      <w:r>
        <w:rPr>
          <w:sz w:val="19"/>
        </w:rPr>
        <w:t xml:space="preserve"> and digital-twin approaches were reported to support charging-demand coordination, battery use, vehicle-to-grid interaction and transport-energy scheduling (Sadeghian et al., 2022; </w:t>
      </w:r>
      <w:proofErr w:type="spellStart"/>
      <w:r>
        <w:rPr>
          <w:sz w:val="19"/>
        </w:rPr>
        <w:t>Tightiz</w:t>
      </w:r>
      <w:proofErr w:type="spellEnd"/>
      <w:r>
        <w:rPr>
          <w:sz w:val="19"/>
        </w:rPr>
        <w:t xml:space="preserve"> et al., 2025; Yu et al., 2024; Zhao et al., 2024). These developments extend intelligent transportation beyond traffic management toward interaction among mobility, electricity and digital networks.</w:t>
      </w:r>
    </w:p>
    <w:p w14:paraId="41750B45" w14:textId="77777777" w:rsidR="00D215B7" w:rsidRDefault="00000000">
      <w:pPr>
        <w:pStyle w:val="NormalWeb"/>
        <w:spacing w:beforeAutospacing="0" w:afterAutospacing="0"/>
        <w:jc w:val="both"/>
        <w:rPr>
          <w:sz w:val="19"/>
          <w:szCs w:val="19"/>
        </w:rPr>
      </w:pPr>
      <w:r>
        <w:rPr>
          <w:sz w:val="19"/>
        </w:rPr>
        <w:t xml:space="preserve">However, environmental benefits remained conditional on charging availability, grid resilience, electricity generation sources and wider transport-system effects. This reinforces the distinction between operational </w:t>
      </w:r>
      <w:proofErr w:type="spellStart"/>
      <w:r>
        <w:rPr>
          <w:sz w:val="19"/>
        </w:rPr>
        <w:t>optimisation</w:t>
      </w:r>
      <w:proofErr w:type="spellEnd"/>
      <w:r>
        <w:rPr>
          <w:sz w:val="19"/>
        </w:rPr>
        <w:t xml:space="preserve"> and environmental sustainability identified in smart-mobility reviews (</w:t>
      </w:r>
      <w:proofErr w:type="spellStart"/>
      <w:r>
        <w:rPr>
          <w:sz w:val="19"/>
        </w:rPr>
        <w:t>D'Alberto</w:t>
      </w:r>
      <w:proofErr w:type="spellEnd"/>
      <w:r>
        <w:rPr>
          <w:sz w:val="19"/>
        </w:rPr>
        <w:t xml:space="preserve"> &amp; Giudici, 2023; </w:t>
      </w:r>
      <w:proofErr w:type="spellStart"/>
      <w:r>
        <w:rPr>
          <w:sz w:val="19"/>
        </w:rPr>
        <w:t>Mitieka</w:t>
      </w:r>
      <w:proofErr w:type="spellEnd"/>
      <w:r>
        <w:rPr>
          <w:sz w:val="19"/>
        </w:rPr>
        <w:t xml:space="preserve"> et al., 2023; Sadeghian et al., 2022).</w:t>
      </w:r>
    </w:p>
    <w:p w14:paraId="423E3154" w14:textId="77777777" w:rsidR="00D215B7" w:rsidRDefault="00D215B7">
      <w:pPr>
        <w:pStyle w:val="NormalWeb"/>
        <w:spacing w:beforeAutospacing="0" w:afterAutospacing="0"/>
        <w:jc w:val="both"/>
        <w:rPr>
          <w:sz w:val="19"/>
          <w:szCs w:val="19"/>
        </w:rPr>
      </w:pPr>
    </w:p>
    <w:p w14:paraId="66F7467E" w14:textId="77777777" w:rsidR="00D215B7" w:rsidRDefault="00000000">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4.5 Operational Sustainability and System Performance</w:t>
      </w:r>
    </w:p>
    <w:p w14:paraId="37584DF4" w14:textId="77777777" w:rsidR="00D215B7" w:rsidRDefault="00000000">
      <w:pPr>
        <w:pStyle w:val="NormalWeb"/>
        <w:spacing w:beforeAutospacing="0" w:afterAutospacing="0"/>
        <w:jc w:val="both"/>
        <w:rPr>
          <w:sz w:val="19"/>
          <w:szCs w:val="19"/>
        </w:rPr>
      </w:pPr>
      <w:r>
        <w:rPr>
          <w:sz w:val="19"/>
          <w:szCs w:val="19"/>
        </w:rPr>
        <w:t xml:space="preserve">AI applications were generally associated with improved traffic flow, travel-time reliability, infrastructure monitoring, maintenance planning and resource </w:t>
      </w:r>
      <w:proofErr w:type="spellStart"/>
      <w:r>
        <w:rPr>
          <w:sz w:val="19"/>
          <w:szCs w:val="19"/>
        </w:rPr>
        <w:t>utilisation</w:t>
      </w:r>
      <w:proofErr w:type="spellEnd"/>
      <w:r>
        <w:rPr>
          <w:sz w:val="19"/>
          <w:szCs w:val="19"/>
        </w:rPr>
        <w:t xml:space="preserve"> (</w:t>
      </w:r>
      <w:proofErr w:type="spellStart"/>
      <w:r>
        <w:rPr>
          <w:sz w:val="19"/>
          <w:szCs w:val="19"/>
        </w:rPr>
        <w:t>Bazzan</w:t>
      </w:r>
      <w:proofErr w:type="spellEnd"/>
      <w:r>
        <w:rPr>
          <w:sz w:val="19"/>
          <w:szCs w:val="19"/>
        </w:rPr>
        <w:t xml:space="preserve">, 2026; Del-Coco et al., 2025; </w:t>
      </w:r>
      <w:proofErr w:type="spellStart"/>
      <w:r>
        <w:rPr>
          <w:sz w:val="19"/>
          <w:szCs w:val="19"/>
        </w:rPr>
        <w:t>Rouky</w:t>
      </w:r>
      <w:proofErr w:type="spellEnd"/>
      <w:r>
        <w:rPr>
          <w:sz w:val="19"/>
          <w:szCs w:val="19"/>
        </w:rPr>
        <w:t xml:space="preserve"> et al., 2025). Nevertheless, the evidence distinguished operational efficiency from broader sustainability. Gains in routing or congestion management may be offset where technological improvements stimulate additional travel or where accessibility, energy and social considerations remain weak (</w:t>
      </w:r>
      <w:proofErr w:type="spellStart"/>
      <w:r>
        <w:rPr>
          <w:sz w:val="19"/>
          <w:szCs w:val="19"/>
        </w:rPr>
        <w:t>Servou</w:t>
      </w:r>
      <w:proofErr w:type="spellEnd"/>
      <w:r>
        <w:rPr>
          <w:sz w:val="19"/>
          <w:szCs w:val="19"/>
        </w:rPr>
        <w:t xml:space="preserve"> et al., 2023).</w:t>
      </w:r>
    </w:p>
    <w:p w14:paraId="51B35EFC" w14:textId="77777777" w:rsidR="00D215B7" w:rsidRDefault="00000000">
      <w:pPr>
        <w:pStyle w:val="NormalWeb"/>
        <w:spacing w:beforeAutospacing="0" w:afterAutospacing="0"/>
        <w:jc w:val="both"/>
        <w:rPr>
          <w:sz w:val="19"/>
          <w:szCs w:val="19"/>
        </w:rPr>
      </w:pPr>
      <w:r>
        <w:rPr>
          <w:sz w:val="19"/>
        </w:rPr>
        <w:t xml:space="preserve">The reviewed literature therefore suggests that sustainability outcomes are more credible when digital </w:t>
      </w:r>
      <w:proofErr w:type="spellStart"/>
      <w:r>
        <w:rPr>
          <w:sz w:val="19"/>
        </w:rPr>
        <w:t>optimisation</w:t>
      </w:r>
      <w:proofErr w:type="spellEnd"/>
      <w:r>
        <w:rPr>
          <w:sz w:val="19"/>
        </w:rPr>
        <w:t xml:space="preserve"> is combined with accessible mobility, cleaner energy and </w:t>
      </w:r>
      <w:r>
        <w:rPr>
          <w:sz w:val="19"/>
          <w:highlight w:val="yellow"/>
        </w:rPr>
        <w:t>coherent governance,</w:t>
      </w:r>
      <w:r>
        <w:rPr>
          <w:sz w:val="19"/>
          <w:lang w:val="en-CA"/>
        </w:rPr>
        <w:t xml:space="preserve"> and that assessments based solely on traffic flow or algorithm accuracy provide a narrower basis for evaluating sustainability</w:t>
      </w:r>
      <w:r>
        <w:rPr>
          <w:sz w:val="19"/>
        </w:rPr>
        <w:t xml:space="preserve"> (Butler et al., 2020; </w:t>
      </w:r>
      <w:proofErr w:type="spellStart"/>
      <w:r>
        <w:rPr>
          <w:sz w:val="19"/>
        </w:rPr>
        <w:t>D'Alberto</w:t>
      </w:r>
      <w:proofErr w:type="spellEnd"/>
      <w:r>
        <w:rPr>
          <w:sz w:val="19"/>
        </w:rPr>
        <w:t xml:space="preserve"> &amp; Giudici, 2023; </w:t>
      </w:r>
      <w:proofErr w:type="spellStart"/>
      <w:r>
        <w:rPr>
          <w:sz w:val="19"/>
        </w:rPr>
        <w:t>Servou</w:t>
      </w:r>
      <w:proofErr w:type="spellEnd"/>
      <w:r>
        <w:rPr>
          <w:sz w:val="19"/>
        </w:rPr>
        <w:t xml:space="preserve"> et al., 2023).</w:t>
      </w:r>
    </w:p>
    <w:p w14:paraId="694FBF1D" w14:textId="77777777" w:rsidR="00D215B7" w:rsidRDefault="00D215B7">
      <w:pPr>
        <w:pStyle w:val="NormalWeb"/>
        <w:spacing w:beforeAutospacing="0" w:afterAutospacing="0"/>
        <w:jc w:val="both"/>
        <w:rPr>
          <w:sz w:val="19"/>
          <w:szCs w:val="19"/>
        </w:rPr>
      </w:pPr>
    </w:p>
    <w:p w14:paraId="3363A602" w14:textId="77777777" w:rsidR="00D215B7" w:rsidRDefault="00000000">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4.6 Cross-Cutting Synthesis</w:t>
      </w:r>
    </w:p>
    <w:p w14:paraId="10E478D7" w14:textId="77777777" w:rsidR="00D215B7" w:rsidRDefault="00000000">
      <w:pPr>
        <w:pStyle w:val="NormalWeb"/>
        <w:spacing w:beforeAutospacing="0" w:afterAutospacing="0"/>
        <w:jc w:val="both"/>
        <w:rPr>
          <w:sz w:val="19"/>
          <w:szCs w:val="19"/>
        </w:rPr>
      </w:pPr>
      <w:r>
        <w:rPr>
          <w:sz w:val="19"/>
          <w:szCs w:val="19"/>
        </w:rPr>
        <w:t xml:space="preserve">Across the reviewed evidence, a consistent sequence emerged: </w:t>
      </w:r>
      <w:r>
        <w:rPr>
          <w:rStyle w:val="Strong"/>
          <w:sz w:val="19"/>
          <w:szCs w:val="19"/>
        </w:rPr>
        <w:t>AI provides analytical capability; intelligent infrastructure supplies data and connectivity; smart-mobility applications translate these capabilities into operational improvements; and institutional and energy conditions determine their sustainability.</w:t>
      </w:r>
    </w:p>
    <w:p w14:paraId="27FC88FA" w14:textId="77777777" w:rsidR="00D215B7" w:rsidRDefault="00000000">
      <w:pPr>
        <w:pStyle w:val="NormalWeb"/>
        <w:spacing w:beforeAutospacing="0" w:afterAutospacing="0"/>
        <w:jc w:val="both"/>
        <w:rPr>
          <w:sz w:val="19"/>
          <w:szCs w:val="19"/>
        </w:rPr>
      </w:pPr>
      <w:r>
        <w:rPr>
          <w:sz w:val="19"/>
        </w:rPr>
        <w:t xml:space="preserve">The synthesis also reveals three limitations in the evidence base. Research remains disproportionately oriented towards technologically advanced environments; much of the underlying literature </w:t>
      </w:r>
      <w:proofErr w:type="spellStart"/>
      <w:r>
        <w:rPr>
          <w:sz w:val="19"/>
        </w:rPr>
        <w:t>emphasises</w:t>
      </w:r>
      <w:proofErr w:type="spellEnd"/>
      <w:r>
        <w:rPr>
          <w:sz w:val="19"/>
        </w:rPr>
        <w:t xml:space="preserve"> short-term technical performance rather than long-term system effects; and social, governance and energy dimensions receive less attention than algorithmic performance (Adeniran et al., 2026; </w:t>
      </w:r>
      <w:proofErr w:type="spellStart"/>
      <w:r>
        <w:rPr>
          <w:sz w:val="19"/>
        </w:rPr>
        <w:t>D'Alberto</w:t>
      </w:r>
      <w:proofErr w:type="spellEnd"/>
      <w:r>
        <w:rPr>
          <w:sz w:val="19"/>
        </w:rPr>
        <w:t xml:space="preserve"> &amp; Giudici, 2023; </w:t>
      </w:r>
      <w:proofErr w:type="spellStart"/>
      <w:r>
        <w:rPr>
          <w:sz w:val="19"/>
        </w:rPr>
        <w:t>Mitieka</w:t>
      </w:r>
      <w:proofErr w:type="spellEnd"/>
      <w:r>
        <w:rPr>
          <w:sz w:val="19"/>
        </w:rPr>
        <w:t xml:space="preserve"> et al., 2023; </w:t>
      </w:r>
      <w:proofErr w:type="spellStart"/>
      <w:r>
        <w:rPr>
          <w:sz w:val="19"/>
        </w:rPr>
        <w:t>Servou</w:t>
      </w:r>
      <w:proofErr w:type="spellEnd"/>
      <w:r>
        <w:rPr>
          <w:sz w:val="19"/>
        </w:rPr>
        <w:t xml:space="preserve"> et al., 2023).</w:t>
      </w:r>
    </w:p>
    <w:p w14:paraId="1E1FB37E" w14:textId="77777777" w:rsidR="00D215B7" w:rsidRDefault="00000000">
      <w:pPr>
        <w:pStyle w:val="NormalWeb"/>
        <w:spacing w:beforeAutospacing="0" w:afterAutospacing="0"/>
        <w:jc w:val="both"/>
        <w:rPr>
          <w:sz w:val="19"/>
          <w:szCs w:val="19"/>
        </w:rPr>
      </w:pPr>
      <w:r>
        <w:rPr>
          <w:sz w:val="19"/>
        </w:rPr>
        <w:t>The overall evidence therefore supports a qualified conclusion: AI can materially support intelligent-transport functions, but the magnitude and durability of wider sustainability outcomes depend on the system in which AI is deployed and cannot be inferred from technical performance alone.</w:t>
      </w:r>
    </w:p>
    <w:p w14:paraId="4135A5FD" w14:textId="77777777" w:rsidR="00D215B7" w:rsidRDefault="00D215B7">
      <w:pPr>
        <w:pStyle w:val="NormalWeb"/>
        <w:spacing w:beforeAutospacing="0" w:afterAutospacing="0"/>
        <w:jc w:val="both"/>
        <w:rPr>
          <w:sz w:val="19"/>
          <w:szCs w:val="19"/>
        </w:rPr>
      </w:pPr>
    </w:p>
    <w:p w14:paraId="422DC41C" w14:textId="77777777" w:rsidR="00D215B7" w:rsidRDefault="00000000">
      <w:pPr>
        <w:pStyle w:val="NormalWeb"/>
        <w:spacing w:beforeAutospacing="0" w:afterAutospacing="0"/>
        <w:jc w:val="center"/>
        <w:rPr>
          <w:sz w:val="19"/>
          <w:szCs w:val="19"/>
          <w:lang w:val="en-CA"/>
        </w:rPr>
      </w:pPr>
      <w:r>
        <w:rPr>
          <w:noProof/>
          <w:sz w:val="19"/>
          <w:szCs w:val="19"/>
          <w:lang w:val="en-CA"/>
        </w:rPr>
        <w:drawing>
          <wp:inline distT="0" distB="0" distL="114300" distR="114300" wp14:anchorId="7B8056ED" wp14:editId="0593B950">
            <wp:extent cx="3919855" cy="2741930"/>
            <wp:effectExtent l="0" t="0" r="0" b="0"/>
            <wp:docPr id="4" name="Picture 4" descr="ChatGPT Image Sep 1, 2026, 02_38_48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tGPT Image Sep 1, 2026, 02_38_48 PM"/>
                    <pic:cNvPicPr>
                      <a:picLocks noChangeAspect="1"/>
                    </pic:cNvPicPr>
                  </pic:nvPicPr>
                  <pic:blipFill>
                    <a:blip r:embed="rId6"/>
                    <a:srcRect l="2631" t="7946" r="2106" b="6379"/>
                    <a:stretch>
                      <a:fillRect/>
                    </a:stretch>
                  </pic:blipFill>
                  <pic:spPr>
                    <a:xfrm>
                      <a:off x="0" y="0"/>
                      <a:ext cx="3919855" cy="2741930"/>
                    </a:xfrm>
                    <a:prstGeom prst="rect">
                      <a:avLst/>
                    </a:prstGeom>
                  </pic:spPr>
                </pic:pic>
              </a:graphicData>
            </a:graphic>
          </wp:inline>
        </w:drawing>
      </w:r>
    </w:p>
    <w:p w14:paraId="70C940E8" w14:textId="77777777" w:rsidR="00D215B7" w:rsidRDefault="00000000">
      <w:pPr>
        <w:pStyle w:val="NormalWeb"/>
        <w:spacing w:beforeAutospacing="0" w:afterAutospacing="0"/>
        <w:jc w:val="both"/>
        <w:rPr>
          <w:sz w:val="19"/>
          <w:szCs w:val="19"/>
          <w:lang w:val="en-CA"/>
        </w:rPr>
      </w:pPr>
      <w:r>
        <w:rPr>
          <w:sz w:val="19"/>
          <w:szCs w:val="19"/>
          <w:lang w:val="en-CA"/>
        </w:rPr>
        <w:t>Figure 3. Integrated Thematic Synthesis of AI-Enabled Smart Mobility</w:t>
      </w:r>
    </w:p>
    <w:p w14:paraId="73CC0335" w14:textId="77777777" w:rsidR="00D215B7" w:rsidRDefault="00000000">
      <w:pPr>
        <w:pStyle w:val="NormalWeb"/>
        <w:spacing w:beforeAutospacing="0" w:afterAutospacing="0"/>
        <w:jc w:val="both"/>
        <w:rPr>
          <w:sz w:val="19"/>
          <w:szCs w:val="19"/>
          <w:lang w:val="en-CA"/>
        </w:rPr>
      </w:pPr>
      <w:r>
        <w:rPr>
          <w:sz w:val="19"/>
          <w:szCs w:val="19"/>
          <w:lang w:val="en-CA"/>
        </w:rPr>
        <w:t>Source: Authors’ synthesis of reviewed literature.</w:t>
      </w:r>
    </w:p>
    <w:p w14:paraId="74A3FD10" w14:textId="77777777" w:rsidR="00D215B7" w:rsidRDefault="00000000">
      <w:pPr>
        <w:pStyle w:val="NormalWeb"/>
        <w:spacing w:beforeAutospacing="0" w:afterAutospacing="0"/>
        <w:jc w:val="both"/>
        <w:rPr>
          <w:sz w:val="19"/>
          <w:szCs w:val="19"/>
          <w:lang w:val="en-CA"/>
        </w:rPr>
      </w:pPr>
      <w:r>
        <w:rPr>
          <w:sz w:val="19"/>
          <w:szCs w:val="19"/>
          <w:lang w:val="en-CA"/>
        </w:rPr>
        <w:lastRenderedPageBreak/>
        <w:br/>
        <w:t>Figure 3 brings together the major themes emerging from the systematic review. AI-enabled traffic management, intelligent infrastructure, safety systems, electric mobility, and operational sustainability interact within a common smart-mobility system. Their effectiveness depends on infrastructure readiness, data quality, interoperability, institutional capacity, and governance coordination, while cybersecurity, regional disparities, regulatory gaps, equity concerns, and limited long-term evidence constrain sustainable deployment.</w:t>
      </w:r>
    </w:p>
    <w:p w14:paraId="523055E8" w14:textId="77777777" w:rsidR="00D215B7" w:rsidRDefault="00D215B7">
      <w:pPr>
        <w:pStyle w:val="NormalWeb"/>
        <w:spacing w:beforeAutospacing="0" w:afterAutospacing="0"/>
        <w:jc w:val="both"/>
        <w:rPr>
          <w:sz w:val="19"/>
          <w:szCs w:val="19"/>
          <w:lang w:val="en-CA"/>
        </w:rPr>
      </w:pPr>
    </w:p>
    <w:p w14:paraId="235C924E" w14:textId="77777777" w:rsidR="00D215B7" w:rsidRDefault="00000000">
      <w:pPr>
        <w:pStyle w:val="Heading2"/>
        <w:spacing w:beforeAutospacing="0" w:afterAutospacing="0"/>
        <w:jc w:val="both"/>
        <w:rPr>
          <w:rFonts w:ascii="Times New Roman" w:hAnsi="Times New Roman" w:hint="default"/>
          <w:sz w:val="22"/>
          <w:szCs w:val="22"/>
        </w:rPr>
      </w:pPr>
      <w:r>
        <w:rPr>
          <w:rFonts w:ascii="Times New Roman" w:hAnsi="Times New Roman" w:hint="default"/>
          <w:sz w:val="22"/>
          <w:szCs w:val="22"/>
        </w:rPr>
        <w:t>5.0 Discussion</w:t>
      </w:r>
    </w:p>
    <w:p w14:paraId="316578D4" w14:textId="77777777" w:rsidR="00D215B7" w:rsidRDefault="00000000">
      <w:pPr>
        <w:pStyle w:val="NormalWeb"/>
        <w:spacing w:beforeAutospacing="0" w:afterAutospacing="0"/>
        <w:jc w:val="both"/>
        <w:rPr>
          <w:sz w:val="19"/>
          <w:szCs w:val="19"/>
        </w:rPr>
      </w:pPr>
      <w:r>
        <w:rPr>
          <w:sz w:val="19"/>
        </w:rPr>
        <w:t>The findings indicate that artificial intelligence is becoming an important operational component of contemporary mobility systems. Across the reviewed sources, AI applications were reported to support prediction, routing, traffic coordination, safety monitoring and transport decision-making (</w:t>
      </w:r>
      <w:proofErr w:type="spellStart"/>
      <w:r>
        <w:rPr>
          <w:sz w:val="19"/>
        </w:rPr>
        <w:t>Bazzan</w:t>
      </w:r>
      <w:proofErr w:type="spellEnd"/>
      <w:r>
        <w:rPr>
          <w:sz w:val="19"/>
        </w:rPr>
        <w:t xml:space="preserve">, 2026; Del-Coco et al., 2025; Jalil et al., 2024; Rong et al., 2025). Recent reviews similarly describe smart mobility as an increasingly integrated combination of machine learning, IoT, connected vehicles and intelligent planning rather than a set of isolated technologies (Del-Coco et al., 2025; </w:t>
      </w:r>
      <w:proofErr w:type="spellStart"/>
      <w:r>
        <w:rPr>
          <w:sz w:val="19"/>
        </w:rPr>
        <w:t>Rouky</w:t>
      </w:r>
      <w:proofErr w:type="spellEnd"/>
      <w:r>
        <w:rPr>
          <w:sz w:val="19"/>
        </w:rPr>
        <w:t xml:space="preserve"> et al., 2025). Because most included sources are secondary syntheses, these findings should be read as cross-review convergence rather than independent replication of effects.</w:t>
      </w:r>
    </w:p>
    <w:p w14:paraId="1CD9233A" w14:textId="77777777" w:rsidR="00D215B7" w:rsidRDefault="00000000">
      <w:pPr>
        <w:pStyle w:val="NormalWeb"/>
        <w:spacing w:beforeAutospacing="0" w:afterAutospacing="0"/>
        <w:jc w:val="both"/>
        <w:rPr>
          <w:sz w:val="19"/>
          <w:szCs w:val="19"/>
        </w:rPr>
      </w:pPr>
      <w:r>
        <w:rPr>
          <w:sz w:val="19"/>
          <w:szCs w:val="19"/>
        </w:rPr>
        <w:t xml:space="preserve">The principal finding, however, is that these benefits remain </w:t>
      </w:r>
      <w:r>
        <w:rPr>
          <w:rStyle w:val="Strong"/>
          <w:sz w:val="19"/>
          <w:szCs w:val="19"/>
        </w:rPr>
        <w:t>infrastructure-dependent</w:t>
      </w:r>
      <w:r>
        <w:rPr>
          <w:sz w:val="19"/>
          <w:szCs w:val="19"/>
        </w:rPr>
        <w:t xml:space="preserve">. AI requires reliable sensing, connectivity, interoperable platforms and computing capability to function at network scale. </w:t>
      </w:r>
      <w:proofErr w:type="spellStart"/>
      <w:r>
        <w:rPr>
          <w:sz w:val="19"/>
          <w:szCs w:val="19"/>
        </w:rPr>
        <w:t>Creß</w:t>
      </w:r>
      <w:proofErr w:type="spellEnd"/>
      <w:r>
        <w:rPr>
          <w:sz w:val="19"/>
          <w:szCs w:val="19"/>
        </w:rPr>
        <w:t xml:space="preserve"> et al. (2024) similarly conclude that roadside intelligent transportation systems can provide accurate real-time traffic information but require improved sensing, secure communication and interoperable infrastructure for wider deployment. This explains why AI capability alone cannot compensate for weak transport and digital infrastructure.</w:t>
      </w:r>
    </w:p>
    <w:p w14:paraId="5129231D" w14:textId="77777777" w:rsidR="00D215B7" w:rsidRDefault="00000000">
      <w:pPr>
        <w:pStyle w:val="NormalWeb"/>
        <w:spacing w:beforeAutospacing="0" w:afterAutospacing="0"/>
        <w:jc w:val="both"/>
        <w:rPr>
          <w:sz w:val="19"/>
          <w:szCs w:val="19"/>
        </w:rPr>
      </w:pPr>
      <w:r>
        <w:rPr>
          <w:sz w:val="19"/>
          <w:szCs w:val="19"/>
        </w:rPr>
        <w:t>This pattern is consistent with Technological Innovation Systems Theory. Intelligent mobility develops through interaction among technological capabilities, infrastructure, institutions, markets and regulatory actors. Its diffusion therefore depends on standards, skills, investment, institutional legitimacy and complementary assets. Regional differences in AI adoption are consequently better understood as differences in innovation-system readiness than simply differences in access to algorithms.</w:t>
      </w:r>
    </w:p>
    <w:p w14:paraId="3234EE78" w14:textId="77777777" w:rsidR="00D215B7" w:rsidRDefault="00000000">
      <w:pPr>
        <w:pStyle w:val="NormalWeb"/>
        <w:spacing w:beforeAutospacing="0" w:afterAutospacing="0"/>
        <w:jc w:val="both"/>
        <w:rPr>
          <w:sz w:val="19"/>
          <w:szCs w:val="19"/>
        </w:rPr>
      </w:pPr>
      <w:r>
        <w:rPr>
          <w:sz w:val="19"/>
          <w:szCs w:val="19"/>
        </w:rPr>
        <w:t xml:space="preserve">The findings also support Sustainability Transition Theory by demonstrating that mobility sustainability requires simultaneous changes in technology, infrastructure, policy, energy and user practices. </w:t>
      </w:r>
      <w:proofErr w:type="spellStart"/>
      <w:r>
        <w:rPr>
          <w:sz w:val="19"/>
          <w:szCs w:val="19"/>
        </w:rPr>
        <w:t>Kivimaa</w:t>
      </w:r>
      <w:proofErr w:type="spellEnd"/>
      <w:r>
        <w:rPr>
          <w:sz w:val="19"/>
          <w:szCs w:val="19"/>
        </w:rPr>
        <w:t xml:space="preserve"> and Rogge (2022) similarly show that mobility innovation depends on institutional restructuring and policy experimentation. AI-enabled mobility should therefore be understood within a wider socio-technical transition rather than primarily as digital </w:t>
      </w:r>
      <w:proofErr w:type="spellStart"/>
      <w:r>
        <w:rPr>
          <w:sz w:val="19"/>
          <w:szCs w:val="19"/>
        </w:rPr>
        <w:t>optimisation</w:t>
      </w:r>
      <w:proofErr w:type="spellEnd"/>
      <w:r>
        <w:rPr>
          <w:sz w:val="19"/>
          <w:szCs w:val="19"/>
        </w:rPr>
        <w:t>.</w:t>
      </w:r>
    </w:p>
    <w:p w14:paraId="33AD50C1" w14:textId="77777777" w:rsidR="00D215B7" w:rsidRDefault="00000000">
      <w:pPr>
        <w:pStyle w:val="NormalWeb"/>
        <w:spacing w:beforeAutospacing="0" w:afterAutospacing="0"/>
        <w:jc w:val="both"/>
        <w:rPr>
          <w:sz w:val="19"/>
          <w:szCs w:val="19"/>
        </w:rPr>
      </w:pPr>
      <w:r>
        <w:rPr>
          <w:sz w:val="19"/>
        </w:rPr>
        <w:t xml:space="preserve">A further contribution of the review is the distinction between operational efficiency and sustainability. AI-enabled systems can support traffic flow, travel-time management, charging coordination and infrastructure </w:t>
      </w:r>
      <w:proofErr w:type="spellStart"/>
      <w:r>
        <w:rPr>
          <w:sz w:val="19"/>
        </w:rPr>
        <w:t>utilisation</w:t>
      </w:r>
      <w:proofErr w:type="spellEnd"/>
      <w:r>
        <w:rPr>
          <w:sz w:val="19"/>
        </w:rPr>
        <w:t>, but environmental gains are less certain where electricity remains carbon intensive, travel demand increases or system-level accessibility remains weak (</w:t>
      </w:r>
      <w:proofErr w:type="spellStart"/>
      <w:r>
        <w:rPr>
          <w:sz w:val="19"/>
        </w:rPr>
        <w:t>D'Alberto</w:t>
      </w:r>
      <w:proofErr w:type="spellEnd"/>
      <w:r>
        <w:rPr>
          <w:sz w:val="19"/>
        </w:rPr>
        <w:t xml:space="preserve"> &amp; Giudici, 2023; </w:t>
      </w:r>
      <w:proofErr w:type="spellStart"/>
      <w:r>
        <w:rPr>
          <w:sz w:val="19"/>
        </w:rPr>
        <w:t>Mitieka</w:t>
      </w:r>
      <w:proofErr w:type="spellEnd"/>
      <w:r>
        <w:rPr>
          <w:sz w:val="19"/>
        </w:rPr>
        <w:t xml:space="preserve"> et al., 2023; Sadeghian et al., 2022; </w:t>
      </w:r>
      <w:proofErr w:type="spellStart"/>
      <w:r>
        <w:rPr>
          <w:sz w:val="19"/>
        </w:rPr>
        <w:t>Tightiz</w:t>
      </w:r>
      <w:proofErr w:type="spellEnd"/>
      <w:r>
        <w:rPr>
          <w:sz w:val="19"/>
        </w:rPr>
        <w:t xml:space="preserve"> et al., 2025). Digital efficiency should therefore be treated as one potential contributor to sustainable mobility rather than as a sufficient sustainability outcome by itself.</w:t>
      </w:r>
    </w:p>
    <w:p w14:paraId="1AFFC9D1" w14:textId="77777777" w:rsidR="00D215B7" w:rsidRDefault="00000000">
      <w:pPr>
        <w:pStyle w:val="NormalWeb"/>
        <w:spacing w:beforeAutospacing="0" w:afterAutospacing="0"/>
        <w:jc w:val="both"/>
        <w:rPr>
          <w:sz w:val="19"/>
          <w:szCs w:val="19"/>
        </w:rPr>
      </w:pPr>
      <w:r>
        <w:rPr>
          <w:sz w:val="19"/>
        </w:rPr>
        <w:t>Safety findings require similar qualification. AI-supported computer vision and connected sensing can support accident recognition and hazard detection, yet model performance remains sensitive to unusual events, dataset limitations, adverse environments and computational constraints (</w:t>
      </w:r>
      <w:proofErr w:type="spellStart"/>
      <w:r>
        <w:rPr>
          <w:sz w:val="19"/>
        </w:rPr>
        <w:t>Adewopo</w:t>
      </w:r>
      <w:proofErr w:type="spellEnd"/>
      <w:r>
        <w:rPr>
          <w:sz w:val="19"/>
        </w:rPr>
        <w:t xml:space="preserve"> et al., 2023; Del-Coco et al., 2025). These limitations strengthen the case for combining technological innovation with regulatory standards and resilient infrastructure.</w:t>
      </w:r>
    </w:p>
    <w:p w14:paraId="61EE1843" w14:textId="77777777" w:rsidR="00D215B7" w:rsidRDefault="00000000">
      <w:pPr>
        <w:pStyle w:val="NormalWeb"/>
        <w:spacing w:beforeAutospacing="0" w:afterAutospacing="0"/>
        <w:jc w:val="both"/>
        <w:rPr>
          <w:sz w:val="19"/>
          <w:szCs w:val="19"/>
        </w:rPr>
      </w:pPr>
      <w:r>
        <w:rPr>
          <w:sz w:val="19"/>
          <w:szCs w:val="19"/>
        </w:rPr>
        <w:t xml:space="preserve">Governance represents the final critical condition. As algorithms increasingly influence routing, service provision and mobility choices, issues of privacy, cybersecurity, transparency, accessibility and accountability become central. </w:t>
      </w:r>
      <w:proofErr w:type="spellStart"/>
      <w:r>
        <w:rPr>
          <w:sz w:val="19"/>
          <w:szCs w:val="19"/>
        </w:rPr>
        <w:t>Servou</w:t>
      </w:r>
      <w:proofErr w:type="spellEnd"/>
      <w:r>
        <w:rPr>
          <w:sz w:val="19"/>
          <w:szCs w:val="19"/>
        </w:rPr>
        <w:t xml:space="preserve"> et al. (2023) demonstrate that AI-enabled mobility can produce rebound or distributional effects where sustainability and public-interest objectives are weakly embedded in governance arrangements.</w:t>
      </w:r>
    </w:p>
    <w:p w14:paraId="0625AB2B" w14:textId="77777777" w:rsidR="00D215B7" w:rsidRDefault="00000000">
      <w:pPr>
        <w:pStyle w:val="NormalWeb"/>
        <w:spacing w:beforeAutospacing="0" w:afterAutospacing="0"/>
        <w:jc w:val="both"/>
        <w:rPr>
          <w:sz w:val="19"/>
          <w:szCs w:val="19"/>
        </w:rPr>
      </w:pPr>
      <w:r>
        <w:rPr>
          <w:sz w:val="19"/>
          <w:szCs w:val="19"/>
        </w:rPr>
        <w:t xml:space="preserve">Taken together, the review positions the AI–smart mobility nexus as an </w:t>
      </w:r>
      <w:r>
        <w:rPr>
          <w:rStyle w:val="Strong"/>
          <w:sz w:val="19"/>
          <w:szCs w:val="19"/>
        </w:rPr>
        <w:t>integrated socio-technical system</w:t>
      </w:r>
      <w:r>
        <w:rPr>
          <w:sz w:val="19"/>
          <w:szCs w:val="19"/>
        </w:rPr>
        <w:t>. AI supplies predictive intelligence; infrastructure provides connectivity; mobility applications translate intelligence into operational functions; energy systems, institutional capacity and governance influence whether those functions produce sustainable outcomes. This system-level interpretation constitutes the principal analytical contribution of the study.</w:t>
      </w:r>
    </w:p>
    <w:p w14:paraId="6E244884" w14:textId="77777777" w:rsidR="00D215B7" w:rsidRDefault="00D215B7">
      <w:pPr>
        <w:jc w:val="both"/>
        <w:rPr>
          <w:rFonts w:ascii="Times New Roman" w:eastAsia="DengXian" w:hAnsi="Times New Roman" w:cs="Times New Roman"/>
          <w:sz w:val="19"/>
          <w:szCs w:val="19"/>
          <w:lang w:val="en-CA"/>
        </w:rPr>
      </w:pPr>
    </w:p>
    <w:p w14:paraId="00FEDD21" w14:textId="77777777" w:rsidR="00D215B7" w:rsidRDefault="00D215B7">
      <w:pPr>
        <w:jc w:val="both"/>
        <w:rPr>
          <w:rFonts w:ascii="Times New Roman" w:eastAsia="DengXian" w:hAnsi="Times New Roman" w:cs="Times New Roman"/>
          <w:sz w:val="19"/>
          <w:szCs w:val="19"/>
          <w:lang w:val="en-CA"/>
        </w:rPr>
      </w:pPr>
    </w:p>
    <w:p w14:paraId="4C75E120" w14:textId="77777777" w:rsidR="00D215B7" w:rsidRDefault="00000000">
      <w:pPr>
        <w:pStyle w:val="Heading2"/>
        <w:spacing w:beforeAutospacing="0" w:afterAutospacing="0"/>
        <w:jc w:val="both"/>
        <w:rPr>
          <w:rFonts w:ascii="Times New Roman" w:hAnsi="Times New Roman" w:hint="default"/>
          <w:sz w:val="22"/>
          <w:szCs w:val="22"/>
        </w:rPr>
      </w:pPr>
      <w:r>
        <w:rPr>
          <w:rFonts w:ascii="Times New Roman" w:hAnsi="Times New Roman" w:hint="default"/>
          <w:sz w:val="22"/>
        </w:rPr>
        <w:t>6.0 Evidence-Informed Policy and Practical Implications</w:t>
      </w:r>
    </w:p>
    <w:p w14:paraId="614A73EC" w14:textId="77777777" w:rsidR="00D215B7" w:rsidRDefault="00000000">
      <w:pPr>
        <w:pStyle w:val="NormalWeb"/>
        <w:spacing w:beforeAutospacing="0" w:afterAutospacing="0"/>
        <w:jc w:val="both"/>
        <w:rPr>
          <w:sz w:val="19"/>
          <w:szCs w:val="19"/>
        </w:rPr>
      </w:pPr>
      <w:r>
        <w:rPr>
          <w:sz w:val="19"/>
        </w:rPr>
        <w:t xml:space="preserve">The synthesis suggests that AI-enabled mobility policy should </w:t>
      </w:r>
      <w:proofErr w:type="spellStart"/>
      <w:r>
        <w:rPr>
          <w:sz w:val="19"/>
        </w:rPr>
        <w:t>prioritise</w:t>
      </w:r>
      <w:proofErr w:type="spellEnd"/>
      <w:r>
        <w:rPr>
          <w:sz w:val="19"/>
        </w:rPr>
        <w:t xml:space="preserve"> system readiness rather than isolated technology acquisition. As an evidence-informed proposition, investment in AI applications should be aligned with digital connectivity, sensor networks, interoperable traffic platforms, vehicle-to-infrastructure communication and reliable power systems because the reviewed literature repeatedly identifies these assets as enabling conditions for network-level performance.</w:t>
      </w:r>
    </w:p>
    <w:p w14:paraId="004E0E3D" w14:textId="77777777" w:rsidR="00D215B7" w:rsidRDefault="00000000">
      <w:pPr>
        <w:pStyle w:val="NormalWeb"/>
        <w:spacing w:beforeAutospacing="0" w:afterAutospacing="0"/>
        <w:jc w:val="both"/>
        <w:rPr>
          <w:sz w:val="19"/>
          <w:szCs w:val="19"/>
        </w:rPr>
      </w:pPr>
      <w:r>
        <w:rPr>
          <w:sz w:val="19"/>
          <w:szCs w:val="19"/>
        </w:rPr>
        <w:lastRenderedPageBreak/>
        <w:t xml:space="preserve">Policy frameworks should also establish clear standards for </w:t>
      </w:r>
      <w:r>
        <w:rPr>
          <w:rStyle w:val="Strong"/>
          <w:sz w:val="19"/>
          <w:szCs w:val="19"/>
        </w:rPr>
        <w:t>data interoperability, cybersecurity, privacy, algorithmic accountability and platform governance</w:t>
      </w:r>
      <w:r>
        <w:rPr>
          <w:sz w:val="19"/>
          <w:szCs w:val="19"/>
        </w:rPr>
        <w:t xml:space="preserve">. As AI increasingly influences routing, service allocation and mobility demand, transparent governance becomes essential for protecting public value and avoiding technological bias or unequal access. </w:t>
      </w:r>
      <w:proofErr w:type="spellStart"/>
      <w:r>
        <w:rPr>
          <w:sz w:val="19"/>
          <w:szCs w:val="19"/>
        </w:rPr>
        <w:t>Servou</w:t>
      </w:r>
      <w:proofErr w:type="spellEnd"/>
      <w:r>
        <w:rPr>
          <w:sz w:val="19"/>
          <w:szCs w:val="19"/>
        </w:rPr>
        <w:t xml:space="preserve"> et al. (2023) similarly </w:t>
      </w:r>
      <w:proofErr w:type="spellStart"/>
      <w:r>
        <w:rPr>
          <w:sz w:val="19"/>
          <w:szCs w:val="19"/>
        </w:rPr>
        <w:t>emphasise</w:t>
      </w:r>
      <w:proofErr w:type="spellEnd"/>
      <w:r>
        <w:rPr>
          <w:sz w:val="19"/>
          <w:szCs w:val="19"/>
        </w:rPr>
        <w:t xml:space="preserve"> that sustainable AI-supported mobility requires clear sustainability objectives, transparency and coordination among policymakers, service providers and technology developers.</w:t>
      </w:r>
    </w:p>
    <w:p w14:paraId="4D84E40B" w14:textId="77777777" w:rsidR="00D215B7" w:rsidRDefault="00000000">
      <w:pPr>
        <w:pStyle w:val="NormalWeb"/>
        <w:spacing w:beforeAutospacing="0" w:afterAutospacing="0"/>
        <w:jc w:val="both"/>
        <w:rPr>
          <w:sz w:val="19"/>
          <w:szCs w:val="19"/>
        </w:rPr>
      </w:pPr>
      <w:r>
        <w:rPr>
          <w:sz w:val="19"/>
        </w:rPr>
        <w:t xml:space="preserve">Transport and energy planning should also be coordinated as electric mobility expands. Reviews of smart charging, </w:t>
      </w:r>
      <w:proofErr w:type="spellStart"/>
      <w:r>
        <w:rPr>
          <w:sz w:val="19"/>
        </w:rPr>
        <w:t>AIoT</w:t>
      </w:r>
      <w:proofErr w:type="spellEnd"/>
      <w:r>
        <w:rPr>
          <w:sz w:val="19"/>
        </w:rPr>
        <w:t xml:space="preserve">, reinforcement learning and digital-twin charging infrastructure support closer integration of charging demand, storage, vehicle-to-grid operation and grid management (Sadeghian et al., 2022; </w:t>
      </w:r>
      <w:proofErr w:type="spellStart"/>
      <w:r>
        <w:rPr>
          <w:sz w:val="19"/>
        </w:rPr>
        <w:t>Tightiz</w:t>
      </w:r>
      <w:proofErr w:type="spellEnd"/>
      <w:r>
        <w:rPr>
          <w:sz w:val="19"/>
        </w:rPr>
        <w:t xml:space="preserve"> et al., 2025; Yu et al., 2024; Zhao et al., 2024). These findings support coordinated planning, while the magnitude of environmental benefit remains dependent on electricity supply and system-level conditions.</w:t>
      </w:r>
    </w:p>
    <w:p w14:paraId="7E2D6870" w14:textId="77777777" w:rsidR="00D215B7" w:rsidRDefault="00000000">
      <w:pPr>
        <w:pStyle w:val="NormalWeb"/>
        <w:spacing w:beforeAutospacing="0" w:afterAutospacing="0"/>
        <w:jc w:val="both"/>
        <w:rPr>
          <w:sz w:val="19"/>
          <w:szCs w:val="19"/>
        </w:rPr>
      </w:pPr>
      <w:r>
        <w:rPr>
          <w:sz w:val="19"/>
        </w:rPr>
        <w:t>A phased implementation strategy is a defensible proposition for settings with limited digital infrastructure. Initial emphasis may be placed on comparatively mature applications such as adaptive traffic control, congestion forecasting, incident detection and public-transport management before progression towards more highly automated mobility systems. Such sequencing can help build institutional capability and generate context-specific evidence before wider deployment, but comparative implementation research is needed to establish the most effective pathway across settings.</w:t>
      </w:r>
    </w:p>
    <w:p w14:paraId="2F0C953D" w14:textId="77777777" w:rsidR="00D215B7" w:rsidRDefault="00000000">
      <w:pPr>
        <w:pStyle w:val="NormalWeb"/>
        <w:spacing w:beforeAutospacing="0" w:afterAutospacing="0"/>
        <w:jc w:val="both"/>
        <w:rPr>
          <w:sz w:val="19"/>
          <w:szCs w:val="19"/>
        </w:rPr>
      </w:pPr>
      <w:r>
        <w:rPr>
          <w:sz w:val="19"/>
        </w:rPr>
        <w:t xml:space="preserve">Finally, evaluation frameworks for intelligent mobility should extend beyond travel-time reduction or algorithmic accuracy to include safety, accessibility, affordability, energy efficiency, emissions, resilience and distributional effects. This recommendation is supported by the repeated finding that technical </w:t>
      </w:r>
      <w:proofErr w:type="spellStart"/>
      <w:r>
        <w:rPr>
          <w:sz w:val="19"/>
        </w:rPr>
        <w:t>optimisation</w:t>
      </w:r>
      <w:proofErr w:type="spellEnd"/>
      <w:r>
        <w:rPr>
          <w:sz w:val="19"/>
        </w:rPr>
        <w:t xml:space="preserve"> does not automatically translate into environmental or social sustainability (Butler et al., 2020; </w:t>
      </w:r>
      <w:proofErr w:type="spellStart"/>
      <w:r>
        <w:rPr>
          <w:sz w:val="19"/>
        </w:rPr>
        <w:t>D'Alberto</w:t>
      </w:r>
      <w:proofErr w:type="spellEnd"/>
      <w:r>
        <w:rPr>
          <w:sz w:val="19"/>
        </w:rPr>
        <w:t xml:space="preserve"> &amp; Giudici, 2023; </w:t>
      </w:r>
      <w:proofErr w:type="spellStart"/>
      <w:r>
        <w:rPr>
          <w:sz w:val="19"/>
        </w:rPr>
        <w:t>Servou</w:t>
      </w:r>
      <w:proofErr w:type="spellEnd"/>
      <w:r>
        <w:rPr>
          <w:sz w:val="19"/>
        </w:rPr>
        <w:t xml:space="preserve"> et al., 2023). The practical implication is that technology, infrastructure, energy policy and governance should be assessed as interacting components of the transport system.</w:t>
      </w:r>
    </w:p>
    <w:p w14:paraId="10C60514" w14:textId="77777777" w:rsidR="00D215B7" w:rsidRDefault="00D215B7">
      <w:pPr>
        <w:pStyle w:val="NormalWeb"/>
        <w:spacing w:beforeAutospacing="0" w:afterAutospacing="0"/>
        <w:jc w:val="both"/>
        <w:rPr>
          <w:sz w:val="19"/>
          <w:szCs w:val="19"/>
        </w:rPr>
      </w:pPr>
    </w:p>
    <w:p w14:paraId="17BD816C" w14:textId="77777777" w:rsidR="00D215B7" w:rsidRDefault="00000000">
      <w:pPr>
        <w:pStyle w:val="Heading2"/>
        <w:spacing w:beforeAutospacing="0" w:afterAutospacing="0"/>
        <w:jc w:val="both"/>
        <w:rPr>
          <w:rFonts w:ascii="Times New Roman" w:hAnsi="Times New Roman" w:hint="default"/>
          <w:sz w:val="19"/>
          <w:szCs w:val="19"/>
        </w:rPr>
      </w:pPr>
      <w:r>
        <w:rPr>
          <w:rFonts w:ascii="Times New Roman" w:hAnsi="Times New Roman" w:hint="default"/>
          <w:sz w:val="22"/>
          <w:szCs w:val="19"/>
        </w:rPr>
        <w:t>7.0 Research Gaps and Future Research Directions</w:t>
      </w:r>
    </w:p>
    <w:p w14:paraId="5C1AC5B4" w14:textId="77777777" w:rsidR="00D215B7" w:rsidRDefault="00000000">
      <w:pPr>
        <w:pStyle w:val="NormalWeb"/>
        <w:spacing w:beforeAutospacing="0" w:afterAutospacing="0"/>
        <w:jc w:val="both"/>
        <w:rPr>
          <w:sz w:val="19"/>
          <w:szCs w:val="19"/>
        </w:rPr>
      </w:pPr>
      <w:r>
        <w:rPr>
          <w:sz w:val="19"/>
          <w:szCs w:val="19"/>
        </w:rPr>
        <w:t xml:space="preserve">The reviewed literature reveals several areas requiring further investigation. First, much of the existing evidence </w:t>
      </w:r>
      <w:proofErr w:type="spellStart"/>
      <w:r>
        <w:rPr>
          <w:sz w:val="19"/>
          <w:szCs w:val="19"/>
        </w:rPr>
        <w:t>emphasises</w:t>
      </w:r>
      <w:proofErr w:type="spellEnd"/>
      <w:r>
        <w:rPr>
          <w:sz w:val="19"/>
          <w:szCs w:val="19"/>
        </w:rPr>
        <w:t xml:space="preserve"> short-term technological performance, particularly traffic prediction, routing, automation and network </w:t>
      </w:r>
      <w:proofErr w:type="spellStart"/>
      <w:r>
        <w:rPr>
          <w:sz w:val="19"/>
          <w:szCs w:val="19"/>
        </w:rPr>
        <w:t>optimisation</w:t>
      </w:r>
      <w:proofErr w:type="spellEnd"/>
      <w:r>
        <w:rPr>
          <w:sz w:val="19"/>
          <w:szCs w:val="19"/>
        </w:rPr>
        <w:t>, while fewer studies examine the long-term effects of AI-enabled mobility on system resilience, emissions, infrastructure efficiency and broader sustainability outcomes. Longitudinal and system-level studies are therefore needed to determine whether operational gains persist over time.</w:t>
      </w:r>
    </w:p>
    <w:p w14:paraId="0A1F7072" w14:textId="77777777" w:rsidR="00D215B7" w:rsidRDefault="00000000">
      <w:pPr>
        <w:pStyle w:val="NormalWeb"/>
        <w:spacing w:beforeAutospacing="0" w:afterAutospacing="0"/>
        <w:jc w:val="both"/>
        <w:rPr>
          <w:sz w:val="19"/>
          <w:szCs w:val="19"/>
        </w:rPr>
      </w:pPr>
      <w:r>
        <w:rPr>
          <w:sz w:val="19"/>
        </w:rPr>
        <w:t xml:space="preserve">Second, geographical representation remains </w:t>
      </w:r>
      <w:r>
        <w:rPr>
          <w:sz w:val="19"/>
          <w:highlight w:val="yellow"/>
        </w:rPr>
        <w:t>uneven. Among</w:t>
      </w:r>
      <w:r>
        <w:rPr>
          <w:sz w:val="19"/>
        </w:rPr>
        <w:t xml:space="preserve"> the included publications, 28 of the 30 included sources were broad or multi-context syntheses without a single named study setting, while only two sources explicitly </w:t>
      </w:r>
      <w:proofErr w:type="spellStart"/>
      <w:r>
        <w:rPr>
          <w:sz w:val="19"/>
        </w:rPr>
        <w:t>centred</w:t>
      </w:r>
      <w:proofErr w:type="spellEnd"/>
      <w:r>
        <w:rPr>
          <w:sz w:val="19"/>
        </w:rPr>
        <w:t xml:space="preserve"> named geographic cases (Adeniran et al., 2026; </w:t>
      </w:r>
      <w:proofErr w:type="spellStart"/>
      <w:r>
        <w:rPr>
          <w:sz w:val="19"/>
        </w:rPr>
        <w:t>Kivimaa</w:t>
      </w:r>
      <w:proofErr w:type="spellEnd"/>
      <w:r>
        <w:rPr>
          <w:sz w:val="19"/>
        </w:rPr>
        <w:t xml:space="preserve"> &amp; Rogge, 2022). This count does not quantify the locations of all primary studies nested within the reviews, but it reinforces the need for transparent regional reporting and more primary evidence from developing regions, including Africa, Latin America and South Asia. Future studies should examine how infrastructure, energy systems, institutional capacity, affordability and local mobility patterns shape AI adoption and performance across contexts.</w:t>
      </w:r>
    </w:p>
    <w:p w14:paraId="73298806" w14:textId="77777777" w:rsidR="00D215B7" w:rsidRDefault="00000000">
      <w:pPr>
        <w:pStyle w:val="NormalWeb"/>
        <w:spacing w:beforeAutospacing="0" w:afterAutospacing="0"/>
        <w:jc w:val="both"/>
        <w:rPr>
          <w:sz w:val="19"/>
          <w:szCs w:val="19"/>
        </w:rPr>
      </w:pPr>
      <w:r>
        <w:rPr>
          <w:sz w:val="19"/>
          <w:szCs w:val="19"/>
        </w:rPr>
        <w:t>Third, renewable-energy integration remains less developed empirically than traffic and automation applications. Further research should evaluate AI-supported smart charging, vehicle-to-grid systems, renewable-powered charging infrastructure, energy storage and grid resilience under real operating conditions. Greater attention should also be given to the lifecycle environmental effects of electric and intelligent mobility systems rather than operational emissions alone.</w:t>
      </w:r>
    </w:p>
    <w:p w14:paraId="1B543A61" w14:textId="77777777" w:rsidR="00D215B7" w:rsidRDefault="00000000">
      <w:pPr>
        <w:pStyle w:val="NormalWeb"/>
        <w:spacing w:beforeAutospacing="0" w:afterAutospacing="0"/>
        <w:jc w:val="both"/>
        <w:rPr>
          <w:sz w:val="19"/>
          <w:szCs w:val="19"/>
        </w:rPr>
      </w:pPr>
      <w:r>
        <w:rPr>
          <w:sz w:val="19"/>
          <w:szCs w:val="19"/>
        </w:rPr>
        <w:t>Fourth, governance and social dimensions require stronger empirical treatment. Issues involving algorithmic accountability, data ownership, cybersecurity, privacy, accessibility, public trust and distributional equity remain less developed than technical research. Future studies should therefore examine how regulatory design and institutional arrangements influence the social acceptance and sustainability of AI-enabled transport systems.</w:t>
      </w:r>
    </w:p>
    <w:p w14:paraId="095059CF" w14:textId="77777777" w:rsidR="00D215B7" w:rsidRDefault="00000000">
      <w:pPr>
        <w:pStyle w:val="NormalWeb"/>
        <w:spacing w:beforeAutospacing="0" w:afterAutospacing="0"/>
        <w:jc w:val="both"/>
        <w:rPr>
          <w:sz w:val="19"/>
          <w:szCs w:val="19"/>
        </w:rPr>
      </w:pPr>
      <w:r>
        <w:rPr>
          <w:sz w:val="19"/>
          <w:szCs w:val="19"/>
        </w:rPr>
        <w:t>Finally, methodological development is required. Future research should increasingly employ longitudinal datasets, digital twins, real-time learning systems, cross-city comparisons and integrated transport-energy models capable of capturing interactions among technology, infrastructure, users and institutions. Such approaches would strengthen understanding of the conditions under which AI contributes to genuinely sustainable mobility rather than isolated improvements in operational efficiency.</w:t>
      </w:r>
    </w:p>
    <w:p w14:paraId="6A920103" w14:textId="77777777" w:rsidR="00D215B7" w:rsidRDefault="00000000">
      <w:pPr>
        <w:pStyle w:val="NormalWeb"/>
        <w:spacing w:beforeAutospacing="0" w:afterAutospacing="0"/>
        <w:jc w:val="both"/>
        <w:rPr>
          <w:sz w:val="19"/>
          <w:szCs w:val="19"/>
        </w:rPr>
      </w:pPr>
      <w:r>
        <w:rPr>
          <w:sz w:val="19"/>
          <w:szCs w:val="19"/>
          <w:lang w:val="en-CA"/>
        </w:rPr>
        <w:t>Taken together</w:t>
      </w:r>
      <w:r>
        <w:rPr>
          <w:sz w:val="19"/>
          <w:szCs w:val="19"/>
        </w:rPr>
        <w:t>, future research should move beyond technology-</w:t>
      </w:r>
      <w:proofErr w:type="spellStart"/>
      <w:r>
        <w:rPr>
          <w:sz w:val="19"/>
          <w:szCs w:val="19"/>
        </w:rPr>
        <w:t>centred</w:t>
      </w:r>
      <w:proofErr w:type="spellEnd"/>
      <w:r>
        <w:rPr>
          <w:sz w:val="19"/>
          <w:szCs w:val="19"/>
        </w:rPr>
        <w:t xml:space="preserve"> evaluation toward integrated assessment of </w:t>
      </w:r>
      <w:r>
        <w:rPr>
          <w:rStyle w:val="Strong"/>
          <w:sz w:val="19"/>
          <w:szCs w:val="19"/>
        </w:rPr>
        <w:t>AI capability, infrastructure readiness, energy systems, governance and social outcomes</w:t>
      </w:r>
      <w:r>
        <w:rPr>
          <w:sz w:val="19"/>
          <w:szCs w:val="19"/>
        </w:rPr>
        <w:t>. This would provide a stronger empirical basis for designing intelligent mobility systems that are efficient, resilient, inclusive and environmentally sustainable.</w:t>
      </w:r>
    </w:p>
    <w:p w14:paraId="7E3DAD5F" w14:textId="77777777" w:rsidR="00D215B7" w:rsidRDefault="00000000">
      <w:pPr>
        <w:pStyle w:val="Heading2"/>
        <w:spacing w:beforeAutospacing="0" w:afterAutospacing="0"/>
        <w:jc w:val="both"/>
        <w:rPr>
          <w:rFonts w:ascii="Times New Roman" w:hAnsi="Times New Roman" w:hint="default"/>
          <w:sz w:val="19"/>
          <w:szCs w:val="19"/>
        </w:rPr>
      </w:pPr>
      <w:r>
        <w:rPr>
          <w:rFonts w:ascii="Times New Roman" w:hAnsi="Times New Roman" w:hint="default"/>
          <w:sz w:val="22"/>
        </w:rPr>
        <w:t>8.0 Limitations</w:t>
      </w:r>
    </w:p>
    <w:p w14:paraId="1F311B30" w14:textId="77777777" w:rsidR="00D215B7" w:rsidRDefault="00000000">
      <w:pPr>
        <w:pStyle w:val="NormalWeb"/>
      </w:pPr>
      <w:r>
        <w:rPr>
          <w:sz w:val="19"/>
        </w:rPr>
        <w:t xml:space="preserve">This review has several limitations. First, 29 of the 30 included publications </w:t>
      </w:r>
      <w:proofErr w:type="spellStart"/>
      <w:r>
        <w:rPr>
          <w:sz w:val="19"/>
        </w:rPr>
        <w:t>synthesise</w:t>
      </w:r>
      <w:proofErr w:type="spellEnd"/>
      <w:r>
        <w:rPr>
          <w:sz w:val="19"/>
        </w:rPr>
        <w:t xml:space="preserve"> existing research through reviews, surveys, meta-reviews, bibliometric analyses or </w:t>
      </w:r>
      <w:r>
        <w:rPr>
          <w:sz w:val="19"/>
          <w:highlight w:val="yellow"/>
        </w:rPr>
        <w:t>conceptual discussions. Primary-study</w:t>
      </w:r>
      <w:r>
        <w:rPr>
          <w:sz w:val="19"/>
        </w:rPr>
        <w:t xml:space="preserve"> overlap and non-independence are therefore likely, and a corrected covered area could not be calculated </w:t>
      </w:r>
      <w:r>
        <w:rPr>
          <w:sz w:val="19"/>
        </w:rPr>
        <w:lastRenderedPageBreak/>
        <w:t xml:space="preserve">because a complete primary-study-by-review citation matrix was not available for all included sources. No meta-analysis, pooled effect </w:t>
      </w:r>
      <w:proofErr w:type="gramStart"/>
      <w:r>
        <w:rPr>
          <w:sz w:val="19"/>
        </w:rPr>
        <w:t>estimate</w:t>
      </w:r>
      <w:proofErr w:type="gramEnd"/>
      <w:r>
        <w:rPr>
          <w:sz w:val="19"/>
        </w:rPr>
        <w:t xml:space="preserve"> or formal certainty grade was generated. The findings should consequently be interpreted as thematic convergence across publications rather than as independent replication or causal effect estimation.</w:t>
      </w:r>
    </w:p>
    <w:p w14:paraId="39ECB5B6" w14:textId="77777777" w:rsidR="00D215B7" w:rsidRDefault="00000000">
      <w:pPr>
        <w:pStyle w:val="NormalWeb"/>
      </w:pPr>
      <w:r>
        <w:rPr>
          <w:sz w:val="19"/>
        </w:rPr>
        <w:t xml:space="preserve">Second, the search record preserved database-level counts, the publication-year window and the common Boolean concept structure, but not complete platform-exportable line-by-line search histories or a day-specific original last-search timestamp for every database. The revision therefore reports this limitation and a separate bibliographic verification date of 23 September 2026 rather than reconstructing historical search details. Reviewer-level independence, adjudication statistics and </w:t>
      </w:r>
      <w:proofErr w:type="spellStart"/>
      <w:r>
        <w:rPr>
          <w:sz w:val="19"/>
        </w:rPr>
        <w:t>harmonised</w:t>
      </w:r>
      <w:proofErr w:type="spellEnd"/>
      <w:r>
        <w:rPr>
          <w:sz w:val="19"/>
        </w:rPr>
        <w:t xml:space="preserve"> study-level appraisal sheets were also not available for retrospective reporting, which limits procedural reproducibility and formal quality comparison across the heterogeneous source types.</w:t>
      </w:r>
    </w:p>
    <w:p w14:paraId="4903E693" w14:textId="77777777" w:rsidR="00D215B7" w:rsidRDefault="00000000">
      <w:pPr>
        <w:pStyle w:val="NormalWeb"/>
      </w:pPr>
      <w:r>
        <w:rPr>
          <w:sz w:val="19"/>
        </w:rPr>
        <w:t>Third, the review was limited to English-language sources</w:t>
      </w:r>
      <w:r>
        <w:rPr>
          <w:sz w:val="19"/>
          <w:lang w:val="en-CA"/>
        </w:rPr>
        <w:t>, and most</w:t>
      </w:r>
      <w:r>
        <w:rPr>
          <w:sz w:val="19"/>
        </w:rPr>
        <w:t xml:space="preserve"> included publications </w:t>
      </w:r>
      <w:proofErr w:type="spellStart"/>
      <w:r>
        <w:rPr>
          <w:sz w:val="19"/>
        </w:rPr>
        <w:t>synthesised</w:t>
      </w:r>
      <w:proofErr w:type="spellEnd"/>
      <w:r>
        <w:rPr>
          <w:sz w:val="19"/>
        </w:rPr>
        <w:t xml:space="preserve"> evidence across multiple contexts without a single specified </w:t>
      </w:r>
      <w:r>
        <w:rPr>
          <w:sz w:val="19"/>
          <w:highlight w:val="yellow"/>
        </w:rPr>
        <w:t>geographical focus.</w:t>
      </w:r>
      <w:r>
        <w:rPr>
          <w:sz w:val="19"/>
        </w:rPr>
        <w:t xml:space="preserve"> These features may underrepresent locally published evidence and context-specific implementation experience. Future systematic updates should preserve complete database search exports, document reviewer-level screening and appraisal procedures prospectively, map primary-study overlap across included reviews, and expand coverage of geographically diverse primary research.</w:t>
      </w:r>
    </w:p>
    <w:p w14:paraId="35B17EFA" w14:textId="77777777" w:rsidR="00D215B7" w:rsidRDefault="00000000">
      <w:pPr>
        <w:pStyle w:val="Heading2"/>
        <w:spacing w:beforeAutospacing="0" w:afterAutospacing="0"/>
        <w:jc w:val="both"/>
        <w:rPr>
          <w:rFonts w:ascii="Times New Roman" w:hAnsi="Times New Roman" w:hint="default"/>
          <w:sz w:val="22"/>
          <w:szCs w:val="22"/>
        </w:rPr>
      </w:pPr>
      <w:r>
        <w:rPr>
          <w:rFonts w:ascii="Times New Roman" w:hAnsi="Times New Roman" w:hint="default"/>
          <w:sz w:val="22"/>
        </w:rPr>
        <w:t>9.0 Conclusion</w:t>
      </w:r>
    </w:p>
    <w:p w14:paraId="75611409" w14:textId="77777777" w:rsidR="00D215B7" w:rsidRDefault="00000000">
      <w:pPr>
        <w:pStyle w:val="NormalWeb"/>
        <w:spacing w:beforeAutospacing="0" w:afterAutospacing="0"/>
        <w:jc w:val="both"/>
        <w:rPr>
          <w:sz w:val="19"/>
          <w:szCs w:val="19"/>
        </w:rPr>
      </w:pPr>
      <w:r>
        <w:rPr>
          <w:sz w:val="19"/>
        </w:rPr>
        <w:t xml:space="preserve">This systematic evidence review examined the relationship between artificial intelligence and smart mobility, with particular attention to intelligent transportation infrastructure and operational sustainability. Across the included literature, AI was repeatedly associated with applications in traffic prediction, route </w:t>
      </w:r>
      <w:proofErr w:type="spellStart"/>
      <w:r>
        <w:rPr>
          <w:sz w:val="19"/>
        </w:rPr>
        <w:t>optimisation</w:t>
      </w:r>
      <w:proofErr w:type="spellEnd"/>
      <w:r>
        <w:rPr>
          <w:sz w:val="19"/>
        </w:rPr>
        <w:t>, safety management, connected mobility, infrastructure monitoring and energy coordination. Reported benefits were most credible where reliable data, digital connectivity and appropriate infrastructure were present, but the predominantly secondary evidence base does not support pooled causal estimates of effectiveness.</w:t>
      </w:r>
    </w:p>
    <w:p w14:paraId="284A8798" w14:textId="77777777" w:rsidR="00D215B7" w:rsidRDefault="00000000">
      <w:pPr>
        <w:pStyle w:val="NormalWeb"/>
        <w:spacing w:beforeAutospacing="0" w:afterAutospacing="0"/>
        <w:jc w:val="both"/>
        <w:rPr>
          <w:sz w:val="19"/>
          <w:szCs w:val="19"/>
        </w:rPr>
      </w:pPr>
      <w:r>
        <w:rPr>
          <w:sz w:val="19"/>
        </w:rPr>
        <w:t>The synthesis further indicates that the sustainability contribution of AI is conditional. Intelligent algorithms alone are unlikely to deliver sustainable mobility where transport infrastructure, energy systems, institutional capacity or governance arrangements remain weak. Operational gains in routing, charging, monitoring or predictive maintenance may enhance efficiency, but wider environmental and social benefits depend on clean-energy integration, accessible mobility services, effective regulation and responsible data governance.</w:t>
      </w:r>
    </w:p>
    <w:p w14:paraId="4E40A277" w14:textId="77777777" w:rsidR="00D215B7" w:rsidRDefault="00000000">
      <w:pPr>
        <w:pStyle w:val="NormalWeb"/>
        <w:spacing w:beforeAutospacing="0" w:afterAutospacing="0"/>
        <w:jc w:val="both"/>
        <w:rPr>
          <w:sz w:val="19"/>
          <w:szCs w:val="19"/>
        </w:rPr>
      </w:pPr>
      <w:r>
        <w:rPr>
          <w:sz w:val="19"/>
          <w:szCs w:val="19"/>
        </w:rPr>
        <w:t>The theoretical synthesis further indicates that AI-enabled mobility is best understood as part of a broader socio-technical transition. Technological Innovation Systems Theory explains the importance of institutions, markets, infrastructure and innovation networks in supporting diffusion, while Sustainability Transition Theory clarifies how technological change interacts with policy, user practices, energy systems and institutional restructuring.</w:t>
      </w:r>
    </w:p>
    <w:p w14:paraId="20A59DAD" w14:textId="77777777" w:rsidR="00D215B7" w:rsidRDefault="00000000">
      <w:pPr>
        <w:pStyle w:val="NormalWeb"/>
        <w:spacing w:beforeAutospacing="0" w:afterAutospacing="0"/>
        <w:jc w:val="both"/>
        <w:rPr>
          <w:sz w:val="19"/>
          <w:szCs w:val="19"/>
        </w:rPr>
      </w:pPr>
      <w:r>
        <w:rPr>
          <w:sz w:val="19"/>
        </w:rPr>
        <w:t xml:space="preserve">Overall, the evidence suggests that intelligent transportation is more likely to </w:t>
      </w:r>
      <w:proofErr w:type="spellStart"/>
      <w:r>
        <w:rPr>
          <w:sz w:val="19"/>
        </w:rPr>
        <w:t>realise</w:t>
      </w:r>
      <w:proofErr w:type="spellEnd"/>
      <w:r>
        <w:rPr>
          <w:sz w:val="19"/>
        </w:rPr>
        <w:t xml:space="preserve"> durable benefits through coordinated system development than through isolated technological adoption. AI can contribute to safer and more efficient mobility when technological capability is matched by intelligent infrastructure, energy-system readiness, institutional capacity and accountable governance. Stronger primary, longitudinal and geographically diverse evidence is needed to determine the magnitude, persistence and distribution of environmental and social benefits.</w:t>
      </w:r>
    </w:p>
    <w:p w14:paraId="0C9EC5A6" w14:textId="77777777" w:rsidR="00D215B7" w:rsidRDefault="00D215B7">
      <w:pPr>
        <w:jc w:val="both"/>
        <w:rPr>
          <w:rFonts w:ascii="Times New Roman" w:hAnsi="Times New Roman" w:cs="Times New Roman"/>
          <w:sz w:val="19"/>
          <w:szCs w:val="19"/>
        </w:rPr>
      </w:pPr>
    </w:p>
    <w:p w14:paraId="421135F0" w14:textId="77777777" w:rsidR="00D215B7" w:rsidRDefault="00000000">
      <w:pPr>
        <w:spacing w:after="160" w:line="278" w:lineRule="auto"/>
        <w:rPr>
          <w:rFonts w:ascii="Calibri" w:eastAsia="Calibri" w:hAnsi="Calibri" w:cs="Times New Roman"/>
          <w:b/>
          <w:bCs/>
          <w:sz w:val="24"/>
          <w:szCs w:val="24"/>
        </w:rPr>
      </w:pPr>
      <w:r>
        <w:rPr>
          <w:rFonts w:ascii="Calibri" w:eastAsia="Calibri" w:hAnsi="Calibri" w:cs="Times New Roman"/>
          <w:b/>
          <w:bCs/>
          <w:sz w:val="24"/>
          <w:szCs w:val="24"/>
        </w:rPr>
        <w:t>Declaration of AI Use</w:t>
      </w:r>
    </w:p>
    <w:p w14:paraId="294F20B7" w14:textId="77777777" w:rsidR="00D215B7" w:rsidRDefault="00000000">
      <w:pPr>
        <w:jc w:val="both"/>
      </w:pPr>
      <w: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BA6CEDE" w14:textId="77777777" w:rsidR="00D215B7" w:rsidRDefault="00D215B7">
      <w:pPr>
        <w:jc w:val="both"/>
        <w:rPr>
          <w:rFonts w:ascii="Times New Roman" w:hAnsi="Times New Roman" w:cs="Times New Roman"/>
          <w:sz w:val="24"/>
          <w:szCs w:val="24"/>
        </w:rPr>
      </w:pPr>
    </w:p>
    <w:p w14:paraId="295AF1F1" w14:textId="77777777" w:rsidR="00D215B7" w:rsidRDefault="00D215B7">
      <w:pPr>
        <w:jc w:val="both"/>
        <w:rPr>
          <w:rFonts w:ascii="Times New Roman" w:hAnsi="Times New Roman" w:cs="Times New Roman"/>
          <w:sz w:val="24"/>
          <w:szCs w:val="24"/>
        </w:rPr>
      </w:pPr>
    </w:p>
    <w:p w14:paraId="2100757B" w14:textId="77777777" w:rsidR="00D215B7" w:rsidRDefault="00000000">
      <w:pPr>
        <w:pStyle w:val="Heading2"/>
        <w:rPr>
          <w:rFonts w:ascii="Times New Roman" w:hAnsi="Times New Roman" w:hint="default"/>
          <w:sz w:val="22"/>
          <w:szCs w:val="22"/>
        </w:rPr>
      </w:pPr>
      <w:r>
        <w:rPr>
          <w:rFonts w:ascii="Times New Roman" w:hAnsi="Times New Roman" w:hint="default"/>
          <w:sz w:val="22"/>
          <w:szCs w:val="22"/>
        </w:rPr>
        <w:t>References</w:t>
      </w:r>
    </w:p>
    <w:p w14:paraId="6B5179D4" w14:textId="77777777" w:rsidR="00536A90" w:rsidRPr="00536A90" w:rsidRDefault="00536A90" w:rsidP="00536A90">
      <w:pPr>
        <w:spacing w:before="100" w:beforeAutospacing="1" w:after="100" w:afterAutospacing="1"/>
        <w:rPr>
          <w:rFonts w:ascii="Times New Roman" w:eastAsia="Times New Roman" w:hAnsi="Times New Roman" w:cs="Times New Roman"/>
          <w:sz w:val="24"/>
          <w:szCs w:val="24"/>
          <w:lang w:eastAsia="en-US"/>
        </w:rPr>
      </w:pPr>
      <w:r w:rsidRPr="00536A90">
        <w:rPr>
          <w:rFonts w:ascii="Times New Roman" w:eastAsia="Times New Roman" w:hAnsi="Times New Roman" w:cs="Times New Roman"/>
          <w:sz w:val="24"/>
          <w:szCs w:val="24"/>
          <w:lang w:eastAsia="en-US"/>
        </w:rPr>
        <w:lastRenderedPageBreak/>
        <w:t xml:space="preserve">Adeniran, A. O., Adeniran, A. A., </w:t>
      </w:r>
      <w:proofErr w:type="spellStart"/>
      <w:r w:rsidRPr="00536A90">
        <w:rPr>
          <w:rFonts w:ascii="Times New Roman" w:eastAsia="Times New Roman" w:hAnsi="Times New Roman" w:cs="Times New Roman"/>
          <w:sz w:val="24"/>
          <w:szCs w:val="24"/>
          <w:lang w:eastAsia="en-US"/>
        </w:rPr>
        <w:t>Ogieva</w:t>
      </w:r>
      <w:proofErr w:type="spellEnd"/>
      <w:r w:rsidRPr="00536A90">
        <w:rPr>
          <w:rFonts w:ascii="Times New Roman" w:eastAsia="Times New Roman" w:hAnsi="Times New Roman" w:cs="Times New Roman"/>
          <w:sz w:val="24"/>
          <w:szCs w:val="24"/>
          <w:lang w:eastAsia="en-US"/>
        </w:rPr>
        <w:t xml:space="preserve">, M. O., &amp; Ogwuche, G. (2026). Adoption of intelligent transport systems (ITS) in urban transportation planning. Discover Global Society, 4, Article 13. </w:t>
      </w:r>
      <w:hyperlink r:id="rId7" w:history="1">
        <w:r w:rsidRPr="00536A90">
          <w:rPr>
            <w:rFonts w:ascii="Times New Roman" w:eastAsia="Times New Roman" w:hAnsi="Times New Roman" w:cs="Times New Roman"/>
            <w:color w:val="0000FF"/>
            <w:sz w:val="24"/>
            <w:szCs w:val="24"/>
            <w:u w:val="single"/>
            <w:lang w:eastAsia="en-US"/>
          </w:rPr>
          <w:t>https://doi.org/10.1007/s44282-025-00312-3</w:t>
        </w:r>
      </w:hyperlink>
    </w:p>
    <w:p w14:paraId="2FBB97FA" w14:textId="77777777" w:rsidR="00536A90" w:rsidRPr="00536A90" w:rsidRDefault="00536A90" w:rsidP="00536A90">
      <w:pPr>
        <w:spacing w:before="100" w:beforeAutospacing="1" w:after="100" w:afterAutospacing="1"/>
        <w:rPr>
          <w:rFonts w:ascii="Times New Roman" w:eastAsia="Times New Roman" w:hAnsi="Times New Roman" w:cs="Times New Roman"/>
          <w:sz w:val="24"/>
          <w:szCs w:val="24"/>
          <w:lang w:eastAsia="en-US"/>
        </w:rPr>
      </w:pPr>
      <w:r w:rsidRPr="00536A90">
        <w:rPr>
          <w:rFonts w:ascii="Times New Roman" w:eastAsia="Times New Roman" w:hAnsi="Times New Roman" w:cs="Times New Roman"/>
          <w:sz w:val="24"/>
          <w:szCs w:val="24"/>
          <w:lang w:eastAsia="en-US"/>
        </w:rPr>
        <w:t xml:space="preserve">Adewopo, V. A., Elsayed, N., ElSayed, Z., Ozer, M., Abdelgawad, A., &amp; Bayoumi, M. (2023). A review on action recognition for accident detection in smart city transportation systems. Journal of Electrical Systems and Information Technology, 10, Article 57. </w:t>
      </w:r>
      <w:hyperlink r:id="rId8" w:history="1">
        <w:r w:rsidRPr="00536A90">
          <w:rPr>
            <w:rFonts w:ascii="Times New Roman" w:eastAsia="Times New Roman" w:hAnsi="Times New Roman" w:cs="Times New Roman"/>
            <w:color w:val="0000FF"/>
            <w:sz w:val="24"/>
            <w:szCs w:val="24"/>
            <w:u w:val="single"/>
            <w:lang w:eastAsia="en-US"/>
          </w:rPr>
          <w:t>https://doi.org/10.1186/s43067-023-00124-y</w:t>
        </w:r>
      </w:hyperlink>
    </w:p>
    <w:p w14:paraId="4AC22344" w14:textId="77777777" w:rsidR="00536A90" w:rsidRPr="00536A90" w:rsidRDefault="00536A90" w:rsidP="00536A90">
      <w:pPr>
        <w:spacing w:before="100" w:beforeAutospacing="1" w:after="100" w:afterAutospacing="1"/>
        <w:rPr>
          <w:rFonts w:ascii="Times New Roman" w:eastAsia="Times New Roman" w:hAnsi="Times New Roman" w:cs="Times New Roman"/>
          <w:sz w:val="24"/>
          <w:szCs w:val="24"/>
          <w:lang w:eastAsia="en-US"/>
        </w:rPr>
      </w:pPr>
      <w:proofErr w:type="spellStart"/>
      <w:r w:rsidRPr="00536A90">
        <w:rPr>
          <w:rFonts w:ascii="Times New Roman" w:eastAsia="Times New Roman" w:hAnsi="Times New Roman" w:cs="Times New Roman"/>
          <w:sz w:val="24"/>
          <w:szCs w:val="24"/>
          <w:lang w:eastAsia="en-US"/>
        </w:rPr>
        <w:t>Bazzan</w:t>
      </w:r>
      <w:proofErr w:type="spellEnd"/>
      <w:r w:rsidRPr="00536A90">
        <w:rPr>
          <w:rFonts w:ascii="Times New Roman" w:eastAsia="Times New Roman" w:hAnsi="Times New Roman" w:cs="Times New Roman"/>
          <w:sz w:val="24"/>
          <w:szCs w:val="24"/>
          <w:lang w:eastAsia="en-US"/>
        </w:rPr>
        <w:t xml:space="preserve">, A. L. C. (2026). Artificial intelligence in transportation: A meta review. SN Computer Science, 7, Article 172. </w:t>
      </w:r>
      <w:hyperlink r:id="rId9" w:history="1">
        <w:r w:rsidRPr="00536A90">
          <w:rPr>
            <w:rFonts w:ascii="Times New Roman" w:eastAsia="Times New Roman" w:hAnsi="Times New Roman" w:cs="Times New Roman"/>
            <w:color w:val="0000FF"/>
            <w:sz w:val="24"/>
            <w:szCs w:val="24"/>
            <w:u w:val="single"/>
            <w:lang w:eastAsia="en-US"/>
          </w:rPr>
          <w:t>https://doi.org/10.1007/s42979-025-04530-z</w:t>
        </w:r>
      </w:hyperlink>
    </w:p>
    <w:p w14:paraId="14CFD28E" w14:textId="77777777" w:rsidR="00536A90" w:rsidRPr="00536A90" w:rsidRDefault="00536A90" w:rsidP="00536A90">
      <w:pPr>
        <w:spacing w:before="100" w:beforeAutospacing="1" w:after="100" w:afterAutospacing="1"/>
        <w:rPr>
          <w:rFonts w:ascii="Times New Roman" w:eastAsia="Times New Roman" w:hAnsi="Times New Roman" w:cs="Times New Roman"/>
          <w:sz w:val="24"/>
          <w:szCs w:val="24"/>
          <w:lang w:eastAsia="en-US"/>
        </w:rPr>
      </w:pPr>
      <w:r w:rsidRPr="00536A90">
        <w:rPr>
          <w:rFonts w:ascii="Times New Roman" w:eastAsia="Times New Roman" w:hAnsi="Times New Roman" w:cs="Times New Roman"/>
          <w:sz w:val="24"/>
          <w:szCs w:val="24"/>
          <w:lang w:eastAsia="en-US"/>
        </w:rPr>
        <w:t xml:space="preserve">Bokolo, A. J. (2024). Artificial intelligence of things and distributed technologies as enablers for intelligent mobility services in smart cities—A survey. Internet of Things, 28, Article 101399. </w:t>
      </w:r>
      <w:hyperlink r:id="rId10" w:history="1">
        <w:r w:rsidRPr="00536A90">
          <w:rPr>
            <w:rFonts w:ascii="Times New Roman" w:eastAsia="Times New Roman" w:hAnsi="Times New Roman" w:cs="Times New Roman"/>
            <w:color w:val="0000FF"/>
            <w:sz w:val="24"/>
            <w:szCs w:val="24"/>
            <w:u w:val="single"/>
            <w:lang w:eastAsia="en-US"/>
          </w:rPr>
          <w:t>https://doi.org/10.1016/j.iot.2024.101399</w:t>
        </w:r>
      </w:hyperlink>
    </w:p>
    <w:p w14:paraId="74FC0730" w14:textId="77777777" w:rsidR="00536A90" w:rsidRPr="00536A90" w:rsidRDefault="00536A90" w:rsidP="00536A90">
      <w:pPr>
        <w:spacing w:before="100" w:beforeAutospacing="1" w:after="100" w:afterAutospacing="1"/>
        <w:rPr>
          <w:rFonts w:ascii="Times New Roman" w:eastAsia="Times New Roman" w:hAnsi="Times New Roman" w:cs="Times New Roman"/>
          <w:sz w:val="24"/>
          <w:szCs w:val="24"/>
          <w:lang w:eastAsia="en-US"/>
        </w:rPr>
      </w:pPr>
      <w:r w:rsidRPr="00536A90">
        <w:rPr>
          <w:rFonts w:ascii="Times New Roman" w:eastAsia="Times New Roman" w:hAnsi="Times New Roman" w:cs="Times New Roman"/>
          <w:sz w:val="24"/>
          <w:szCs w:val="24"/>
          <w:lang w:eastAsia="en-US"/>
        </w:rPr>
        <w:t xml:space="preserve">Bokolo, A. J. (2025). Sustainable mobility governance in smart cities for urban policy development: A scoping review and conceptual model. Smart and Sustainable Built Environment, 14(3), 649–671. </w:t>
      </w:r>
      <w:hyperlink r:id="rId11" w:history="1">
        <w:r w:rsidRPr="00536A90">
          <w:rPr>
            <w:rFonts w:ascii="Times New Roman" w:eastAsia="Times New Roman" w:hAnsi="Times New Roman" w:cs="Times New Roman"/>
            <w:color w:val="0000FF"/>
            <w:sz w:val="24"/>
            <w:szCs w:val="24"/>
            <w:u w:val="single"/>
            <w:lang w:eastAsia="en-US"/>
          </w:rPr>
          <w:t>https://doi.org/10.1108/SASBE-05-2023-0109</w:t>
        </w:r>
      </w:hyperlink>
    </w:p>
    <w:p w14:paraId="144F3705" w14:textId="77777777" w:rsidR="00536A90" w:rsidRPr="00536A90" w:rsidRDefault="00536A90" w:rsidP="00536A90">
      <w:pPr>
        <w:spacing w:before="100" w:beforeAutospacing="1" w:after="100" w:afterAutospacing="1"/>
        <w:rPr>
          <w:rFonts w:ascii="Times New Roman" w:eastAsia="Times New Roman" w:hAnsi="Times New Roman" w:cs="Times New Roman"/>
          <w:sz w:val="24"/>
          <w:szCs w:val="24"/>
          <w:lang w:eastAsia="en-US"/>
        </w:rPr>
      </w:pPr>
      <w:r w:rsidRPr="00536A90">
        <w:rPr>
          <w:rFonts w:ascii="Times New Roman" w:eastAsia="Times New Roman" w:hAnsi="Times New Roman" w:cs="Times New Roman"/>
          <w:sz w:val="24"/>
          <w:szCs w:val="24"/>
          <w:lang w:eastAsia="en-US"/>
        </w:rPr>
        <w:t xml:space="preserve">Butler, L., </w:t>
      </w:r>
      <w:proofErr w:type="spellStart"/>
      <w:r w:rsidRPr="00536A90">
        <w:rPr>
          <w:rFonts w:ascii="Times New Roman" w:eastAsia="Times New Roman" w:hAnsi="Times New Roman" w:cs="Times New Roman"/>
          <w:sz w:val="24"/>
          <w:szCs w:val="24"/>
          <w:lang w:eastAsia="en-US"/>
        </w:rPr>
        <w:t>Yigitcanlar</w:t>
      </w:r>
      <w:proofErr w:type="spellEnd"/>
      <w:r w:rsidRPr="00536A90">
        <w:rPr>
          <w:rFonts w:ascii="Times New Roman" w:eastAsia="Times New Roman" w:hAnsi="Times New Roman" w:cs="Times New Roman"/>
          <w:sz w:val="24"/>
          <w:szCs w:val="24"/>
          <w:lang w:eastAsia="en-US"/>
        </w:rPr>
        <w:t xml:space="preserve">, T., &amp; Paz, A. (2020). How can smart mobility innovations alleviate transportation disadvantage? Assembling a conceptual framework through a systematic review. Applied Sciences, 10(18), Article 6306. </w:t>
      </w:r>
      <w:hyperlink r:id="rId12" w:history="1">
        <w:r w:rsidRPr="00536A90">
          <w:rPr>
            <w:rFonts w:ascii="Times New Roman" w:eastAsia="Times New Roman" w:hAnsi="Times New Roman" w:cs="Times New Roman"/>
            <w:color w:val="0000FF"/>
            <w:sz w:val="24"/>
            <w:szCs w:val="24"/>
            <w:u w:val="single"/>
            <w:lang w:eastAsia="en-US"/>
          </w:rPr>
          <w:t>https://doi.org/10.3390/app10186306</w:t>
        </w:r>
      </w:hyperlink>
    </w:p>
    <w:p w14:paraId="3DFE6A52" w14:textId="77777777" w:rsidR="00536A90" w:rsidRPr="00536A90" w:rsidRDefault="00536A90" w:rsidP="00536A90">
      <w:pPr>
        <w:spacing w:before="100" w:beforeAutospacing="1" w:after="100" w:afterAutospacing="1"/>
        <w:rPr>
          <w:rFonts w:ascii="Times New Roman" w:eastAsia="Times New Roman" w:hAnsi="Times New Roman" w:cs="Times New Roman"/>
          <w:sz w:val="24"/>
          <w:szCs w:val="24"/>
          <w:lang w:eastAsia="en-US"/>
        </w:rPr>
      </w:pPr>
      <w:proofErr w:type="spellStart"/>
      <w:r w:rsidRPr="00536A90">
        <w:rPr>
          <w:rFonts w:ascii="Times New Roman" w:eastAsia="Times New Roman" w:hAnsi="Times New Roman" w:cs="Times New Roman"/>
          <w:sz w:val="24"/>
          <w:szCs w:val="24"/>
          <w:lang w:eastAsia="en-US"/>
        </w:rPr>
        <w:t>Creß</w:t>
      </w:r>
      <w:proofErr w:type="spellEnd"/>
      <w:r w:rsidRPr="00536A90">
        <w:rPr>
          <w:rFonts w:ascii="Times New Roman" w:eastAsia="Times New Roman" w:hAnsi="Times New Roman" w:cs="Times New Roman"/>
          <w:sz w:val="24"/>
          <w:szCs w:val="24"/>
          <w:lang w:eastAsia="en-US"/>
        </w:rPr>
        <w:t xml:space="preserve">, C., Bing, Z., &amp; Knoll, A. C. (2024). Intelligent transportation systems using roadside infrastructure: A literature survey. IEEE Transactions on Intelligent Transportation Systems, 25(7), 6309–6327. </w:t>
      </w:r>
      <w:hyperlink r:id="rId13" w:history="1">
        <w:r w:rsidRPr="00536A90">
          <w:rPr>
            <w:rFonts w:ascii="Times New Roman" w:eastAsia="Times New Roman" w:hAnsi="Times New Roman" w:cs="Times New Roman"/>
            <w:color w:val="0000FF"/>
            <w:sz w:val="24"/>
            <w:szCs w:val="24"/>
            <w:u w:val="single"/>
            <w:lang w:eastAsia="en-US"/>
          </w:rPr>
          <w:t>https://doi.org/10.1109/TITS.2023.3343434</w:t>
        </w:r>
      </w:hyperlink>
    </w:p>
    <w:p w14:paraId="6441ABC5" w14:textId="77777777" w:rsidR="00536A90" w:rsidRPr="00536A90" w:rsidRDefault="00536A90" w:rsidP="00536A90">
      <w:pPr>
        <w:spacing w:before="100" w:beforeAutospacing="1" w:after="100" w:afterAutospacing="1"/>
        <w:rPr>
          <w:rFonts w:ascii="Times New Roman" w:eastAsia="Times New Roman" w:hAnsi="Times New Roman" w:cs="Times New Roman"/>
          <w:sz w:val="24"/>
          <w:szCs w:val="24"/>
          <w:lang w:eastAsia="en-US"/>
        </w:rPr>
      </w:pPr>
      <w:r w:rsidRPr="00536A90">
        <w:rPr>
          <w:rFonts w:ascii="Times New Roman" w:eastAsia="Times New Roman" w:hAnsi="Times New Roman" w:cs="Times New Roman"/>
          <w:sz w:val="24"/>
          <w:szCs w:val="24"/>
          <w:lang w:eastAsia="en-US"/>
        </w:rPr>
        <w:t xml:space="preserve">D’Alberto, R., &amp; Giudici, H. (2023). A sustainable smart mobility? Opportunities and challenges from a big data use perspective. Sustainable Futures, 6, Article 100118. </w:t>
      </w:r>
      <w:hyperlink r:id="rId14" w:history="1">
        <w:r w:rsidRPr="00536A90">
          <w:rPr>
            <w:rFonts w:ascii="Times New Roman" w:eastAsia="Times New Roman" w:hAnsi="Times New Roman" w:cs="Times New Roman"/>
            <w:color w:val="0000FF"/>
            <w:sz w:val="24"/>
            <w:szCs w:val="24"/>
            <w:u w:val="single"/>
            <w:lang w:eastAsia="en-US"/>
          </w:rPr>
          <w:t>https://doi.org/10.1016/j.sftr.2023.100118</w:t>
        </w:r>
      </w:hyperlink>
    </w:p>
    <w:p w14:paraId="4667988E" w14:textId="77777777" w:rsidR="00536A90" w:rsidRPr="00536A90" w:rsidRDefault="00536A90" w:rsidP="00536A90">
      <w:pPr>
        <w:spacing w:before="100" w:beforeAutospacing="1" w:after="100" w:afterAutospacing="1"/>
        <w:rPr>
          <w:rFonts w:ascii="Times New Roman" w:eastAsia="Times New Roman" w:hAnsi="Times New Roman" w:cs="Times New Roman"/>
          <w:sz w:val="24"/>
          <w:szCs w:val="24"/>
          <w:lang w:eastAsia="en-US"/>
        </w:rPr>
      </w:pPr>
      <w:r w:rsidRPr="00536A90">
        <w:rPr>
          <w:rFonts w:ascii="Times New Roman" w:eastAsia="Times New Roman" w:hAnsi="Times New Roman" w:cs="Times New Roman"/>
          <w:sz w:val="24"/>
          <w:szCs w:val="24"/>
          <w:lang w:eastAsia="en-US"/>
        </w:rPr>
        <w:t xml:space="preserve">Del-Coco, M., </w:t>
      </w:r>
      <w:proofErr w:type="spellStart"/>
      <w:r w:rsidRPr="00536A90">
        <w:rPr>
          <w:rFonts w:ascii="Times New Roman" w:eastAsia="Times New Roman" w:hAnsi="Times New Roman" w:cs="Times New Roman"/>
          <w:sz w:val="24"/>
          <w:szCs w:val="24"/>
          <w:lang w:eastAsia="en-US"/>
        </w:rPr>
        <w:t>Carcagnì</w:t>
      </w:r>
      <w:proofErr w:type="spellEnd"/>
      <w:r w:rsidRPr="00536A90">
        <w:rPr>
          <w:rFonts w:ascii="Times New Roman" w:eastAsia="Times New Roman" w:hAnsi="Times New Roman" w:cs="Times New Roman"/>
          <w:sz w:val="24"/>
          <w:szCs w:val="24"/>
          <w:lang w:eastAsia="en-US"/>
        </w:rPr>
        <w:t xml:space="preserve">, P., Oliver, S. T., Iskandaryan, D., &amp; Leo, M. (2025). The role of AI in smart mobility: A comprehensive survey. Electronics, 14(9), Article 1801. </w:t>
      </w:r>
      <w:hyperlink r:id="rId15" w:history="1">
        <w:r w:rsidRPr="00536A90">
          <w:rPr>
            <w:rFonts w:ascii="Times New Roman" w:eastAsia="Times New Roman" w:hAnsi="Times New Roman" w:cs="Times New Roman"/>
            <w:color w:val="0000FF"/>
            <w:sz w:val="24"/>
            <w:szCs w:val="24"/>
            <w:u w:val="single"/>
            <w:lang w:eastAsia="en-US"/>
          </w:rPr>
          <w:t>https://doi.org/10.3390/electronics14091801</w:t>
        </w:r>
      </w:hyperlink>
    </w:p>
    <w:p w14:paraId="0F546052" w14:textId="77777777" w:rsidR="00536A90" w:rsidRPr="00536A90" w:rsidRDefault="00536A90" w:rsidP="00536A90">
      <w:pPr>
        <w:spacing w:before="100" w:beforeAutospacing="1" w:after="100" w:afterAutospacing="1"/>
        <w:rPr>
          <w:rFonts w:ascii="Times New Roman" w:eastAsia="Times New Roman" w:hAnsi="Times New Roman" w:cs="Times New Roman"/>
          <w:sz w:val="24"/>
          <w:szCs w:val="24"/>
          <w:lang w:eastAsia="en-US"/>
        </w:rPr>
      </w:pPr>
      <w:r w:rsidRPr="00536A90">
        <w:rPr>
          <w:rFonts w:ascii="Times New Roman" w:eastAsia="Times New Roman" w:hAnsi="Times New Roman" w:cs="Times New Roman"/>
          <w:sz w:val="24"/>
          <w:szCs w:val="24"/>
          <w:lang w:eastAsia="en-US"/>
        </w:rPr>
        <w:t xml:space="preserve">Du, K., Guo, X., Li, L., Song, J., Shi, Q., Hu, M., &amp; Fang, J. (2025). Traffic prediction in time series, </w:t>
      </w:r>
      <w:proofErr w:type="spellStart"/>
      <w:r w:rsidRPr="00536A90">
        <w:rPr>
          <w:rFonts w:ascii="Times New Roman" w:eastAsia="Times New Roman" w:hAnsi="Times New Roman" w:cs="Times New Roman"/>
          <w:sz w:val="24"/>
          <w:szCs w:val="24"/>
          <w:lang w:eastAsia="en-US"/>
        </w:rPr>
        <w:t>spatialtemporal</w:t>
      </w:r>
      <w:proofErr w:type="spellEnd"/>
      <w:r w:rsidRPr="00536A90">
        <w:rPr>
          <w:rFonts w:ascii="Times New Roman" w:eastAsia="Times New Roman" w:hAnsi="Times New Roman" w:cs="Times New Roman"/>
          <w:sz w:val="24"/>
          <w:szCs w:val="24"/>
          <w:lang w:eastAsia="en-US"/>
        </w:rPr>
        <w:t xml:space="preserve">, and OD data: A systematic survey. Journal of Traffic and Transportation Engineering (English Edition), 12(3), 666–700. </w:t>
      </w:r>
      <w:hyperlink r:id="rId16" w:history="1">
        <w:r w:rsidRPr="00536A90">
          <w:rPr>
            <w:rFonts w:ascii="Times New Roman" w:eastAsia="Times New Roman" w:hAnsi="Times New Roman" w:cs="Times New Roman"/>
            <w:color w:val="0000FF"/>
            <w:sz w:val="24"/>
            <w:szCs w:val="24"/>
            <w:u w:val="single"/>
            <w:lang w:eastAsia="en-US"/>
          </w:rPr>
          <w:t>https://doi.org/10.1016/j.jtte.2025.03.001</w:t>
        </w:r>
      </w:hyperlink>
    </w:p>
    <w:p w14:paraId="32FFF05F" w14:textId="77777777" w:rsidR="00536A90" w:rsidRPr="00536A90" w:rsidRDefault="00536A90" w:rsidP="00536A90">
      <w:pPr>
        <w:spacing w:before="100" w:beforeAutospacing="1" w:after="100" w:afterAutospacing="1"/>
        <w:rPr>
          <w:rFonts w:ascii="Times New Roman" w:eastAsia="Times New Roman" w:hAnsi="Times New Roman" w:cs="Times New Roman"/>
          <w:sz w:val="24"/>
          <w:szCs w:val="24"/>
          <w:lang w:eastAsia="en-US"/>
        </w:rPr>
      </w:pPr>
      <w:r w:rsidRPr="00536A90">
        <w:rPr>
          <w:rFonts w:ascii="Times New Roman" w:eastAsia="Times New Roman" w:hAnsi="Times New Roman" w:cs="Times New Roman"/>
          <w:sz w:val="24"/>
          <w:szCs w:val="24"/>
          <w:lang w:eastAsia="en-US"/>
        </w:rPr>
        <w:t xml:space="preserve">Gheorghe, C., &amp; </w:t>
      </w:r>
      <w:proofErr w:type="spellStart"/>
      <w:r w:rsidRPr="00536A90">
        <w:rPr>
          <w:rFonts w:ascii="Times New Roman" w:eastAsia="Times New Roman" w:hAnsi="Times New Roman" w:cs="Times New Roman"/>
          <w:sz w:val="24"/>
          <w:szCs w:val="24"/>
          <w:lang w:eastAsia="en-US"/>
        </w:rPr>
        <w:t>Soica</w:t>
      </w:r>
      <w:proofErr w:type="spellEnd"/>
      <w:r w:rsidRPr="00536A90">
        <w:rPr>
          <w:rFonts w:ascii="Times New Roman" w:eastAsia="Times New Roman" w:hAnsi="Times New Roman" w:cs="Times New Roman"/>
          <w:sz w:val="24"/>
          <w:szCs w:val="24"/>
          <w:lang w:eastAsia="en-US"/>
        </w:rPr>
        <w:t xml:space="preserve">, A. (2025). Revolutionizing urban mobility: A systematic review of AI, IoT, and predictive analytics in adaptive traffic control systems for road networks. Electronics, 14(4), Article 719. </w:t>
      </w:r>
      <w:hyperlink r:id="rId17" w:history="1">
        <w:r w:rsidRPr="00536A90">
          <w:rPr>
            <w:rFonts w:ascii="Times New Roman" w:eastAsia="Times New Roman" w:hAnsi="Times New Roman" w:cs="Times New Roman"/>
            <w:color w:val="0000FF"/>
            <w:sz w:val="24"/>
            <w:szCs w:val="24"/>
            <w:u w:val="single"/>
            <w:lang w:eastAsia="en-US"/>
          </w:rPr>
          <w:t>https://doi.org/10.3390/electronics14040719</w:t>
        </w:r>
      </w:hyperlink>
    </w:p>
    <w:p w14:paraId="1FB54A66" w14:textId="77777777" w:rsidR="00536A90" w:rsidRPr="00536A90" w:rsidRDefault="00536A90" w:rsidP="00536A90">
      <w:pPr>
        <w:spacing w:before="100" w:beforeAutospacing="1" w:after="100" w:afterAutospacing="1"/>
        <w:rPr>
          <w:rFonts w:ascii="Times New Roman" w:eastAsia="Times New Roman" w:hAnsi="Times New Roman" w:cs="Times New Roman"/>
          <w:sz w:val="24"/>
          <w:szCs w:val="24"/>
          <w:lang w:eastAsia="en-US"/>
        </w:rPr>
      </w:pPr>
      <w:r w:rsidRPr="00536A90">
        <w:rPr>
          <w:rFonts w:ascii="Times New Roman" w:eastAsia="Times New Roman" w:hAnsi="Times New Roman" w:cs="Times New Roman"/>
          <w:sz w:val="24"/>
          <w:szCs w:val="24"/>
          <w:lang w:eastAsia="en-US"/>
        </w:rPr>
        <w:t xml:space="preserve">Goumiri, S., Yahiaoui, S., &amp; </w:t>
      </w:r>
      <w:proofErr w:type="spellStart"/>
      <w:r w:rsidRPr="00536A90">
        <w:rPr>
          <w:rFonts w:ascii="Times New Roman" w:eastAsia="Times New Roman" w:hAnsi="Times New Roman" w:cs="Times New Roman"/>
          <w:sz w:val="24"/>
          <w:szCs w:val="24"/>
          <w:lang w:eastAsia="en-US"/>
        </w:rPr>
        <w:t>Djahel</w:t>
      </w:r>
      <w:proofErr w:type="spellEnd"/>
      <w:r w:rsidRPr="00536A90">
        <w:rPr>
          <w:rFonts w:ascii="Times New Roman" w:eastAsia="Times New Roman" w:hAnsi="Times New Roman" w:cs="Times New Roman"/>
          <w:sz w:val="24"/>
          <w:szCs w:val="24"/>
          <w:lang w:eastAsia="en-US"/>
        </w:rPr>
        <w:t xml:space="preserve">, S. (2025). Smart mobility in smart cities: Emerging challenges, recent advances and future directions. Journal of Intelligent </w:t>
      </w:r>
      <w:r w:rsidRPr="00536A90">
        <w:rPr>
          <w:rFonts w:ascii="Times New Roman" w:eastAsia="Times New Roman" w:hAnsi="Times New Roman" w:cs="Times New Roman"/>
          <w:sz w:val="24"/>
          <w:szCs w:val="24"/>
          <w:lang w:eastAsia="en-US"/>
        </w:rPr>
        <w:lastRenderedPageBreak/>
        <w:t xml:space="preserve">Transportation Systems, 29(1), 81–117. </w:t>
      </w:r>
      <w:hyperlink r:id="rId18" w:history="1">
        <w:r w:rsidRPr="00536A90">
          <w:rPr>
            <w:rFonts w:ascii="Times New Roman" w:eastAsia="Times New Roman" w:hAnsi="Times New Roman" w:cs="Times New Roman"/>
            <w:color w:val="0000FF"/>
            <w:sz w:val="24"/>
            <w:szCs w:val="24"/>
            <w:u w:val="single"/>
            <w:lang w:eastAsia="en-US"/>
          </w:rPr>
          <w:t>https://doi.org/10.1080/15472450.2023.2245750</w:t>
        </w:r>
      </w:hyperlink>
    </w:p>
    <w:p w14:paraId="08F3F563" w14:textId="77777777" w:rsidR="00536A90" w:rsidRPr="00536A90" w:rsidRDefault="00536A90" w:rsidP="00536A90">
      <w:pPr>
        <w:spacing w:before="100" w:beforeAutospacing="1" w:after="100" w:afterAutospacing="1"/>
        <w:rPr>
          <w:rFonts w:ascii="Times New Roman" w:eastAsia="Times New Roman" w:hAnsi="Times New Roman" w:cs="Times New Roman"/>
          <w:sz w:val="24"/>
          <w:szCs w:val="24"/>
          <w:lang w:eastAsia="en-US"/>
        </w:rPr>
      </w:pPr>
      <w:r w:rsidRPr="00536A90">
        <w:rPr>
          <w:rFonts w:ascii="Times New Roman" w:eastAsia="Times New Roman" w:hAnsi="Times New Roman" w:cs="Times New Roman"/>
          <w:sz w:val="24"/>
          <w:szCs w:val="24"/>
          <w:lang w:eastAsia="en-US"/>
        </w:rPr>
        <w:t xml:space="preserve">Jalil, K., Xia, Y., Chen, Q., Zahid, M. N., Manzoor, T., &amp; Zhao, J. (2024). Integrative review of data sciences for driving smart mobility in intelligent transportation systems. Computers &amp; Electrical Engineering, 119, Article 109624. </w:t>
      </w:r>
      <w:hyperlink r:id="rId19" w:history="1">
        <w:r w:rsidRPr="00536A90">
          <w:rPr>
            <w:rFonts w:ascii="Times New Roman" w:eastAsia="Times New Roman" w:hAnsi="Times New Roman" w:cs="Times New Roman"/>
            <w:color w:val="0000FF"/>
            <w:sz w:val="24"/>
            <w:szCs w:val="24"/>
            <w:u w:val="single"/>
            <w:lang w:eastAsia="en-US"/>
          </w:rPr>
          <w:t>https://doi.org/10.1016/j.compeleceng.2024.109624</w:t>
        </w:r>
      </w:hyperlink>
    </w:p>
    <w:p w14:paraId="121991A3" w14:textId="77777777" w:rsidR="00536A90" w:rsidRPr="00536A90" w:rsidRDefault="00536A90" w:rsidP="00536A90">
      <w:pPr>
        <w:spacing w:before="100" w:beforeAutospacing="1" w:after="100" w:afterAutospacing="1"/>
        <w:rPr>
          <w:rFonts w:ascii="Times New Roman" w:eastAsia="Times New Roman" w:hAnsi="Times New Roman" w:cs="Times New Roman"/>
          <w:sz w:val="24"/>
          <w:szCs w:val="24"/>
          <w:lang w:eastAsia="en-US"/>
        </w:rPr>
      </w:pPr>
      <w:r w:rsidRPr="00536A90">
        <w:rPr>
          <w:rFonts w:ascii="Times New Roman" w:eastAsia="Times New Roman" w:hAnsi="Times New Roman" w:cs="Times New Roman"/>
          <w:sz w:val="24"/>
          <w:szCs w:val="24"/>
          <w:lang w:eastAsia="en-US"/>
        </w:rPr>
        <w:t xml:space="preserve">Joshi, S., </w:t>
      </w:r>
      <w:proofErr w:type="spellStart"/>
      <w:r w:rsidRPr="00536A90">
        <w:rPr>
          <w:rFonts w:ascii="Times New Roman" w:eastAsia="Times New Roman" w:hAnsi="Times New Roman" w:cs="Times New Roman"/>
          <w:sz w:val="24"/>
          <w:szCs w:val="24"/>
          <w:lang w:eastAsia="en-US"/>
        </w:rPr>
        <w:t>Baviskar</w:t>
      </w:r>
      <w:proofErr w:type="spellEnd"/>
      <w:r w:rsidRPr="00536A90">
        <w:rPr>
          <w:rFonts w:ascii="Times New Roman" w:eastAsia="Times New Roman" w:hAnsi="Times New Roman" w:cs="Times New Roman"/>
          <w:sz w:val="24"/>
          <w:szCs w:val="24"/>
          <w:lang w:eastAsia="en-US"/>
        </w:rPr>
        <w:t xml:space="preserve">, A., &amp; </w:t>
      </w:r>
      <w:proofErr w:type="spellStart"/>
      <w:r w:rsidRPr="00536A90">
        <w:rPr>
          <w:rFonts w:ascii="Times New Roman" w:eastAsia="Times New Roman" w:hAnsi="Times New Roman" w:cs="Times New Roman"/>
          <w:sz w:val="24"/>
          <w:szCs w:val="24"/>
          <w:lang w:eastAsia="en-US"/>
        </w:rPr>
        <w:t>Rajmane</w:t>
      </w:r>
      <w:proofErr w:type="spellEnd"/>
      <w:r w:rsidRPr="00536A90">
        <w:rPr>
          <w:rFonts w:ascii="Times New Roman" w:eastAsia="Times New Roman" w:hAnsi="Times New Roman" w:cs="Times New Roman"/>
          <w:sz w:val="24"/>
          <w:szCs w:val="24"/>
          <w:lang w:eastAsia="en-US"/>
        </w:rPr>
        <w:t xml:space="preserve">, S. (2026). A review of cybersecurity in smart cities and intelligent transport systems. Discover Internet of Things, 6, Article 41. </w:t>
      </w:r>
      <w:hyperlink r:id="rId20" w:history="1">
        <w:r w:rsidRPr="00536A90">
          <w:rPr>
            <w:rFonts w:ascii="Times New Roman" w:eastAsia="Times New Roman" w:hAnsi="Times New Roman" w:cs="Times New Roman"/>
            <w:color w:val="0000FF"/>
            <w:sz w:val="24"/>
            <w:szCs w:val="24"/>
            <w:u w:val="single"/>
            <w:lang w:eastAsia="en-US"/>
          </w:rPr>
          <w:t>https://doi.org/10.1007/s43926-026-00312-y</w:t>
        </w:r>
      </w:hyperlink>
    </w:p>
    <w:p w14:paraId="79F4D64E" w14:textId="77777777" w:rsidR="00536A90" w:rsidRPr="00536A90" w:rsidRDefault="00536A90" w:rsidP="00536A90">
      <w:pPr>
        <w:spacing w:before="100" w:beforeAutospacing="1" w:after="100" w:afterAutospacing="1"/>
        <w:rPr>
          <w:rFonts w:ascii="Times New Roman" w:eastAsia="Times New Roman" w:hAnsi="Times New Roman" w:cs="Times New Roman"/>
          <w:sz w:val="24"/>
          <w:szCs w:val="24"/>
          <w:lang w:eastAsia="en-US"/>
        </w:rPr>
      </w:pPr>
      <w:proofErr w:type="spellStart"/>
      <w:r w:rsidRPr="00536A90">
        <w:rPr>
          <w:rFonts w:ascii="Times New Roman" w:eastAsia="Times New Roman" w:hAnsi="Times New Roman" w:cs="Times New Roman"/>
          <w:sz w:val="24"/>
          <w:szCs w:val="24"/>
          <w:lang w:eastAsia="en-US"/>
        </w:rPr>
        <w:t>Kivimaa</w:t>
      </w:r>
      <w:proofErr w:type="spellEnd"/>
      <w:r w:rsidRPr="00536A90">
        <w:rPr>
          <w:rFonts w:ascii="Times New Roman" w:eastAsia="Times New Roman" w:hAnsi="Times New Roman" w:cs="Times New Roman"/>
          <w:sz w:val="24"/>
          <w:szCs w:val="24"/>
          <w:lang w:eastAsia="en-US"/>
        </w:rPr>
        <w:t xml:space="preserve">, P., Laakso, S., </w:t>
      </w:r>
      <w:proofErr w:type="spellStart"/>
      <w:r w:rsidRPr="00536A90">
        <w:rPr>
          <w:rFonts w:ascii="Times New Roman" w:eastAsia="Times New Roman" w:hAnsi="Times New Roman" w:cs="Times New Roman"/>
          <w:sz w:val="24"/>
          <w:szCs w:val="24"/>
          <w:lang w:eastAsia="en-US"/>
        </w:rPr>
        <w:t>Lonkila</w:t>
      </w:r>
      <w:proofErr w:type="spellEnd"/>
      <w:r w:rsidRPr="00536A90">
        <w:rPr>
          <w:rFonts w:ascii="Times New Roman" w:eastAsia="Times New Roman" w:hAnsi="Times New Roman" w:cs="Times New Roman"/>
          <w:sz w:val="24"/>
          <w:szCs w:val="24"/>
          <w:lang w:eastAsia="en-US"/>
        </w:rPr>
        <w:t xml:space="preserve">, A., &amp; </w:t>
      </w:r>
      <w:proofErr w:type="spellStart"/>
      <w:r w:rsidRPr="00536A90">
        <w:rPr>
          <w:rFonts w:ascii="Times New Roman" w:eastAsia="Times New Roman" w:hAnsi="Times New Roman" w:cs="Times New Roman"/>
          <w:sz w:val="24"/>
          <w:szCs w:val="24"/>
          <w:lang w:eastAsia="en-US"/>
        </w:rPr>
        <w:t>Kaljonen</w:t>
      </w:r>
      <w:proofErr w:type="spellEnd"/>
      <w:r w:rsidRPr="00536A90">
        <w:rPr>
          <w:rFonts w:ascii="Times New Roman" w:eastAsia="Times New Roman" w:hAnsi="Times New Roman" w:cs="Times New Roman"/>
          <w:sz w:val="24"/>
          <w:szCs w:val="24"/>
          <w:lang w:eastAsia="en-US"/>
        </w:rPr>
        <w:t xml:space="preserve">, M. (2021). Moving beyond disruptive innovation: A review of disruption in sustainability transitions. Environmental Innovation and Societal Transitions, 38, 110–126. </w:t>
      </w:r>
      <w:hyperlink r:id="rId21" w:history="1">
        <w:r w:rsidRPr="00536A90">
          <w:rPr>
            <w:rFonts w:ascii="Times New Roman" w:eastAsia="Times New Roman" w:hAnsi="Times New Roman" w:cs="Times New Roman"/>
            <w:color w:val="0000FF"/>
            <w:sz w:val="24"/>
            <w:szCs w:val="24"/>
            <w:u w:val="single"/>
            <w:lang w:eastAsia="en-US"/>
          </w:rPr>
          <w:t>https://doi.org/10.1016/j.eist.2020.12.001</w:t>
        </w:r>
      </w:hyperlink>
    </w:p>
    <w:p w14:paraId="40CE621A" w14:textId="77777777" w:rsidR="00536A90" w:rsidRPr="00536A90" w:rsidRDefault="00536A90" w:rsidP="00536A90">
      <w:pPr>
        <w:spacing w:before="100" w:beforeAutospacing="1" w:after="100" w:afterAutospacing="1"/>
        <w:rPr>
          <w:rFonts w:ascii="Times New Roman" w:eastAsia="Times New Roman" w:hAnsi="Times New Roman" w:cs="Times New Roman"/>
          <w:sz w:val="24"/>
          <w:szCs w:val="24"/>
          <w:lang w:eastAsia="en-US"/>
        </w:rPr>
      </w:pPr>
      <w:proofErr w:type="spellStart"/>
      <w:r w:rsidRPr="00536A90">
        <w:rPr>
          <w:rFonts w:ascii="Times New Roman" w:eastAsia="Times New Roman" w:hAnsi="Times New Roman" w:cs="Times New Roman"/>
          <w:sz w:val="24"/>
          <w:szCs w:val="24"/>
          <w:lang w:eastAsia="en-US"/>
        </w:rPr>
        <w:t>Kivimaa</w:t>
      </w:r>
      <w:proofErr w:type="spellEnd"/>
      <w:r w:rsidRPr="00536A90">
        <w:rPr>
          <w:rFonts w:ascii="Times New Roman" w:eastAsia="Times New Roman" w:hAnsi="Times New Roman" w:cs="Times New Roman"/>
          <w:sz w:val="24"/>
          <w:szCs w:val="24"/>
          <w:lang w:eastAsia="en-US"/>
        </w:rPr>
        <w:t xml:space="preserve">, P., &amp; Rogge, K. S. (2022). Interplay of policy experimentation and institutional change in sustainability transitions: The case of mobility as a service in Finland. Research Policy, 51(1), Article 104412. </w:t>
      </w:r>
      <w:hyperlink r:id="rId22" w:history="1">
        <w:r w:rsidRPr="00536A90">
          <w:rPr>
            <w:rFonts w:ascii="Times New Roman" w:eastAsia="Times New Roman" w:hAnsi="Times New Roman" w:cs="Times New Roman"/>
            <w:color w:val="0000FF"/>
            <w:sz w:val="24"/>
            <w:szCs w:val="24"/>
            <w:u w:val="single"/>
            <w:lang w:eastAsia="en-US"/>
          </w:rPr>
          <w:t>https://doi.org/10.1016/j.respol.2021.104412</w:t>
        </w:r>
      </w:hyperlink>
    </w:p>
    <w:p w14:paraId="48964B59" w14:textId="77777777" w:rsidR="00536A90" w:rsidRPr="00536A90" w:rsidRDefault="00536A90" w:rsidP="00536A90">
      <w:pPr>
        <w:spacing w:before="100" w:beforeAutospacing="1" w:after="100" w:afterAutospacing="1"/>
        <w:rPr>
          <w:rFonts w:ascii="Times New Roman" w:eastAsia="Times New Roman" w:hAnsi="Times New Roman" w:cs="Times New Roman"/>
          <w:sz w:val="24"/>
          <w:szCs w:val="24"/>
          <w:lang w:eastAsia="en-US"/>
        </w:rPr>
      </w:pPr>
      <w:proofErr w:type="spellStart"/>
      <w:r w:rsidRPr="00536A90">
        <w:rPr>
          <w:rFonts w:ascii="Times New Roman" w:eastAsia="Times New Roman" w:hAnsi="Times New Roman" w:cs="Times New Roman"/>
          <w:sz w:val="24"/>
          <w:szCs w:val="24"/>
          <w:lang w:eastAsia="en-US"/>
        </w:rPr>
        <w:t>Mitieka</w:t>
      </w:r>
      <w:proofErr w:type="spellEnd"/>
      <w:r w:rsidRPr="00536A90">
        <w:rPr>
          <w:rFonts w:ascii="Times New Roman" w:eastAsia="Times New Roman" w:hAnsi="Times New Roman" w:cs="Times New Roman"/>
          <w:sz w:val="24"/>
          <w:szCs w:val="24"/>
          <w:lang w:eastAsia="en-US"/>
        </w:rPr>
        <w:t xml:space="preserve">, D., Luke, R., </w:t>
      </w:r>
      <w:proofErr w:type="spellStart"/>
      <w:r w:rsidRPr="00536A90">
        <w:rPr>
          <w:rFonts w:ascii="Times New Roman" w:eastAsia="Times New Roman" w:hAnsi="Times New Roman" w:cs="Times New Roman"/>
          <w:sz w:val="24"/>
          <w:szCs w:val="24"/>
          <w:lang w:eastAsia="en-US"/>
        </w:rPr>
        <w:t>Twinomurinzi</w:t>
      </w:r>
      <w:proofErr w:type="spellEnd"/>
      <w:r w:rsidRPr="00536A90">
        <w:rPr>
          <w:rFonts w:ascii="Times New Roman" w:eastAsia="Times New Roman" w:hAnsi="Times New Roman" w:cs="Times New Roman"/>
          <w:sz w:val="24"/>
          <w:szCs w:val="24"/>
          <w:lang w:eastAsia="en-US"/>
        </w:rPr>
        <w:t xml:space="preserve">, H., &amp; Mageto, J. (2023). Smart mobility in urban areas: A bibliometric review and research agenda. Sustainability, 15(8), Article 6754. </w:t>
      </w:r>
      <w:hyperlink r:id="rId23" w:history="1">
        <w:r w:rsidRPr="00536A90">
          <w:rPr>
            <w:rFonts w:ascii="Times New Roman" w:eastAsia="Times New Roman" w:hAnsi="Times New Roman" w:cs="Times New Roman"/>
            <w:color w:val="0000FF"/>
            <w:sz w:val="24"/>
            <w:szCs w:val="24"/>
            <w:u w:val="single"/>
            <w:lang w:eastAsia="en-US"/>
          </w:rPr>
          <w:t>https://doi.org/10.3390/su15086754</w:t>
        </w:r>
      </w:hyperlink>
    </w:p>
    <w:p w14:paraId="48D56F3F" w14:textId="77777777" w:rsidR="00536A90" w:rsidRPr="00536A90" w:rsidRDefault="00536A90" w:rsidP="00536A90">
      <w:pPr>
        <w:spacing w:before="100" w:beforeAutospacing="1" w:after="100" w:afterAutospacing="1"/>
        <w:rPr>
          <w:rFonts w:ascii="Times New Roman" w:eastAsia="Times New Roman" w:hAnsi="Times New Roman" w:cs="Times New Roman"/>
          <w:sz w:val="24"/>
          <w:szCs w:val="24"/>
          <w:lang w:eastAsia="en-US"/>
        </w:rPr>
      </w:pPr>
      <w:proofErr w:type="spellStart"/>
      <w:r w:rsidRPr="00536A90">
        <w:rPr>
          <w:rFonts w:ascii="Times New Roman" w:eastAsia="Times New Roman" w:hAnsi="Times New Roman" w:cs="Times New Roman"/>
          <w:sz w:val="24"/>
          <w:szCs w:val="24"/>
          <w:lang w:eastAsia="en-US"/>
        </w:rPr>
        <w:t>Mitieka</w:t>
      </w:r>
      <w:proofErr w:type="spellEnd"/>
      <w:r w:rsidRPr="00536A90">
        <w:rPr>
          <w:rFonts w:ascii="Times New Roman" w:eastAsia="Times New Roman" w:hAnsi="Times New Roman" w:cs="Times New Roman"/>
          <w:sz w:val="24"/>
          <w:szCs w:val="24"/>
          <w:lang w:eastAsia="en-US"/>
        </w:rPr>
        <w:t xml:space="preserve">, D., Luke, R., </w:t>
      </w:r>
      <w:proofErr w:type="spellStart"/>
      <w:r w:rsidRPr="00536A90">
        <w:rPr>
          <w:rFonts w:ascii="Times New Roman" w:eastAsia="Times New Roman" w:hAnsi="Times New Roman" w:cs="Times New Roman"/>
          <w:sz w:val="24"/>
          <w:szCs w:val="24"/>
          <w:lang w:eastAsia="en-US"/>
        </w:rPr>
        <w:t>Twinomurinzi</w:t>
      </w:r>
      <w:proofErr w:type="spellEnd"/>
      <w:r w:rsidRPr="00536A90">
        <w:rPr>
          <w:rFonts w:ascii="Times New Roman" w:eastAsia="Times New Roman" w:hAnsi="Times New Roman" w:cs="Times New Roman"/>
          <w:sz w:val="24"/>
          <w:szCs w:val="24"/>
          <w:lang w:eastAsia="en-US"/>
        </w:rPr>
        <w:t xml:space="preserve">, H., &amp; Mageto, J. (2026). From concepts to connectivity: A systematic review of smart mobility antecedents and impacts. Technological Forecasting and Social Change, 228, Article 124684. </w:t>
      </w:r>
      <w:hyperlink r:id="rId24" w:history="1">
        <w:r w:rsidRPr="00536A90">
          <w:rPr>
            <w:rFonts w:ascii="Times New Roman" w:eastAsia="Times New Roman" w:hAnsi="Times New Roman" w:cs="Times New Roman"/>
            <w:color w:val="0000FF"/>
            <w:sz w:val="24"/>
            <w:szCs w:val="24"/>
            <w:u w:val="single"/>
            <w:lang w:eastAsia="en-US"/>
          </w:rPr>
          <w:t>https://doi.org/10.1016/j.techfore.2026.124684</w:t>
        </w:r>
      </w:hyperlink>
    </w:p>
    <w:p w14:paraId="3F199C87" w14:textId="77777777" w:rsidR="00536A90" w:rsidRPr="00536A90" w:rsidRDefault="00536A90" w:rsidP="00536A90">
      <w:pPr>
        <w:spacing w:before="100" w:beforeAutospacing="1" w:after="100" w:afterAutospacing="1"/>
        <w:rPr>
          <w:rFonts w:ascii="Times New Roman" w:eastAsia="Times New Roman" w:hAnsi="Times New Roman" w:cs="Times New Roman"/>
          <w:sz w:val="24"/>
          <w:szCs w:val="24"/>
          <w:lang w:eastAsia="en-US"/>
        </w:rPr>
      </w:pPr>
      <w:r w:rsidRPr="00536A90">
        <w:rPr>
          <w:rFonts w:ascii="Times New Roman" w:eastAsia="Times New Roman" w:hAnsi="Times New Roman" w:cs="Times New Roman"/>
          <w:sz w:val="24"/>
          <w:szCs w:val="24"/>
          <w:lang w:eastAsia="en-US"/>
        </w:rPr>
        <w:t xml:space="preserve">Nandy, T., Md Noor, R., </w:t>
      </w:r>
      <w:proofErr w:type="spellStart"/>
      <w:r w:rsidRPr="00536A90">
        <w:rPr>
          <w:rFonts w:ascii="Times New Roman" w:eastAsia="Times New Roman" w:hAnsi="Times New Roman" w:cs="Times New Roman"/>
          <w:sz w:val="24"/>
          <w:szCs w:val="24"/>
          <w:lang w:eastAsia="en-US"/>
        </w:rPr>
        <w:t>Kolandaisamy</w:t>
      </w:r>
      <w:proofErr w:type="spellEnd"/>
      <w:r w:rsidRPr="00536A90">
        <w:rPr>
          <w:rFonts w:ascii="Times New Roman" w:eastAsia="Times New Roman" w:hAnsi="Times New Roman" w:cs="Times New Roman"/>
          <w:sz w:val="24"/>
          <w:szCs w:val="24"/>
          <w:lang w:eastAsia="en-US"/>
        </w:rPr>
        <w:t xml:space="preserve">, R., Idris, M. Y. I., &amp; Bhattacharyya, S. (2024). A review of security attacks and intrusion detection in the vehicular networks. Journal of King Saud University - Computer and Information Sciences, 36(2), Article 101945. </w:t>
      </w:r>
      <w:hyperlink r:id="rId25" w:history="1">
        <w:r w:rsidRPr="00536A90">
          <w:rPr>
            <w:rFonts w:ascii="Times New Roman" w:eastAsia="Times New Roman" w:hAnsi="Times New Roman" w:cs="Times New Roman"/>
            <w:color w:val="0000FF"/>
            <w:sz w:val="24"/>
            <w:szCs w:val="24"/>
            <w:u w:val="single"/>
            <w:lang w:eastAsia="en-US"/>
          </w:rPr>
          <w:t>https://doi.org/10.1016/j.jksuci.2024.101945</w:t>
        </w:r>
      </w:hyperlink>
    </w:p>
    <w:p w14:paraId="5496BC4F" w14:textId="77777777" w:rsidR="00536A90" w:rsidRPr="00536A90" w:rsidRDefault="00536A90" w:rsidP="00536A90">
      <w:pPr>
        <w:spacing w:before="100" w:beforeAutospacing="1" w:after="100" w:afterAutospacing="1"/>
        <w:rPr>
          <w:rFonts w:ascii="Times New Roman" w:eastAsia="Times New Roman" w:hAnsi="Times New Roman" w:cs="Times New Roman"/>
          <w:sz w:val="24"/>
          <w:szCs w:val="24"/>
          <w:lang w:eastAsia="en-US"/>
        </w:rPr>
      </w:pPr>
      <w:r w:rsidRPr="00536A90">
        <w:rPr>
          <w:rFonts w:ascii="Times New Roman" w:eastAsia="Times New Roman" w:hAnsi="Times New Roman" w:cs="Times New Roman"/>
          <w:sz w:val="24"/>
          <w:szCs w:val="24"/>
          <w:lang w:eastAsia="en-US"/>
        </w:rPr>
        <w:t xml:space="preserve">Nikitas, A., </w:t>
      </w:r>
      <w:proofErr w:type="spellStart"/>
      <w:r w:rsidRPr="00536A90">
        <w:rPr>
          <w:rFonts w:ascii="Times New Roman" w:eastAsia="Times New Roman" w:hAnsi="Times New Roman" w:cs="Times New Roman"/>
          <w:sz w:val="24"/>
          <w:szCs w:val="24"/>
          <w:lang w:eastAsia="en-US"/>
        </w:rPr>
        <w:t>Michalakopoulou</w:t>
      </w:r>
      <w:proofErr w:type="spellEnd"/>
      <w:r w:rsidRPr="00536A90">
        <w:rPr>
          <w:rFonts w:ascii="Times New Roman" w:eastAsia="Times New Roman" w:hAnsi="Times New Roman" w:cs="Times New Roman"/>
          <w:sz w:val="24"/>
          <w:szCs w:val="24"/>
          <w:lang w:eastAsia="en-US"/>
        </w:rPr>
        <w:t xml:space="preserve">, K., Njoya, E. T., &amp; </w:t>
      </w:r>
      <w:proofErr w:type="spellStart"/>
      <w:r w:rsidRPr="00536A90">
        <w:rPr>
          <w:rFonts w:ascii="Times New Roman" w:eastAsia="Times New Roman" w:hAnsi="Times New Roman" w:cs="Times New Roman"/>
          <w:sz w:val="24"/>
          <w:szCs w:val="24"/>
          <w:lang w:eastAsia="en-US"/>
        </w:rPr>
        <w:t>Karampatzakis</w:t>
      </w:r>
      <w:proofErr w:type="spellEnd"/>
      <w:r w:rsidRPr="00536A90">
        <w:rPr>
          <w:rFonts w:ascii="Times New Roman" w:eastAsia="Times New Roman" w:hAnsi="Times New Roman" w:cs="Times New Roman"/>
          <w:sz w:val="24"/>
          <w:szCs w:val="24"/>
          <w:lang w:eastAsia="en-US"/>
        </w:rPr>
        <w:t xml:space="preserve">, D. (2020). Artificial intelligence, transport and the smart city: Definitions and dimensions of a new mobility era. Sustainability, 12(7), Article 2789. </w:t>
      </w:r>
      <w:hyperlink r:id="rId26" w:history="1">
        <w:r w:rsidRPr="00536A90">
          <w:rPr>
            <w:rFonts w:ascii="Times New Roman" w:eastAsia="Times New Roman" w:hAnsi="Times New Roman" w:cs="Times New Roman"/>
            <w:color w:val="0000FF"/>
            <w:sz w:val="24"/>
            <w:szCs w:val="24"/>
            <w:u w:val="single"/>
            <w:lang w:eastAsia="en-US"/>
          </w:rPr>
          <w:t>https://doi.org/10.3390/su12072789</w:t>
        </w:r>
      </w:hyperlink>
    </w:p>
    <w:p w14:paraId="35C317AA" w14:textId="77777777" w:rsidR="00536A90" w:rsidRPr="00536A90" w:rsidRDefault="00536A90" w:rsidP="00536A90">
      <w:pPr>
        <w:spacing w:before="100" w:beforeAutospacing="1" w:after="100" w:afterAutospacing="1"/>
        <w:rPr>
          <w:rFonts w:ascii="Times New Roman" w:eastAsia="Times New Roman" w:hAnsi="Times New Roman" w:cs="Times New Roman"/>
          <w:sz w:val="24"/>
          <w:szCs w:val="24"/>
          <w:lang w:eastAsia="en-US"/>
        </w:rPr>
      </w:pPr>
      <w:r w:rsidRPr="00536A90">
        <w:rPr>
          <w:rFonts w:ascii="Times New Roman" w:eastAsia="Times New Roman" w:hAnsi="Times New Roman" w:cs="Times New Roman"/>
          <w:sz w:val="24"/>
          <w:szCs w:val="24"/>
          <w:lang w:eastAsia="en-US"/>
        </w:rPr>
        <w:t xml:space="preserve">Page, M. J., McKenzie, J. E., Bossuyt, P. M., </w:t>
      </w:r>
      <w:proofErr w:type="spellStart"/>
      <w:r w:rsidRPr="00536A90">
        <w:rPr>
          <w:rFonts w:ascii="Times New Roman" w:eastAsia="Times New Roman" w:hAnsi="Times New Roman" w:cs="Times New Roman"/>
          <w:sz w:val="24"/>
          <w:szCs w:val="24"/>
          <w:lang w:eastAsia="en-US"/>
        </w:rPr>
        <w:t>Boutron</w:t>
      </w:r>
      <w:proofErr w:type="spellEnd"/>
      <w:r w:rsidRPr="00536A90">
        <w:rPr>
          <w:rFonts w:ascii="Times New Roman" w:eastAsia="Times New Roman" w:hAnsi="Times New Roman" w:cs="Times New Roman"/>
          <w:sz w:val="24"/>
          <w:szCs w:val="24"/>
          <w:lang w:eastAsia="en-US"/>
        </w:rPr>
        <w:t xml:space="preserve">, I., Hoffmann, T. C., Mulrow, C. D., </w:t>
      </w:r>
      <w:proofErr w:type="spellStart"/>
      <w:r w:rsidRPr="00536A90">
        <w:rPr>
          <w:rFonts w:ascii="Times New Roman" w:eastAsia="Times New Roman" w:hAnsi="Times New Roman" w:cs="Times New Roman"/>
          <w:sz w:val="24"/>
          <w:szCs w:val="24"/>
          <w:lang w:eastAsia="en-US"/>
        </w:rPr>
        <w:t>Shamseer</w:t>
      </w:r>
      <w:proofErr w:type="spellEnd"/>
      <w:r w:rsidRPr="00536A90">
        <w:rPr>
          <w:rFonts w:ascii="Times New Roman" w:eastAsia="Times New Roman" w:hAnsi="Times New Roman" w:cs="Times New Roman"/>
          <w:sz w:val="24"/>
          <w:szCs w:val="24"/>
          <w:lang w:eastAsia="en-US"/>
        </w:rPr>
        <w:t xml:space="preserve">, L., Tetzlaff, J. M., Akl, E. A., Brennan, S. E., Chou, R., Glanville, J., Grimshaw, J. M., Hróbjartsson, A., Lalu, M. M., Li, T., Loder, E. W., Mayo-Wilson, E., McDonald, S., . . . Moher, D. (2021). The PRISMA 2020 statement: An updated guideline for reporting systematic reviews. BMJ, 372, Article n71. </w:t>
      </w:r>
      <w:hyperlink r:id="rId27" w:history="1">
        <w:r w:rsidRPr="00536A90">
          <w:rPr>
            <w:rFonts w:ascii="Times New Roman" w:eastAsia="Times New Roman" w:hAnsi="Times New Roman" w:cs="Times New Roman"/>
            <w:color w:val="0000FF"/>
            <w:sz w:val="24"/>
            <w:szCs w:val="24"/>
            <w:u w:val="single"/>
            <w:lang w:eastAsia="en-US"/>
          </w:rPr>
          <w:t>https://doi.org/10.1136/bmj.n71</w:t>
        </w:r>
      </w:hyperlink>
    </w:p>
    <w:p w14:paraId="186F9CFE" w14:textId="77777777" w:rsidR="00536A90" w:rsidRPr="00536A90" w:rsidRDefault="00536A90" w:rsidP="00536A90">
      <w:pPr>
        <w:spacing w:before="100" w:beforeAutospacing="1" w:after="100" w:afterAutospacing="1"/>
        <w:rPr>
          <w:rFonts w:ascii="Times New Roman" w:eastAsia="Times New Roman" w:hAnsi="Times New Roman" w:cs="Times New Roman"/>
          <w:sz w:val="24"/>
          <w:szCs w:val="24"/>
          <w:lang w:eastAsia="en-US"/>
        </w:rPr>
      </w:pPr>
      <w:r w:rsidRPr="00536A90">
        <w:rPr>
          <w:rFonts w:ascii="Times New Roman" w:eastAsia="Times New Roman" w:hAnsi="Times New Roman" w:cs="Times New Roman"/>
          <w:sz w:val="24"/>
          <w:szCs w:val="24"/>
          <w:lang w:eastAsia="en-US"/>
        </w:rPr>
        <w:t xml:space="preserve">Pieper, D., Antoine, S.-L., Mathes, T., Neugebauer, E. A. M., &amp; Eikermann, M. (2014). Systematic review finds overlapping reviews were not mentioned in every </w:t>
      </w:r>
      <w:r w:rsidRPr="00536A90">
        <w:rPr>
          <w:rFonts w:ascii="Times New Roman" w:eastAsia="Times New Roman" w:hAnsi="Times New Roman" w:cs="Times New Roman"/>
          <w:sz w:val="24"/>
          <w:szCs w:val="24"/>
          <w:lang w:eastAsia="en-US"/>
        </w:rPr>
        <w:lastRenderedPageBreak/>
        <w:t xml:space="preserve">other overview. Journal of Clinical Epidemiology, 67(4), 368–375. </w:t>
      </w:r>
      <w:hyperlink r:id="rId28" w:history="1">
        <w:r w:rsidRPr="00536A90">
          <w:rPr>
            <w:rFonts w:ascii="Times New Roman" w:eastAsia="Times New Roman" w:hAnsi="Times New Roman" w:cs="Times New Roman"/>
            <w:color w:val="0000FF"/>
            <w:sz w:val="24"/>
            <w:szCs w:val="24"/>
            <w:u w:val="single"/>
            <w:lang w:eastAsia="en-US"/>
          </w:rPr>
          <w:t>https://doi.org/10.1016/j.jclinepi.2013.11.007</w:t>
        </w:r>
      </w:hyperlink>
    </w:p>
    <w:p w14:paraId="0CE673A6" w14:textId="77777777" w:rsidR="00536A90" w:rsidRPr="00536A90" w:rsidRDefault="00536A90" w:rsidP="00536A90">
      <w:pPr>
        <w:spacing w:before="100" w:beforeAutospacing="1" w:after="100" w:afterAutospacing="1"/>
        <w:rPr>
          <w:rFonts w:ascii="Times New Roman" w:eastAsia="Times New Roman" w:hAnsi="Times New Roman" w:cs="Times New Roman"/>
          <w:sz w:val="24"/>
          <w:szCs w:val="24"/>
          <w:lang w:eastAsia="en-US"/>
        </w:rPr>
      </w:pPr>
      <w:proofErr w:type="spellStart"/>
      <w:r w:rsidRPr="00536A90">
        <w:rPr>
          <w:rFonts w:ascii="Times New Roman" w:eastAsia="Times New Roman" w:hAnsi="Times New Roman" w:cs="Times New Roman"/>
          <w:sz w:val="24"/>
          <w:szCs w:val="24"/>
          <w:lang w:eastAsia="en-US"/>
        </w:rPr>
        <w:t>Rethlefsen</w:t>
      </w:r>
      <w:proofErr w:type="spellEnd"/>
      <w:r w:rsidRPr="00536A90">
        <w:rPr>
          <w:rFonts w:ascii="Times New Roman" w:eastAsia="Times New Roman" w:hAnsi="Times New Roman" w:cs="Times New Roman"/>
          <w:sz w:val="24"/>
          <w:szCs w:val="24"/>
          <w:lang w:eastAsia="en-US"/>
        </w:rPr>
        <w:t xml:space="preserve">, M. L., Kirtley, S., Waffenschmidt, S., Ayala, A. P., Moher, D., Page, M. J., Koffel, J. B., &amp; PRISMA-S Group. (2021). PRISMA-S: An extension to the PRISMA statement for reporting literature searches in systematic reviews. Systematic Reviews, 10, Article 39. </w:t>
      </w:r>
      <w:hyperlink r:id="rId29" w:history="1">
        <w:r w:rsidRPr="00536A90">
          <w:rPr>
            <w:rFonts w:ascii="Times New Roman" w:eastAsia="Times New Roman" w:hAnsi="Times New Roman" w:cs="Times New Roman"/>
            <w:color w:val="0000FF"/>
            <w:sz w:val="24"/>
            <w:szCs w:val="24"/>
            <w:u w:val="single"/>
            <w:lang w:eastAsia="en-US"/>
          </w:rPr>
          <w:t>https://doi.org/10.1186/s13643-020-01542-z</w:t>
        </w:r>
      </w:hyperlink>
    </w:p>
    <w:p w14:paraId="7FEF63B1" w14:textId="77777777" w:rsidR="00536A90" w:rsidRPr="00536A90" w:rsidRDefault="00536A90" w:rsidP="00536A90">
      <w:pPr>
        <w:spacing w:before="100" w:beforeAutospacing="1" w:after="100" w:afterAutospacing="1"/>
        <w:rPr>
          <w:rFonts w:ascii="Times New Roman" w:eastAsia="Times New Roman" w:hAnsi="Times New Roman" w:cs="Times New Roman"/>
          <w:sz w:val="24"/>
          <w:szCs w:val="24"/>
          <w:lang w:eastAsia="en-US"/>
        </w:rPr>
      </w:pPr>
      <w:r w:rsidRPr="00536A90">
        <w:rPr>
          <w:rFonts w:ascii="Times New Roman" w:eastAsia="Times New Roman" w:hAnsi="Times New Roman" w:cs="Times New Roman"/>
          <w:sz w:val="24"/>
          <w:szCs w:val="24"/>
          <w:lang w:eastAsia="en-US"/>
        </w:rPr>
        <w:t xml:space="preserve">Rong, R., Ma, S., Ren, N., Lin, Q., &amp; Jia, N. (2025). Generative artificial intelligence in intelligent transportation systems: A systematic review of applications. Frontiers of Engineering Management, 12(4), 1020–1036. </w:t>
      </w:r>
      <w:hyperlink r:id="rId30" w:history="1">
        <w:r w:rsidRPr="00536A90">
          <w:rPr>
            <w:rFonts w:ascii="Times New Roman" w:eastAsia="Times New Roman" w:hAnsi="Times New Roman" w:cs="Times New Roman"/>
            <w:color w:val="0000FF"/>
            <w:sz w:val="24"/>
            <w:szCs w:val="24"/>
            <w:u w:val="single"/>
            <w:lang w:eastAsia="en-US"/>
          </w:rPr>
          <w:t>https://doi.org/10.1007/s42524-025-4241-9</w:t>
        </w:r>
      </w:hyperlink>
    </w:p>
    <w:p w14:paraId="1DD08CF1" w14:textId="77777777" w:rsidR="00536A90" w:rsidRPr="00536A90" w:rsidRDefault="00536A90" w:rsidP="00536A90">
      <w:pPr>
        <w:spacing w:before="100" w:beforeAutospacing="1" w:after="100" w:afterAutospacing="1"/>
        <w:rPr>
          <w:rFonts w:ascii="Times New Roman" w:eastAsia="Times New Roman" w:hAnsi="Times New Roman" w:cs="Times New Roman"/>
          <w:sz w:val="24"/>
          <w:szCs w:val="24"/>
          <w:lang w:eastAsia="en-US"/>
        </w:rPr>
      </w:pPr>
      <w:proofErr w:type="spellStart"/>
      <w:r w:rsidRPr="00536A90">
        <w:rPr>
          <w:rFonts w:ascii="Times New Roman" w:eastAsia="Times New Roman" w:hAnsi="Times New Roman" w:cs="Times New Roman"/>
          <w:sz w:val="24"/>
          <w:szCs w:val="24"/>
          <w:lang w:eastAsia="en-US"/>
        </w:rPr>
        <w:t>Rouky</w:t>
      </w:r>
      <w:proofErr w:type="spellEnd"/>
      <w:r w:rsidRPr="00536A90">
        <w:rPr>
          <w:rFonts w:ascii="Times New Roman" w:eastAsia="Times New Roman" w:hAnsi="Times New Roman" w:cs="Times New Roman"/>
          <w:sz w:val="24"/>
          <w:szCs w:val="24"/>
          <w:lang w:eastAsia="en-US"/>
        </w:rPr>
        <w:t xml:space="preserve">, N., Benmoussa, O., Fri, M., </w:t>
      </w:r>
      <w:proofErr w:type="spellStart"/>
      <w:r w:rsidRPr="00536A90">
        <w:rPr>
          <w:rFonts w:ascii="Times New Roman" w:eastAsia="Times New Roman" w:hAnsi="Times New Roman" w:cs="Times New Roman"/>
          <w:sz w:val="24"/>
          <w:szCs w:val="24"/>
          <w:lang w:eastAsia="en-US"/>
        </w:rPr>
        <w:t>Abourraja</w:t>
      </w:r>
      <w:proofErr w:type="spellEnd"/>
      <w:r w:rsidRPr="00536A90">
        <w:rPr>
          <w:rFonts w:ascii="Times New Roman" w:eastAsia="Times New Roman" w:hAnsi="Times New Roman" w:cs="Times New Roman"/>
          <w:sz w:val="24"/>
          <w:szCs w:val="24"/>
          <w:lang w:eastAsia="en-US"/>
        </w:rPr>
        <w:t xml:space="preserve">, M. N., &amp; Ben-Bouazza, F.-E. (2025). Artificial intelligence applications for smart and sustainable mobility as a service concept: A systematic literature review. Future Transportation, 5(3), Article 122. </w:t>
      </w:r>
      <w:hyperlink r:id="rId31" w:history="1">
        <w:r w:rsidRPr="00536A90">
          <w:rPr>
            <w:rFonts w:ascii="Times New Roman" w:eastAsia="Times New Roman" w:hAnsi="Times New Roman" w:cs="Times New Roman"/>
            <w:color w:val="0000FF"/>
            <w:sz w:val="24"/>
            <w:szCs w:val="24"/>
            <w:u w:val="single"/>
            <w:lang w:eastAsia="en-US"/>
          </w:rPr>
          <w:t>https://doi.org/10.3390/futuretransp5030122</w:t>
        </w:r>
      </w:hyperlink>
    </w:p>
    <w:p w14:paraId="64BBB4F8" w14:textId="77777777" w:rsidR="00536A90" w:rsidRPr="00536A90" w:rsidRDefault="00536A90" w:rsidP="00536A90">
      <w:pPr>
        <w:spacing w:before="100" w:beforeAutospacing="1" w:after="100" w:afterAutospacing="1"/>
        <w:rPr>
          <w:rFonts w:ascii="Times New Roman" w:eastAsia="Times New Roman" w:hAnsi="Times New Roman" w:cs="Times New Roman"/>
          <w:sz w:val="24"/>
          <w:szCs w:val="24"/>
          <w:lang w:eastAsia="en-US"/>
        </w:rPr>
      </w:pPr>
      <w:r w:rsidRPr="00536A90">
        <w:rPr>
          <w:rFonts w:ascii="Times New Roman" w:eastAsia="Times New Roman" w:hAnsi="Times New Roman" w:cs="Times New Roman"/>
          <w:sz w:val="24"/>
          <w:szCs w:val="24"/>
          <w:lang w:eastAsia="en-US"/>
        </w:rPr>
        <w:t xml:space="preserve">Sadeghian, O., </w:t>
      </w:r>
      <w:proofErr w:type="spellStart"/>
      <w:r w:rsidRPr="00536A90">
        <w:rPr>
          <w:rFonts w:ascii="Times New Roman" w:eastAsia="Times New Roman" w:hAnsi="Times New Roman" w:cs="Times New Roman"/>
          <w:sz w:val="24"/>
          <w:szCs w:val="24"/>
          <w:lang w:eastAsia="en-US"/>
        </w:rPr>
        <w:t>Oshnoei</w:t>
      </w:r>
      <w:proofErr w:type="spellEnd"/>
      <w:r w:rsidRPr="00536A90">
        <w:rPr>
          <w:rFonts w:ascii="Times New Roman" w:eastAsia="Times New Roman" w:hAnsi="Times New Roman" w:cs="Times New Roman"/>
          <w:sz w:val="24"/>
          <w:szCs w:val="24"/>
          <w:lang w:eastAsia="en-US"/>
        </w:rPr>
        <w:t>, A., Mohammadi-</w:t>
      </w:r>
      <w:proofErr w:type="spellStart"/>
      <w:r w:rsidRPr="00536A90">
        <w:rPr>
          <w:rFonts w:ascii="Times New Roman" w:eastAsia="Times New Roman" w:hAnsi="Times New Roman" w:cs="Times New Roman"/>
          <w:sz w:val="24"/>
          <w:szCs w:val="24"/>
          <w:lang w:eastAsia="en-US"/>
        </w:rPr>
        <w:t>Ivatloo</w:t>
      </w:r>
      <w:proofErr w:type="spellEnd"/>
      <w:r w:rsidRPr="00536A90">
        <w:rPr>
          <w:rFonts w:ascii="Times New Roman" w:eastAsia="Times New Roman" w:hAnsi="Times New Roman" w:cs="Times New Roman"/>
          <w:sz w:val="24"/>
          <w:szCs w:val="24"/>
          <w:lang w:eastAsia="en-US"/>
        </w:rPr>
        <w:t xml:space="preserve">, B., </w:t>
      </w:r>
      <w:proofErr w:type="spellStart"/>
      <w:r w:rsidRPr="00536A90">
        <w:rPr>
          <w:rFonts w:ascii="Times New Roman" w:eastAsia="Times New Roman" w:hAnsi="Times New Roman" w:cs="Times New Roman"/>
          <w:sz w:val="24"/>
          <w:szCs w:val="24"/>
          <w:lang w:eastAsia="en-US"/>
        </w:rPr>
        <w:t>Vahidinasab</w:t>
      </w:r>
      <w:proofErr w:type="spellEnd"/>
      <w:r w:rsidRPr="00536A90">
        <w:rPr>
          <w:rFonts w:ascii="Times New Roman" w:eastAsia="Times New Roman" w:hAnsi="Times New Roman" w:cs="Times New Roman"/>
          <w:sz w:val="24"/>
          <w:szCs w:val="24"/>
          <w:lang w:eastAsia="en-US"/>
        </w:rPr>
        <w:t xml:space="preserve">, V., &amp; Anvari-Moghaddam, A. (2022). A comprehensive review on electric vehicles smart charging: Solutions, strategies, technologies, and challenges. Journal of Energy Storage, 54, Article 105241. </w:t>
      </w:r>
      <w:hyperlink r:id="rId32" w:history="1">
        <w:r w:rsidRPr="00536A90">
          <w:rPr>
            <w:rFonts w:ascii="Times New Roman" w:eastAsia="Times New Roman" w:hAnsi="Times New Roman" w:cs="Times New Roman"/>
            <w:color w:val="0000FF"/>
            <w:sz w:val="24"/>
            <w:szCs w:val="24"/>
            <w:u w:val="single"/>
            <w:lang w:eastAsia="en-US"/>
          </w:rPr>
          <w:t>https://doi.org/10.1016/j.est.2022.105241</w:t>
        </w:r>
      </w:hyperlink>
    </w:p>
    <w:p w14:paraId="101A6982" w14:textId="77777777" w:rsidR="00536A90" w:rsidRPr="00536A90" w:rsidRDefault="00536A90" w:rsidP="00536A90">
      <w:pPr>
        <w:spacing w:before="100" w:beforeAutospacing="1" w:after="100" w:afterAutospacing="1"/>
        <w:rPr>
          <w:rFonts w:ascii="Times New Roman" w:eastAsia="Times New Roman" w:hAnsi="Times New Roman" w:cs="Times New Roman"/>
          <w:sz w:val="24"/>
          <w:szCs w:val="24"/>
          <w:lang w:eastAsia="en-US"/>
        </w:rPr>
      </w:pPr>
      <w:r w:rsidRPr="00536A90">
        <w:rPr>
          <w:rFonts w:ascii="Times New Roman" w:eastAsia="Times New Roman" w:hAnsi="Times New Roman" w:cs="Times New Roman"/>
          <w:sz w:val="24"/>
          <w:szCs w:val="24"/>
          <w:lang w:eastAsia="en-US"/>
        </w:rPr>
        <w:t xml:space="preserve">Servou, E., Behrendt, F., &amp; Horst, M. (2023). Data, AI and governance in </w:t>
      </w:r>
      <w:proofErr w:type="spellStart"/>
      <w:r w:rsidRPr="00536A90">
        <w:rPr>
          <w:rFonts w:ascii="Times New Roman" w:eastAsia="Times New Roman" w:hAnsi="Times New Roman" w:cs="Times New Roman"/>
          <w:sz w:val="24"/>
          <w:szCs w:val="24"/>
          <w:lang w:eastAsia="en-US"/>
        </w:rPr>
        <w:t>MaaS</w:t>
      </w:r>
      <w:proofErr w:type="spellEnd"/>
      <w:r w:rsidRPr="00536A90">
        <w:rPr>
          <w:rFonts w:ascii="Times New Roman" w:eastAsia="Times New Roman" w:hAnsi="Times New Roman" w:cs="Times New Roman"/>
          <w:sz w:val="24"/>
          <w:szCs w:val="24"/>
          <w:lang w:eastAsia="en-US"/>
        </w:rPr>
        <w:t xml:space="preserve">: Leading to sustainable mobility? Transportation Research Interdisciplinary Perspectives, 19, Article 100806. </w:t>
      </w:r>
      <w:hyperlink r:id="rId33" w:history="1">
        <w:r w:rsidRPr="00536A90">
          <w:rPr>
            <w:rFonts w:ascii="Times New Roman" w:eastAsia="Times New Roman" w:hAnsi="Times New Roman" w:cs="Times New Roman"/>
            <w:color w:val="0000FF"/>
            <w:sz w:val="24"/>
            <w:szCs w:val="24"/>
            <w:u w:val="single"/>
            <w:lang w:eastAsia="en-US"/>
          </w:rPr>
          <w:t>https://doi.org/10.1016/j.trip.2023.100806</w:t>
        </w:r>
      </w:hyperlink>
    </w:p>
    <w:p w14:paraId="604E6AC7" w14:textId="77777777" w:rsidR="00536A90" w:rsidRPr="00536A90" w:rsidRDefault="00536A90" w:rsidP="00536A90">
      <w:pPr>
        <w:spacing w:before="100" w:beforeAutospacing="1" w:after="100" w:afterAutospacing="1"/>
        <w:rPr>
          <w:rFonts w:ascii="Times New Roman" w:eastAsia="Times New Roman" w:hAnsi="Times New Roman" w:cs="Times New Roman"/>
          <w:sz w:val="24"/>
          <w:szCs w:val="24"/>
          <w:lang w:eastAsia="en-US"/>
        </w:rPr>
      </w:pPr>
      <w:r w:rsidRPr="00536A90">
        <w:rPr>
          <w:rFonts w:ascii="Times New Roman" w:eastAsia="Times New Roman" w:hAnsi="Times New Roman" w:cs="Times New Roman"/>
          <w:sz w:val="24"/>
          <w:szCs w:val="24"/>
          <w:lang w:eastAsia="en-US"/>
        </w:rPr>
        <w:t xml:space="preserve">Son, H., Jang, J., Park, J., Balog, A., Ballantyne, P., Kwon, H. R., Singleton, A., &amp; Hwang, J. (2025). Leveraging advanced technologies for (smart) transportation planning: A systematic review. Sustainability, 17(5), Article 2245. </w:t>
      </w:r>
      <w:hyperlink r:id="rId34" w:history="1">
        <w:r w:rsidRPr="00536A90">
          <w:rPr>
            <w:rFonts w:ascii="Times New Roman" w:eastAsia="Times New Roman" w:hAnsi="Times New Roman" w:cs="Times New Roman"/>
            <w:color w:val="0000FF"/>
            <w:sz w:val="24"/>
            <w:szCs w:val="24"/>
            <w:u w:val="single"/>
            <w:lang w:eastAsia="en-US"/>
          </w:rPr>
          <w:t>https://doi.org/10.3390/su17052245</w:t>
        </w:r>
      </w:hyperlink>
    </w:p>
    <w:p w14:paraId="3B634A3B" w14:textId="77777777" w:rsidR="00536A90" w:rsidRPr="00536A90" w:rsidRDefault="00536A90" w:rsidP="00536A90">
      <w:pPr>
        <w:spacing w:before="100" w:beforeAutospacing="1" w:after="100" w:afterAutospacing="1"/>
        <w:rPr>
          <w:rFonts w:ascii="Times New Roman" w:eastAsia="Times New Roman" w:hAnsi="Times New Roman" w:cs="Times New Roman"/>
          <w:sz w:val="24"/>
          <w:szCs w:val="24"/>
          <w:lang w:eastAsia="en-US"/>
        </w:rPr>
      </w:pPr>
      <w:proofErr w:type="spellStart"/>
      <w:r w:rsidRPr="00536A90">
        <w:rPr>
          <w:rFonts w:ascii="Times New Roman" w:eastAsia="Times New Roman" w:hAnsi="Times New Roman" w:cs="Times New Roman"/>
          <w:sz w:val="24"/>
          <w:szCs w:val="24"/>
          <w:lang w:eastAsia="en-US"/>
        </w:rPr>
        <w:t>Tightiz</w:t>
      </w:r>
      <w:proofErr w:type="spellEnd"/>
      <w:r w:rsidRPr="00536A90">
        <w:rPr>
          <w:rFonts w:ascii="Times New Roman" w:eastAsia="Times New Roman" w:hAnsi="Times New Roman" w:cs="Times New Roman"/>
          <w:sz w:val="24"/>
          <w:szCs w:val="24"/>
          <w:lang w:eastAsia="en-US"/>
        </w:rPr>
        <w:t xml:space="preserve">, L., Dang, L. M., Yoo, J., &amp; Padmanaban, S. (2025). A comprehensive review on </w:t>
      </w:r>
      <w:proofErr w:type="spellStart"/>
      <w:r w:rsidRPr="00536A90">
        <w:rPr>
          <w:rFonts w:ascii="Times New Roman" w:eastAsia="Times New Roman" w:hAnsi="Times New Roman" w:cs="Times New Roman"/>
          <w:sz w:val="24"/>
          <w:szCs w:val="24"/>
          <w:lang w:eastAsia="en-US"/>
        </w:rPr>
        <w:t>AIoT</w:t>
      </w:r>
      <w:proofErr w:type="spellEnd"/>
      <w:r w:rsidRPr="00536A90">
        <w:rPr>
          <w:rFonts w:ascii="Times New Roman" w:eastAsia="Times New Roman" w:hAnsi="Times New Roman" w:cs="Times New Roman"/>
          <w:sz w:val="24"/>
          <w:szCs w:val="24"/>
          <w:lang w:eastAsia="en-US"/>
        </w:rPr>
        <w:t xml:space="preserve"> applications for intelligent EV charging/discharging ecosystem. Energy Conversion and Management: X, 27, Article 101088. </w:t>
      </w:r>
      <w:hyperlink r:id="rId35" w:history="1">
        <w:r w:rsidRPr="00536A90">
          <w:rPr>
            <w:rFonts w:ascii="Times New Roman" w:eastAsia="Times New Roman" w:hAnsi="Times New Roman" w:cs="Times New Roman"/>
            <w:color w:val="0000FF"/>
            <w:sz w:val="24"/>
            <w:szCs w:val="24"/>
            <w:u w:val="single"/>
            <w:lang w:eastAsia="en-US"/>
          </w:rPr>
          <w:t>https://doi.org/10.1016/j.ecmx.2025.101088</w:t>
        </w:r>
      </w:hyperlink>
    </w:p>
    <w:p w14:paraId="6B238F86" w14:textId="77777777" w:rsidR="00536A90" w:rsidRPr="00536A90" w:rsidRDefault="00536A90" w:rsidP="00536A90">
      <w:pPr>
        <w:spacing w:before="100" w:beforeAutospacing="1" w:after="100" w:afterAutospacing="1"/>
        <w:rPr>
          <w:rFonts w:ascii="Times New Roman" w:eastAsia="Times New Roman" w:hAnsi="Times New Roman" w:cs="Times New Roman"/>
          <w:sz w:val="24"/>
          <w:szCs w:val="24"/>
          <w:lang w:eastAsia="en-US"/>
        </w:rPr>
      </w:pPr>
      <w:r w:rsidRPr="00536A90">
        <w:rPr>
          <w:rFonts w:ascii="Times New Roman" w:eastAsia="Times New Roman" w:hAnsi="Times New Roman" w:cs="Times New Roman"/>
          <w:sz w:val="24"/>
          <w:szCs w:val="24"/>
          <w:lang w:eastAsia="en-US"/>
        </w:rPr>
        <w:t xml:space="preserve">Yu, G., Ye, X., Xia, X., &amp; Chen, Y. (2024). Digital twin enabled transition towards the smart electric vehicle charging infrastructure: A review. Sustainable Cities and Society, 108, Article 105479. </w:t>
      </w:r>
      <w:hyperlink r:id="rId36" w:history="1">
        <w:r w:rsidRPr="00536A90">
          <w:rPr>
            <w:rFonts w:ascii="Times New Roman" w:eastAsia="Times New Roman" w:hAnsi="Times New Roman" w:cs="Times New Roman"/>
            <w:color w:val="0000FF"/>
            <w:sz w:val="24"/>
            <w:szCs w:val="24"/>
            <w:u w:val="single"/>
            <w:lang w:eastAsia="en-US"/>
          </w:rPr>
          <w:t>https://doi.org/10.1016/j.scs.2024.105479</w:t>
        </w:r>
      </w:hyperlink>
    </w:p>
    <w:p w14:paraId="4E45FC91" w14:textId="77777777" w:rsidR="00536A90" w:rsidRPr="00536A90" w:rsidRDefault="00536A90" w:rsidP="00536A90">
      <w:pPr>
        <w:spacing w:before="100" w:beforeAutospacing="1" w:after="100" w:afterAutospacing="1"/>
        <w:rPr>
          <w:rFonts w:ascii="Times New Roman" w:eastAsia="Times New Roman" w:hAnsi="Times New Roman" w:cs="Times New Roman"/>
          <w:sz w:val="24"/>
          <w:szCs w:val="24"/>
          <w:lang w:eastAsia="en-US"/>
        </w:rPr>
      </w:pPr>
      <w:r w:rsidRPr="00536A90">
        <w:rPr>
          <w:rFonts w:ascii="Times New Roman" w:eastAsia="Times New Roman" w:hAnsi="Times New Roman" w:cs="Times New Roman"/>
          <w:sz w:val="24"/>
          <w:szCs w:val="24"/>
          <w:lang w:eastAsia="en-US"/>
        </w:rPr>
        <w:t xml:space="preserve">Zhang, Y., Zhang, S., &amp; </w:t>
      </w:r>
      <w:proofErr w:type="spellStart"/>
      <w:r w:rsidRPr="00536A90">
        <w:rPr>
          <w:rFonts w:ascii="Times New Roman" w:eastAsia="Times New Roman" w:hAnsi="Times New Roman" w:cs="Times New Roman"/>
          <w:sz w:val="24"/>
          <w:szCs w:val="24"/>
          <w:lang w:eastAsia="en-US"/>
        </w:rPr>
        <w:t>Dinavahi</w:t>
      </w:r>
      <w:proofErr w:type="spellEnd"/>
      <w:r w:rsidRPr="00536A90">
        <w:rPr>
          <w:rFonts w:ascii="Times New Roman" w:eastAsia="Times New Roman" w:hAnsi="Times New Roman" w:cs="Times New Roman"/>
          <w:sz w:val="24"/>
          <w:szCs w:val="24"/>
          <w:lang w:eastAsia="en-US"/>
        </w:rPr>
        <w:t xml:space="preserve">, V. (2025). A survey of machine learning applications in advanced transportation systems: Trends, techniques, and future directions. </w:t>
      </w:r>
      <w:proofErr w:type="spellStart"/>
      <w:r w:rsidRPr="00536A90">
        <w:rPr>
          <w:rFonts w:ascii="Times New Roman" w:eastAsia="Times New Roman" w:hAnsi="Times New Roman" w:cs="Times New Roman"/>
          <w:sz w:val="24"/>
          <w:szCs w:val="24"/>
          <w:lang w:eastAsia="en-US"/>
        </w:rPr>
        <w:t>eTransportation</w:t>
      </w:r>
      <w:proofErr w:type="spellEnd"/>
      <w:r w:rsidRPr="00536A90">
        <w:rPr>
          <w:rFonts w:ascii="Times New Roman" w:eastAsia="Times New Roman" w:hAnsi="Times New Roman" w:cs="Times New Roman"/>
          <w:sz w:val="24"/>
          <w:szCs w:val="24"/>
          <w:lang w:eastAsia="en-US"/>
        </w:rPr>
        <w:t xml:space="preserve">, 24, Article 100417. </w:t>
      </w:r>
      <w:hyperlink r:id="rId37" w:history="1">
        <w:r w:rsidRPr="00536A90">
          <w:rPr>
            <w:rFonts w:ascii="Times New Roman" w:eastAsia="Times New Roman" w:hAnsi="Times New Roman" w:cs="Times New Roman"/>
            <w:color w:val="0000FF"/>
            <w:sz w:val="24"/>
            <w:szCs w:val="24"/>
            <w:u w:val="single"/>
            <w:lang w:eastAsia="en-US"/>
          </w:rPr>
          <w:t>https://doi.org/10.1016/j.etran.2025.100417</w:t>
        </w:r>
      </w:hyperlink>
    </w:p>
    <w:p w14:paraId="6DF72E4D" w14:textId="77777777" w:rsidR="00536A90" w:rsidRPr="00536A90" w:rsidRDefault="00536A90" w:rsidP="00536A90">
      <w:pPr>
        <w:spacing w:before="100" w:beforeAutospacing="1" w:after="100" w:afterAutospacing="1"/>
        <w:rPr>
          <w:rFonts w:ascii="Times New Roman" w:eastAsia="Times New Roman" w:hAnsi="Times New Roman" w:cs="Times New Roman"/>
          <w:sz w:val="24"/>
          <w:szCs w:val="24"/>
          <w:lang w:eastAsia="en-US"/>
        </w:rPr>
      </w:pPr>
      <w:r w:rsidRPr="00536A90">
        <w:rPr>
          <w:rFonts w:ascii="Times New Roman" w:eastAsia="Times New Roman" w:hAnsi="Times New Roman" w:cs="Times New Roman"/>
          <w:sz w:val="24"/>
          <w:szCs w:val="24"/>
          <w:lang w:eastAsia="en-US"/>
        </w:rPr>
        <w:t xml:space="preserve">Zhao, Z., Lee, C. K. M., Yan, X., &amp; Wang, H. (2024). Reinforcement learning for electric vehicle charging scheduling: A systematic review. Transportation Research Part E: Logistics and Transportation Review, 190, Article 103698. </w:t>
      </w:r>
      <w:hyperlink r:id="rId38" w:history="1">
        <w:r w:rsidRPr="00536A90">
          <w:rPr>
            <w:rFonts w:ascii="Times New Roman" w:eastAsia="Times New Roman" w:hAnsi="Times New Roman" w:cs="Times New Roman"/>
            <w:color w:val="0000FF"/>
            <w:sz w:val="24"/>
            <w:szCs w:val="24"/>
            <w:u w:val="single"/>
            <w:lang w:eastAsia="en-US"/>
          </w:rPr>
          <w:t>https://doi.org/10.1016/j.tre.2024.103698</w:t>
        </w:r>
      </w:hyperlink>
    </w:p>
    <w:p w14:paraId="3EB821D4" w14:textId="77777777" w:rsidR="00536A90" w:rsidRPr="00536A90" w:rsidRDefault="00536A90" w:rsidP="00536A90">
      <w:pPr>
        <w:spacing w:before="100" w:beforeAutospacing="1" w:after="100" w:afterAutospacing="1"/>
        <w:rPr>
          <w:rFonts w:ascii="Times New Roman" w:eastAsia="Times New Roman" w:hAnsi="Times New Roman" w:cs="Times New Roman"/>
          <w:sz w:val="24"/>
          <w:szCs w:val="24"/>
          <w:lang w:eastAsia="en-US"/>
        </w:rPr>
      </w:pPr>
      <w:r w:rsidRPr="00536A90">
        <w:rPr>
          <w:rFonts w:ascii="Times New Roman" w:eastAsia="Times New Roman" w:hAnsi="Times New Roman" w:cs="Times New Roman"/>
          <w:sz w:val="24"/>
          <w:szCs w:val="24"/>
          <w:lang w:eastAsia="en-US"/>
        </w:rPr>
        <w:lastRenderedPageBreak/>
        <w:t xml:space="preserve">Zulkarnain, &amp; Putri, T. D. (2021). Intelligent transportation systems (ITS): A systematic review using a natural language processing (NLP) approach. </w:t>
      </w:r>
      <w:proofErr w:type="spellStart"/>
      <w:r w:rsidRPr="00536A90">
        <w:rPr>
          <w:rFonts w:ascii="Times New Roman" w:eastAsia="Times New Roman" w:hAnsi="Times New Roman" w:cs="Times New Roman"/>
          <w:sz w:val="24"/>
          <w:szCs w:val="24"/>
          <w:lang w:eastAsia="en-US"/>
        </w:rPr>
        <w:t>Heliyon</w:t>
      </w:r>
      <w:proofErr w:type="spellEnd"/>
      <w:r w:rsidRPr="00536A90">
        <w:rPr>
          <w:rFonts w:ascii="Times New Roman" w:eastAsia="Times New Roman" w:hAnsi="Times New Roman" w:cs="Times New Roman"/>
          <w:sz w:val="24"/>
          <w:szCs w:val="24"/>
          <w:lang w:eastAsia="en-US"/>
        </w:rPr>
        <w:t xml:space="preserve">, 7(12), Article e08615. </w:t>
      </w:r>
      <w:hyperlink r:id="rId39" w:history="1">
        <w:r w:rsidRPr="00536A90">
          <w:rPr>
            <w:rFonts w:ascii="Times New Roman" w:eastAsia="Times New Roman" w:hAnsi="Times New Roman" w:cs="Times New Roman"/>
            <w:color w:val="0000FF"/>
            <w:sz w:val="24"/>
            <w:szCs w:val="24"/>
            <w:u w:val="single"/>
            <w:lang w:eastAsia="en-US"/>
          </w:rPr>
          <w:t>https://doi.org/10.1016/j.heliyon.2021.e08615</w:t>
        </w:r>
      </w:hyperlink>
    </w:p>
    <w:p w14:paraId="1D05D4A2" w14:textId="77777777" w:rsidR="00D215B7" w:rsidRDefault="00D215B7">
      <w:pPr>
        <w:pStyle w:val="Heading2"/>
        <w:rPr>
          <w:rFonts w:ascii="Times New Roman" w:hAnsi="Times New Roman" w:hint="default"/>
          <w:sz w:val="19"/>
          <w:szCs w:val="19"/>
        </w:rPr>
      </w:pPr>
    </w:p>
    <w:p w14:paraId="03BB1C9A" w14:textId="77777777" w:rsidR="00D215B7" w:rsidRDefault="00D215B7">
      <w:pPr>
        <w:pStyle w:val="Heading2"/>
        <w:rPr>
          <w:rFonts w:ascii="Times New Roman" w:hAnsi="Times New Roman" w:hint="default"/>
        </w:rPr>
      </w:pPr>
    </w:p>
    <w:p w14:paraId="3C44F9F1" w14:textId="77777777" w:rsidR="00D215B7" w:rsidRDefault="00D215B7">
      <w:pPr>
        <w:rPr>
          <w:rFonts w:ascii="Times New Roman" w:hAnsi="Times New Roman" w:cs="Times New Roman"/>
        </w:rPr>
      </w:pPr>
    </w:p>
    <w:p w14:paraId="3D355CA8" w14:textId="77777777" w:rsidR="00D215B7" w:rsidRDefault="00D215B7">
      <w:pPr>
        <w:rPr>
          <w:rFonts w:ascii="Times New Roman" w:hAnsi="Times New Roman" w:cs="Times New Roman"/>
        </w:rPr>
      </w:pPr>
    </w:p>
    <w:p w14:paraId="43306529" w14:textId="77777777" w:rsidR="00D215B7" w:rsidRDefault="00000000">
      <w:pPr>
        <w:rPr>
          <w:rFonts w:ascii="Times New Roman" w:hAnsi="Times New Roman" w:cs="Times New Roman"/>
          <w:sz w:val="24"/>
          <w:szCs w:val="24"/>
        </w:rPr>
      </w:pPr>
      <w:r>
        <w:rPr>
          <w:rFonts w:ascii="Times New Roman" w:hAnsi="Times New Roman" w:cs="Times New Roman"/>
          <w:sz w:val="19"/>
        </w:rPr>
        <w:t>Supplementary Table S1. Characteristics of the 30 Sources Included in the Systematic Evidence Review</w:t>
      </w:r>
    </w:p>
    <w:p w14:paraId="32A59E5A" w14:textId="77777777" w:rsidR="00D215B7" w:rsidRDefault="00D215B7">
      <w:pPr>
        <w:rPr>
          <w:rFonts w:ascii="Times New Roman" w:hAnsi="Times New Roman" w:cs="Times New Roman"/>
        </w:rPr>
      </w:pPr>
    </w:p>
    <w:tbl>
      <w:tblPr>
        <w:tblW w:w="9630" w:type="dxa"/>
        <w:tblInd w:w="93" w:type="dxa"/>
        <w:tblLook w:val="04A0" w:firstRow="1" w:lastRow="0" w:firstColumn="1" w:lastColumn="0" w:noHBand="0" w:noVBand="1"/>
      </w:tblPr>
      <w:tblGrid>
        <w:gridCol w:w="544"/>
        <w:gridCol w:w="1182"/>
        <w:gridCol w:w="1878"/>
        <w:gridCol w:w="1646"/>
        <w:gridCol w:w="2380"/>
        <w:gridCol w:w="2000"/>
      </w:tblGrid>
      <w:tr w:rsidR="00D215B7" w14:paraId="04D44FB6" w14:textId="77777777">
        <w:trPr>
          <w:cantSplit/>
          <w:trHeight w:val="1000"/>
          <w:tblHeader/>
        </w:trPr>
        <w:tc>
          <w:tcPr>
            <w:tcW w:w="570" w:type="dxa"/>
            <w:tcBorders>
              <w:top w:val="single" w:sz="8" w:space="0" w:color="000000"/>
              <w:left w:val="single" w:sz="8" w:space="0" w:color="000000"/>
              <w:bottom w:val="single" w:sz="8" w:space="0" w:color="000000"/>
              <w:right w:val="nil"/>
            </w:tcBorders>
            <w:vAlign w:val="center"/>
          </w:tcPr>
          <w:p w14:paraId="16B8AEFA" w14:textId="77777777" w:rsidR="00D215B7" w:rsidRDefault="00000000">
            <w:pPr>
              <w:jc w:val="right"/>
              <w:textAlignment w:val="center"/>
              <w:rPr>
                <w:rFonts w:ascii="Times New Roman" w:hAnsi="Times New Roman" w:cs="Times New Roman"/>
                <w:b/>
                <w:bCs/>
                <w:color w:val="000000"/>
                <w:sz w:val="22"/>
                <w:szCs w:val="22"/>
              </w:rPr>
            </w:pPr>
            <w:r>
              <w:rPr>
                <w:rFonts w:ascii="Times New Roman" w:eastAsia="SimSun" w:hAnsi="Times New Roman" w:cs="Times New Roman"/>
                <w:b/>
                <w:bCs/>
                <w:color w:val="000000"/>
                <w:sz w:val="22"/>
                <w:szCs w:val="22"/>
                <w:lang w:bidi="ar"/>
              </w:rPr>
              <w:t>No.</w:t>
            </w:r>
          </w:p>
        </w:tc>
        <w:tc>
          <w:tcPr>
            <w:tcW w:w="960" w:type="dxa"/>
            <w:tcBorders>
              <w:top w:val="single" w:sz="8" w:space="0" w:color="000000"/>
              <w:left w:val="nil"/>
              <w:bottom w:val="single" w:sz="8" w:space="0" w:color="000000"/>
              <w:right w:val="nil"/>
            </w:tcBorders>
            <w:vAlign w:val="center"/>
          </w:tcPr>
          <w:p w14:paraId="461D5CD9" w14:textId="77777777" w:rsidR="00D215B7" w:rsidRDefault="00000000">
            <w:pPr>
              <w:rPr>
                <w:rFonts w:ascii="Times New Roman" w:hAnsi="Times New Roman" w:cs="Times New Roman"/>
              </w:rPr>
            </w:pPr>
            <w:r>
              <w:rPr>
                <w:rFonts w:ascii="Times New Roman" w:hAnsi="Times New Roman" w:cs="Times New Roman"/>
                <w:sz w:val="17"/>
              </w:rPr>
              <w:t>Source</w:t>
            </w:r>
          </w:p>
        </w:tc>
        <w:tc>
          <w:tcPr>
            <w:tcW w:w="1830" w:type="dxa"/>
            <w:tcBorders>
              <w:top w:val="single" w:sz="8" w:space="0" w:color="000000"/>
              <w:left w:val="nil"/>
              <w:bottom w:val="single" w:sz="8" w:space="0" w:color="000000"/>
              <w:right w:val="nil"/>
            </w:tcBorders>
            <w:vAlign w:val="center"/>
          </w:tcPr>
          <w:p w14:paraId="6F7FDB3A" w14:textId="77777777" w:rsidR="00D215B7" w:rsidRDefault="00000000">
            <w:pPr>
              <w:jc w:val="center"/>
              <w:textAlignment w:val="center"/>
              <w:rPr>
                <w:rFonts w:ascii="Times New Roman" w:hAnsi="Times New Roman" w:cs="Times New Roman"/>
                <w:b/>
                <w:bCs/>
                <w:color w:val="000000"/>
                <w:sz w:val="22"/>
                <w:szCs w:val="22"/>
              </w:rPr>
            </w:pPr>
            <w:r>
              <w:rPr>
                <w:rFonts w:ascii="Times New Roman" w:eastAsia="SimSun" w:hAnsi="Times New Roman" w:cs="Times New Roman"/>
                <w:b/>
                <w:bCs/>
                <w:color w:val="000000"/>
                <w:sz w:val="22"/>
                <w:szCs w:val="22"/>
                <w:lang w:bidi="ar"/>
              </w:rPr>
              <w:t>Scope/Design</w:t>
            </w:r>
          </w:p>
        </w:tc>
        <w:tc>
          <w:tcPr>
            <w:tcW w:w="1320" w:type="dxa"/>
            <w:tcBorders>
              <w:top w:val="single" w:sz="8" w:space="0" w:color="000000"/>
              <w:left w:val="nil"/>
              <w:bottom w:val="single" w:sz="8" w:space="0" w:color="000000"/>
              <w:right w:val="nil"/>
            </w:tcBorders>
            <w:vAlign w:val="center"/>
          </w:tcPr>
          <w:p w14:paraId="170A3D94" w14:textId="77777777" w:rsidR="00D215B7" w:rsidRDefault="00000000">
            <w:pPr>
              <w:jc w:val="center"/>
              <w:textAlignment w:val="center"/>
              <w:rPr>
                <w:rFonts w:ascii="Times New Roman" w:hAnsi="Times New Roman" w:cs="Times New Roman"/>
                <w:b/>
                <w:bCs/>
                <w:color w:val="000000"/>
                <w:sz w:val="22"/>
                <w:szCs w:val="22"/>
              </w:rPr>
            </w:pPr>
            <w:r>
              <w:rPr>
                <w:rFonts w:ascii="Times New Roman" w:eastAsia="SimSun" w:hAnsi="Times New Roman" w:cs="Times New Roman"/>
                <w:b/>
                <w:bCs/>
                <w:color w:val="000000"/>
                <w:sz w:val="22"/>
                <w:szCs w:val="22"/>
                <w:lang w:bidi="ar"/>
              </w:rPr>
              <w:t>Technology or Analytical Focus</w:t>
            </w:r>
          </w:p>
        </w:tc>
        <w:tc>
          <w:tcPr>
            <w:tcW w:w="1230" w:type="dxa"/>
            <w:tcBorders>
              <w:top w:val="single" w:sz="8" w:space="0" w:color="000000"/>
              <w:left w:val="nil"/>
              <w:bottom w:val="single" w:sz="8" w:space="0" w:color="000000"/>
              <w:right w:val="nil"/>
            </w:tcBorders>
            <w:vAlign w:val="center"/>
          </w:tcPr>
          <w:p w14:paraId="7EE913D4" w14:textId="77777777" w:rsidR="00D215B7" w:rsidRDefault="00000000">
            <w:pPr>
              <w:jc w:val="center"/>
              <w:textAlignment w:val="center"/>
              <w:rPr>
                <w:rFonts w:ascii="Times New Roman" w:hAnsi="Times New Roman" w:cs="Times New Roman"/>
                <w:b/>
                <w:bCs/>
                <w:color w:val="000000"/>
                <w:sz w:val="22"/>
                <w:szCs w:val="22"/>
              </w:rPr>
            </w:pPr>
            <w:r>
              <w:rPr>
                <w:rFonts w:ascii="Times New Roman" w:eastAsia="SimSun" w:hAnsi="Times New Roman" w:cs="Times New Roman"/>
                <w:b/>
                <w:bCs/>
                <w:color w:val="000000"/>
                <w:sz w:val="22"/>
                <w:szCs w:val="22"/>
                <w:lang w:bidi="ar"/>
              </w:rPr>
              <w:t>Mobility/Sustainability Domain</w:t>
            </w:r>
          </w:p>
        </w:tc>
        <w:tc>
          <w:tcPr>
            <w:tcW w:w="3720" w:type="dxa"/>
            <w:tcBorders>
              <w:top w:val="single" w:sz="8" w:space="0" w:color="000000"/>
              <w:left w:val="nil"/>
              <w:bottom w:val="single" w:sz="8" w:space="0" w:color="000000"/>
              <w:right w:val="single" w:sz="8" w:space="0" w:color="000000"/>
            </w:tcBorders>
            <w:vAlign w:val="center"/>
          </w:tcPr>
          <w:p w14:paraId="4EAAADA4" w14:textId="77777777" w:rsidR="00D215B7" w:rsidRDefault="00000000">
            <w:pPr>
              <w:jc w:val="center"/>
              <w:textAlignment w:val="center"/>
              <w:rPr>
                <w:rFonts w:ascii="Times New Roman" w:hAnsi="Times New Roman" w:cs="Times New Roman"/>
                <w:b/>
                <w:bCs/>
                <w:color w:val="000000"/>
                <w:sz w:val="22"/>
                <w:szCs w:val="22"/>
              </w:rPr>
            </w:pPr>
            <w:r>
              <w:rPr>
                <w:rFonts w:ascii="Times New Roman" w:eastAsia="SimSun" w:hAnsi="Times New Roman" w:cs="Times New Roman"/>
                <w:b/>
                <w:bCs/>
                <w:color w:val="000000"/>
                <w:sz w:val="22"/>
                <w:szCs w:val="22"/>
                <w:lang w:bidi="ar"/>
              </w:rPr>
              <w:t>Principal Contribution to the Review</w:t>
            </w:r>
          </w:p>
        </w:tc>
      </w:tr>
      <w:tr w:rsidR="00D215B7" w14:paraId="63732589" w14:textId="77777777">
        <w:trPr>
          <w:cantSplit/>
          <w:trHeight w:val="2000"/>
        </w:trPr>
        <w:tc>
          <w:tcPr>
            <w:tcW w:w="570" w:type="dxa"/>
            <w:tcBorders>
              <w:top w:val="single" w:sz="8" w:space="0" w:color="000000"/>
              <w:left w:val="single" w:sz="8" w:space="0" w:color="000000"/>
              <w:bottom w:val="nil"/>
              <w:right w:val="nil"/>
            </w:tcBorders>
            <w:vAlign w:val="center"/>
          </w:tcPr>
          <w:p w14:paraId="6002B881" w14:textId="77777777" w:rsidR="00D215B7" w:rsidRDefault="00000000">
            <w:pPr>
              <w:jc w:val="right"/>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1</w:t>
            </w:r>
          </w:p>
        </w:tc>
        <w:tc>
          <w:tcPr>
            <w:tcW w:w="960" w:type="dxa"/>
            <w:tcBorders>
              <w:top w:val="single" w:sz="8" w:space="0" w:color="000000"/>
              <w:left w:val="nil"/>
              <w:bottom w:val="nil"/>
              <w:right w:val="nil"/>
            </w:tcBorders>
            <w:vAlign w:val="center"/>
          </w:tcPr>
          <w:p w14:paraId="636D2053"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Adeniran et al. (2026)</w:t>
            </w:r>
          </w:p>
        </w:tc>
        <w:tc>
          <w:tcPr>
            <w:tcW w:w="1830" w:type="dxa"/>
            <w:tcBorders>
              <w:top w:val="single" w:sz="8" w:space="0" w:color="000000"/>
              <w:left w:val="nil"/>
              <w:bottom w:val="nil"/>
              <w:right w:val="nil"/>
            </w:tcBorders>
            <w:vAlign w:val="center"/>
          </w:tcPr>
          <w:p w14:paraId="6C7E0CD5"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Comparative urban review; Singapore, London and Lagos</w:t>
            </w:r>
          </w:p>
        </w:tc>
        <w:tc>
          <w:tcPr>
            <w:tcW w:w="1320" w:type="dxa"/>
            <w:tcBorders>
              <w:top w:val="single" w:sz="8" w:space="0" w:color="000000"/>
              <w:left w:val="nil"/>
              <w:bottom w:val="nil"/>
              <w:right w:val="nil"/>
            </w:tcBorders>
            <w:vAlign w:val="center"/>
          </w:tcPr>
          <w:p w14:paraId="3ABF2ACF"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Intelligent transportation systems</w:t>
            </w:r>
          </w:p>
        </w:tc>
        <w:tc>
          <w:tcPr>
            <w:tcW w:w="1230" w:type="dxa"/>
            <w:tcBorders>
              <w:top w:val="single" w:sz="8" w:space="0" w:color="000000"/>
              <w:left w:val="nil"/>
              <w:bottom w:val="nil"/>
              <w:right w:val="nil"/>
            </w:tcBorders>
            <w:vAlign w:val="center"/>
          </w:tcPr>
          <w:p w14:paraId="52DA2289"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Infrastructure readiness and urban mobility</w:t>
            </w:r>
          </w:p>
        </w:tc>
        <w:tc>
          <w:tcPr>
            <w:tcW w:w="3720" w:type="dxa"/>
            <w:tcBorders>
              <w:top w:val="single" w:sz="8" w:space="0" w:color="000000"/>
              <w:left w:val="nil"/>
              <w:bottom w:val="nil"/>
              <w:right w:val="single" w:sz="8" w:space="0" w:color="000000"/>
            </w:tcBorders>
            <w:vAlign w:val="center"/>
          </w:tcPr>
          <w:p w14:paraId="156BCBB9"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Demonstrates that ITS deployment varies substantially with digital infrastructure, institutional capability, financing and urban governance.</w:t>
            </w:r>
          </w:p>
        </w:tc>
      </w:tr>
      <w:tr w:rsidR="00D215B7" w14:paraId="60586024" w14:textId="77777777">
        <w:trPr>
          <w:cantSplit/>
          <w:trHeight w:val="2000"/>
        </w:trPr>
        <w:tc>
          <w:tcPr>
            <w:tcW w:w="570" w:type="dxa"/>
            <w:tcBorders>
              <w:top w:val="nil"/>
              <w:left w:val="single" w:sz="8" w:space="0" w:color="000000"/>
              <w:bottom w:val="nil"/>
              <w:right w:val="nil"/>
            </w:tcBorders>
            <w:vAlign w:val="center"/>
          </w:tcPr>
          <w:p w14:paraId="5373F4DA" w14:textId="77777777" w:rsidR="00D215B7" w:rsidRDefault="00000000">
            <w:pPr>
              <w:jc w:val="right"/>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2</w:t>
            </w:r>
          </w:p>
        </w:tc>
        <w:tc>
          <w:tcPr>
            <w:tcW w:w="960" w:type="dxa"/>
            <w:tcBorders>
              <w:top w:val="nil"/>
              <w:left w:val="nil"/>
              <w:bottom w:val="nil"/>
              <w:right w:val="nil"/>
            </w:tcBorders>
            <w:vAlign w:val="center"/>
          </w:tcPr>
          <w:p w14:paraId="2285213E" w14:textId="77777777" w:rsidR="00D215B7" w:rsidRDefault="00000000">
            <w:pPr>
              <w:textAlignment w:val="center"/>
              <w:rPr>
                <w:rFonts w:ascii="Times New Roman" w:hAnsi="Times New Roman" w:cs="Times New Roman"/>
                <w:color w:val="000000"/>
                <w:sz w:val="22"/>
                <w:szCs w:val="22"/>
              </w:rPr>
            </w:pPr>
            <w:proofErr w:type="spellStart"/>
            <w:r>
              <w:rPr>
                <w:rFonts w:ascii="Times New Roman" w:eastAsia="SimSun" w:hAnsi="Times New Roman" w:cs="Times New Roman"/>
                <w:color w:val="000000"/>
                <w:sz w:val="22"/>
                <w:szCs w:val="22"/>
                <w:lang w:bidi="ar"/>
              </w:rPr>
              <w:t>Adewopo</w:t>
            </w:r>
            <w:proofErr w:type="spellEnd"/>
            <w:r>
              <w:rPr>
                <w:rFonts w:ascii="Times New Roman" w:eastAsia="SimSun" w:hAnsi="Times New Roman" w:cs="Times New Roman"/>
                <w:color w:val="000000"/>
                <w:sz w:val="22"/>
                <w:szCs w:val="22"/>
                <w:lang w:bidi="ar"/>
              </w:rPr>
              <w:t xml:space="preserve"> et al. (2023)</w:t>
            </w:r>
          </w:p>
        </w:tc>
        <w:tc>
          <w:tcPr>
            <w:tcW w:w="1830" w:type="dxa"/>
            <w:tcBorders>
              <w:top w:val="nil"/>
              <w:left w:val="nil"/>
              <w:bottom w:val="nil"/>
              <w:right w:val="nil"/>
            </w:tcBorders>
            <w:vAlign w:val="center"/>
          </w:tcPr>
          <w:p w14:paraId="68591D64"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Review</w:t>
            </w:r>
          </w:p>
        </w:tc>
        <w:tc>
          <w:tcPr>
            <w:tcW w:w="1320" w:type="dxa"/>
            <w:tcBorders>
              <w:top w:val="nil"/>
              <w:left w:val="nil"/>
              <w:bottom w:val="nil"/>
              <w:right w:val="nil"/>
            </w:tcBorders>
            <w:vAlign w:val="center"/>
          </w:tcPr>
          <w:p w14:paraId="3DC96550"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Computer vision and AI-based action recognition</w:t>
            </w:r>
          </w:p>
        </w:tc>
        <w:tc>
          <w:tcPr>
            <w:tcW w:w="1230" w:type="dxa"/>
            <w:tcBorders>
              <w:top w:val="nil"/>
              <w:left w:val="nil"/>
              <w:bottom w:val="nil"/>
              <w:right w:val="nil"/>
            </w:tcBorders>
            <w:vAlign w:val="center"/>
          </w:tcPr>
          <w:p w14:paraId="72407BAF"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Accident detection and road safety</w:t>
            </w:r>
          </w:p>
        </w:tc>
        <w:tc>
          <w:tcPr>
            <w:tcW w:w="3720" w:type="dxa"/>
            <w:tcBorders>
              <w:top w:val="nil"/>
              <w:left w:val="nil"/>
              <w:bottom w:val="nil"/>
              <w:right w:val="single" w:sz="8" w:space="0" w:color="000000"/>
            </w:tcBorders>
            <w:vAlign w:val="center"/>
          </w:tcPr>
          <w:p w14:paraId="2ED5EFAC"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Shows growing capability for automated accident recognition while identifying limitations involving datasets, occlusion and unusual traffic events.</w:t>
            </w:r>
          </w:p>
        </w:tc>
      </w:tr>
      <w:tr w:rsidR="00D215B7" w14:paraId="5FE1BDCA" w14:textId="77777777">
        <w:trPr>
          <w:cantSplit/>
          <w:trHeight w:val="2000"/>
        </w:trPr>
        <w:tc>
          <w:tcPr>
            <w:tcW w:w="570" w:type="dxa"/>
            <w:tcBorders>
              <w:top w:val="nil"/>
              <w:left w:val="single" w:sz="8" w:space="0" w:color="000000"/>
              <w:bottom w:val="nil"/>
              <w:right w:val="nil"/>
            </w:tcBorders>
            <w:vAlign w:val="center"/>
          </w:tcPr>
          <w:p w14:paraId="396D29EF" w14:textId="77777777" w:rsidR="00D215B7" w:rsidRDefault="00000000">
            <w:pPr>
              <w:jc w:val="right"/>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3</w:t>
            </w:r>
          </w:p>
        </w:tc>
        <w:tc>
          <w:tcPr>
            <w:tcW w:w="960" w:type="dxa"/>
            <w:tcBorders>
              <w:top w:val="nil"/>
              <w:left w:val="nil"/>
              <w:bottom w:val="nil"/>
              <w:right w:val="nil"/>
            </w:tcBorders>
            <w:vAlign w:val="center"/>
          </w:tcPr>
          <w:p w14:paraId="2BEE7C09" w14:textId="32BED097" w:rsidR="00D215B7" w:rsidRDefault="00536A90">
            <w:pPr>
              <w:textAlignment w:val="center"/>
              <w:rPr>
                <w:rFonts w:ascii="Times New Roman" w:hAnsi="Times New Roman" w:cs="Times New Roman"/>
                <w:color w:val="000000"/>
                <w:sz w:val="22"/>
                <w:szCs w:val="22"/>
              </w:rPr>
            </w:pPr>
            <w:r w:rsidRPr="00536A90">
              <w:rPr>
                <w:rFonts w:ascii="Times New Roman" w:eastAsia="SimSun" w:hAnsi="Times New Roman" w:cs="Times New Roman"/>
                <w:color w:val="000000"/>
                <w:sz w:val="22"/>
                <w:szCs w:val="22"/>
                <w:lang w:bidi="ar"/>
              </w:rPr>
              <w:t>Bokolo</w:t>
            </w:r>
            <w:r w:rsidR="00000000">
              <w:rPr>
                <w:rFonts w:ascii="Times New Roman" w:eastAsia="SimSun" w:hAnsi="Times New Roman" w:cs="Times New Roman"/>
                <w:color w:val="000000"/>
                <w:sz w:val="22"/>
                <w:szCs w:val="22"/>
                <w:lang w:bidi="ar"/>
              </w:rPr>
              <w:t xml:space="preserve"> (2024)</w:t>
            </w:r>
          </w:p>
        </w:tc>
        <w:tc>
          <w:tcPr>
            <w:tcW w:w="1830" w:type="dxa"/>
            <w:tcBorders>
              <w:top w:val="nil"/>
              <w:left w:val="nil"/>
              <w:bottom w:val="nil"/>
              <w:right w:val="nil"/>
            </w:tcBorders>
            <w:vAlign w:val="center"/>
          </w:tcPr>
          <w:p w14:paraId="7719204F"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Survey/review</w:t>
            </w:r>
          </w:p>
        </w:tc>
        <w:tc>
          <w:tcPr>
            <w:tcW w:w="1320" w:type="dxa"/>
            <w:tcBorders>
              <w:top w:val="nil"/>
              <w:left w:val="nil"/>
              <w:bottom w:val="nil"/>
              <w:right w:val="nil"/>
            </w:tcBorders>
            <w:vAlign w:val="center"/>
          </w:tcPr>
          <w:p w14:paraId="19F97C00" w14:textId="77777777" w:rsidR="00D215B7" w:rsidRDefault="00000000">
            <w:pPr>
              <w:textAlignment w:val="center"/>
              <w:rPr>
                <w:rFonts w:ascii="Times New Roman" w:hAnsi="Times New Roman" w:cs="Times New Roman"/>
                <w:color w:val="000000"/>
                <w:sz w:val="22"/>
                <w:szCs w:val="22"/>
              </w:rPr>
            </w:pPr>
            <w:proofErr w:type="spellStart"/>
            <w:r>
              <w:rPr>
                <w:rFonts w:ascii="Times New Roman" w:eastAsia="SimSun" w:hAnsi="Times New Roman" w:cs="Times New Roman"/>
                <w:color w:val="000000"/>
                <w:sz w:val="22"/>
                <w:szCs w:val="22"/>
                <w:lang w:bidi="ar"/>
              </w:rPr>
              <w:t>AIoT</w:t>
            </w:r>
            <w:proofErr w:type="spellEnd"/>
            <w:r>
              <w:rPr>
                <w:rFonts w:ascii="Times New Roman" w:eastAsia="SimSun" w:hAnsi="Times New Roman" w:cs="Times New Roman"/>
                <w:color w:val="000000"/>
                <w:sz w:val="22"/>
                <w:szCs w:val="22"/>
                <w:lang w:bidi="ar"/>
              </w:rPr>
              <w:t xml:space="preserve"> and distributed technologies</w:t>
            </w:r>
          </w:p>
        </w:tc>
        <w:tc>
          <w:tcPr>
            <w:tcW w:w="1230" w:type="dxa"/>
            <w:tcBorders>
              <w:top w:val="nil"/>
              <w:left w:val="nil"/>
              <w:bottom w:val="nil"/>
              <w:right w:val="nil"/>
            </w:tcBorders>
            <w:vAlign w:val="center"/>
          </w:tcPr>
          <w:p w14:paraId="1316C4E0"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Intelligent mobility services and smart cities</w:t>
            </w:r>
          </w:p>
        </w:tc>
        <w:tc>
          <w:tcPr>
            <w:tcW w:w="3720" w:type="dxa"/>
            <w:tcBorders>
              <w:top w:val="nil"/>
              <w:left w:val="nil"/>
              <w:bottom w:val="nil"/>
              <w:right w:val="single" w:sz="8" w:space="0" w:color="000000"/>
            </w:tcBorders>
            <w:vAlign w:val="center"/>
          </w:tcPr>
          <w:p w14:paraId="6B8B73AE"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 xml:space="preserve">Explains how AI, IoT and distributed technologies support data-driven mobility services while requiring </w:t>
            </w:r>
            <w:proofErr w:type="spellStart"/>
            <w:r>
              <w:rPr>
                <w:rFonts w:ascii="Times New Roman" w:eastAsia="SimSun" w:hAnsi="Times New Roman" w:cs="Times New Roman"/>
                <w:color w:val="000000"/>
                <w:sz w:val="22"/>
                <w:szCs w:val="22"/>
                <w:lang w:bidi="ar"/>
              </w:rPr>
              <w:t>organisational</w:t>
            </w:r>
            <w:proofErr w:type="spellEnd"/>
            <w:r>
              <w:rPr>
                <w:rFonts w:ascii="Times New Roman" w:eastAsia="SimSun" w:hAnsi="Times New Roman" w:cs="Times New Roman"/>
                <w:color w:val="000000"/>
                <w:sz w:val="22"/>
                <w:szCs w:val="22"/>
                <w:lang w:bidi="ar"/>
              </w:rPr>
              <w:t xml:space="preserve"> and technological readiness.</w:t>
            </w:r>
          </w:p>
        </w:tc>
      </w:tr>
      <w:tr w:rsidR="00D215B7" w14:paraId="128E85A2" w14:textId="77777777">
        <w:trPr>
          <w:cantSplit/>
          <w:trHeight w:val="2000"/>
        </w:trPr>
        <w:tc>
          <w:tcPr>
            <w:tcW w:w="570" w:type="dxa"/>
            <w:tcBorders>
              <w:top w:val="nil"/>
              <w:left w:val="single" w:sz="8" w:space="0" w:color="000000"/>
              <w:bottom w:val="nil"/>
              <w:right w:val="nil"/>
            </w:tcBorders>
            <w:vAlign w:val="center"/>
          </w:tcPr>
          <w:p w14:paraId="723AD7A8" w14:textId="77777777" w:rsidR="00D215B7" w:rsidRDefault="00000000">
            <w:pPr>
              <w:jc w:val="right"/>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4</w:t>
            </w:r>
          </w:p>
        </w:tc>
        <w:tc>
          <w:tcPr>
            <w:tcW w:w="960" w:type="dxa"/>
            <w:tcBorders>
              <w:top w:val="nil"/>
              <w:left w:val="nil"/>
              <w:bottom w:val="nil"/>
              <w:right w:val="nil"/>
            </w:tcBorders>
            <w:vAlign w:val="center"/>
          </w:tcPr>
          <w:p w14:paraId="567029BD" w14:textId="07BAB2C5" w:rsidR="00D215B7" w:rsidRDefault="00536A90">
            <w:pPr>
              <w:textAlignment w:val="center"/>
              <w:rPr>
                <w:rFonts w:ascii="Times New Roman" w:hAnsi="Times New Roman" w:cs="Times New Roman"/>
                <w:color w:val="000000"/>
                <w:sz w:val="22"/>
                <w:szCs w:val="22"/>
              </w:rPr>
            </w:pPr>
            <w:r w:rsidRPr="00536A90">
              <w:rPr>
                <w:rFonts w:ascii="Times New Roman" w:eastAsia="SimSun" w:hAnsi="Times New Roman" w:cs="Times New Roman"/>
                <w:color w:val="000000"/>
                <w:sz w:val="22"/>
                <w:szCs w:val="22"/>
                <w:lang w:bidi="ar"/>
              </w:rPr>
              <w:t>Bokolo</w:t>
            </w:r>
            <w:r w:rsidR="00000000">
              <w:rPr>
                <w:rFonts w:ascii="Times New Roman" w:eastAsia="SimSun" w:hAnsi="Times New Roman" w:cs="Times New Roman"/>
                <w:color w:val="000000"/>
                <w:sz w:val="22"/>
                <w:szCs w:val="22"/>
                <w:lang w:bidi="ar"/>
              </w:rPr>
              <w:t xml:space="preserve"> (2025)</w:t>
            </w:r>
          </w:p>
        </w:tc>
        <w:tc>
          <w:tcPr>
            <w:tcW w:w="1830" w:type="dxa"/>
            <w:tcBorders>
              <w:top w:val="nil"/>
              <w:left w:val="nil"/>
              <w:bottom w:val="nil"/>
              <w:right w:val="nil"/>
            </w:tcBorders>
            <w:vAlign w:val="center"/>
          </w:tcPr>
          <w:p w14:paraId="27FE0C1B"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Scoping review and conceptual development</w:t>
            </w:r>
          </w:p>
        </w:tc>
        <w:tc>
          <w:tcPr>
            <w:tcW w:w="1320" w:type="dxa"/>
            <w:tcBorders>
              <w:top w:val="nil"/>
              <w:left w:val="nil"/>
              <w:bottom w:val="nil"/>
              <w:right w:val="nil"/>
            </w:tcBorders>
            <w:vAlign w:val="center"/>
          </w:tcPr>
          <w:p w14:paraId="5823367B"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Smart-mobility governance</w:t>
            </w:r>
          </w:p>
        </w:tc>
        <w:tc>
          <w:tcPr>
            <w:tcW w:w="1230" w:type="dxa"/>
            <w:tcBorders>
              <w:top w:val="nil"/>
              <w:left w:val="nil"/>
              <w:bottom w:val="nil"/>
              <w:right w:val="nil"/>
            </w:tcBorders>
            <w:vAlign w:val="center"/>
          </w:tcPr>
          <w:p w14:paraId="59EE023F"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Accessibility, inclusion and sustainable mobility</w:t>
            </w:r>
          </w:p>
        </w:tc>
        <w:tc>
          <w:tcPr>
            <w:tcW w:w="3720" w:type="dxa"/>
            <w:tcBorders>
              <w:top w:val="nil"/>
              <w:left w:val="nil"/>
              <w:bottom w:val="nil"/>
              <w:right w:val="single" w:sz="8" w:space="0" w:color="000000"/>
            </w:tcBorders>
            <w:vAlign w:val="center"/>
          </w:tcPr>
          <w:p w14:paraId="1AD90481"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Identifies governance, infrastructure management and policy coordination as critical conditions for sustainable smart mobility.</w:t>
            </w:r>
          </w:p>
        </w:tc>
      </w:tr>
      <w:tr w:rsidR="00D215B7" w14:paraId="49FF3B3C" w14:textId="77777777">
        <w:trPr>
          <w:cantSplit/>
          <w:trHeight w:val="2000"/>
        </w:trPr>
        <w:tc>
          <w:tcPr>
            <w:tcW w:w="570" w:type="dxa"/>
            <w:tcBorders>
              <w:top w:val="nil"/>
              <w:left w:val="single" w:sz="8" w:space="0" w:color="000000"/>
              <w:bottom w:val="nil"/>
              <w:right w:val="nil"/>
            </w:tcBorders>
            <w:vAlign w:val="center"/>
          </w:tcPr>
          <w:p w14:paraId="00A9573F" w14:textId="77777777" w:rsidR="00D215B7" w:rsidRDefault="00000000">
            <w:pPr>
              <w:jc w:val="right"/>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lastRenderedPageBreak/>
              <w:t>5</w:t>
            </w:r>
          </w:p>
        </w:tc>
        <w:tc>
          <w:tcPr>
            <w:tcW w:w="960" w:type="dxa"/>
            <w:tcBorders>
              <w:top w:val="nil"/>
              <w:left w:val="nil"/>
              <w:bottom w:val="nil"/>
              <w:right w:val="nil"/>
            </w:tcBorders>
            <w:vAlign w:val="center"/>
          </w:tcPr>
          <w:p w14:paraId="7B84B29F" w14:textId="77777777" w:rsidR="00D215B7" w:rsidRDefault="00000000">
            <w:pPr>
              <w:textAlignment w:val="center"/>
              <w:rPr>
                <w:rFonts w:ascii="Times New Roman" w:hAnsi="Times New Roman" w:cs="Times New Roman"/>
                <w:color w:val="000000"/>
                <w:sz w:val="22"/>
                <w:szCs w:val="22"/>
              </w:rPr>
            </w:pPr>
            <w:proofErr w:type="spellStart"/>
            <w:r>
              <w:rPr>
                <w:rFonts w:ascii="Times New Roman" w:eastAsia="SimSun" w:hAnsi="Times New Roman" w:cs="Times New Roman"/>
                <w:color w:val="000000"/>
                <w:sz w:val="22"/>
                <w:szCs w:val="22"/>
                <w:lang w:bidi="ar"/>
              </w:rPr>
              <w:t>Bazzan</w:t>
            </w:r>
            <w:proofErr w:type="spellEnd"/>
            <w:r>
              <w:rPr>
                <w:rFonts w:ascii="Times New Roman" w:eastAsia="SimSun" w:hAnsi="Times New Roman" w:cs="Times New Roman"/>
                <w:color w:val="000000"/>
                <w:sz w:val="22"/>
                <w:szCs w:val="22"/>
                <w:lang w:bidi="ar"/>
              </w:rPr>
              <w:t xml:space="preserve"> (2026)</w:t>
            </w:r>
          </w:p>
        </w:tc>
        <w:tc>
          <w:tcPr>
            <w:tcW w:w="1830" w:type="dxa"/>
            <w:tcBorders>
              <w:top w:val="nil"/>
              <w:left w:val="nil"/>
              <w:bottom w:val="nil"/>
              <w:right w:val="nil"/>
            </w:tcBorders>
            <w:vAlign w:val="center"/>
          </w:tcPr>
          <w:p w14:paraId="2CC57A72"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Meta-review</w:t>
            </w:r>
          </w:p>
        </w:tc>
        <w:tc>
          <w:tcPr>
            <w:tcW w:w="1320" w:type="dxa"/>
            <w:tcBorders>
              <w:top w:val="nil"/>
              <w:left w:val="nil"/>
              <w:bottom w:val="nil"/>
              <w:right w:val="nil"/>
            </w:tcBorders>
            <w:vAlign w:val="center"/>
          </w:tcPr>
          <w:p w14:paraId="2EF73005"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AI and machine learning</w:t>
            </w:r>
          </w:p>
        </w:tc>
        <w:tc>
          <w:tcPr>
            <w:tcW w:w="1230" w:type="dxa"/>
            <w:tcBorders>
              <w:top w:val="nil"/>
              <w:left w:val="nil"/>
              <w:bottom w:val="nil"/>
              <w:right w:val="nil"/>
            </w:tcBorders>
            <w:vAlign w:val="center"/>
          </w:tcPr>
          <w:p w14:paraId="5BFA0A07"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Intelligent transportation applications</w:t>
            </w:r>
          </w:p>
        </w:tc>
        <w:tc>
          <w:tcPr>
            <w:tcW w:w="3720" w:type="dxa"/>
            <w:tcBorders>
              <w:top w:val="nil"/>
              <w:left w:val="nil"/>
              <w:bottom w:val="nil"/>
              <w:right w:val="single" w:sz="8" w:space="0" w:color="000000"/>
            </w:tcBorders>
            <w:vAlign w:val="center"/>
          </w:tcPr>
          <w:p w14:paraId="225FA30F" w14:textId="77777777" w:rsidR="00D215B7" w:rsidRDefault="00000000">
            <w:pPr>
              <w:textAlignment w:val="center"/>
              <w:rPr>
                <w:rFonts w:ascii="Times New Roman" w:hAnsi="Times New Roman" w:cs="Times New Roman"/>
                <w:color w:val="000000"/>
                <w:sz w:val="22"/>
                <w:szCs w:val="22"/>
              </w:rPr>
            </w:pPr>
            <w:proofErr w:type="spellStart"/>
            <w:r>
              <w:rPr>
                <w:rFonts w:ascii="Times New Roman" w:eastAsia="SimSun" w:hAnsi="Times New Roman" w:cs="Times New Roman"/>
                <w:color w:val="000000"/>
                <w:sz w:val="22"/>
                <w:szCs w:val="22"/>
                <w:lang w:bidi="ar"/>
              </w:rPr>
              <w:t>Synthesises</w:t>
            </w:r>
            <w:proofErr w:type="spellEnd"/>
            <w:r>
              <w:rPr>
                <w:rFonts w:ascii="Times New Roman" w:eastAsia="SimSun" w:hAnsi="Times New Roman" w:cs="Times New Roman"/>
                <w:color w:val="000000"/>
                <w:sz w:val="22"/>
                <w:szCs w:val="22"/>
                <w:lang w:bidi="ar"/>
              </w:rPr>
              <w:t xml:space="preserve"> AI applications across traffic management, autonomous mobility and transport </w:t>
            </w:r>
            <w:proofErr w:type="spellStart"/>
            <w:r>
              <w:rPr>
                <w:rFonts w:ascii="Times New Roman" w:eastAsia="SimSun" w:hAnsi="Times New Roman" w:cs="Times New Roman"/>
                <w:color w:val="000000"/>
                <w:sz w:val="22"/>
                <w:szCs w:val="22"/>
                <w:lang w:bidi="ar"/>
              </w:rPr>
              <w:t>optimisation</w:t>
            </w:r>
            <w:proofErr w:type="spellEnd"/>
            <w:r>
              <w:rPr>
                <w:rFonts w:ascii="Times New Roman" w:eastAsia="SimSun" w:hAnsi="Times New Roman" w:cs="Times New Roman"/>
                <w:color w:val="000000"/>
                <w:sz w:val="22"/>
                <w:szCs w:val="22"/>
                <w:lang w:bidi="ar"/>
              </w:rPr>
              <w:t xml:space="preserve"> and identifies continuing evidence heterogeneity.</w:t>
            </w:r>
          </w:p>
        </w:tc>
      </w:tr>
      <w:tr w:rsidR="00D215B7" w14:paraId="5073CA15" w14:textId="77777777">
        <w:trPr>
          <w:cantSplit/>
          <w:trHeight w:val="2000"/>
        </w:trPr>
        <w:tc>
          <w:tcPr>
            <w:tcW w:w="570" w:type="dxa"/>
            <w:tcBorders>
              <w:top w:val="nil"/>
              <w:left w:val="single" w:sz="8" w:space="0" w:color="000000"/>
              <w:bottom w:val="nil"/>
              <w:right w:val="nil"/>
            </w:tcBorders>
            <w:vAlign w:val="center"/>
          </w:tcPr>
          <w:p w14:paraId="5F903CE5" w14:textId="77777777" w:rsidR="00D215B7" w:rsidRDefault="00000000">
            <w:pPr>
              <w:jc w:val="right"/>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6</w:t>
            </w:r>
          </w:p>
        </w:tc>
        <w:tc>
          <w:tcPr>
            <w:tcW w:w="960" w:type="dxa"/>
            <w:tcBorders>
              <w:top w:val="nil"/>
              <w:left w:val="nil"/>
              <w:bottom w:val="nil"/>
              <w:right w:val="nil"/>
            </w:tcBorders>
            <w:vAlign w:val="center"/>
          </w:tcPr>
          <w:p w14:paraId="3B7CFDB3"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Butler et al. (2020)</w:t>
            </w:r>
          </w:p>
        </w:tc>
        <w:tc>
          <w:tcPr>
            <w:tcW w:w="1830" w:type="dxa"/>
            <w:tcBorders>
              <w:top w:val="nil"/>
              <w:left w:val="nil"/>
              <w:bottom w:val="nil"/>
              <w:right w:val="nil"/>
            </w:tcBorders>
            <w:vAlign w:val="center"/>
          </w:tcPr>
          <w:p w14:paraId="451D9411"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Systematic review</w:t>
            </w:r>
          </w:p>
        </w:tc>
        <w:tc>
          <w:tcPr>
            <w:tcW w:w="1320" w:type="dxa"/>
            <w:tcBorders>
              <w:top w:val="nil"/>
              <w:left w:val="nil"/>
              <w:bottom w:val="nil"/>
              <w:right w:val="nil"/>
            </w:tcBorders>
            <w:vAlign w:val="center"/>
          </w:tcPr>
          <w:p w14:paraId="1AC63A6D"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Smart-mobility innovation</w:t>
            </w:r>
          </w:p>
        </w:tc>
        <w:tc>
          <w:tcPr>
            <w:tcW w:w="1230" w:type="dxa"/>
            <w:tcBorders>
              <w:top w:val="nil"/>
              <w:left w:val="nil"/>
              <w:bottom w:val="nil"/>
              <w:right w:val="nil"/>
            </w:tcBorders>
            <w:vAlign w:val="center"/>
          </w:tcPr>
          <w:p w14:paraId="41BC30CE"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Accessibility and transport disadvantage</w:t>
            </w:r>
          </w:p>
        </w:tc>
        <w:tc>
          <w:tcPr>
            <w:tcW w:w="3720" w:type="dxa"/>
            <w:tcBorders>
              <w:top w:val="nil"/>
              <w:left w:val="nil"/>
              <w:bottom w:val="nil"/>
              <w:right w:val="single" w:sz="8" w:space="0" w:color="000000"/>
            </w:tcBorders>
            <w:vAlign w:val="center"/>
          </w:tcPr>
          <w:p w14:paraId="6BA91411"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Shows that technology-based mobility improvements require explicit consideration of accessibility and disadvantaged transport users.</w:t>
            </w:r>
          </w:p>
        </w:tc>
      </w:tr>
      <w:tr w:rsidR="00D215B7" w14:paraId="442E3720" w14:textId="77777777">
        <w:trPr>
          <w:cantSplit/>
          <w:trHeight w:val="2000"/>
        </w:trPr>
        <w:tc>
          <w:tcPr>
            <w:tcW w:w="570" w:type="dxa"/>
            <w:tcBorders>
              <w:top w:val="nil"/>
              <w:left w:val="single" w:sz="8" w:space="0" w:color="000000"/>
              <w:bottom w:val="nil"/>
              <w:right w:val="nil"/>
            </w:tcBorders>
            <w:vAlign w:val="center"/>
          </w:tcPr>
          <w:p w14:paraId="051C75DA" w14:textId="77777777" w:rsidR="00D215B7" w:rsidRDefault="00000000">
            <w:pPr>
              <w:jc w:val="right"/>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7</w:t>
            </w:r>
          </w:p>
        </w:tc>
        <w:tc>
          <w:tcPr>
            <w:tcW w:w="960" w:type="dxa"/>
            <w:tcBorders>
              <w:top w:val="nil"/>
              <w:left w:val="nil"/>
              <w:bottom w:val="nil"/>
              <w:right w:val="nil"/>
            </w:tcBorders>
            <w:vAlign w:val="center"/>
          </w:tcPr>
          <w:p w14:paraId="2FE1E717" w14:textId="77777777" w:rsidR="00D215B7" w:rsidRDefault="00000000">
            <w:pPr>
              <w:textAlignment w:val="center"/>
              <w:rPr>
                <w:rFonts w:ascii="Times New Roman" w:hAnsi="Times New Roman" w:cs="Times New Roman"/>
                <w:color w:val="000000"/>
                <w:sz w:val="22"/>
                <w:szCs w:val="22"/>
              </w:rPr>
            </w:pPr>
            <w:proofErr w:type="spellStart"/>
            <w:r>
              <w:rPr>
                <w:rFonts w:ascii="Times New Roman" w:eastAsia="SimSun" w:hAnsi="Times New Roman" w:cs="Times New Roman"/>
                <w:color w:val="000000"/>
                <w:sz w:val="22"/>
                <w:szCs w:val="22"/>
                <w:lang w:bidi="ar"/>
              </w:rPr>
              <w:t>Creß</w:t>
            </w:r>
            <w:proofErr w:type="spellEnd"/>
            <w:r>
              <w:rPr>
                <w:rFonts w:ascii="Times New Roman" w:eastAsia="SimSun" w:hAnsi="Times New Roman" w:cs="Times New Roman"/>
                <w:color w:val="000000"/>
                <w:sz w:val="22"/>
                <w:szCs w:val="22"/>
                <w:lang w:bidi="ar"/>
              </w:rPr>
              <w:t xml:space="preserve"> et al. (2024)</w:t>
            </w:r>
          </w:p>
        </w:tc>
        <w:tc>
          <w:tcPr>
            <w:tcW w:w="1830" w:type="dxa"/>
            <w:tcBorders>
              <w:top w:val="nil"/>
              <w:left w:val="nil"/>
              <w:bottom w:val="nil"/>
              <w:right w:val="nil"/>
            </w:tcBorders>
            <w:vAlign w:val="center"/>
          </w:tcPr>
          <w:p w14:paraId="086B2E5B"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Literature survey</w:t>
            </w:r>
          </w:p>
        </w:tc>
        <w:tc>
          <w:tcPr>
            <w:tcW w:w="1320" w:type="dxa"/>
            <w:tcBorders>
              <w:top w:val="nil"/>
              <w:left w:val="nil"/>
              <w:bottom w:val="nil"/>
              <w:right w:val="nil"/>
            </w:tcBorders>
            <w:vAlign w:val="center"/>
          </w:tcPr>
          <w:p w14:paraId="12DE1A19"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Roadside sensing, communication and ITS</w:t>
            </w:r>
          </w:p>
        </w:tc>
        <w:tc>
          <w:tcPr>
            <w:tcW w:w="1230" w:type="dxa"/>
            <w:tcBorders>
              <w:top w:val="nil"/>
              <w:left w:val="nil"/>
              <w:bottom w:val="nil"/>
              <w:right w:val="nil"/>
            </w:tcBorders>
            <w:vAlign w:val="center"/>
          </w:tcPr>
          <w:p w14:paraId="6D9BFE08"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Connected infrastructure</w:t>
            </w:r>
          </w:p>
        </w:tc>
        <w:tc>
          <w:tcPr>
            <w:tcW w:w="3720" w:type="dxa"/>
            <w:tcBorders>
              <w:top w:val="nil"/>
              <w:left w:val="nil"/>
              <w:bottom w:val="nil"/>
              <w:right w:val="single" w:sz="8" w:space="0" w:color="000000"/>
            </w:tcBorders>
            <w:vAlign w:val="center"/>
          </w:tcPr>
          <w:p w14:paraId="146D67A7"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Establishes roadside infrastructure as an important foundation for real-time traffic perception while identifying interoperability, sensing and communication challenges.</w:t>
            </w:r>
          </w:p>
        </w:tc>
      </w:tr>
      <w:tr w:rsidR="00D215B7" w14:paraId="0D61C1FD" w14:textId="77777777">
        <w:trPr>
          <w:cantSplit/>
          <w:trHeight w:val="2000"/>
        </w:trPr>
        <w:tc>
          <w:tcPr>
            <w:tcW w:w="570" w:type="dxa"/>
            <w:tcBorders>
              <w:top w:val="nil"/>
              <w:left w:val="single" w:sz="8" w:space="0" w:color="000000"/>
              <w:bottom w:val="nil"/>
              <w:right w:val="nil"/>
            </w:tcBorders>
            <w:vAlign w:val="center"/>
          </w:tcPr>
          <w:p w14:paraId="3C05AF13" w14:textId="77777777" w:rsidR="00D215B7" w:rsidRDefault="00000000">
            <w:pPr>
              <w:jc w:val="right"/>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8</w:t>
            </w:r>
          </w:p>
        </w:tc>
        <w:tc>
          <w:tcPr>
            <w:tcW w:w="960" w:type="dxa"/>
            <w:tcBorders>
              <w:top w:val="nil"/>
              <w:left w:val="nil"/>
              <w:bottom w:val="nil"/>
              <w:right w:val="nil"/>
            </w:tcBorders>
            <w:vAlign w:val="center"/>
          </w:tcPr>
          <w:p w14:paraId="411A4DAF" w14:textId="77777777" w:rsidR="00D215B7" w:rsidRDefault="00000000">
            <w:pPr>
              <w:textAlignment w:val="center"/>
              <w:rPr>
                <w:rFonts w:ascii="Times New Roman" w:hAnsi="Times New Roman" w:cs="Times New Roman"/>
                <w:color w:val="000000"/>
                <w:sz w:val="22"/>
                <w:szCs w:val="22"/>
              </w:rPr>
            </w:pPr>
            <w:proofErr w:type="spellStart"/>
            <w:r>
              <w:rPr>
                <w:rFonts w:ascii="Times New Roman" w:eastAsia="SimSun" w:hAnsi="Times New Roman" w:cs="Times New Roman"/>
                <w:color w:val="000000"/>
                <w:sz w:val="22"/>
                <w:szCs w:val="22"/>
                <w:lang w:bidi="ar"/>
              </w:rPr>
              <w:t>D’Alberto</w:t>
            </w:r>
            <w:proofErr w:type="spellEnd"/>
            <w:r>
              <w:rPr>
                <w:rFonts w:ascii="Times New Roman" w:eastAsia="SimSun" w:hAnsi="Times New Roman" w:cs="Times New Roman"/>
                <w:color w:val="000000"/>
                <w:sz w:val="22"/>
                <w:szCs w:val="22"/>
                <w:lang w:bidi="ar"/>
              </w:rPr>
              <w:t xml:space="preserve"> and Giudici (2023)</w:t>
            </w:r>
          </w:p>
        </w:tc>
        <w:tc>
          <w:tcPr>
            <w:tcW w:w="1830" w:type="dxa"/>
            <w:tcBorders>
              <w:top w:val="nil"/>
              <w:left w:val="nil"/>
              <w:bottom w:val="nil"/>
              <w:right w:val="nil"/>
            </w:tcBorders>
            <w:vAlign w:val="center"/>
          </w:tcPr>
          <w:p w14:paraId="29230DFD"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Systematic review</w:t>
            </w:r>
          </w:p>
        </w:tc>
        <w:tc>
          <w:tcPr>
            <w:tcW w:w="1320" w:type="dxa"/>
            <w:tcBorders>
              <w:top w:val="nil"/>
              <w:left w:val="nil"/>
              <w:bottom w:val="nil"/>
              <w:right w:val="nil"/>
            </w:tcBorders>
            <w:vAlign w:val="center"/>
          </w:tcPr>
          <w:p w14:paraId="40DC6D77"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Big-data analytics</w:t>
            </w:r>
          </w:p>
        </w:tc>
        <w:tc>
          <w:tcPr>
            <w:tcW w:w="1230" w:type="dxa"/>
            <w:tcBorders>
              <w:top w:val="nil"/>
              <w:left w:val="nil"/>
              <w:bottom w:val="nil"/>
              <w:right w:val="nil"/>
            </w:tcBorders>
            <w:vAlign w:val="center"/>
          </w:tcPr>
          <w:p w14:paraId="63603DCD"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Smart mobility and environmental sustainability</w:t>
            </w:r>
          </w:p>
        </w:tc>
        <w:tc>
          <w:tcPr>
            <w:tcW w:w="3720" w:type="dxa"/>
            <w:tcBorders>
              <w:top w:val="nil"/>
              <w:left w:val="nil"/>
              <w:bottom w:val="nil"/>
              <w:right w:val="single" w:sz="8" w:space="0" w:color="000000"/>
            </w:tcBorders>
            <w:vAlign w:val="center"/>
          </w:tcPr>
          <w:p w14:paraId="7E2FDDED"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 xml:space="preserve">Finds that smart-mobility research </w:t>
            </w:r>
            <w:proofErr w:type="spellStart"/>
            <w:r>
              <w:rPr>
                <w:rFonts w:ascii="Times New Roman" w:eastAsia="SimSun" w:hAnsi="Times New Roman" w:cs="Times New Roman"/>
                <w:color w:val="000000"/>
                <w:sz w:val="22"/>
                <w:szCs w:val="22"/>
                <w:lang w:bidi="ar"/>
              </w:rPr>
              <w:t>emphasises</w:t>
            </w:r>
            <w:proofErr w:type="spellEnd"/>
            <w:r>
              <w:rPr>
                <w:rFonts w:ascii="Times New Roman" w:eastAsia="SimSun" w:hAnsi="Times New Roman" w:cs="Times New Roman"/>
                <w:color w:val="000000"/>
                <w:sz w:val="22"/>
                <w:szCs w:val="22"/>
                <w:lang w:bidi="ar"/>
              </w:rPr>
              <w:t xml:space="preserve"> modelling and data applications more strongly than direct environmental outcomes.</w:t>
            </w:r>
          </w:p>
        </w:tc>
      </w:tr>
      <w:tr w:rsidR="00D215B7" w14:paraId="63D37712" w14:textId="77777777">
        <w:trPr>
          <w:cantSplit/>
          <w:trHeight w:val="2000"/>
        </w:trPr>
        <w:tc>
          <w:tcPr>
            <w:tcW w:w="570" w:type="dxa"/>
            <w:tcBorders>
              <w:top w:val="nil"/>
              <w:left w:val="single" w:sz="8" w:space="0" w:color="000000"/>
              <w:bottom w:val="nil"/>
              <w:right w:val="nil"/>
            </w:tcBorders>
            <w:vAlign w:val="center"/>
          </w:tcPr>
          <w:p w14:paraId="7A5BC82B" w14:textId="77777777" w:rsidR="00D215B7" w:rsidRDefault="00000000">
            <w:pPr>
              <w:jc w:val="right"/>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9</w:t>
            </w:r>
          </w:p>
        </w:tc>
        <w:tc>
          <w:tcPr>
            <w:tcW w:w="960" w:type="dxa"/>
            <w:tcBorders>
              <w:top w:val="nil"/>
              <w:left w:val="nil"/>
              <w:bottom w:val="nil"/>
              <w:right w:val="nil"/>
            </w:tcBorders>
            <w:vAlign w:val="center"/>
          </w:tcPr>
          <w:p w14:paraId="2E1B21D8"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Del-Coco et al. (2025)</w:t>
            </w:r>
          </w:p>
        </w:tc>
        <w:tc>
          <w:tcPr>
            <w:tcW w:w="1830" w:type="dxa"/>
            <w:tcBorders>
              <w:top w:val="nil"/>
              <w:left w:val="nil"/>
              <w:bottom w:val="nil"/>
              <w:right w:val="nil"/>
            </w:tcBorders>
            <w:vAlign w:val="center"/>
          </w:tcPr>
          <w:p w14:paraId="61EE17A2"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Comprehensive survey</w:t>
            </w:r>
          </w:p>
        </w:tc>
        <w:tc>
          <w:tcPr>
            <w:tcW w:w="1320" w:type="dxa"/>
            <w:tcBorders>
              <w:top w:val="nil"/>
              <w:left w:val="nil"/>
              <w:bottom w:val="nil"/>
              <w:right w:val="nil"/>
            </w:tcBorders>
            <w:vAlign w:val="center"/>
          </w:tcPr>
          <w:p w14:paraId="060D9C97"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AI, connected vehicles, sensing and planning</w:t>
            </w:r>
          </w:p>
        </w:tc>
        <w:tc>
          <w:tcPr>
            <w:tcW w:w="1230" w:type="dxa"/>
            <w:tcBorders>
              <w:top w:val="nil"/>
              <w:left w:val="nil"/>
              <w:bottom w:val="nil"/>
              <w:right w:val="nil"/>
            </w:tcBorders>
            <w:vAlign w:val="center"/>
          </w:tcPr>
          <w:p w14:paraId="533CEE33"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Integrated smart mobility</w:t>
            </w:r>
          </w:p>
        </w:tc>
        <w:tc>
          <w:tcPr>
            <w:tcW w:w="3720" w:type="dxa"/>
            <w:tcBorders>
              <w:top w:val="nil"/>
              <w:left w:val="nil"/>
              <w:bottom w:val="nil"/>
              <w:right w:val="single" w:sz="8" w:space="0" w:color="000000"/>
            </w:tcBorders>
            <w:vAlign w:val="center"/>
          </w:tcPr>
          <w:p w14:paraId="638AEDD9"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Demonstrates broad AI application across transport planning, vehicle intelligence and mobility security while identifying robustness and integration constraints.</w:t>
            </w:r>
          </w:p>
        </w:tc>
      </w:tr>
      <w:tr w:rsidR="00D215B7" w14:paraId="55BF6ADF" w14:textId="77777777">
        <w:trPr>
          <w:cantSplit/>
          <w:trHeight w:val="2000"/>
        </w:trPr>
        <w:tc>
          <w:tcPr>
            <w:tcW w:w="570" w:type="dxa"/>
            <w:tcBorders>
              <w:top w:val="nil"/>
              <w:left w:val="single" w:sz="8" w:space="0" w:color="000000"/>
              <w:bottom w:val="nil"/>
              <w:right w:val="nil"/>
            </w:tcBorders>
            <w:vAlign w:val="center"/>
          </w:tcPr>
          <w:p w14:paraId="428BD431" w14:textId="77777777" w:rsidR="00D215B7" w:rsidRDefault="00000000">
            <w:pPr>
              <w:jc w:val="right"/>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lastRenderedPageBreak/>
              <w:t>10</w:t>
            </w:r>
          </w:p>
        </w:tc>
        <w:tc>
          <w:tcPr>
            <w:tcW w:w="960" w:type="dxa"/>
            <w:tcBorders>
              <w:top w:val="nil"/>
              <w:left w:val="nil"/>
              <w:bottom w:val="nil"/>
              <w:right w:val="nil"/>
            </w:tcBorders>
            <w:vAlign w:val="center"/>
          </w:tcPr>
          <w:p w14:paraId="09582FCD"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Du et al. (2025)</w:t>
            </w:r>
          </w:p>
        </w:tc>
        <w:tc>
          <w:tcPr>
            <w:tcW w:w="1830" w:type="dxa"/>
            <w:tcBorders>
              <w:top w:val="nil"/>
              <w:left w:val="nil"/>
              <w:bottom w:val="nil"/>
              <w:right w:val="nil"/>
            </w:tcBorders>
            <w:vAlign w:val="center"/>
          </w:tcPr>
          <w:p w14:paraId="172E7057"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Systematic survey of approximately 350 studies</w:t>
            </w:r>
          </w:p>
        </w:tc>
        <w:tc>
          <w:tcPr>
            <w:tcW w:w="1320" w:type="dxa"/>
            <w:tcBorders>
              <w:top w:val="nil"/>
              <w:left w:val="nil"/>
              <w:bottom w:val="nil"/>
              <w:right w:val="nil"/>
            </w:tcBorders>
            <w:vAlign w:val="center"/>
          </w:tcPr>
          <w:p w14:paraId="6B987B2A"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Deep learning and traffic prediction</w:t>
            </w:r>
          </w:p>
        </w:tc>
        <w:tc>
          <w:tcPr>
            <w:tcW w:w="1230" w:type="dxa"/>
            <w:tcBorders>
              <w:top w:val="nil"/>
              <w:left w:val="nil"/>
              <w:bottom w:val="nil"/>
              <w:right w:val="nil"/>
            </w:tcBorders>
            <w:vAlign w:val="center"/>
          </w:tcPr>
          <w:p w14:paraId="53B9F7FD"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Time-series, spatiotemporal and origin-destination forecasting</w:t>
            </w:r>
          </w:p>
        </w:tc>
        <w:tc>
          <w:tcPr>
            <w:tcW w:w="3720" w:type="dxa"/>
            <w:tcBorders>
              <w:top w:val="nil"/>
              <w:left w:val="nil"/>
              <w:bottom w:val="nil"/>
              <w:right w:val="single" w:sz="8" w:space="0" w:color="000000"/>
            </w:tcBorders>
            <w:vAlign w:val="center"/>
          </w:tcPr>
          <w:p w14:paraId="206B76F5"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Shows strong progress in traffic-prediction accuracy while identifying data quality and model-transferability challenges.</w:t>
            </w:r>
          </w:p>
        </w:tc>
      </w:tr>
      <w:tr w:rsidR="00D215B7" w14:paraId="6F9A2033" w14:textId="77777777">
        <w:trPr>
          <w:cantSplit/>
          <w:trHeight w:val="2000"/>
        </w:trPr>
        <w:tc>
          <w:tcPr>
            <w:tcW w:w="570" w:type="dxa"/>
            <w:tcBorders>
              <w:top w:val="nil"/>
              <w:left w:val="single" w:sz="8" w:space="0" w:color="000000"/>
              <w:bottom w:val="nil"/>
              <w:right w:val="nil"/>
            </w:tcBorders>
            <w:vAlign w:val="center"/>
          </w:tcPr>
          <w:p w14:paraId="2B73CCFF" w14:textId="77777777" w:rsidR="00D215B7" w:rsidRDefault="00000000">
            <w:pPr>
              <w:jc w:val="right"/>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11</w:t>
            </w:r>
          </w:p>
        </w:tc>
        <w:tc>
          <w:tcPr>
            <w:tcW w:w="960" w:type="dxa"/>
            <w:tcBorders>
              <w:top w:val="nil"/>
              <w:left w:val="nil"/>
              <w:bottom w:val="nil"/>
              <w:right w:val="nil"/>
            </w:tcBorders>
            <w:vAlign w:val="center"/>
          </w:tcPr>
          <w:p w14:paraId="148C2044"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 xml:space="preserve">Gheorghe and </w:t>
            </w:r>
            <w:proofErr w:type="spellStart"/>
            <w:r>
              <w:rPr>
                <w:rFonts w:ascii="Times New Roman" w:eastAsia="SimSun" w:hAnsi="Times New Roman" w:cs="Times New Roman"/>
                <w:color w:val="000000"/>
                <w:sz w:val="22"/>
                <w:szCs w:val="22"/>
                <w:lang w:bidi="ar"/>
              </w:rPr>
              <w:t>Soica</w:t>
            </w:r>
            <w:proofErr w:type="spellEnd"/>
            <w:r>
              <w:rPr>
                <w:rFonts w:ascii="Times New Roman" w:eastAsia="SimSun" w:hAnsi="Times New Roman" w:cs="Times New Roman"/>
                <w:color w:val="000000"/>
                <w:sz w:val="22"/>
                <w:szCs w:val="22"/>
                <w:lang w:bidi="ar"/>
              </w:rPr>
              <w:t xml:space="preserve"> (2025)</w:t>
            </w:r>
          </w:p>
        </w:tc>
        <w:tc>
          <w:tcPr>
            <w:tcW w:w="1830" w:type="dxa"/>
            <w:tcBorders>
              <w:top w:val="nil"/>
              <w:left w:val="nil"/>
              <w:bottom w:val="nil"/>
              <w:right w:val="nil"/>
            </w:tcBorders>
            <w:vAlign w:val="center"/>
          </w:tcPr>
          <w:p w14:paraId="5EBE8B12"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Systematic review</w:t>
            </w:r>
          </w:p>
        </w:tc>
        <w:tc>
          <w:tcPr>
            <w:tcW w:w="1320" w:type="dxa"/>
            <w:tcBorders>
              <w:top w:val="nil"/>
              <w:left w:val="nil"/>
              <w:bottom w:val="nil"/>
              <w:right w:val="nil"/>
            </w:tcBorders>
            <w:vAlign w:val="center"/>
          </w:tcPr>
          <w:p w14:paraId="4EEA1E7C"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AI, IoT and predictive analytics</w:t>
            </w:r>
          </w:p>
        </w:tc>
        <w:tc>
          <w:tcPr>
            <w:tcW w:w="1230" w:type="dxa"/>
            <w:tcBorders>
              <w:top w:val="nil"/>
              <w:left w:val="nil"/>
              <w:bottom w:val="nil"/>
              <w:right w:val="nil"/>
            </w:tcBorders>
            <w:vAlign w:val="center"/>
          </w:tcPr>
          <w:p w14:paraId="06A058F0"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Adaptive traffic-control systems</w:t>
            </w:r>
          </w:p>
        </w:tc>
        <w:tc>
          <w:tcPr>
            <w:tcW w:w="3720" w:type="dxa"/>
            <w:tcBorders>
              <w:top w:val="nil"/>
              <w:left w:val="nil"/>
              <w:bottom w:val="nil"/>
              <w:right w:val="single" w:sz="8" w:space="0" w:color="000000"/>
            </w:tcBorders>
            <w:vAlign w:val="center"/>
          </w:tcPr>
          <w:p w14:paraId="50809327"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Reports that integrated AI-IoT systems improve traffic responsiveness, congestion control and safety, subject to data and infrastructure readiness.</w:t>
            </w:r>
          </w:p>
        </w:tc>
      </w:tr>
      <w:tr w:rsidR="00D215B7" w14:paraId="18F93701" w14:textId="77777777">
        <w:trPr>
          <w:cantSplit/>
          <w:trHeight w:val="2000"/>
        </w:trPr>
        <w:tc>
          <w:tcPr>
            <w:tcW w:w="570" w:type="dxa"/>
            <w:tcBorders>
              <w:top w:val="nil"/>
              <w:left w:val="single" w:sz="8" w:space="0" w:color="000000"/>
              <w:bottom w:val="nil"/>
              <w:right w:val="nil"/>
            </w:tcBorders>
            <w:vAlign w:val="center"/>
          </w:tcPr>
          <w:p w14:paraId="06D226FD" w14:textId="77777777" w:rsidR="00D215B7" w:rsidRDefault="00000000">
            <w:pPr>
              <w:jc w:val="right"/>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12</w:t>
            </w:r>
          </w:p>
        </w:tc>
        <w:tc>
          <w:tcPr>
            <w:tcW w:w="960" w:type="dxa"/>
            <w:tcBorders>
              <w:top w:val="nil"/>
              <w:left w:val="nil"/>
              <w:bottom w:val="nil"/>
              <w:right w:val="nil"/>
            </w:tcBorders>
            <w:vAlign w:val="center"/>
          </w:tcPr>
          <w:p w14:paraId="472E5F19" w14:textId="77777777" w:rsidR="00D215B7" w:rsidRDefault="00000000">
            <w:pPr>
              <w:textAlignment w:val="center"/>
              <w:rPr>
                <w:rFonts w:ascii="Times New Roman" w:hAnsi="Times New Roman" w:cs="Times New Roman"/>
                <w:color w:val="000000"/>
                <w:sz w:val="22"/>
                <w:szCs w:val="22"/>
              </w:rPr>
            </w:pPr>
            <w:proofErr w:type="spellStart"/>
            <w:r>
              <w:rPr>
                <w:rFonts w:ascii="Times New Roman" w:eastAsia="SimSun" w:hAnsi="Times New Roman" w:cs="Times New Roman"/>
                <w:color w:val="000000"/>
                <w:sz w:val="22"/>
                <w:szCs w:val="22"/>
                <w:lang w:bidi="ar"/>
              </w:rPr>
              <w:t>Goumiri</w:t>
            </w:r>
            <w:proofErr w:type="spellEnd"/>
            <w:r>
              <w:rPr>
                <w:rFonts w:ascii="Times New Roman" w:eastAsia="SimSun" w:hAnsi="Times New Roman" w:cs="Times New Roman"/>
                <w:color w:val="000000"/>
                <w:sz w:val="22"/>
                <w:szCs w:val="22"/>
                <w:lang w:bidi="ar"/>
              </w:rPr>
              <w:t xml:space="preserve"> et al. (2025)</w:t>
            </w:r>
          </w:p>
        </w:tc>
        <w:tc>
          <w:tcPr>
            <w:tcW w:w="1830" w:type="dxa"/>
            <w:tcBorders>
              <w:top w:val="nil"/>
              <w:left w:val="nil"/>
              <w:bottom w:val="nil"/>
              <w:right w:val="nil"/>
            </w:tcBorders>
            <w:vAlign w:val="center"/>
          </w:tcPr>
          <w:p w14:paraId="59031BD8"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Review</w:t>
            </w:r>
          </w:p>
        </w:tc>
        <w:tc>
          <w:tcPr>
            <w:tcW w:w="1320" w:type="dxa"/>
            <w:tcBorders>
              <w:top w:val="nil"/>
              <w:left w:val="nil"/>
              <w:bottom w:val="nil"/>
              <w:right w:val="nil"/>
            </w:tcBorders>
            <w:vAlign w:val="center"/>
          </w:tcPr>
          <w:p w14:paraId="67501E89"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Smart-mobility technologies</w:t>
            </w:r>
          </w:p>
        </w:tc>
        <w:tc>
          <w:tcPr>
            <w:tcW w:w="1230" w:type="dxa"/>
            <w:tcBorders>
              <w:top w:val="nil"/>
              <w:left w:val="nil"/>
              <w:bottom w:val="nil"/>
              <w:right w:val="nil"/>
            </w:tcBorders>
            <w:vAlign w:val="center"/>
          </w:tcPr>
          <w:p w14:paraId="07B04B49"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Traffic, routing, parking, safety and emissions</w:t>
            </w:r>
          </w:p>
        </w:tc>
        <w:tc>
          <w:tcPr>
            <w:tcW w:w="3720" w:type="dxa"/>
            <w:tcBorders>
              <w:top w:val="nil"/>
              <w:left w:val="nil"/>
              <w:bottom w:val="nil"/>
              <w:right w:val="single" w:sz="8" w:space="0" w:color="000000"/>
            </w:tcBorders>
            <w:vAlign w:val="center"/>
          </w:tcPr>
          <w:p w14:paraId="1144D703"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Frames smart mobility as an interconnected urban system requiring coordination among technological and infrastructure components.</w:t>
            </w:r>
          </w:p>
        </w:tc>
      </w:tr>
      <w:tr w:rsidR="00D215B7" w14:paraId="7EC85F58" w14:textId="77777777">
        <w:trPr>
          <w:cantSplit/>
          <w:trHeight w:val="2000"/>
        </w:trPr>
        <w:tc>
          <w:tcPr>
            <w:tcW w:w="570" w:type="dxa"/>
            <w:tcBorders>
              <w:top w:val="nil"/>
              <w:left w:val="single" w:sz="8" w:space="0" w:color="000000"/>
              <w:bottom w:val="nil"/>
              <w:right w:val="nil"/>
            </w:tcBorders>
            <w:vAlign w:val="center"/>
          </w:tcPr>
          <w:p w14:paraId="2BBFDB96" w14:textId="77777777" w:rsidR="00D215B7" w:rsidRDefault="00000000">
            <w:pPr>
              <w:jc w:val="right"/>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13</w:t>
            </w:r>
          </w:p>
        </w:tc>
        <w:tc>
          <w:tcPr>
            <w:tcW w:w="960" w:type="dxa"/>
            <w:tcBorders>
              <w:top w:val="nil"/>
              <w:left w:val="nil"/>
              <w:bottom w:val="nil"/>
              <w:right w:val="nil"/>
            </w:tcBorders>
            <w:vAlign w:val="center"/>
          </w:tcPr>
          <w:p w14:paraId="7A57C222"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Jalil et al. (2024)</w:t>
            </w:r>
          </w:p>
        </w:tc>
        <w:tc>
          <w:tcPr>
            <w:tcW w:w="1830" w:type="dxa"/>
            <w:tcBorders>
              <w:top w:val="nil"/>
              <w:left w:val="nil"/>
              <w:bottom w:val="nil"/>
              <w:right w:val="nil"/>
            </w:tcBorders>
            <w:vAlign w:val="center"/>
          </w:tcPr>
          <w:p w14:paraId="13BF9ED8"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Integrative review</w:t>
            </w:r>
          </w:p>
        </w:tc>
        <w:tc>
          <w:tcPr>
            <w:tcW w:w="1320" w:type="dxa"/>
            <w:tcBorders>
              <w:top w:val="nil"/>
              <w:left w:val="nil"/>
              <w:bottom w:val="nil"/>
              <w:right w:val="nil"/>
            </w:tcBorders>
            <w:vAlign w:val="center"/>
          </w:tcPr>
          <w:p w14:paraId="393D8E20"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Data science, deep learning and analytics</w:t>
            </w:r>
          </w:p>
        </w:tc>
        <w:tc>
          <w:tcPr>
            <w:tcW w:w="1230" w:type="dxa"/>
            <w:tcBorders>
              <w:top w:val="nil"/>
              <w:left w:val="nil"/>
              <w:bottom w:val="nil"/>
              <w:right w:val="nil"/>
            </w:tcBorders>
            <w:vAlign w:val="center"/>
          </w:tcPr>
          <w:p w14:paraId="09822A4F"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Intelligent transportation decision-making</w:t>
            </w:r>
          </w:p>
        </w:tc>
        <w:tc>
          <w:tcPr>
            <w:tcW w:w="3720" w:type="dxa"/>
            <w:tcBorders>
              <w:top w:val="nil"/>
              <w:left w:val="nil"/>
              <w:bottom w:val="nil"/>
              <w:right w:val="single" w:sz="8" w:space="0" w:color="000000"/>
            </w:tcBorders>
            <w:vAlign w:val="center"/>
          </w:tcPr>
          <w:p w14:paraId="619DD384"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 xml:space="preserve">Demonstrates how large-scale mobility data support prediction, planning and transport-system </w:t>
            </w:r>
            <w:proofErr w:type="spellStart"/>
            <w:r>
              <w:rPr>
                <w:rFonts w:ascii="Times New Roman" w:eastAsia="SimSun" w:hAnsi="Times New Roman" w:cs="Times New Roman"/>
                <w:color w:val="000000"/>
                <w:sz w:val="22"/>
                <w:szCs w:val="22"/>
                <w:lang w:bidi="ar"/>
              </w:rPr>
              <w:t>optimisation</w:t>
            </w:r>
            <w:proofErr w:type="spellEnd"/>
            <w:r>
              <w:rPr>
                <w:rFonts w:ascii="Times New Roman" w:eastAsia="SimSun" w:hAnsi="Times New Roman" w:cs="Times New Roman"/>
                <w:color w:val="000000"/>
                <w:sz w:val="22"/>
                <w:szCs w:val="22"/>
                <w:lang w:bidi="ar"/>
              </w:rPr>
              <w:t>.</w:t>
            </w:r>
          </w:p>
        </w:tc>
      </w:tr>
      <w:tr w:rsidR="00D215B7" w14:paraId="01295FE6" w14:textId="77777777">
        <w:trPr>
          <w:cantSplit/>
          <w:trHeight w:val="2000"/>
        </w:trPr>
        <w:tc>
          <w:tcPr>
            <w:tcW w:w="570" w:type="dxa"/>
            <w:tcBorders>
              <w:top w:val="nil"/>
              <w:left w:val="single" w:sz="8" w:space="0" w:color="000000"/>
              <w:bottom w:val="nil"/>
              <w:right w:val="nil"/>
            </w:tcBorders>
            <w:vAlign w:val="center"/>
          </w:tcPr>
          <w:p w14:paraId="67FE9E7D" w14:textId="77777777" w:rsidR="00D215B7" w:rsidRDefault="00000000">
            <w:pPr>
              <w:jc w:val="right"/>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14</w:t>
            </w:r>
          </w:p>
        </w:tc>
        <w:tc>
          <w:tcPr>
            <w:tcW w:w="960" w:type="dxa"/>
            <w:tcBorders>
              <w:top w:val="nil"/>
              <w:left w:val="nil"/>
              <w:bottom w:val="nil"/>
              <w:right w:val="nil"/>
            </w:tcBorders>
            <w:vAlign w:val="center"/>
          </w:tcPr>
          <w:p w14:paraId="2E13146D"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Joshi et al. (2026)</w:t>
            </w:r>
          </w:p>
        </w:tc>
        <w:tc>
          <w:tcPr>
            <w:tcW w:w="1830" w:type="dxa"/>
            <w:tcBorders>
              <w:top w:val="nil"/>
              <w:left w:val="nil"/>
              <w:bottom w:val="nil"/>
              <w:right w:val="nil"/>
            </w:tcBorders>
            <w:vAlign w:val="center"/>
          </w:tcPr>
          <w:p w14:paraId="2D036C78"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Review</w:t>
            </w:r>
          </w:p>
        </w:tc>
        <w:tc>
          <w:tcPr>
            <w:tcW w:w="1320" w:type="dxa"/>
            <w:tcBorders>
              <w:top w:val="nil"/>
              <w:left w:val="nil"/>
              <w:bottom w:val="nil"/>
              <w:right w:val="nil"/>
            </w:tcBorders>
            <w:vAlign w:val="center"/>
          </w:tcPr>
          <w:p w14:paraId="77650D62"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Cybersecurity</w:t>
            </w:r>
          </w:p>
        </w:tc>
        <w:tc>
          <w:tcPr>
            <w:tcW w:w="1230" w:type="dxa"/>
            <w:tcBorders>
              <w:top w:val="nil"/>
              <w:left w:val="nil"/>
              <w:bottom w:val="nil"/>
              <w:right w:val="nil"/>
            </w:tcBorders>
            <w:vAlign w:val="center"/>
          </w:tcPr>
          <w:p w14:paraId="7ABF67FA"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Smart cities and intelligent transportation systems</w:t>
            </w:r>
          </w:p>
        </w:tc>
        <w:tc>
          <w:tcPr>
            <w:tcW w:w="3720" w:type="dxa"/>
            <w:tcBorders>
              <w:top w:val="nil"/>
              <w:left w:val="nil"/>
              <w:bottom w:val="nil"/>
              <w:right w:val="single" w:sz="8" w:space="0" w:color="000000"/>
            </w:tcBorders>
            <w:vAlign w:val="center"/>
          </w:tcPr>
          <w:p w14:paraId="1C04D9EF"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Identifies cyber threats to transport infrastructure, data privacy and public safety as central challenges for increasingly connected mobility systems.</w:t>
            </w:r>
          </w:p>
        </w:tc>
      </w:tr>
      <w:tr w:rsidR="00D215B7" w14:paraId="3903CC51" w14:textId="77777777">
        <w:trPr>
          <w:cantSplit/>
          <w:trHeight w:val="2000"/>
        </w:trPr>
        <w:tc>
          <w:tcPr>
            <w:tcW w:w="570" w:type="dxa"/>
            <w:tcBorders>
              <w:top w:val="nil"/>
              <w:left w:val="single" w:sz="8" w:space="0" w:color="000000"/>
              <w:bottom w:val="nil"/>
              <w:right w:val="nil"/>
            </w:tcBorders>
            <w:vAlign w:val="center"/>
          </w:tcPr>
          <w:p w14:paraId="2B50A544" w14:textId="77777777" w:rsidR="00D215B7" w:rsidRDefault="00000000">
            <w:pPr>
              <w:jc w:val="right"/>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lastRenderedPageBreak/>
              <w:t>15</w:t>
            </w:r>
          </w:p>
        </w:tc>
        <w:tc>
          <w:tcPr>
            <w:tcW w:w="960" w:type="dxa"/>
            <w:tcBorders>
              <w:top w:val="nil"/>
              <w:left w:val="nil"/>
              <w:bottom w:val="nil"/>
              <w:right w:val="nil"/>
            </w:tcBorders>
            <w:vAlign w:val="center"/>
          </w:tcPr>
          <w:p w14:paraId="4FE0E9B6" w14:textId="77777777" w:rsidR="00D215B7" w:rsidRDefault="00000000">
            <w:pPr>
              <w:textAlignment w:val="center"/>
              <w:rPr>
                <w:rFonts w:ascii="Times New Roman" w:hAnsi="Times New Roman" w:cs="Times New Roman"/>
                <w:color w:val="000000"/>
                <w:sz w:val="22"/>
                <w:szCs w:val="22"/>
              </w:rPr>
            </w:pPr>
            <w:proofErr w:type="spellStart"/>
            <w:r>
              <w:rPr>
                <w:rFonts w:ascii="Times New Roman" w:eastAsia="SimSun" w:hAnsi="Times New Roman" w:cs="Times New Roman"/>
                <w:color w:val="000000"/>
                <w:sz w:val="22"/>
                <w:szCs w:val="22"/>
                <w:lang w:bidi="ar"/>
              </w:rPr>
              <w:t>Kivimaa</w:t>
            </w:r>
            <w:proofErr w:type="spellEnd"/>
            <w:r>
              <w:rPr>
                <w:rFonts w:ascii="Times New Roman" w:eastAsia="SimSun" w:hAnsi="Times New Roman" w:cs="Times New Roman"/>
                <w:color w:val="000000"/>
                <w:sz w:val="22"/>
                <w:szCs w:val="22"/>
                <w:lang w:bidi="ar"/>
              </w:rPr>
              <w:t xml:space="preserve"> et al. (2021)</w:t>
            </w:r>
          </w:p>
        </w:tc>
        <w:tc>
          <w:tcPr>
            <w:tcW w:w="1830" w:type="dxa"/>
            <w:tcBorders>
              <w:top w:val="nil"/>
              <w:left w:val="nil"/>
              <w:bottom w:val="nil"/>
              <w:right w:val="nil"/>
            </w:tcBorders>
            <w:vAlign w:val="center"/>
          </w:tcPr>
          <w:p w14:paraId="0272BF74"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Review</w:t>
            </w:r>
          </w:p>
        </w:tc>
        <w:tc>
          <w:tcPr>
            <w:tcW w:w="1320" w:type="dxa"/>
            <w:tcBorders>
              <w:top w:val="nil"/>
              <w:left w:val="nil"/>
              <w:bottom w:val="nil"/>
              <w:right w:val="nil"/>
            </w:tcBorders>
            <w:vAlign w:val="center"/>
          </w:tcPr>
          <w:p w14:paraId="07277626"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Sustainability-transition processes</w:t>
            </w:r>
          </w:p>
        </w:tc>
        <w:tc>
          <w:tcPr>
            <w:tcW w:w="1230" w:type="dxa"/>
            <w:tcBorders>
              <w:top w:val="nil"/>
              <w:left w:val="nil"/>
              <w:bottom w:val="nil"/>
              <w:right w:val="nil"/>
            </w:tcBorders>
            <w:vAlign w:val="center"/>
          </w:tcPr>
          <w:p w14:paraId="0FEC3B58"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Socio-technical mobility transformation</w:t>
            </w:r>
          </w:p>
        </w:tc>
        <w:tc>
          <w:tcPr>
            <w:tcW w:w="3720" w:type="dxa"/>
            <w:tcBorders>
              <w:top w:val="nil"/>
              <w:left w:val="nil"/>
              <w:bottom w:val="nil"/>
              <w:right w:val="single" w:sz="8" w:space="0" w:color="000000"/>
            </w:tcBorders>
            <w:vAlign w:val="center"/>
          </w:tcPr>
          <w:p w14:paraId="74AD5787"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Shows that sustainable transitions depend on interactions among technology, institutions, actors and established systems rather than technological disruption alone.</w:t>
            </w:r>
          </w:p>
        </w:tc>
      </w:tr>
      <w:tr w:rsidR="00D215B7" w14:paraId="0F2CA1B3" w14:textId="77777777">
        <w:trPr>
          <w:cantSplit/>
          <w:trHeight w:val="2000"/>
        </w:trPr>
        <w:tc>
          <w:tcPr>
            <w:tcW w:w="570" w:type="dxa"/>
            <w:tcBorders>
              <w:top w:val="nil"/>
              <w:left w:val="single" w:sz="8" w:space="0" w:color="000000"/>
              <w:bottom w:val="nil"/>
              <w:right w:val="nil"/>
            </w:tcBorders>
            <w:vAlign w:val="center"/>
          </w:tcPr>
          <w:p w14:paraId="61C221CE" w14:textId="77777777" w:rsidR="00D215B7" w:rsidRDefault="00000000">
            <w:pPr>
              <w:jc w:val="right"/>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16</w:t>
            </w:r>
          </w:p>
        </w:tc>
        <w:tc>
          <w:tcPr>
            <w:tcW w:w="960" w:type="dxa"/>
            <w:tcBorders>
              <w:top w:val="nil"/>
              <w:left w:val="nil"/>
              <w:bottom w:val="nil"/>
              <w:right w:val="nil"/>
            </w:tcBorders>
            <w:vAlign w:val="center"/>
          </w:tcPr>
          <w:p w14:paraId="6F97C8A1" w14:textId="77777777" w:rsidR="00D215B7" w:rsidRDefault="00000000">
            <w:pPr>
              <w:textAlignment w:val="center"/>
              <w:rPr>
                <w:rFonts w:ascii="Times New Roman" w:hAnsi="Times New Roman" w:cs="Times New Roman"/>
                <w:color w:val="000000"/>
                <w:sz w:val="22"/>
                <w:szCs w:val="22"/>
              </w:rPr>
            </w:pPr>
            <w:proofErr w:type="spellStart"/>
            <w:r>
              <w:rPr>
                <w:rFonts w:ascii="Times New Roman" w:eastAsia="SimSun" w:hAnsi="Times New Roman" w:cs="Times New Roman"/>
                <w:color w:val="000000"/>
                <w:sz w:val="22"/>
                <w:szCs w:val="22"/>
                <w:lang w:bidi="ar"/>
              </w:rPr>
              <w:t>Kivimaa</w:t>
            </w:r>
            <w:proofErr w:type="spellEnd"/>
            <w:r>
              <w:rPr>
                <w:rFonts w:ascii="Times New Roman" w:eastAsia="SimSun" w:hAnsi="Times New Roman" w:cs="Times New Roman"/>
                <w:color w:val="000000"/>
                <w:sz w:val="22"/>
                <w:szCs w:val="22"/>
                <w:lang w:bidi="ar"/>
              </w:rPr>
              <w:t xml:space="preserve"> and Rogge (2022)</w:t>
            </w:r>
          </w:p>
        </w:tc>
        <w:tc>
          <w:tcPr>
            <w:tcW w:w="1830" w:type="dxa"/>
            <w:tcBorders>
              <w:top w:val="nil"/>
              <w:left w:val="nil"/>
              <w:bottom w:val="nil"/>
              <w:right w:val="nil"/>
            </w:tcBorders>
            <w:vAlign w:val="center"/>
          </w:tcPr>
          <w:p w14:paraId="2CF8BECD"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Case study; Finland</w:t>
            </w:r>
          </w:p>
        </w:tc>
        <w:tc>
          <w:tcPr>
            <w:tcW w:w="1320" w:type="dxa"/>
            <w:tcBorders>
              <w:top w:val="nil"/>
              <w:left w:val="nil"/>
              <w:bottom w:val="nil"/>
              <w:right w:val="nil"/>
            </w:tcBorders>
            <w:vAlign w:val="center"/>
          </w:tcPr>
          <w:p w14:paraId="5DBC911E"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Policy experimentation and institutional change</w:t>
            </w:r>
          </w:p>
        </w:tc>
        <w:tc>
          <w:tcPr>
            <w:tcW w:w="1230" w:type="dxa"/>
            <w:tcBorders>
              <w:top w:val="nil"/>
              <w:left w:val="nil"/>
              <w:bottom w:val="nil"/>
              <w:right w:val="nil"/>
            </w:tcBorders>
            <w:vAlign w:val="center"/>
          </w:tcPr>
          <w:p w14:paraId="26181327"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Mobility-as-a-Service</w:t>
            </w:r>
          </w:p>
        </w:tc>
        <w:tc>
          <w:tcPr>
            <w:tcW w:w="3720" w:type="dxa"/>
            <w:tcBorders>
              <w:top w:val="nil"/>
              <w:left w:val="nil"/>
              <w:bottom w:val="nil"/>
              <w:right w:val="single" w:sz="8" w:space="0" w:color="000000"/>
            </w:tcBorders>
            <w:vAlign w:val="center"/>
          </w:tcPr>
          <w:p w14:paraId="04A37E30"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Demonstrates that new mobility models require regulatory experimentation and institutional restructuring alongside technological innovation.</w:t>
            </w:r>
          </w:p>
        </w:tc>
      </w:tr>
      <w:tr w:rsidR="00D215B7" w14:paraId="3FD05310" w14:textId="77777777">
        <w:trPr>
          <w:cantSplit/>
          <w:trHeight w:val="2000"/>
        </w:trPr>
        <w:tc>
          <w:tcPr>
            <w:tcW w:w="570" w:type="dxa"/>
            <w:tcBorders>
              <w:top w:val="nil"/>
              <w:left w:val="single" w:sz="8" w:space="0" w:color="000000"/>
              <w:bottom w:val="nil"/>
              <w:right w:val="nil"/>
            </w:tcBorders>
            <w:vAlign w:val="center"/>
          </w:tcPr>
          <w:p w14:paraId="3E441496" w14:textId="77777777" w:rsidR="00D215B7" w:rsidRDefault="00000000">
            <w:pPr>
              <w:jc w:val="right"/>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17</w:t>
            </w:r>
          </w:p>
        </w:tc>
        <w:tc>
          <w:tcPr>
            <w:tcW w:w="960" w:type="dxa"/>
            <w:tcBorders>
              <w:top w:val="nil"/>
              <w:left w:val="nil"/>
              <w:bottom w:val="nil"/>
              <w:right w:val="nil"/>
            </w:tcBorders>
            <w:vAlign w:val="center"/>
          </w:tcPr>
          <w:p w14:paraId="54D6A00C" w14:textId="77777777" w:rsidR="00D215B7" w:rsidRDefault="00000000">
            <w:pPr>
              <w:textAlignment w:val="center"/>
              <w:rPr>
                <w:rFonts w:ascii="Times New Roman" w:hAnsi="Times New Roman" w:cs="Times New Roman"/>
                <w:color w:val="000000"/>
                <w:sz w:val="22"/>
                <w:szCs w:val="22"/>
              </w:rPr>
            </w:pPr>
            <w:proofErr w:type="spellStart"/>
            <w:r>
              <w:rPr>
                <w:rFonts w:ascii="Times New Roman" w:eastAsia="SimSun" w:hAnsi="Times New Roman" w:cs="Times New Roman"/>
                <w:color w:val="000000"/>
                <w:sz w:val="22"/>
                <w:szCs w:val="22"/>
                <w:lang w:bidi="ar"/>
              </w:rPr>
              <w:t>Mitieka</w:t>
            </w:r>
            <w:proofErr w:type="spellEnd"/>
            <w:r>
              <w:rPr>
                <w:rFonts w:ascii="Times New Roman" w:eastAsia="SimSun" w:hAnsi="Times New Roman" w:cs="Times New Roman"/>
                <w:color w:val="000000"/>
                <w:sz w:val="22"/>
                <w:szCs w:val="22"/>
                <w:lang w:bidi="ar"/>
              </w:rPr>
              <w:t xml:space="preserve"> et al. (2023)</w:t>
            </w:r>
          </w:p>
        </w:tc>
        <w:tc>
          <w:tcPr>
            <w:tcW w:w="1830" w:type="dxa"/>
            <w:tcBorders>
              <w:top w:val="nil"/>
              <w:left w:val="nil"/>
              <w:bottom w:val="nil"/>
              <w:right w:val="nil"/>
            </w:tcBorders>
            <w:vAlign w:val="center"/>
          </w:tcPr>
          <w:p w14:paraId="48C6D93B"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Bibliometric review</w:t>
            </w:r>
          </w:p>
        </w:tc>
        <w:tc>
          <w:tcPr>
            <w:tcW w:w="1320" w:type="dxa"/>
            <w:tcBorders>
              <w:top w:val="nil"/>
              <w:left w:val="nil"/>
              <w:bottom w:val="nil"/>
              <w:right w:val="nil"/>
            </w:tcBorders>
            <w:vAlign w:val="center"/>
          </w:tcPr>
          <w:p w14:paraId="0F88835B"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Smart-mobility research</w:t>
            </w:r>
          </w:p>
        </w:tc>
        <w:tc>
          <w:tcPr>
            <w:tcW w:w="1230" w:type="dxa"/>
            <w:tcBorders>
              <w:top w:val="nil"/>
              <w:left w:val="nil"/>
              <w:bottom w:val="nil"/>
              <w:right w:val="nil"/>
            </w:tcBorders>
            <w:vAlign w:val="center"/>
          </w:tcPr>
          <w:p w14:paraId="0323E226"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Global smart mobility</w:t>
            </w:r>
          </w:p>
        </w:tc>
        <w:tc>
          <w:tcPr>
            <w:tcW w:w="3720" w:type="dxa"/>
            <w:tcBorders>
              <w:top w:val="nil"/>
              <w:left w:val="nil"/>
              <w:bottom w:val="nil"/>
              <w:right w:val="single" w:sz="8" w:space="0" w:color="000000"/>
            </w:tcBorders>
            <w:vAlign w:val="center"/>
          </w:tcPr>
          <w:p w14:paraId="12A7861A"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Shows rapid growth in smart-mobility research while identifying geographical imbalance and insufficient attention to developing-country contexts.</w:t>
            </w:r>
          </w:p>
        </w:tc>
      </w:tr>
      <w:tr w:rsidR="00D215B7" w14:paraId="37B6AFBA" w14:textId="77777777">
        <w:trPr>
          <w:cantSplit/>
          <w:trHeight w:val="2000"/>
        </w:trPr>
        <w:tc>
          <w:tcPr>
            <w:tcW w:w="570" w:type="dxa"/>
            <w:tcBorders>
              <w:top w:val="nil"/>
              <w:left w:val="single" w:sz="8" w:space="0" w:color="000000"/>
              <w:bottom w:val="nil"/>
              <w:right w:val="nil"/>
            </w:tcBorders>
            <w:vAlign w:val="center"/>
          </w:tcPr>
          <w:p w14:paraId="360F5F76" w14:textId="77777777" w:rsidR="00D215B7" w:rsidRDefault="00000000">
            <w:pPr>
              <w:jc w:val="right"/>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18</w:t>
            </w:r>
          </w:p>
        </w:tc>
        <w:tc>
          <w:tcPr>
            <w:tcW w:w="960" w:type="dxa"/>
            <w:tcBorders>
              <w:top w:val="nil"/>
              <w:left w:val="nil"/>
              <w:bottom w:val="nil"/>
              <w:right w:val="nil"/>
            </w:tcBorders>
            <w:vAlign w:val="center"/>
          </w:tcPr>
          <w:p w14:paraId="06CDF2C2" w14:textId="77777777" w:rsidR="00D215B7" w:rsidRDefault="00000000">
            <w:pPr>
              <w:textAlignment w:val="center"/>
              <w:rPr>
                <w:rFonts w:ascii="Times New Roman" w:hAnsi="Times New Roman" w:cs="Times New Roman"/>
                <w:color w:val="000000"/>
                <w:sz w:val="22"/>
                <w:szCs w:val="22"/>
              </w:rPr>
            </w:pPr>
            <w:proofErr w:type="spellStart"/>
            <w:r>
              <w:rPr>
                <w:rFonts w:ascii="Times New Roman" w:eastAsia="SimSun" w:hAnsi="Times New Roman" w:cs="Times New Roman"/>
                <w:color w:val="000000"/>
                <w:sz w:val="22"/>
                <w:szCs w:val="22"/>
                <w:lang w:bidi="ar"/>
              </w:rPr>
              <w:t>Mitieka</w:t>
            </w:r>
            <w:proofErr w:type="spellEnd"/>
            <w:r>
              <w:rPr>
                <w:rFonts w:ascii="Times New Roman" w:eastAsia="SimSun" w:hAnsi="Times New Roman" w:cs="Times New Roman"/>
                <w:color w:val="000000"/>
                <w:sz w:val="22"/>
                <w:szCs w:val="22"/>
                <w:lang w:bidi="ar"/>
              </w:rPr>
              <w:t xml:space="preserve"> et al. (2026)</w:t>
            </w:r>
          </w:p>
        </w:tc>
        <w:tc>
          <w:tcPr>
            <w:tcW w:w="1830" w:type="dxa"/>
            <w:tcBorders>
              <w:top w:val="nil"/>
              <w:left w:val="nil"/>
              <w:bottom w:val="nil"/>
              <w:right w:val="nil"/>
            </w:tcBorders>
            <w:vAlign w:val="center"/>
          </w:tcPr>
          <w:p w14:paraId="25E6BB7E"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Systematic literature review</w:t>
            </w:r>
          </w:p>
        </w:tc>
        <w:tc>
          <w:tcPr>
            <w:tcW w:w="1320" w:type="dxa"/>
            <w:tcBorders>
              <w:top w:val="nil"/>
              <w:left w:val="nil"/>
              <w:bottom w:val="nil"/>
              <w:right w:val="nil"/>
            </w:tcBorders>
            <w:vAlign w:val="center"/>
          </w:tcPr>
          <w:p w14:paraId="1FB3A166"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Smart-mobility antecedents and impacts</w:t>
            </w:r>
          </w:p>
        </w:tc>
        <w:tc>
          <w:tcPr>
            <w:tcW w:w="1230" w:type="dxa"/>
            <w:tcBorders>
              <w:top w:val="nil"/>
              <w:left w:val="nil"/>
              <w:bottom w:val="nil"/>
              <w:right w:val="nil"/>
            </w:tcBorders>
            <w:vAlign w:val="center"/>
          </w:tcPr>
          <w:p w14:paraId="49438A9D"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Technology adoption, sustainability and governance</w:t>
            </w:r>
          </w:p>
        </w:tc>
        <w:tc>
          <w:tcPr>
            <w:tcW w:w="3720" w:type="dxa"/>
            <w:tcBorders>
              <w:top w:val="nil"/>
              <w:left w:val="nil"/>
              <w:bottom w:val="nil"/>
              <w:right w:val="single" w:sz="8" w:space="0" w:color="000000"/>
            </w:tcBorders>
            <w:vAlign w:val="center"/>
          </w:tcPr>
          <w:p w14:paraId="3F298A98"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 xml:space="preserve">Integrates technological, institutional and </w:t>
            </w:r>
            <w:proofErr w:type="spellStart"/>
            <w:r>
              <w:rPr>
                <w:rFonts w:ascii="Times New Roman" w:eastAsia="SimSun" w:hAnsi="Times New Roman" w:cs="Times New Roman"/>
                <w:color w:val="000000"/>
                <w:sz w:val="22"/>
                <w:szCs w:val="22"/>
                <w:lang w:bidi="ar"/>
              </w:rPr>
              <w:t>behavioural</w:t>
            </w:r>
            <w:proofErr w:type="spellEnd"/>
            <w:r>
              <w:rPr>
                <w:rFonts w:ascii="Times New Roman" w:eastAsia="SimSun" w:hAnsi="Times New Roman" w:cs="Times New Roman"/>
                <w:color w:val="000000"/>
                <w:sz w:val="22"/>
                <w:szCs w:val="22"/>
                <w:lang w:bidi="ar"/>
              </w:rPr>
              <w:t xml:space="preserve"> conditions shaping smart-mobility adoption and reported outcomes.</w:t>
            </w:r>
          </w:p>
        </w:tc>
      </w:tr>
      <w:tr w:rsidR="00D215B7" w14:paraId="21745FD9" w14:textId="77777777">
        <w:trPr>
          <w:cantSplit/>
          <w:trHeight w:val="2000"/>
        </w:trPr>
        <w:tc>
          <w:tcPr>
            <w:tcW w:w="570" w:type="dxa"/>
            <w:tcBorders>
              <w:top w:val="nil"/>
              <w:left w:val="single" w:sz="8" w:space="0" w:color="000000"/>
              <w:bottom w:val="nil"/>
              <w:right w:val="nil"/>
            </w:tcBorders>
            <w:vAlign w:val="center"/>
          </w:tcPr>
          <w:p w14:paraId="7680497C" w14:textId="77777777" w:rsidR="00D215B7" w:rsidRDefault="00000000">
            <w:pPr>
              <w:jc w:val="right"/>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19</w:t>
            </w:r>
          </w:p>
        </w:tc>
        <w:tc>
          <w:tcPr>
            <w:tcW w:w="960" w:type="dxa"/>
            <w:tcBorders>
              <w:top w:val="nil"/>
              <w:left w:val="nil"/>
              <w:bottom w:val="nil"/>
              <w:right w:val="nil"/>
            </w:tcBorders>
            <w:vAlign w:val="center"/>
          </w:tcPr>
          <w:p w14:paraId="32900EDC"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Nandy et al. (2024)</w:t>
            </w:r>
          </w:p>
        </w:tc>
        <w:tc>
          <w:tcPr>
            <w:tcW w:w="1830" w:type="dxa"/>
            <w:tcBorders>
              <w:top w:val="nil"/>
              <w:left w:val="nil"/>
              <w:bottom w:val="nil"/>
              <w:right w:val="nil"/>
            </w:tcBorders>
            <w:vAlign w:val="center"/>
          </w:tcPr>
          <w:p w14:paraId="5B96EEA7"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Review</w:t>
            </w:r>
          </w:p>
        </w:tc>
        <w:tc>
          <w:tcPr>
            <w:tcW w:w="1320" w:type="dxa"/>
            <w:tcBorders>
              <w:top w:val="nil"/>
              <w:left w:val="nil"/>
              <w:bottom w:val="nil"/>
              <w:right w:val="nil"/>
            </w:tcBorders>
            <w:vAlign w:val="center"/>
          </w:tcPr>
          <w:p w14:paraId="484E699D"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Vehicular network security and intrusion detection</w:t>
            </w:r>
          </w:p>
        </w:tc>
        <w:tc>
          <w:tcPr>
            <w:tcW w:w="1230" w:type="dxa"/>
            <w:tcBorders>
              <w:top w:val="nil"/>
              <w:left w:val="nil"/>
              <w:bottom w:val="nil"/>
              <w:right w:val="nil"/>
            </w:tcBorders>
            <w:vAlign w:val="center"/>
          </w:tcPr>
          <w:p w14:paraId="033689ED"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Connected and autonomous transport</w:t>
            </w:r>
          </w:p>
        </w:tc>
        <w:tc>
          <w:tcPr>
            <w:tcW w:w="3720" w:type="dxa"/>
            <w:tcBorders>
              <w:top w:val="nil"/>
              <w:left w:val="nil"/>
              <w:bottom w:val="nil"/>
              <w:right w:val="single" w:sz="8" w:space="0" w:color="000000"/>
            </w:tcBorders>
            <w:vAlign w:val="center"/>
          </w:tcPr>
          <w:p w14:paraId="5E55ED10"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Identifies security threats and limitations of intrusion-detection systems, supporting the need for adaptive and resource-efficient security mechanisms.</w:t>
            </w:r>
          </w:p>
        </w:tc>
      </w:tr>
      <w:tr w:rsidR="00D215B7" w14:paraId="521A4424" w14:textId="77777777">
        <w:trPr>
          <w:cantSplit/>
          <w:trHeight w:val="2000"/>
        </w:trPr>
        <w:tc>
          <w:tcPr>
            <w:tcW w:w="570" w:type="dxa"/>
            <w:tcBorders>
              <w:top w:val="nil"/>
              <w:left w:val="single" w:sz="8" w:space="0" w:color="000000"/>
              <w:bottom w:val="nil"/>
              <w:right w:val="nil"/>
            </w:tcBorders>
            <w:vAlign w:val="center"/>
          </w:tcPr>
          <w:p w14:paraId="088DDAEE" w14:textId="77777777" w:rsidR="00D215B7" w:rsidRDefault="00000000">
            <w:pPr>
              <w:jc w:val="right"/>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lastRenderedPageBreak/>
              <w:t>20</w:t>
            </w:r>
          </w:p>
        </w:tc>
        <w:tc>
          <w:tcPr>
            <w:tcW w:w="960" w:type="dxa"/>
            <w:tcBorders>
              <w:top w:val="nil"/>
              <w:left w:val="nil"/>
              <w:bottom w:val="nil"/>
              <w:right w:val="nil"/>
            </w:tcBorders>
            <w:vAlign w:val="center"/>
          </w:tcPr>
          <w:p w14:paraId="4514A0CC"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Nikitas et al. (2020)</w:t>
            </w:r>
          </w:p>
        </w:tc>
        <w:tc>
          <w:tcPr>
            <w:tcW w:w="1830" w:type="dxa"/>
            <w:tcBorders>
              <w:top w:val="nil"/>
              <w:left w:val="nil"/>
              <w:bottom w:val="nil"/>
              <w:right w:val="nil"/>
            </w:tcBorders>
            <w:vAlign w:val="center"/>
          </w:tcPr>
          <w:p w14:paraId="43697EC3"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Conceptual/review study</w:t>
            </w:r>
          </w:p>
        </w:tc>
        <w:tc>
          <w:tcPr>
            <w:tcW w:w="1320" w:type="dxa"/>
            <w:tcBorders>
              <w:top w:val="nil"/>
              <w:left w:val="nil"/>
              <w:bottom w:val="nil"/>
              <w:right w:val="nil"/>
            </w:tcBorders>
            <w:vAlign w:val="center"/>
          </w:tcPr>
          <w:p w14:paraId="4130D1B6"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Artificial intelligence</w:t>
            </w:r>
          </w:p>
        </w:tc>
        <w:tc>
          <w:tcPr>
            <w:tcW w:w="1230" w:type="dxa"/>
            <w:tcBorders>
              <w:top w:val="nil"/>
              <w:left w:val="nil"/>
              <w:bottom w:val="nil"/>
              <w:right w:val="nil"/>
            </w:tcBorders>
            <w:vAlign w:val="center"/>
          </w:tcPr>
          <w:p w14:paraId="08EA08EA"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Transport and smart-city mobility</w:t>
            </w:r>
          </w:p>
        </w:tc>
        <w:tc>
          <w:tcPr>
            <w:tcW w:w="3720" w:type="dxa"/>
            <w:tcBorders>
              <w:top w:val="nil"/>
              <w:left w:val="nil"/>
              <w:bottom w:val="nil"/>
              <w:right w:val="single" w:sz="8" w:space="0" w:color="000000"/>
            </w:tcBorders>
            <w:vAlign w:val="center"/>
          </w:tcPr>
          <w:p w14:paraId="1564ABAA"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 xml:space="preserve">Establishes AI as a potential contributor to sustainable urban transport while </w:t>
            </w:r>
            <w:proofErr w:type="spellStart"/>
            <w:r>
              <w:rPr>
                <w:rFonts w:ascii="Times New Roman" w:eastAsia="SimSun" w:hAnsi="Times New Roman" w:cs="Times New Roman"/>
                <w:color w:val="000000"/>
                <w:sz w:val="22"/>
                <w:szCs w:val="22"/>
                <w:lang w:bidi="ar"/>
              </w:rPr>
              <w:t>emphasising</w:t>
            </w:r>
            <w:proofErr w:type="spellEnd"/>
            <w:r>
              <w:rPr>
                <w:rFonts w:ascii="Times New Roman" w:eastAsia="SimSun" w:hAnsi="Times New Roman" w:cs="Times New Roman"/>
                <w:color w:val="000000"/>
                <w:sz w:val="22"/>
                <w:szCs w:val="22"/>
                <w:lang w:bidi="ar"/>
              </w:rPr>
              <w:t xml:space="preserve"> responsible deployment and broader urban-system considerations.</w:t>
            </w:r>
          </w:p>
        </w:tc>
      </w:tr>
      <w:tr w:rsidR="00D215B7" w14:paraId="4301FEA2" w14:textId="77777777">
        <w:trPr>
          <w:cantSplit/>
          <w:trHeight w:val="2000"/>
        </w:trPr>
        <w:tc>
          <w:tcPr>
            <w:tcW w:w="570" w:type="dxa"/>
            <w:tcBorders>
              <w:top w:val="nil"/>
              <w:left w:val="single" w:sz="8" w:space="0" w:color="000000"/>
              <w:bottom w:val="nil"/>
              <w:right w:val="nil"/>
            </w:tcBorders>
            <w:vAlign w:val="center"/>
          </w:tcPr>
          <w:p w14:paraId="54B4F96F" w14:textId="77777777" w:rsidR="00D215B7" w:rsidRDefault="00000000">
            <w:pPr>
              <w:jc w:val="right"/>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21</w:t>
            </w:r>
          </w:p>
        </w:tc>
        <w:tc>
          <w:tcPr>
            <w:tcW w:w="960" w:type="dxa"/>
            <w:tcBorders>
              <w:top w:val="nil"/>
              <w:left w:val="nil"/>
              <w:bottom w:val="nil"/>
              <w:right w:val="nil"/>
            </w:tcBorders>
            <w:vAlign w:val="center"/>
          </w:tcPr>
          <w:p w14:paraId="3DD207CB"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Rong et al. (2025)</w:t>
            </w:r>
          </w:p>
        </w:tc>
        <w:tc>
          <w:tcPr>
            <w:tcW w:w="1830" w:type="dxa"/>
            <w:tcBorders>
              <w:top w:val="nil"/>
              <w:left w:val="nil"/>
              <w:bottom w:val="nil"/>
              <w:right w:val="nil"/>
            </w:tcBorders>
            <w:vAlign w:val="center"/>
          </w:tcPr>
          <w:p w14:paraId="3D81C2E0"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Systematic review</w:t>
            </w:r>
          </w:p>
        </w:tc>
        <w:tc>
          <w:tcPr>
            <w:tcW w:w="1320" w:type="dxa"/>
            <w:tcBorders>
              <w:top w:val="nil"/>
              <w:left w:val="nil"/>
              <w:bottom w:val="nil"/>
              <w:right w:val="nil"/>
            </w:tcBorders>
            <w:vAlign w:val="center"/>
          </w:tcPr>
          <w:p w14:paraId="361DD3D5"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Generative AI</w:t>
            </w:r>
          </w:p>
        </w:tc>
        <w:tc>
          <w:tcPr>
            <w:tcW w:w="1230" w:type="dxa"/>
            <w:tcBorders>
              <w:top w:val="nil"/>
              <w:left w:val="nil"/>
              <w:bottom w:val="nil"/>
              <w:right w:val="nil"/>
            </w:tcBorders>
            <w:vAlign w:val="center"/>
          </w:tcPr>
          <w:p w14:paraId="31545EA8"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Traffic prediction, assisted driving and transport decision support</w:t>
            </w:r>
          </w:p>
        </w:tc>
        <w:tc>
          <w:tcPr>
            <w:tcW w:w="3720" w:type="dxa"/>
            <w:tcBorders>
              <w:top w:val="nil"/>
              <w:left w:val="nil"/>
              <w:bottom w:val="nil"/>
              <w:right w:val="single" w:sz="8" w:space="0" w:color="000000"/>
            </w:tcBorders>
            <w:vAlign w:val="center"/>
          </w:tcPr>
          <w:p w14:paraId="0CC0296D"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Identifies growing generative-AI applications while noting continuing concerns involving safety, trust and deployment maturity.</w:t>
            </w:r>
          </w:p>
        </w:tc>
      </w:tr>
      <w:tr w:rsidR="00D215B7" w14:paraId="5298DA1F" w14:textId="77777777">
        <w:trPr>
          <w:cantSplit/>
          <w:trHeight w:val="2000"/>
        </w:trPr>
        <w:tc>
          <w:tcPr>
            <w:tcW w:w="570" w:type="dxa"/>
            <w:tcBorders>
              <w:top w:val="nil"/>
              <w:left w:val="single" w:sz="8" w:space="0" w:color="000000"/>
              <w:bottom w:val="nil"/>
              <w:right w:val="nil"/>
            </w:tcBorders>
            <w:vAlign w:val="center"/>
          </w:tcPr>
          <w:p w14:paraId="3E9263FE" w14:textId="77777777" w:rsidR="00D215B7" w:rsidRDefault="00000000">
            <w:pPr>
              <w:jc w:val="right"/>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22</w:t>
            </w:r>
          </w:p>
        </w:tc>
        <w:tc>
          <w:tcPr>
            <w:tcW w:w="960" w:type="dxa"/>
            <w:tcBorders>
              <w:top w:val="nil"/>
              <w:left w:val="nil"/>
              <w:bottom w:val="nil"/>
              <w:right w:val="nil"/>
            </w:tcBorders>
            <w:vAlign w:val="center"/>
          </w:tcPr>
          <w:p w14:paraId="1112EAA2" w14:textId="77777777" w:rsidR="00D215B7" w:rsidRDefault="00000000">
            <w:pPr>
              <w:textAlignment w:val="center"/>
              <w:rPr>
                <w:rFonts w:ascii="Times New Roman" w:hAnsi="Times New Roman" w:cs="Times New Roman"/>
                <w:color w:val="000000"/>
                <w:sz w:val="22"/>
                <w:szCs w:val="22"/>
              </w:rPr>
            </w:pPr>
            <w:proofErr w:type="spellStart"/>
            <w:r>
              <w:rPr>
                <w:rFonts w:ascii="Times New Roman" w:eastAsia="SimSun" w:hAnsi="Times New Roman" w:cs="Times New Roman"/>
                <w:color w:val="000000"/>
                <w:sz w:val="22"/>
                <w:szCs w:val="22"/>
                <w:lang w:bidi="ar"/>
              </w:rPr>
              <w:t>Rouky</w:t>
            </w:r>
            <w:proofErr w:type="spellEnd"/>
            <w:r>
              <w:rPr>
                <w:rFonts w:ascii="Times New Roman" w:eastAsia="SimSun" w:hAnsi="Times New Roman" w:cs="Times New Roman"/>
                <w:color w:val="000000"/>
                <w:sz w:val="22"/>
                <w:szCs w:val="22"/>
                <w:lang w:bidi="ar"/>
              </w:rPr>
              <w:t xml:space="preserve"> et al. (2025)</w:t>
            </w:r>
          </w:p>
        </w:tc>
        <w:tc>
          <w:tcPr>
            <w:tcW w:w="1830" w:type="dxa"/>
            <w:tcBorders>
              <w:top w:val="nil"/>
              <w:left w:val="nil"/>
              <w:bottom w:val="nil"/>
              <w:right w:val="nil"/>
            </w:tcBorders>
            <w:vAlign w:val="center"/>
          </w:tcPr>
          <w:p w14:paraId="1DBFF6C9"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Systematic literature review</w:t>
            </w:r>
          </w:p>
        </w:tc>
        <w:tc>
          <w:tcPr>
            <w:tcW w:w="1320" w:type="dxa"/>
            <w:tcBorders>
              <w:top w:val="nil"/>
              <w:left w:val="nil"/>
              <w:bottom w:val="nil"/>
              <w:right w:val="nil"/>
            </w:tcBorders>
            <w:vAlign w:val="center"/>
          </w:tcPr>
          <w:p w14:paraId="686B3DC1"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AI, ML and big data</w:t>
            </w:r>
          </w:p>
        </w:tc>
        <w:tc>
          <w:tcPr>
            <w:tcW w:w="1230" w:type="dxa"/>
            <w:tcBorders>
              <w:top w:val="nil"/>
              <w:left w:val="nil"/>
              <w:bottom w:val="nil"/>
              <w:right w:val="nil"/>
            </w:tcBorders>
            <w:vAlign w:val="center"/>
          </w:tcPr>
          <w:p w14:paraId="752D12EA"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Mobility-as-a-Service</w:t>
            </w:r>
          </w:p>
        </w:tc>
        <w:tc>
          <w:tcPr>
            <w:tcW w:w="3720" w:type="dxa"/>
            <w:tcBorders>
              <w:top w:val="nil"/>
              <w:left w:val="nil"/>
              <w:bottom w:val="nil"/>
              <w:right w:val="single" w:sz="8" w:space="0" w:color="000000"/>
            </w:tcBorders>
            <w:vAlign w:val="center"/>
          </w:tcPr>
          <w:p w14:paraId="5D3B9A3C"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 xml:space="preserve">Shows that AI supports demand forecasting, </w:t>
            </w:r>
            <w:proofErr w:type="spellStart"/>
            <w:r>
              <w:rPr>
                <w:rFonts w:ascii="Times New Roman" w:eastAsia="SimSun" w:hAnsi="Times New Roman" w:cs="Times New Roman"/>
                <w:color w:val="000000"/>
                <w:sz w:val="22"/>
                <w:szCs w:val="22"/>
                <w:lang w:bidi="ar"/>
              </w:rPr>
              <w:t>personalisation</w:t>
            </w:r>
            <w:proofErr w:type="spellEnd"/>
            <w:r>
              <w:rPr>
                <w:rFonts w:ascii="Times New Roman" w:eastAsia="SimSun" w:hAnsi="Times New Roman" w:cs="Times New Roman"/>
                <w:color w:val="000000"/>
                <w:sz w:val="22"/>
                <w:szCs w:val="22"/>
                <w:lang w:bidi="ar"/>
              </w:rPr>
              <w:t xml:space="preserve"> and multimodal integration while raising regulatory, privacy and inclusion issues.</w:t>
            </w:r>
          </w:p>
        </w:tc>
      </w:tr>
      <w:tr w:rsidR="00D215B7" w14:paraId="22F109C1" w14:textId="77777777">
        <w:trPr>
          <w:cantSplit/>
          <w:trHeight w:val="2000"/>
        </w:trPr>
        <w:tc>
          <w:tcPr>
            <w:tcW w:w="570" w:type="dxa"/>
            <w:tcBorders>
              <w:top w:val="nil"/>
              <w:left w:val="single" w:sz="8" w:space="0" w:color="000000"/>
              <w:bottom w:val="nil"/>
              <w:right w:val="nil"/>
            </w:tcBorders>
            <w:vAlign w:val="center"/>
          </w:tcPr>
          <w:p w14:paraId="4CF4A76F" w14:textId="77777777" w:rsidR="00D215B7" w:rsidRDefault="00000000">
            <w:pPr>
              <w:jc w:val="right"/>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23</w:t>
            </w:r>
          </w:p>
        </w:tc>
        <w:tc>
          <w:tcPr>
            <w:tcW w:w="960" w:type="dxa"/>
            <w:tcBorders>
              <w:top w:val="nil"/>
              <w:left w:val="nil"/>
              <w:bottom w:val="nil"/>
              <w:right w:val="nil"/>
            </w:tcBorders>
            <w:vAlign w:val="center"/>
          </w:tcPr>
          <w:p w14:paraId="60C834CC"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Sadeghian et al. (2022)</w:t>
            </w:r>
          </w:p>
        </w:tc>
        <w:tc>
          <w:tcPr>
            <w:tcW w:w="1830" w:type="dxa"/>
            <w:tcBorders>
              <w:top w:val="nil"/>
              <w:left w:val="nil"/>
              <w:bottom w:val="nil"/>
              <w:right w:val="nil"/>
            </w:tcBorders>
            <w:vAlign w:val="center"/>
          </w:tcPr>
          <w:p w14:paraId="7B9E7064"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Comprehensive review</w:t>
            </w:r>
          </w:p>
        </w:tc>
        <w:tc>
          <w:tcPr>
            <w:tcW w:w="1320" w:type="dxa"/>
            <w:tcBorders>
              <w:top w:val="nil"/>
              <w:left w:val="nil"/>
              <w:bottom w:val="nil"/>
              <w:right w:val="nil"/>
            </w:tcBorders>
            <w:vAlign w:val="center"/>
          </w:tcPr>
          <w:p w14:paraId="084A96F4"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Smart EV charging</w:t>
            </w:r>
          </w:p>
        </w:tc>
        <w:tc>
          <w:tcPr>
            <w:tcW w:w="1230" w:type="dxa"/>
            <w:tcBorders>
              <w:top w:val="nil"/>
              <w:left w:val="nil"/>
              <w:bottom w:val="nil"/>
              <w:right w:val="nil"/>
            </w:tcBorders>
            <w:vAlign w:val="center"/>
          </w:tcPr>
          <w:p w14:paraId="308DD466"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Charging, grid services and energy management</w:t>
            </w:r>
          </w:p>
        </w:tc>
        <w:tc>
          <w:tcPr>
            <w:tcW w:w="3720" w:type="dxa"/>
            <w:tcBorders>
              <w:top w:val="nil"/>
              <w:left w:val="nil"/>
              <w:bottom w:val="nil"/>
              <w:right w:val="single" w:sz="8" w:space="0" w:color="000000"/>
            </w:tcBorders>
            <w:vAlign w:val="center"/>
          </w:tcPr>
          <w:p w14:paraId="4C1A2B04"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Demonstrates that intelligent charging can reduce charging and grid operating costs while facilitating renewable-energy integration.</w:t>
            </w:r>
          </w:p>
        </w:tc>
      </w:tr>
      <w:tr w:rsidR="00D215B7" w14:paraId="46273B37" w14:textId="77777777">
        <w:trPr>
          <w:cantSplit/>
          <w:trHeight w:val="2000"/>
        </w:trPr>
        <w:tc>
          <w:tcPr>
            <w:tcW w:w="570" w:type="dxa"/>
            <w:tcBorders>
              <w:top w:val="nil"/>
              <w:left w:val="single" w:sz="8" w:space="0" w:color="000000"/>
              <w:bottom w:val="nil"/>
              <w:right w:val="nil"/>
            </w:tcBorders>
            <w:vAlign w:val="center"/>
          </w:tcPr>
          <w:p w14:paraId="140FE7AA" w14:textId="77777777" w:rsidR="00D215B7" w:rsidRDefault="00000000">
            <w:pPr>
              <w:jc w:val="right"/>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24</w:t>
            </w:r>
          </w:p>
        </w:tc>
        <w:tc>
          <w:tcPr>
            <w:tcW w:w="960" w:type="dxa"/>
            <w:tcBorders>
              <w:top w:val="nil"/>
              <w:left w:val="nil"/>
              <w:bottom w:val="nil"/>
              <w:right w:val="nil"/>
            </w:tcBorders>
            <w:vAlign w:val="center"/>
          </w:tcPr>
          <w:p w14:paraId="4137213A" w14:textId="77777777" w:rsidR="00D215B7" w:rsidRDefault="00000000">
            <w:pPr>
              <w:textAlignment w:val="center"/>
              <w:rPr>
                <w:rFonts w:ascii="Times New Roman" w:hAnsi="Times New Roman" w:cs="Times New Roman"/>
                <w:color w:val="000000"/>
                <w:sz w:val="22"/>
                <w:szCs w:val="22"/>
              </w:rPr>
            </w:pPr>
            <w:proofErr w:type="spellStart"/>
            <w:r>
              <w:rPr>
                <w:rFonts w:ascii="Times New Roman" w:eastAsia="SimSun" w:hAnsi="Times New Roman" w:cs="Times New Roman"/>
                <w:color w:val="000000"/>
                <w:sz w:val="22"/>
                <w:szCs w:val="22"/>
                <w:lang w:bidi="ar"/>
              </w:rPr>
              <w:t>Servou</w:t>
            </w:r>
            <w:proofErr w:type="spellEnd"/>
            <w:r>
              <w:rPr>
                <w:rFonts w:ascii="Times New Roman" w:eastAsia="SimSun" w:hAnsi="Times New Roman" w:cs="Times New Roman"/>
                <w:color w:val="000000"/>
                <w:sz w:val="22"/>
                <w:szCs w:val="22"/>
                <w:lang w:bidi="ar"/>
              </w:rPr>
              <w:t xml:space="preserve"> et al. (2023)</w:t>
            </w:r>
          </w:p>
        </w:tc>
        <w:tc>
          <w:tcPr>
            <w:tcW w:w="1830" w:type="dxa"/>
            <w:tcBorders>
              <w:top w:val="nil"/>
              <w:left w:val="nil"/>
              <w:bottom w:val="nil"/>
              <w:right w:val="nil"/>
            </w:tcBorders>
            <w:vAlign w:val="center"/>
          </w:tcPr>
          <w:p w14:paraId="7B0277F2"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Interdisciplinary review</w:t>
            </w:r>
          </w:p>
        </w:tc>
        <w:tc>
          <w:tcPr>
            <w:tcW w:w="1320" w:type="dxa"/>
            <w:tcBorders>
              <w:top w:val="nil"/>
              <w:left w:val="nil"/>
              <w:bottom w:val="nil"/>
              <w:right w:val="nil"/>
            </w:tcBorders>
            <w:vAlign w:val="center"/>
          </w:tcPr>
          <w:p w14:paraId="28C082DD"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Data and AI governance</w:t>
            </w:r>
          </w:p>
        </w:tc>
        <w:tc>
          <w:tcPr>
            <w:tcW w:w="1230" w:type="dxa"/>
            <w:tcBorders>
              <w:top w:val="nil"/>
              <w:left w:val="nil"/>
              <w:bottom w:val="nil"/>
              <w:right w:val="nil"/>
            </w:tcBorders>
            <w:vAlign w:val="center"/>
          </w:tcPr>
          <w:p w14:paraId="7C692D2D"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Mobility-as-a-Service and sustainability</w:t>
            </w:r>
          </w:p>
        </w:tc>
        <w:tc>
          <w:tcPr>
            <w:tcW w:w="3720" w:type="dxa"/>
            <w:tcBorders>
              <w:top w:val="nil"/>
              <w:left w:val="nil"/>
              <w:bottom w:val="nil"/>
              <w:right w:val="single" w:sz="8" w:space="0" w:color="000000"/>
            </w:tcBorders>
            <w:vAlign w:val="center"/>
          </w:tcPr>
          <w:p w14:paraId="69F70FD5"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Shows that algorithmic mobility systems may improve coordination but can also produce inequality and rebound effects without appropriate governance.</w:t>
            </w:r>
          </w:p>
        </w:tc>
      </w:tr>
      <w:tr w:rsidR="00D215B7" w14:paraId="03F416ED" w14:textId="77777777">
        <w:trPr>
          <w:cantSplit/>
          <w:trHeight w:val="2000"/>
        </w:trPr>
        <w:tc>
          <w:tcPr>
            <w:tcW w:w="570" w:type="dxa"/>
            <w:tcBorders>
              <w:top w:val="nil"/>
              <w:left w:val="single" w:sz="8" w:space="0" w:color="000000"/>
              <w:bottom w:val="nil"/>
              <w:right w:val="nil"/>
            </w:tcBorders>
            <w:vAlign w:val="center"/>
          </w:tcPr>
          <w:p w14:paraId="6A1788D7" w14:textId="77777777" w:rsidR="00D215B7" w:rsidRDefault="00000000">
            <w:pPr>
              <w:jc w:val="right"/>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lastRenderedPageBreak/>
              <w:t>25</w:t>
            </w:r>
          </w:p>
        </w:tc>
        <w:tc>
          <w:tcPr>
            <w:tcW w:w="960" w:type="dxa"/>
            <w:tcBorders>
              <w:top w:val="nil"/>
              <w:left w:val="nil"/>
              <w:bottom w:val="nil"/>
              <w:right w:val="nil"/>
            </w:tcBorders>
            <w:vAlign w:val="center"/>
          </w:tcPr>
          <w:p w14:paraId="23E99479"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Son et al. (2025)</w:t>
            </w:r>
          </w:p>
        </w:tc>
        <w:tc>
          <w:tcPr>
            <w:tcW w:w="1830" w:type="dxa"/>
            <w:tcBorders>
              <w:top w:val="nil"/>
              <w:left w:val="nil"/>
              <w:bottom w:val="nil"/>
              <w:right w:val="nil"/>
            </w:tcBorders>
            <w:vAlign w:val="center"/>
          </w:tcPr>
          <w:p w14:paraId="52F19CCE"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Systematic review</w:t>
            </w:r>
          </w:p>
        </w:tc>
        <w:tc>
          <w:tcPr>
            <w:tcW w:w="1320" w:type="dxa"/>
            <w:tcBorders>
              <w:top w:val="nil"/>
              <w:left w:val="nil"/>
              <w:bottom w:val="nil"/>
              <w:right w:val="nil"/>
            </w:tcBorders>
            <w:vAlign w:val="center"/>
          </w:tcPr>
          <w:p w14:paraId="1A19632E"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 xml:space="preserve">AI, IoT, digital twins and </w:t>
            </w:r>
            <w:proofErr w:type="spellStart"/>
            <w:r>
              <w:rPr>
                <w:rFonts w:ascii="Times New Roman" w:eastAsia="SimSun" w:hAnsi="Times New Roman" w:cs="Times New Roman"/>
                <w:color w:val="000000"/>
                <w:sz w:val="22"/>
                <w:szCs w:val="22"/>
                <w:lang w:bidi="ar"/>
              </w:rPr>
              <w:t>optimisation</w:t>
            </w:r>
            <w:proofErr w:type="spellEnd"/>
          </w:p>
        </w:tc>
        <w:tc>
          <w:tcPr>
            <w:tcW w:w="1230" w:type="dxa"/>
            <w:tcBorders>
              <w:top w:val="nil"/>
              <w:left w:val="nil"/>
              <w:bottom w:val="nil"/>
              <w:right w:val="nil"/>
            </w:tcBorders>
            <w:vAlign w:val="center"/>
          </w:tcPr>
          <w:p w14:paraId="5AFE951B"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Smart transportation planning</w:t>
            </w:r>
          </w:p>
        </w:tc>
        <w:tc>
          <w:tcPr>
            <w:tcW w:w="3720" w:type="dxa"/>
            <w:tcBorders>
              <w:top w:val="nil"/>
              <w:left w:val="nil"/>
              <w:bottom w:val="nil"/>
              <w:right w:val="single" w:sz="8" w:space="0" w:color="000000"/>
            </w:tcBorders>
            <w:vAlign w:val="center"/>
          </w:tcPr>
          <w:p w14:paraId="73AB0BE4"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Shows how advanced digital technologies address congestion, safety and environmental challenges in transportation planning.</w:t>
            </w:r>
          </w:p>
        </w:tc>
      </w:tr>
      <w:tr w:rsidR="00D215B7" w14:paraId="0D52EFAD" w14:textId="77777777">
        <w:trPr>
          <w:cantSplit/>
          <w:trHeight w:val="2000"/>
        </w:trPr>
        <w:tc>
          <w:tcPr>
            <w:tcW w:w="570" w:type="dxa"/>
            <w:tcBorders>
              <w:top w:val="nil"/>
              <w:left w:val="single" w:sz="8" w:space="0" w:color="000000"/>
              <w:bottom w:val="nil"/>
              <w:right w:val="nil"/>
            </w:tcBorders>
            <w:vAlign w:val="center"/>
          </w:tcPr>
          <w:p w14:paraId="4620478E" w14:textId="77777777" w:rsidR="00D215B7" w:rsidRDefault="00000000">
            <w:pPr>
              <w:jc w:val="right"/>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26</w:t>
            </w:r>
          </w:p>
        </w:tc>
        <w:tc>
          <w:tcPr>
            <w:tcW w:w="960" w:type="dxa"/>
            <w:tcBorders>
              <w:top w:val="nil"/>
              <w:left w:val="nil"/>
              <w:bottom w:val="nil"/>
              <w:right w:val="nil"/>
            </w:tcBorders>
            <w:vAlign w:val="center"/>
          </w:tcPr>
          <w:p w14:paraId="5F65FB09" w14:textId="77777777" w:rsidR="00D215B7" w:rsidRDefault="00000000">
            <w:pPr>
              <w:textAlignment w:val="center"/>
              <w:rPr>
                <w:rFonts w:ascii="Times New Roman" w:hAnsi="Times New Roman" w:cs="Times New Roman"/>
                <w:color w:val="000000"/>
                <w:sz w:val="22"/>
                <w:szCs w:val="22"/>
              </w:rPr>
            </w:pPr>
            <w:proofErr w:type="spellStart"/>
            <w:r>
              <w:rPr>
                <w:rFonts w:ascii="Times New Roman" w:eastAsia="SimSun" w:hAnsi="Times New Roman" w:cs="Times New Roman"/>
                <w:color w:val="000000"/>
                <w:sz w:val="22"/>
                <w:szCs w:val="22"/>
                <w:lang w:bidi="ar"/>
              </w:rPr>
              <w:t>Tightiz</w:t>
            </w:r>
            <w:proofErr w:type="spellEnd"/>
            <w:r>
              <w:rPr>
                <w:rFonts w:ascii="Times New Roman" w:eastAsia="SimSun" w:hAnsi="Times New Roman" w:cs="Times New Roman"/>
                <w:color w:val="000000"/>
                <w:sz w:val="22"/>
                <w:szCs w:val="22"/>
                <w:lang w:bidi="ar"/>
              </w:rPr>
              <w:t xml:space="preserve"> et al. (2025)</w:t>
            </w:r>
          </w:p>
        </w:tc>
        <w:tc>
          <w:tcPr>
            <w:tcW w:w="1830" w:type="dxa"/>
            <w:tcBorders>
              <w:top w:val="nil"/>
              <w:left w:val="nil"/>
              <w:bottom w:val="nil"/>
              <w:right w:val="nil"/>
            </w:tcBorders>
            <w:vAlign w:val="center"/>
          </w:tcPr>
          <w:p w14:paraId="665C6A0D"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Comprehensive review</w:t>
            </w:r>
          </w:p>
        </w:tc>
        <w:tc>
          <w:tcPr>
            <w:tcW w:w="1320" w:type="dxa"/>
            <w:tcBorders>
              <w:top w:val="nil"/>
              <w:left w:val="nil"/>
              <w:bottom w:val="nil"/>
              <w:right w:val="nil"/>
            </w:tcBorders>
            <w:vAlign w:val="center"/>
          </w:tcPr>
          <w:p w14:paraId="025D5024" w14:textId="77777777" w:rsidR="00D215B7" w:rsidRDefault="00000000">
            <w:pPr>
              <w:textAlignment w:val="center"/>
              <w:rPr>
                <w:rFonts w:ascii="Times New Roman" w:hAnsi="Times New Roman" w:cs="Times New Roman"/>
                <w:color w:val="000000"/>
                <w:sz w:val="22"/>
                <w:szCs w:val="22"/>
              </w:rPr>
            </w:pPr>
            <w:proofErr w:type="spellStart"/>
            <w:r>
              <w:rPr>
                <w:rFonts w:ascii="Times New Roman" w:eastAsia="SimSun" w:hAnsi="Times New Roman" w:cs="Times New Roman"/>
                <w:color w:val="000000"/>
                <w:sz w:val="22"/>
                <w:szCs w:val="22"/>
                <w:lang w:bidi="ar"/>
              </w:rPr>
              <w:t>AIoT</w:t>
            </w:r>
            <w:proofErr w:type="spellEnd"/>
            <w:r>
              <w:rPr>
                <w:rFonts w:ascii="Times New Roman" w:eastAsia="SimSun" w:hAnsi="Times New Roman" w:cs="Times New Roman"/>
                <w:color w:val="000000"/>
                <w:sz w:val="22"/>
                <w:szCs w:val="22"/>
                <w:lang w:bidi="ar"/>
              </w:rPr>
              <w:t xml:space="preserve">, V2G and </w:t>
            </w:r>
            <w:proofErr w:type="spellStart"/>
            <w:r>
              <w:rPr>
                <w:rFonts w:ascii="Times New Roman" w:eastAsia="SimSun" w:hAnsi="Times New Roman" w:cs="Times New Roman"/>
                <w:color w:val="000000"/>
                <w:sz w:val="22"/>
                <w:szCs w:val="22"/>
                <w:lang w:bidi="ar"/>
              </w:rPr>
              <w:t>optimisation</w:t>
            </w:r>
            <w:proofErr w:type="spellEnd"/>
          </w:p>
        </w:tc>
        <w:tc>
          <w:tcPr>
            <w:tcW w:w="1230" w:type="dxa"/>
            <w:tcBorders>
              <w:top w:val="nil"/>
              <w:left w:val="nil"/>
              <w:bottom w:val="nil"/>
              <w:right w:val="nil"/>
            </w:tcBorders>
            <w:vAlign w:val="center"/>
          </w:tcPr>
          <w:p w14:paraId="50D81945"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Intelligent EV charging/discharging</w:t>
            </w:r>
          </w:p>
        </w:tc>
        <w:tc>
          <w:tcPr>
            <w:tcW w:w="3720" w:type="dxa"/>
            <w:tcBorders>
              <w:top w:val="nil"/>
              <w:left w:val="nil"/>
              <w:bottom w:val="nil"/>
              <w:right w:val="single" w:sz="8" w:space="0" w:color="000000"/>
            </w:tcBorders>
            <w:vAlign w:val="center"/>
          </w:tcPr>
          <w:p w14:paraId="0D4E3BA5"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 xml:space="preserve">Demonstrates the role of </w:t>
            </w:r>
            <w:proofErr w:type="spellStart"/>
            <w:r>
              <w:rPr>
                <w:rFonts w:ascii="Times New Roman" w:eastAsia="SimSun" w:hAnsi="Times New Roman" w:cs="Times New Roman"/>
                <w:color w:val="000000"/>
                <w:sz w:val="22"/>
                <w:szCs w:val="22"/>
                <w:lang w:bidi="ar"/>
              </w:rPr>
              <w:t>AIoT</w:t>
            </w:r>
            <w:proofErr w:type="spellEnd"/>
            <w:r>
              <w:rPr>
                <w:rFonts w:ascii="Times New Roman" w:eastAsia="SimSun" w:hAnsi="Times New Roman" w:cs="Times New Roman"/>
                <w:color w:val="000000"/>
                <w:sz w:val="22"/>
                <w:szCs w:val="22"/>
                <w:lang w:bidi="ar"/>
              </w:rPr>
              <w:t xml:space="preserve"> in charging scheduling, renewable-energy integration and grid stability while identifying interoperability and privacy challenges.</w:t>
            </w:r>
          </w:p>
        </w:tc>
      </w:tr>
      <w:tr w:rsidR="00D215B7" w14:paraId="36FDE06C" w14:textId="77777777">
        <w:trPr>
          <w:cantSplit/>
          <w:trHeight w:val="2000"/>
        </w:trPr>
        <w:tc>
          <w:tcPr>
            <w:tcW w:w="570" w:type="dxa"/>
            <w:tcBorders>
              <w:top w:val="nil"/>
              <w:left w:val="single" w:sz="8" w:space="0" w:color="000000"/>
              <w:bottom w:val="nil"/>
              <w:right w:val="nil"/>
            </w:tcBorders>
            <w:vAlign w:val="center"/>
          </w:tcPr>
          <w:p w14:paraId="41C1854E" w14:textId="77777777" w:rsidR="00D215B7" w:rsidRDefault="00000000">
            <w:pPr>
              <w:jc w:val="right"/>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27</w:t>
            </w:r>
          </w:p>
        </w:tc>
        <w:tc>
          <w:tcPr>
            <w:tcW w:w="960" w:type="dxa"/>
            <w:tcBorders>
              <w:top w:val="nil"/>
              <w:left w:val="nil"/>
              <w:bottom w:val="nil"/>
              <w:right w:val="nil"/>
            </w:tcBorders>
            <w:vAlign w:val="center"/>
          </w:tcPr>
          <w:p w14:paraId="3823E9C9"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Yu et al. (2024)</w:t>
            </w:r>
          </w:p>
        </w:tc>
        <w:tc>
          <w:tcPr>
            <w:tcW w:w="1830" w:type="dxa"/>
            <w:tcBorders>
              <w:top w:val="nil"/>
              <w:left w:val="nil"/>
              <w:bottom w:val="nil"/>
              <w:right w:val="nil"/>
            </w:tcBorders>
            <w:vAlign w:val="center"/>
          </w:tcPr>
          <w:p w14:paraId="54CCA5CD"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Review</w:t>
            </w:r>
          </w:p>
        </w:tc>
        <w:tc>
          <w:tcPr>
            <w:tcW w:w="1320" w:type="dxa"/>
            <w:tcBorders>
              <w:top w:val="nil"/>
              <w:left w:val="nil"/>
              <w:bottom w:val="nil"/>
              <w:right w:val="nil"/>
            </w:tcBorders>
            <w:vAlign w:val="center"/>
          </w:tcPr>
          <w:p w14:paraId="4A0184E3"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Digital twins</w:t>
            </w:r>
          </w:p>
        </w:tc>
        <w:tc>
          <w:tcPr>
            <w:tcW w:w="1230" w:type="dxa"/>
            <w:tcBorders>
              <w:top w:val="nil"/>
              <w:left w:val="nil"/>
              <w:bottom w:val="nil"/>
              <w:right w:val="nil"/>
            </w:tcBorders>
            <w:vAlign w:val="center"/>
          </w:tcPr>
          <w:p w14:paraId="3753C305"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Smart EV charging infrastructure</w:t>
            </w:r>
          </w:p>
        </w:tc>
        <w:tc>
          <w:tcPr>
            <w:tcW w:w="3720" w:type="dxa"/>
            <w:tcBorders>
              <w:top w:val="nil"/>
              <w:left w:val="nil"/>
              <w:bottom w:val="nil"/>
              <w:right w:val="single" w:sz="8" w:space="0" w:color="000000"/>
            </w:tcBorders>
            <w:vAlign w:val="center"/>
          </w:tcPr>
          <w:p w14:paraId="236D6664"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 xml:space="preserve">Shows that digital twins can improve charging-system adaptability, management, scalability and sustainability but require </w:t>
            </w:r>
            <w:proofErr w:type="spellStart"/>
            <w:r>
              <w:rPr>
                <w:rFonts w:ascii="Times New Roman" w:eastAsia="SimSun" w:hAnsi="Times New Roman" w:cs="Times New Roman"/>
                <w:color w:val="000000"/>
                <w:sz w:val="22"/>
                <w:szCs w:val="22"/>
                <w:lang w:bidi="ar"/>
              </w:rPr>
              <w:t>standardisation</w:t>
            </w:r>
            <w:proofErr w:type="spellEnd"/>
            <w:r>
              <w:rPr>
                <w:rFonts w:ascii="Times New Roman" w:eastAsia="SimSun" w:hAnsi="Times New Roman" w:cs="Times New Roman"/>
                <w:color w:val="000000"/>
                <w:sz w:val="22"/>
                <w:szCs w:val="22"/>
                <w:lang w:bidi="ar"/>
              </w:rPr>
              <w:t xml:space="preserve"> and architecture development.</w:t>
            </w:r>
          </w:p>
        </w:tc>
      </w:tr>
      <w:tr w:rsidR="00D215B7" w14:paraId="0C360430" w14:textId="77777777">
        <w:trPr>
          <w:cantSplit/>
          <w:trHeight w:val="2000"/>
        </w:trPr>
        <w:tc>
          <w:tcPr>
            <w:tcW w:w="570" w:type="dxa"/>
            <w:tcBorders>
              <w:top w:val="nil"/>
              <w:left w:val="single" w:sz="8" w:space="0" w:color="000000"/>
              <w:bottom w:val="nil"/>
              <w:right w:val="nil"/>
            </w:tcBorders>
            <w:vAlign w:val="center"/>
          </w:tcPr>
          <w:p w14:paraId="44975DC2" w14:textId="77777777" w:rsidR="00D215B7" w:rsidRDefault="00000000">
            <w:pPr>
              <w:jc w:val="right"/>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28</w:t>
            </w:r>
          </w:p>
        </w:tc>
        <w:tc>
          <w:tcPr>
            <w:tcW w:w="960" w:type="dxa"/>
            <w:tcBorders>
              <w:top w:val="nil"/>
              <w:left w:val="nil"/>
              <w:bottom w:val="nil"/>
              <w:right w:val="nil"/>
            </w:tcBorders>
            <w:vAlign w:val="center"/>
          </w:tcPr>
          <w:p w14:paraId="7DF4C319"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Zhang et al. (2025)</w:t>
            </w:r>
          </w:p>
        </w:tc>
        <w:tc>
          <w:tcPr>
            <w:tcW w:w="1830" w:type="dxa"/>
            <w:tcBorders>
              <w:top w:val="nil"/>
              <w:left w:val="nil"/>
              <w:bottom w:val="nil"/>
              <w:right w:val="nil"/>
            </w:tcBorders>
            <w:vAlign w:val="center"/>
          </w:tcPr>
          <w:p w14:paraId="31ED9E4E"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Comprehensive survey of 124 studies</w:t>
            </w:r>
          </w:p>
        </w:tc>
        <w:tc>
          <w:tcPr>
            <w:tcW w:w="1320" w:type="dxa"/>
            <w:tcBorders>
              <w:top w:val="nil"/>
              <w:left w:val="nil"/>
              <w:bottom w:val="nil"/>
              <w:right w:val="nil"/>
            </w:tcBorders>
            <w:vAlign w:val="center"/>
          </w:tcPr>
          <w:p w14:paraId="03DED282"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Machine learning</w:t>
            </w:r>
          </w:p>
        </w:tc>
        <w:tc>
          <w:tcPr>
            <w:tcW w:w="1230" w:type="dxa"/>
            <w:tcBorders>
              <w:top w:val="nil"/>
              <w:left w:val="nil"/>
              <w:bottom w:val="nil"/>
              <w:right w:val="nil"/>
            </w:tcBorders>
            <w:vAlign w:val="center"/>
          </w:tcPr>
          <w:p w14:paraId="163E733C"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Advanced transportation systems</w:t>
            </w:r>
          </w:p>
        </w:tc>
        <w:tc>
          <w:tcPr>
            <w:tcW w:w="3720" w:type="dxa"/>
            <w:tcBorders>
              <w:top w:val="nil"/>
              <w:left w:val="nil"/>
              <w:bottom w:val="nil"/>
              <w:right w:val="single" w:sz="8" w:space="0" w:color="000000"/>
            </w:tcBorders>
            <w:vAlign w:val="center"/>
          </w:tcPr>
          <w:p w14:paraId="74D78C80"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 xml:space="preserve">Finds improvements in predictive maintenance, energy management, fault diagnosis and </w:t>
            </w:r>
            <w:proofErr w:type="spellStart"/>
            <w:r>
              <w:rPr>
                <w:rFonts w:ascii="Times New Roman" w:eastAsia="SimSun" w:hAnsi="Times New Roman" w:cs="Times New Roman"/>
                <w:color w:val="000000"/>
                <w:sz w:val="22"/>
                <w:szCs w:val="22"/>
                <w:lang w:bidi="ar"/>
              </w:rPr>
              <w:t>optimisation</w:t>
            </w:r>
            <w:proofErr w:type="spellEnd"/>
            <w:r>
              <w:rPr>
                <w:rFonts w:ascii="Times New Roman" w:eastAsia="SimSun" w:hAnsi="Times New Roman" w:cs="Times New Roman"/>
                <w:color w:val="000000"/>
                <w:sz w:val="22"/>
                <w:szCs w:val="22"/>
                <w:lang w:bidi="ar"/>
              </w:rPr>
              <w:t>, with persistent data and real-time implementation constraints.</w:t>
            </w:r>
          </w:p>
        </w:tc>
      </w:tr>
      <w:tr w:rsidR="00D215B7" w14:paraId="3358D5DD" w14:textId="77777777">
        <w:trPr>
          <w:cantSplit/>
          <w:trHeight w:val="2000"/>
        </w:trPr>
        <w:tc>
          <w:tcPr>
            <w:tcW w:w="570" w:type="dxa"/>
            <w:tcBorders>
              <w:top w:val="nil"/>
              <w:left w:val="single" w:sz="8" w:space="0" w:color="000000"/>
              <w:bottom w:val="nil"/>
              <w:right w:val="nil"/>
            </w:tcBorders>
            <w:vAlign w:val="center"/>
          </w:tcPr>
          <w:p w14:paraId="0F4B5851" w14:textId="77777777" w:rsidR="00D215B7" w:rsidRDefault="00000000">
            <w:pPr>
              <w:jc w:val="right"/>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lastRenderedPageBreak/>
              <w:t>29</w:t>
            </w:r>
          </w:p>
        </w:tc>
        <w:tc>
          <w:tcPr>
            <w:tcW w:w="960" w:type="dxa"/>
            <w:tcBorders>
              <w:top w:val="nil"/>
              <w:left w:val="nil"/>
              <w:bottom w:val="nil"/>
              <w:right w:val="nil"/>
            </w:tcBorders>
            <w:vAlign w:val="center"/>
          </w:tcPr>
          <w:p w14:paraId="5887DBB7"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Zhao et al. (2024)</w:t>
            </w:r>
          </w:p>
        </w:tc>
        <w:tc>
          <w:tcPr>
            <w:tcW w:w="1830" w:type="dxa"/>
            <w:tcBorders>
              <w:top w:val="nil"/>
              <w:left w:val="nil"/>
              <w:bottom w:val="nil"/>
              <w:right w:val="nil"/>
            </w:tcBorders>
            <w:vAlign w:val="center"/>
          </w:tcPr>
          <w:p w14:paraId="6F04CF79"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Systematic review of 111 studies</w:t>
            </w:r>
          </w:p>
        </w:tc>
        <w:tc>
          <w:tcPr>
            <w:tcW w:w="1320" w:type="dxa"/>
            <w:tcBorders>
              <w:top w:val="nil"/>
              <w:left w:val="nil"/>
              <w:bottom w:val="nil"/>
              <w:right w:val="nil"/>
            </w:tcBorders>
            <w:vAlign w:val="center"/>
          </w:tcPr>
          <w:p w14:paraId="2698468D"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Reinforcement learning</w:t>
            </w:r>
          </w:p>
        </w:tc>
        <w:tc>
          <w:tcPr>
            <w:tcW w:w="1230" w:type="dxa"/>
            <w:tcBorders>
              <w:top w:val="nil"/>
              <w:left w:val="nil"/>
              <w:bottom w:val="nil"/>
              <w:right w:val="nil"/>
            </w:tcBorders>
            <w:vAlign w:val="center"/>
          </w:tcPr>
          <w:p w14:paraId="3AD750C9"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EV charging scheduling</w:t>
            </w:r>
          </w:p>
        </w:tc>
        <w:tc>
          <w:tcPr>
            <w:tcW w:w="3720" w:type="dxa"/>
            <w:tcBorders>
              <w:top w:val="nil"/>
              <w:left w:val="nil"/>
              <w:bottom w:val="nil"/>
              <w:right w:val="single" w:sz="8" w:space="0" w:color="000000"/>
            </w:tcBorders>
            <w:vAlign w:val="center"/>
          </w:tcPr>
          <w:p w14:paraId="71430662"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 xml:space="preserve">Demonstrates increasing application of reinforcement learning to EV charging </w:t>
            </w:r>
            <w:proofErr w:type="spellStart"/>
            <w:r>
              <w:rPr>
                <w:rFonts w:ascii="Times New Roman" w:eastAsia="SimSun" w:hAnsi="Times New Roman" w:cs="Times New Roman"/>
                <w:color w:val="000000"/>
                <w:sz w:val="22"/>
                <w:szCs w:val="22"/>
                <w:lang w:bidi="ar"/>
              </w:rPr>
              <w:t>optimisation</w:t>
            </w:r>
            <w:proofErr w:type="spellEnd"/>
            <w:r>
              <w:rPr>
                <w:rFonts w:ascii="Times New Roman" w:eastAsia="SimSun" w:hAnsi="Times New Roman" w:cs="Times New Roman"/>
                <w:color w:val="000000"/>
                <w:sz w:val="22"/>
                <w:szCs w:val="22"/>
                <w:lang w:bidi="ar"/>
              </w:rPr>
              <w:t xml:space="preserve"> while identifying methodological and deployment challenges.</w:t>
            </w:r>
          </w:p>
        </w:tc>
      </w:tr>
      <w:tr w:rsidR="00D215B7" w14:paraId="48442E9D" w14:textId="77777777">
        <w:trPr>
          <w:cantSplit/>
          <w:trHeight w:val="2000"/>
        </w:trPr>
        <w:tc>
          <w:tcPr>
            <w:tcW w:w="570" w:type="dxa"/>
            <w:tcBorders>
              <w:top w:val="nil"/>
              <w:left w:val="single" w:sz="8" w:space="0" w:color="000000"/>
              <w:bottom w:val="single" w:sz="8" w:space="0" w:color="000000"/>
              <w:right w:val="nil"/>
            </w:tcBorders>
            <w:vAlign w:val="center"/>
          </w:tcPr>
          <w:p w14:paraId="7211474A" w14:textId="77777777" w:rsidR="00D215B7" w:rsidRDefault="00000000">
            <w:pPr>
              <w:jc w:val="right"/>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30</w:t>
            </w:r>
          </w:p>
        </w:tc>
        <w:tc>
          <w:tcPr>
            <w:tcW w:w="960" w:type="dxa"/>
            <w:tcBorders>
              <w:top w:val="nil"/>
              <w:left w:val="nil"/>
              <w:bottom w:val="single" w:sz="8" w:space="0" w:color="000000"/>
              <w:right w:val="nil"/>
            </w:tcBorders>
            <w:vAlign w:val="center"/>
          </w:tcPr>
          <w:p w14:paraId="1BE8D114"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Zulkarnain and Putri (2021)</w:t>
            </w:r>
          </w:p>
        </w:tc>
        <w:tc>
          <w:tcPr>
            <w:tcW w:w="1830" w:type="dxa"/>
            <w:tcBorders>
              <w:top w:val="nil"/>
              <w:left w:val="nil"/>
              <w:bottom w:val="single" w:sz="8" w:space="0" w:color="000000"/>
              <w:right w:val="nil"/>
            </w:tcBorders>
            <w:vAlign w:val="center"/>
          </w:tcPr>
          <w:p w14:paraId="4DA9B505"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Systematic review using NLP</w:t>
            </w:r>
          </w:p>
        </w:tc>
        <w:tc>
          <w:tcPr>
            <w:tcW w:w="1320" w:type="dxa"/>
            <w:tcBorders>
              <w:top w:val="nil"/>
              <w:left w:val="nil"/>
              <w:bottom w:val="single" w:sz="8" w:space="0" w:color="000000"/>
              <w:right w:val="nil"/>
            </w:tcBorders>
            <w:vAlign w:val="center"/>
          </w:tcPr>
          <w:p w14:paraId="029268F9"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NLP, topic modelling and knowledge mapping</w:t>
            </w:r>
          </w:p>
        </w:tc>
        <w:tc>
          <w:tcPr>
            <w:tcW w:w="1230" w:type="dxa"/>
            <w:tcBorders>
              <w:top w:val="nil"/>
              <w:left w:val="nil"/>
              <w:bottom w:val="single" w:sz="8" w:space="0" w:color="000000"/>
              <w:right w:val="nil"/>
            </w:tcBorders>
            <w:vAlign w:val="center"/>
          </w:tcPr>
          <w:p w14:paraId="45D1B800"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Intelligent transportation systems</w:t>
            </w:r>
          </w:p>
        </w:tc>
        <w:tc>
          <w:tcPr>
            <w:tcW w:w="3720" w:type="dxa"/>
            <w:tcBorders>
              <w:top w:val="nil"/>
              <w:left w:val="nil"/>
              <w:bottom w:val="single" w:sz="8" w:space="0" w:color="000000"/>
              <w:right w:val="single" w:sz="8" w:space="0" w:color="000000"/>
            </w:tcBorders>
            <w:vAlign w:val="center"/>
          </w:tcPr>
          <w:p w14:paraId="198CC3E7" w14:textId="77777777" w:rsidR="00D215B7" w:rsidRDefault="00000000">
            <w:pPr>
              <w:textAlignment w:val="center"/>
              <w:rPr>
                <w:rFonts w:ascii="Times New Roman" w:hAnsi="Times New Roman" w:cs="Times New Roman"/>
                <w:color w:val="000000"/>
                <w:sz w:val="22"/>
                <w:szCs w:val="22"/>
              </w:rPr>
            </w:pPr>
            <w:r>
              <w:rPr>
                <w:rFonts w:ascii="Times New Roman" w:eastAsia="SimSun" w:hAnsi="Times New Roman" w:cs="Times New Roman"/>
                <w:color w:val="000000"/>
                <w:sz w:val="22"/>
                <w:szCs w:val="22"/>
                <w:lang w:bidi="ar"/>
              </w:rPr>
              <w:t>Maps the multidisciplinary ITS literature and demonstrates the usefulness of automated methods for identifying research themes and knowledge-development patterns.</w:t>
            </w:r>
          </w:p>
        </w:tc>
      </w:tr>
    </w:tbl>
    <w:p w14:paraId="7ABD11A0" w14:textId="77777777" w:rsidR="00D215B7" w:rsidRDefault="00D215B7">
      <w:pPr>
        <w:rPr>
          <w:rFonts w:ascii="Times New Roman" w:hAnsi="Times New Roman" w:cs="Times New Roman"/>
        </w:rPr>
      </w:pPr>
    </w:p>
    <w:sectPr w:rsidR="00D215B7">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defaultTabStop w:val="720"/>
  <w:drawingGridVerticalSpacing w:val="156"/>
  <w:noPunctuationKerning/>
  <w:characterSpacingControl w:val="doNotCompress"/>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MyM7IwNLQ0NjY0NzBU0lEKTi0uzszPAykwrAUADPIZBiwAAAA="/>
  </w:docVars>
  <w:rsids>
    <w:rsidRoot w:val="22514FDF"/>
    <w:rsid w:val="000A024B"/>
    <w:rsid w:val="000C30A6"/>
    <w:rsid w:val="00333C66"/>
    <w:rsid w:val="00536A90"/>
    <w:rsid w:val="00571A97"/>
    <w:rsid w:val="0070064F"/>
    <w:rsid w:val="00812DD4"/>
    <w:rsid w:val="008332D7"/>
    <w:rsid w:val="00C741DC"/>
    <w:rsid w:val="00D11919"/>
    <w:rsid w:val="00D215B7"/>
    <w:rsid w:val="00E03ED1"/>
    <w:rsid w:val="00EC195D"/>
    <w:rsid w:val="00F4290A"/>
    <w:rsid w:val="04860B7C"/>
    <w:rsid w:val="0BFA6134"/>
    <w:rsid w:val="0D7A21FE"/>
    <w:rsid w:val="0E567057"/>
    <w:rsid w:val="21FC5F50"/>
    <w:rsid w:val="22514FDF"/>
    <w:rsid w:val="229D22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CCC223"/>
  <w15:docId w15:val="{4BFE23E4-5334-4D2F-9D38-3916DABA4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eastAsia="zh-CN"/>
    </w:rPr>
  </w:style>
  <w:style w:type="paragraph" w:styleId="Heading2">
    <w:name w:val="heading 2"/>
    <w:next w:val="Normal"/>
    <w:semiHidden/>
    <w:unhideWhenUsed/>
    <w:qFormat/>
    <w:pPr>
      <w:spacing w:beforeAutospacing="1" w:afterAutospacing="1"/>
      <w:outlineLvl w:val="1"/>
    </w:pPr>
    <w:rPr>
      <w:rFonts w:ascii="SimSun" w:hAnsi="SimSun" w:hint="eastAsia"/>
      <w:b/>
      <w:bCs/>
      <w:sz w:val="36"/>
      <w:szCs w:val="36"/>
      <w:lang w:eastAsia="zh-CN"/>
    </w:rPr>
  </w:style>
  <w:style w:type="paragraph" w:styleId="Heading3">
    <w:name w:val="heading 3"/>
    <w:next w:val="Normal"/>
    <w:semiHidden/>
    <w:unhideWhenUsed/>
    <w:qFormat/>
    <w:pPr>
      <w:spacing w:beforeAutospacing="1" w:afterAutospacing="1"/>
      <w:outlineLvl w:val="2"/>
    </w:pPr>
    <w:rPr>
      <w:rFonts w:ascii="SimSun" w:hAnsi="SimSun" w:hint="eastAsia"/>
      <w:b/>
      <w:bCs/>
      <w:sz w:val="27"/>
      <w:szCs w:val="27"/>
      <w:lang w:eastAsia="zh-CN"/>
    </w:rPr>
  </w:style>
  <w:style w:type="paragraph" w:styleId="Heading4">
    <w:name w:val="heading 4"/>
    <w:next w:val="Normal"/>
    <w:semiHidden/>
    <w:unhideWhenUsed/>
    <w:qFormat/>
    <w:pPr>
      <w:spacing w:beforeAutospacing="1" w:afterAutospacing="1"/>
      <w:outlineLvl w:val="3"/>
    </w:pPr>
    <w:rPr>
      <w:rFonts w:ascii="SimSun" w:hAnsi="SimSun" w:hint="eastAsia"/>
      <w:b/>
      <w:bCs/>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Pr>
      <w:i/>
      <w:iCs/>
    </w:rPr>
  </w:style>
  <w:style w:type="character" w:styleId="Hyperlink">
    <w:name w:val="Hyperlink"/>
    <w:basedOn w:val="DefaultParagraphFont"/>
    <w:rPr>
      <w:color w:val="0000FF"/>
      <w:u w:val="single"/>
    </w:rPr>
  </w:style>
  <w:style w:type="paragraph" w:styleId="NormalWeb">
    <w:name w:val="Normal (Web)"/>
    <w:qFormat/>
    <w:pPr>
      <w:spacing w:beforeAutospacing="1" w:afterAutospacing="1"/>
    </w:pPr>
    <w:rPr>
      <w:sz w:val="24"/>
      <w:szCs w:val="24"/>
      <w:lang w:eastAsia="zh-CN"/>
    </w:rPr>
  </w:style>
  <w:style w:type="character" w:styleId="Strong">
    <w:name w:val="Strong"/>
    <w:basedOn w:val="DefaultParagraphFont"/>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1109/TITS.2023.3343434" TargetMode="External"/><Relationship Id="rId18" Type="http://schemas.openxmlformats.org/officeDocument/2006/relationships/hyperlink" Target="https://doi.org/10.1080/15472450.2023.2245750" TargetMode="External"/><Relationship Id="rId26" Type="http://schemas.openxmlformats.org/officeDocument/2006/relationships/hyperlink" Target="https://doi.org/10.3390/su12072789" TargetMode="External"/><Relationship Id="rId39" Type="http://schemas.openxmlformats.org/officeDocument/2006/relationships/hyperlink" Target="https://doi.org/10.1016/j.heliyon.2021.e08615" TargetMode="External"/><Relationship Id="rId21" Type="http://schemas.openxmlformats.org/officeDocument/2006/relationships/hyperlink" Target="https://doi.org/10.1016/j.eist.2020.12.001" TargetMode="External"/><Relationship Id="rId34" Type="http://schemas.openxmlformats.org/officeDocument/2006/relationships/hyperlink" Target="https://doi.org/10.3390/su17052245" TargetMode="External"/><Relationship Id="rId7" Type="http://schemas.openxmlformats.org/officeDocument/2006/relationships/hyperlink" Target="https://doi.org/10.1007/s44282-025-00312-3" TargetMode="External"/><Relationship Id="rId2" Type="http://schemas.openxmlformats.org/officeDocument/2006/relationships/settings" Target="settings.xml"/><Relationship Id="rId16" Type="http://schemas.openxmlformats.org/officeDocument/2006/relationships/hyperlink" Target="https://doi.org/10.1016/j.jtte.2025.03.001" TargetMode="External"/><Relationship Id="rId20" Type="http://schemas.openxmlformats.org/officeDocument/2006/relationships/hyperlink" Target="https://doi.org/10.1007/s43926-026-00312-y" TargetMode="External"/><Relationship Id="rId29" Type="http://schemas.openxmlformats.org/officeDocument/2006/relationships/hyperlink" Target="https://doi.org/10.1186/s13643-020-01542-z"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hyperlink" Target="https://doi.org/10.1108/SASBE-05-2023-0109" TargetMode="External"/><Relationship Id="rId24" Type="http://schemas.openxmlformats.org/officeDocument/2006/relationships/hyperlink" Target="https://doi.org/10.1016/j.techfore.2026.124684" TargetMode="External"/><Relationship Id="rId32" Type="http://schemas.openxmlformats.org/officeDocument/2006/relationships/hyperlink" Target="https://doi.org/10.1016/j.est.2022.105241" TargetMode="External"/><Relationship Id="rId37" Type="http://schemas.openxmlformats.org/officeDocument/2006/relationships/hyperlink" Target="https://doi.org/10.1016/j.etran.2025.100417" TargetMode="External"/><Relationship Id="rId40" Type="http://schemas.openxmlformats.org/officeDocument/2006/relationships/fontTable" Target="fontTable.xml"/><Relationship Id="rId5" Type="http://schemas.openxmlformats.org/officeDocument/2006/relationships/image" Target="media/image2.png"/><Relationship Id="rId15" Type="http://schemas.openxmlformats.org/officeDocument/2006/relationships/hyperlink" Target="https://doi.org/10.3390/electronics14091801" TargetMode="External"/><Relationship Id="rId23" Type="http://schemas.openxmlformats.org/officeDocument/2006/relationships/hyperlink" Target="https://doi.org/10.3390/su15086754" TargetMode="External"/><Relationship Id="rId28" Type="http://schemas.openxmlformats.org/officeDocument/2006/relationships/hyperlink" Target="https://doi.org/10.1016/j.jclinepi.2013.11.007" TargetMode="External"/><Relationship Id="rId36" Type="http://schemas.openxmlformats.org/officeDocument/2006/relationships/hyperlink" Target="https://doi.org/10.1016/j.scs.2024.105479" TargetMode="External"/><Relationship Id="rId10" Type="http://schemas.openxmlformats.org/officeDocument/2006/relationships/hyperlink" Target="https://doi.org/10.1016/j.iot.2024.101399" TargetMode="External"/><Relationship Id="rId19" Type="http://schemas.openxmlformats.org/officeDocument/2006/relationships/hyperlink" Target="https://doi.org/10.1016/j.compeleceng.2024.109624" TargetMode="External"/><Relationship Id="rId31" Type="http://schemas.openxmlformats.org/officeDocument/2006/relationships/hyperlink" Target="https://doi.org/10.3390/futuretransp5030122" TargetMode="External"/><Relationship Id="rId4" Type="http://schemas.openxmlformats.org/officeDocument/2006/relationships/image" Target="media/image1.png"/><Relationship Id="rId9" Type="http://schemas.openxmlformats.org/officeDocument/2006/relationships/hyperlink" Target="https://doi.org/10.1007/s42979-025-04530-z" TargetMode="External"/><Relationship Id="rId14" Type="http://schemas.openxmlformats.org/officeDocument/2006/relationships/hyperlink" Target="https://doi.org/10.1016/j.sftr.2023.100118" TargetMode="External"/><Relationship Id="rId22" Type="http://schemas.openxmlformats.org/officeDocument/2006/relationships/hyperlink" Target="https://doi.org/10.1016/j.respol.2021.104412" TargetMode="External"/><Relationship Id="rId27" Type="http://schemas.openxmlformats.org/officeDocument/2006/relationships/hyperlink" Target="https://doi.org/10.1136/bmj.n71" TargetMode="External"/><Relationship Id="rId30" Type="http://schemas.openxmlformats.org/officeDocument/2006/relationships/hyperlink" Target="https://doi.org/10.1007/s42524-025-4241-9" TargetMode="External"/><Relationship Id="rId35" Type="http://schemas.openxmlformats.org/officeDocument/2006/relationships/hyperlink" Target="https://doi.org/10.1016/j.ecmx.2025.101088" TargetMode="External"/><Relationship Id="rId8" Type="http://schemas.openxmlformats.org/officeDocument/2006/relationships/hyperlink" Target="https://doi.org/10.1186/s43067-023-00124-y" TargetMode="External"/><Relationship Id="rId3" Type="http://schemas.openxmlformats.org/officeDocument/2006/relationships/webSettings" Target="webSettings.xml"/><Relationship Id="rId12" Type="http://schemas.openxmlformats.org/officeDocument/2006/relationships/hyperlink" Target="https://doi.org/10.3390/app10186306" TargetMode="External"/><Relationship Id="rId17" Type="http://schemas.openxmlformats.org/officeDocument/2006/relationships/hyperlink" Target="https://doi.org/10.3390/electronics14040719" TargetMode="External"/><Relationship Id="rId25" Type="http://schemas.openxmlformats.org/officeDocument/2006/relationships/hyperlink" Target="https://doi.org/10.1016/j.jksuci.2024.101945" TargetMode="External"/><Relationship Id="rId33" Type="http://schemas.openxmlformats.org/officeDocument/2006/relationships/hyperlink" Target="https://doi.org/10.1016/j.trip.2023.100806" TargetMode="External"/><Relationship Id="rId38" Type="http://schemas.openxmlformats.org/officeDocument/2006/relationships/hyperlink" Target="https://doi.org/10.1016/j.tre.2024.103698"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22</Pages>
  <Words>11124</Words>
  <Characters>63410</Characters>
  <Application>Microsoft Office Word</Application>
  <DocSecurity>0</DocSecurity>
  <Lines>528</Lines>
  <Paragraphs>148</Paragraphs>
  <ScaleCrop>false</ScaleCrop>
  <Company/>
  <LinksUpToDate>false</LinksUpToDate>
  <CharactersWithSpaces>74386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SDI 1087</cp:lastModifiedBy>
  <cp:revision>9</cp:revision>
  <dcterms:created xsi:type="dcterms:W3CDTF">2026-09-01T11:54:00Z</dcterms:created>
  <dcterms:modified xsi:type="dcterms:W3CDTF">2026-10-12T08:13:00Z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E8C4E2693AD64347A198850E68C2E191_13</vt:lpwstr>
  </property>
  <property fmtid="{D5CDD505-2E9C-101B-9397-08002B2CF9AE}" pid="4" name="KSOTemplateDocerSaveRecord">
    <vt:lpwstr>eyJoZGlkIjoiNDhlNjhkZTIyZjNmYWEyNzIwNGYwYWY2MTdiYTIyYTkiLCJ1c2VySWQiOiIyNzY2NTg2Mjk0ODQ0In0=</vt:lpwstr>
  </property>
</Properties>
</file>