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4BDF" w14:textId="77777777" w:rsidR="008D5DCB" w:rsidRDefault="0020015B">
      <w:pPr>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Tax Aggressiveness and Market performance of listed Insurance Companies in Nigeria</w:t>
      </w:r>
    </w:p>
    <w:p w14:paraId="30147132" w14:textId="77777777" w:rsidR="007A10BA" w:rsidRDefault="007A10BA">
      <w:pPr>
        <w:spacing w:after="0" w:line="240" w:lineRule="auto"/>
        <w:jc w:val="center"/>
        <w:rPr>
          <w:rFonts w:asciiTheme="majorBidi" w:hAnsiTheme="majorBidi" w:cstheme="majorBidi"/>
          <w:b/>
          <w:bCs/>
          <w:sz w:val="32"/>
          <w:szCs w:val="32"/>
        </w:rPr>
      </w:pPr>
    </w:p>
    <w:p w14:paraId="1B475412" w14:textId="77777777" w:rsidR="008D5DCB" w:rsidRDefault="002001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593CA5DB" w14:textId="1EF3CCD7" w:rsidR="000B7B26" w:rsidRDefault="000B7B26">
      <w:pPr>
        <w:rPr>
          <w:rFonts w:ascii="Times New Roman" w:hAnsi="Times New Roman"/>
          <w:sz w:val="24"/>
        </w:rPr>
      </w:pPr>
      <w:r w:rsidRPr="000B7B26">
        <w:rPr>
          <w:rFonts w:ascii="Times New Roman" w:hAnsi="Times New Roman"/>
          <w:sz w:val="24"/>
        </w:rPr>
        <w:t>This study examined the effect of tax aggressiveness on the market performance of listed insurance companies in Nigeria from 2012 to 2024. An ex post facto research design was adopted, and market performance was represented by Tobin’s Q and Market Value per Share, while tax aggressiveness was measured using the Effective Tax Rate, Cash Effective Tax Rate, Book–Tax Difference, and Tax Savings Ratio. Pooled ordinary least squares and firm-clustered fixed-effects estimations were applied. The Tobin’s Q model was statistically significant overall (Wald chi-square = 4.65, p = 0.001), although its explanatory power was low (R² = 0.089). Book–Tax Difference had a negative and statistically significant effect on Tobin’s Q (coefficient = −0.999, p = 0.001), whereas the Tax Savings Ratio had a positive and statistically significant effect (coefficient = 0.057, p = 0.013). The Market Value per Share model was also statistically significant overall (Wald chi-square = 5.84, p = 0.007), with low explanatory power (R² = 0.050). In that model, the Tax Savings Ratio had a negative and statistically significant effect (coefficient = −0.462, p = 0.030), while the other tax-aggressiveness measures were not statistically significant. The findings indicate that market responses may differ between opaque book–tax positions and tax-saving outcomes</w:t>
      </w:r>
      <w:r w:rsidR="0000014B">
        <w:rPr>
          <w:rFonts w:ascii="Times New Roman" w:hAnsi="Times New Roman"/>
          <w:sz w:val="24"/>
        </w:rPr>
        <w:t xml:space="preserve">. </w:t>
      </w:r>
      <w:r w:rsidRPr="000B7B26">
        <w:rPr>
          <w:rFonts w:ascii="Times New Roman" w:hAnsi="Times New Roman"/>
          <w:sz w:val="24"/>
        </w:rPr>
        <w:t xml:space="preserve">Transparent tax planning and </w:t>
      </w:r>
      <w:proofErr w:type="spellStart"/>
      <w:r w:rsidRPr="000B7B26">
        <w:rPr>
          <w:rFonts w:ascii="Times New Roman" w:hAnsi="Times New Roman"/>
          <w:sz w:val="24"/>
        </w:rPr>
        <w:t>harmonised</w:t>
      </w:r>
      <w:proofErr w:type="spellEnd"/>
      <w:r w:rsidRPr="000B7B26">
        <w:rPr>
          <w:rFonts w:ascii="Times New Roman" w:hAnsi="Times New Roman"/>
          <w:sz w:val="24"/>
        </w:rPr>
        <w:t xml:space="preserve"> regulatory reporting are therefore recommended.</w:t>
      </w:r>
    </w:p>
    <w:p w14:paraId="7D0A1C5E" w14:textId="26E5CED6" w:rsidR="008D5DCB" w:rsidRDefault="0020015B">
      <w:r>
        <w:rPr>
          <w:rFonts w:ascii="Times New Roman" w:hAnsi="Times New Roman"/>
          <w:b/>
          <w:sz w:val="24"/>
          <w:highlight w:val="yellow"/>
        </w:rPr>
        <w:t xml:space="preserve">Keywords: </w:t>
      </w:r>
      <w:r w:rsidRPr="00975EF2">
        <w:rPr>
          <w:rFonts w:ascii="Times New Roman" w:hAnsi="Times New Roman"/>
          <w:bCs/>
          <w:sz w:val="24"/>
          <w:highlight w:val="yellow"/>
        </w:rPr>
        <w:t>Book–Tax Difference, Cash Effective Tax Rate, market performance, Market Value per Share, tax aggressiveness, Tobin’s Q</w:t>
      </w:r>
    </w:p>
    <w:p w14:paraId="07EF2ECC" w14:textId="77777777" w:rsidR="008D5DCB" w:rsidRDefault="0020015B">
      <w:pPr>
        <w:pStyle w:val="NormalWeb"/>
        <w:spacing w:before="0" w:beforeAutospacing="0" w:after="0" w:afterAutospacing="0"/>
        <w:jc w:val="both"/>
        <w:rPr>
          <w:rFonts w:eastAsiaTheme="minorHAnsi"/>
          <w:b/>
          <w:kern w:val="2"/>
          <w:lang w:val="en-US" w:eastAsia="en-US"/>
          <w14:ligatures w14:val="standardContextual"/>
        </w:rPr>
      </w:pPr>
      <w:r>
        <w:rPr>
          <w:rFonts w:eastAsiaTheme="minorHAnsi"/>
          <w:b/>
          <w:kern w:val="2"/>
          <w:lang w:val="en-US" w:eastAsia="en-US"/>
          <w14:ligatures w14:val="standardContextual"/>
        </w:rPr>
        <w:t>1.</w:t>
      </w:r>
      <w:r>
        <w:rPr>
          <w:rFonts w:eastAsiaTheme="minorHAnsi"/>
          <w:b/>
          <w:kern w:val="2"/>
          <w:lang w:val="en-US" w:eastAsia="en-US"/>
          <w14:ligatures w14:val="standardContextual"/>
        </w:rPr>
        <w:tab/>
        <w:t>Introduction</w:t>
      </w:r>
    </w:p>
    <w:p w14:paraId="7DE30A45" w14:textId="77777777" w:rsidR="008D5DCB" w:rsidRDefault="0020015B">
      <w:pPr>
        <w:pStyle w:val="NormalWeb"/>
        <w:spacing w:before="0" w:beforeAutospacing="0" w:after="0" w:afterAutospacing="0"/>
        <w:jc w:val="both"/>
        <w:rPr>
          <w:rFonts w:eastAsiaTheme="minorHAnsi"/>
          <w:b/>
          <w:kern w:val="2"/>
          <w:lang w:val="en-US" w:eastAsia="en-US"/>
          <w14:ligatures w14:val="standardContextual"/>
        </w:rPr>
      </w:pPr>
      <w:r>
        <w:rPr>
          <w:highlight w:val="yellow"/>
        </w:rPr>
        <w:t>Across the world, market performance is a key measure of organisational success and value creation within the insurance sector, reflecting how the broader capital market assesses an enterprise’s financial stability, efficiency, and future prospects. However, the dynamics that drive market performance vary considerably between advanced and emerging economies, revealing structural differences in asset pricing, regulatory discipline, and information flows (Nuta et al., 2025; Kijkasiwat et al., 2022). In highly developed markets, including the United States, the United Kingdom, and parts of Western Europe, corporate valuations are determined within deep and relatively efficient financial ecosystems (Merendino &amp; Melville, 2019). These mature markets are supported by sophisticated institutional oversight, advanced disclosure frameworks, and strong corporate governance protocols that reduce information asymmetry. Consequently, stock valuations in these settings respond to fundamental financial choices, ranging from dividend structures and capitalisation models to contemporary corporate priorities such as ESG implementation and intangible-asset optimisation (Aguilera et al., 2021).</w:t>
      </w:r>
    </w:p>
    <w:p w14:paraId="0A0DE1D2" w14:textId="6F869A1F"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 xml:space="preserve">Developing markets present a substantially different operating environment for financial firms than mature markets. These markets include emerging bourses characterised by structural inefficiencies and considerable information gaps. Financial analysis is constrained by thin trading volumes and concentrated </w:t>
      </w:r>
      <w:r w:rsidRPr="008F2879">
        <w:rPr>
          <w:rFonts w:ascii="Times New Roman" w:hAnsi="Times New Roman"/>
          <w:sz w:val="24"/>
          <w:highlight w:val="yellow"/>
        </w:rPr>
        <w:t>ownership (</w:t>
      </w:r>
      <w:r w:rsidR="008F2879" w:rsidRPr="008F2879">
        <w:rPr>
          <w:rFonts w:ascii="Times New Roman" w:hAnsi="Times New Roman"/>
          <w:sz w:val="24"/>
          <w:highlight w:val="yellow"/>
        </w:rPr>
        <w:t>Claessens</w:t>
      </w:r>
      <w:r>
        <w:rPr>
          <w:rFonts w:ascii="Times New Roman" w:hAnsi="Times New Roman"/>
          <w:sz w:val="24"/>
          <w:highlight w:val="yellow"/>
        </w:rPr>
        <w:t>, 20</w:t>
      </w:r>
      <w:r w:rsidR="008F2879">
        <w:rPr>
          <w:rFonts w:ascii="Times New Roman" w:hAnsi="Times New Roman"/>
          <w:sz w:val="24"/>
          <w:highlight w:val="yellow"/>
        </w:rPr>
        <w:t>13</w:t>
      </w:r>
      <w:r>
        <w:rPr>
          <w:rFonts w:ascii="Times New Roman" w:hAnsi="Times New Roman"/>
          <w:sz w:val="24"/>
          <w:highlight w:val="yellow"/>
        </w:rPr>
        <w:t>). Limited analyst coverage further reduces price informativeness across these markets. Consequently, traditional drivers of market valuation may not translate directly because of institutional frictions. Instead, internal governance, liquidity buffers, and fiscal strategies may carry disproportionate signalling weight for external investors (Adem &amp; Dsouza, 2024; Alam et al., 2025).</w:t>
      </w:r>
    </w:p>
    <w:p w14:paraId="519CE65E" w14:textId="77777777" w:rsidR="005643A9" w:rsidRPr="006D3965" w:rsidRDefault="00000000">
      <w:pPr>
        <w:spacing w:before="100" w:beforeAutospacing="1" w:after="100" w:afterAutospacing="1" w:line="240" w:lineRule="auto"/>
        <w:jc w:val="both"/>
        <w:rPr>
          <w:rFonts w:ascii="Times New Roman" w:eastAsia="Times New Roman" w:hAnsi="Times New Roman" w:cs="Times New Roman"/>
          <w:bCs/>
          <w:kern w:val="0"/>
          <w:sz w:val="24"/>
          <w:szCs w:val="24"/>
          <w:lang w:val="en-GB" w:eastAsia="en-GB"/>
          <w14:ligatures w14:val="none"/>
        </w:rPr>
      </w:pPr>
      <w:r w:rsidRPr="006D3965">
        <w:rPr>
          <w:rFonts w:ascii="Times New Roman" w:hAnsi="Times New Roman"/>
          <w:bCs/>
          <w:sz w:val="24"/>
          <w:highlight w:val="yellow"/>
        </w:rPr>
        <w:lastRenderedPageBreak/>
        <w:t>Within Nigeria’s regulated financial sector, audit independence and audit fees have been reported to be significantly associated with firm value, reinforcing the relevance of credible oversight to market valuation (Nkwa et al., 2026).</w:t>
      </w:r>
    </w:p>
    <w:p w14:paraId="0B3E7D04"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For listed insurance companies in Nigeria, strong market performance—measured using Tobin’s Q and Market Value per Share—is critical to maintaining public trust and corporate longevity within a volatile financial environment (Awotomilusi et al., 2025). Navigating this environment has become more complex following the Nigerian Insurance Industry Reform Act (NIIRA) 2025, which introduced higher minimum capital requirements and a risk-based capital framework, with a 12-month compliance period from July 2025. Consequently, executives face considerable pressure to protect shareholder value and attract scarce investment capital while balancing these requirements against rising claims ratios and macroeconomic volatility. Although corporate managers increasingly use aggressive tax planning to protect current earnings and conserve cash for recapitalisation, such manoeuvres may expose firms to governance concerns, Federal Inland Revenue Service (FIRS) sanctions, and long-term reputational damage (Bamisaye et al., 2025). In an emerging market characterised by weak informational transparency and historically fragile trust in insurance, intensive tax planning may be interpreted by investors as evidence of hidden financial distress rather than operational efficiency, creating empirical uncertainty about whether tax-aggressive behaviour builds or erodes market value (Ojo et al., 2025).</w:t>
      </w:r>
    </w:p>
    <w:p w14:paraId="774EC643" w14:textId="77777777" w:rsidR="005643A9" w:rsidRPr="00EC6D7F" w:rsidRDefault="00000000">
      <w:pPr>
        <w:spacing w:before="100" w:beforeAutospacing="1" w:after="100" w:afterAutospacing="1" w:line="240" w:lineRule="auto"/>
        <w:jc w:val="both"/>
        <w:rPr>
          <w:rFonts w:ascii="Times New Roman" w:eastAsia="Times New Roman" w:hAnsi="Times New Roman" w:cs="Times New Roman"/>
          <w:bCs/>
          <w:kern w:val="0"/>
          <w:sz w:val="24"/>
          <w:szCs w:val="24"/>
          <w:lang w:val="en-GB" w:eastAsia="en-GB"/>
          <w14:ligatures w14:val="none"/>
        </w:rPr>
      </w:pPr>
      <w:r w:rsidRPr="00EC6D7F">
        <w:rPr>
          <w:rFonts w:ascii="Times New Roman" w:hAnsi="Times New Roman"/>
          <w:bCs/>
          <w:sz w:val="24"/>
          <w:highlight w:val="yellow"/>
        </w:rPr>
        <w:t>Recent evidence further indicates that the valuation consequences of corporate tax avoidance are conditional: avoidance has been associated with lower firm value where governance and internal controls are weaker, while stronger oversight can moderate this adverse effect (Lv et al., 2025).</w:t>
      </w:r>
    </w:p>
    <w:p w14:paraId="2418E0F1" w14:textId="77777777" w:rsidR="005643A9" w:rsidRPr="00EC6D7F" w:rsidRDefault="00000000">
      <w:pPr>
        <w:spacing w:before="100" w:beforeAutospacing="1" w:after="100" w:afterAutospacing="1" w:line="240" w:lineRule="auto"/>
        <w:jc w:val="both"/>
        <w:rPr>
          <w:rFonts w:ascii="Times New Roman" w:eastAsia="Times New Roman" w:hAnsi="Times New Roman" w:cs="Times New Roman"/>
          <w:bCs/>
          <w:kern w:val="0"/>
          <w:sz w:val="24"/>
          <w:szCs w:val="24"/>
          <w:lang w:val="en-GB" w:eastAsia="en-GB"/>
          <w14:ligatures w14:val="none"/>
        </w:rPr>
      </w:pPr>
      <w:r w:rsidRPr="00EC6D7F">
        <w:rPr>
          <w:rFonts w:ascii="Times New Roman" w:hAnsi="Times New Roman"/>
          <w:bCs/>
          <w:sz w:val="24"/>
          <w:highlight w:val="yellow"/>
        </w:rPr>
        <w:t>Conversely, evidence from listed firms in China suggests that technology-enabled tax planning may support firm value through higher after-tax income and future cash flows, illustrating why valuation outcomes can differ across institutional and informational settings (Tang et al., 2025).</w:t>
      </w:r>
    </w:p>
    <w:p w14:paraId="697A46E7" w14:textId="78416534"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 xml:space="preserve">A thorough investigation of this issue requires the analysis of specific tax metrics to determine how tax-planning choices relate to corporate outcomes. The first independent proxy is the Effective Tax Rate (ETR), which measures total income-tax expense relative to pre-tax financial accounting income and indicates a company’s overall tax burden and tax-avoidance trajectory (Khuong et al., 2020). A lower ETR often signals active minimisation of statutory liabilities relative to earnings (Apriyanti &amp; Arifin, 2021; Hardana et al., 2023). Complementing this accrual-based measure is the Cash Effective Tax Rate (CETR), calculated as actual cash taxes paid relative to pre-tax income to exclude accounting </w:t>
      </w:r>
      <w:r w:rsidRPr="002008A5">
        <w:rPr>
          <w:rFonts w:ascii="Times New Roman" w:hAnsi="Times New Roman"/>
          <w:sz w:val="24"/>
          <w:highlight w:val="yellow"/>
        </w:rPr>
        <w:t>deferrals (</w:t>
      </w:r>
      <w:r w:rsidR="002008A5" w:rsidRPr="002008A5">
        <w:rPr>
          <w:rFonts w:ascii="Times New Roman" w:hAnsi="Times New Roman"/>
          <w:sz w:val="24"/>
          <w:highlight w:val="yellow"/>
        </w:rPr>
        <w:t>Malik</w:t>
      </w:r>
      <w:r w:rsidRPr="002008A5">
        <w:rPr>
          <w:rFonts w:ascii="Times New Roman" w:hAnsi="Times New Roman"/>
          <w:sz w:val="24"/>
          <w:highlight w:val="yellow"/>
        </w:rPr>
        <w:t xml:space="preserve"> et </w:t>
      </w:r>
      <w:r>
        <w:rPr>
          <w:rFonts w:ascii="Times New Roman" w:hAnsi="Times New Roman"/>
          <w:sz w:val="24"/>
          <w:highlight w:val="yellow"/>
        </w:rPr>
        <w:t>al., 2025). It therefore provides an indication of a firm’s cash-tax position, immediate cash outflows, and financial discipline (Indawati &amp; Rizkiyani, 2025; Shams et al., 2025).</w:t>
      </w:r>
    </w:p>
    <w:p w14:paraId="12FF0574" w14:textId="77777777" w:rsidR="005643A9" w:rsidRPr="00EC6D7F" w:rsidRDefault="00000000">
      <w:pPr>
        <w:spacing w:before="100" w:beforeAutospacing="1" w:after="100" w:afterAutospacing="1" w:line="240" w:lineRule="auto"/>
        <w:jc w:val="both"/>
        <w:rPr>
          <w:rFonts w:ascii="Times New Roman" w:eastAsia="Times New Roman" w:hAnsi="Times New Roman" w:cs="Times New Roman"/>
          <w:bCs/>
          <w:kern w:val="0"/>
          <w:sz w:val="24"/>
          <w:szCs w:val="24"/>
          <w:lang w:val="en-GB" w:eastAsia="en-GB"/>
          <w14:ligatures w14:val="none"/>
        </w:rPr>
      </w:pPr>
      <w:r w:rsidRPr="00EC6D7F">
        <w:rPr>
          <w:rFonts w:ascii="Times New Roman" w:hAnsi="Times New Roman"/>
          <w:bCs/>
          <w:sz w:val="24"/>
          <w:highlight w:val="yellow"/>
        </w:rPr>
        <w:t>Related evidence indicates that liquidity and capital intensity can influence tax-aggressive behaviour, supporting the interpretation of ETR- and CETR-based measures alongside firms’ underlying financial structures (Astrina et al., 2024).</w:t>
      </w:r>
    </w:p>
    <w:p w14:paraId="5C80FE71"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 xml:space="preserve">Beyond direct rate measures, corporate tax behaviour can be assessed using the Book–Tax Difference (BTD), which captures the gap between accounting income reported to shareholders and taxable income reported to fiscal authorities. It is a sensitive proxy for managerial discretion because unusually wide differences may indicate aggressive accounting choices and transparency risks (Amri et al., 2023; Aryan, 2023; Bougacha &amp; Guedrib, 2024; Shamil et al., </w:t>
      </w:r>
      <w:r>
        <w:rPr>
          <w:rFonts w:ascii="Times New Roman" w:hAnsi="Times New Roman"/>
          <w:sz w:val="24"/>
          <w:highlight w:val="yellow"/>
        </w:rPr>
        <w:lastRenderedPageBreak/>
        <w:t>2024). The Tax Savings Ratio measures the proportion of tax savings obtained through targeted deductions, credits, and deferrals relative to the firm’s pre-tax income base (Sihono &amp; Khairiyahtussolihah, 2023). Collectively, these variables help to isolate how corporate oversight arrangements shape tax minimisation and whether such manoeuvres represent responsible cost management or short-term window dressing (Belahouaoui, 2025).</w:t>
      </w:r>
    </w:p>
    <w:p w14:paraId="5BAE23F1" w14:textId="77777777" w:rsidR="008D5DCB" w:rsidRDefault="0020015B">
      <w:pPr>
        <w:pStyle w:val="NormalWeb"/>
        <w:jc w:val="both"/>
      </w:pPr>
      <w:r>
        <w:rPr>
          <w:highlight w:val="yellow"/>
        </w:rPr>
        <w:t>Despite the extensive global literature on corporate tax aggressiveness, an important empirical, contextual, and methodological gap remains. Existing studies, including Bougacha and Guedrib (2024), Dagunduro et al. (2025), and Keasey et al. (2025), have largely focused on non-financial firms or banking institutions, leaving the specialised insurance sector under-researched, particularly in sub-Saharan Africa. Methodologically, previous domestic studies have often relied on single, accrual-based tax measures and static performance indicators, thereby failing to capture the effects of tax behaviour on both long-term firm value and immediate equity pricing. Contextually, there is limited empirical evidence on how the market penalises or rewards tax aggressiveness during a period of statutory consolidation. This study addresses these gaps by examining multidimensional tax proxies against distinct measures of market performance during a period of substantial regulatory restructuring.</w:t>
      </w:r>
    </w:p>
    <w:p w14:paraId="42A5CE29" w14:textId="77777777" w:rsidR="008D5DCB" w:rsidRDefault="0020015B">
      <w:pPr>
        <w:pStyle w:val="NormalWeb"/>
        <w:jc w:val="both"/>
      </w:pPr>
      <w:r>
        <w:rPr>
          <w:highlight w:val="yellow"/>
        </w:rPr>
        <w:t>Consequently, the primary objective of this study is to evaluate the effects of tax aggressiveness on the market performance of listed insurance companies in Nigeria. Specifically, the study seeks to analyse the individual and interactive effects of the Effective Tax Rate (ETR), Cash Effective Tax Rate (CETR), Book–Tax Difference (BTD), and Tax Savings Ratio on Tobin’s Q and Market Value per Share within the prevailing regulatory environment. The study aims to provide insurance executives, regulatory authorities, and capital-market participants with evidence on how tax-management efficiency and related compliance risks influence corporate stability and investor confidence during a period of substantial industry transformation.</w:t>
      </w:r>
    </w:p>
    <w:p w14:paraId="6DE2CD2A"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Literature Review and Hypothesis Development</w:t>
      </w:r>
    </w:p>
    <w:p w14:paraId="30E5AF08" w14:textId="77777777" w:rsidR="008D5DCB" w:rsidRDefault="0020015B">
      <w:pPr>
        <w:spacing w:after="0" w:line="240" w:lineRule="auto"/>
        <w:jc w:val="both"/>
        <w:rPr>
          <w:rFonts w:ascii="Times New Roman" w:eastAsia="Times New Roman" w:hAnsi="Times New Roman" w:cs="Times New Roman"/>
          <w:b/>
          <w:kern w:val="0"/>
          <w:sz w:val="24"/>
          <w:szCs w:val="24"/>
          <w:lang w:val="en-GB" w:eastAsia="en-GB"/>
          <w14:ligatures w14:val="none"/>
        </w:rPr>
      </w:pPr>
      <w:r>
        <w:rPr>
          <w:rFonts w:ascii="Times New Roman" w:eastAsia="Times New Roman" w:hAnsi="Times New Roman" w:cs="Times New Roman"/>
          <w:b/>
          <w:kern w:val="0"/>
          <w:sz w:val="24"/>
          <w:szCs w:val="24"/>
          <w:lang w:val="en-GB" w:eastAsia="en-GB"/>
          <w14:ligatures w14:val="none"/>
        </w:rPr>
        <w:t>2.1</w:t>
      </w:r>
      <w:r>
        <w:rPr>
          <w:rFonts w:ascii="Times New Roman" w:eastAsia="Times New Roman" w:hAnsi="Times New Roman" w:cs="Times New Roman"/>
          <w:b/>
          <w:kern w:val="0"/>
          <w:sz w:val="24"/>
          <w:szCs w:val="24"/>
          <w:lang w:val="en-GB" w:eastAsia="en-GB"/>
          <w14:ligatures w14:val="none"/>
        </w:rPr>
        <w:tab/>
        <w:t xml:space="preserve">Market performance </w:t>
      </w:r>
    </w:p>
    <w:p w14:paraId="76789999" w14:textId="6DB30145" w:rsidR="008D5DCB" w:rsidRDefault="0020015B">
      <w:pPr>
        <w:spacing w:after="0"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 xml:space="preserve">Market performance is a multidimensional construct that reflects how effectively an enterprise optimises operational efficiency, strategic governance, and risk management to build investor confidence and maximise stakeholder wealth (Awotomilusi et al., 2025; Dagunduro et al., 2025). The literature indicates that market valuation extends beyond internal profitability and is sensitive to stakeholder </w:t>
      </w:r>
      <w:r w:rsidRPr="008F2879">
        <w:rPr>
          <w:rFonts w:ascii="Times New Roman" w:hAnsi="Times New Roman"/>
          <w:sz w:val="24"/>
          <w:highlight w:val="yellow"/>
        </w:rPr>
        <w:t>engagement (</w:t>
      </w:r>
      <w:proofErr w:type="spellStart"/>
      <w:r w:rsidR="008F2879" w:rsidRPr="008F2879">
        <w:rPr>
          <w:rFonts w:ascii="Times New Roman" w:hAnsi="Times New Roman"/>
          <w:sz w:val="24"/>
          <w:highlight w:val="yellow"/>
        </w:rPr>
        <w:t>Olutimehin</w:t>
      </w:r>
      <w:proofErr w:type="spellEnd"/>
      <w:r w:rsidR="008F2879" w:rsidRPr="008F2879">
        <w:rPr>
          <w:highlight w:val="yellow"/>
        </w:rPr>
        <w:t xml:space="preserve"> </w:t>
      </w:r>
      <w:r w:rsidR="008F2879" w:rsidRPr="008F2879">
        <w:rPr>
          <w:rFonts w:ascii="Times New Roman" w:hAnsi="Times New Roman"/>
          <w:sz w:val="24"/>
          <w:highlight w:val="yellow"/>
        </w:rPr>
        <w:t>et al</w:t>
      </w:r>
      <w:r w:rsidRPr="008F2879">
        <w:rPr>
          <w:rFonts w:ascii="Times New Roman" w:hAnsi="Times New Roman"/>
          <w:sz w:val="24"/>
          <w:highlight w:val="yellow"/>
        </w:rPr>
        <w:t xml:space="preserve">, </w:t>
      </w:r>
      <w:r>
        <w:rPr>
          <w:rFonts w:ascii="Times New Roman" w:hAnsi="Times New Roman"/>
          <w:sz w:val="24"/>
          <w:highlight w:val="yellow"/>
        </w:rPr>
        <w:t>202</w:t>
      </w:r>
      <w:r w:rsidR="008F2879">
        <w:rPr>
          <w:rFonts w:ascii="Times New Roman" w:hAnsi="Times New Roman"/>
          <w:sz w:val="24"/>
          <w:highlight w:val="yellow"/>
        </w:rPr>
        <w:t>4</w:t>
      </w:r>
      <w:r>
        <w:rPr>
          <w:rFonts w:ascii="Times New Roman" w:hAnsi="Times New Roman"/>
          <w:sz w:val="24"/>
          <w:highlight w:val="yellow"/>
        </w:rPr>
        <w:t>), risk-committee oversight (Alduneibat, 2023; Shams et al., 2025), structural resilience during macroeconomic crises (Nuta et al., 2025), ESG frameworks (Aguilera et al., 2021), social-media sentiment (Keasey et al., 2025), data transparency (Zhang &amp; Sok, 2025), and behavioural responses to corporate fiscal policies (Audi et al., 2025; Su &amp; Deng, 2024). In this study, market performance describes how financial, tax, and governance arrangements shape investor sentiment and long-term equity appreciation. It is assessed using two market-based proxies: Market Value per Share (MVPS) and Tobin’s Q, with the latter reflecting forward-looking growth prospects, asset efficiency, and investors’ expectations of future profitability (Awotomilusi et al., 2025; Dagunduro et al., 2025).</w:t>
      </w:r>
    </w:p>
    <w:p w14:paraId="0BA97EAB" w14:textId="77777777" w:rsidR="008D5DCB" w:rsidRDefault="008D5DCB">
      <w:pPr>
        <w:spacing w:after="0" w:line="240" w:lineRule="auto"/>
        <w:jc w:val="both"/>
        <w:rPr>
          <w:rFonts w:ascii="Times New Roman" w:hAnsi="Times New Roman" w:cs="Times New Roman"/>
          <w:b/>
          <w:sz w:val="24"/>
          <w:szCs w:val="24"/>
        </w:rPr>
      </w:pPr>
    </w:p>
    <w:p w14:paraId="006D11CF"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 Tax Aggressiveness and Market Performance</w:t>
      </w:r>
    </w:p>
    <w:p w14:paraId="7350E1B3" w14:textId="78A14122" w:rsidR="008D5DCB" w:rsidRDefault="0020015B">
      <w:pPr>
        <w:spacing w:line="240" w:lineRule="auto"/>
        <w:jc w:val="both"/>
        <w:rPr>
          <w:rFonts w:ascii="Times New Roman" w:hAnsi="Times New Roman" w:cs="Times New Roman"/>
          <w:b/>
          <w:sz w:val="24"/>
          <w:szCs w:val="24"/>
        </w:rPr>
      </w:pPr>
      <w:r>
        <w:rPr>
          <w:rFonts w:ascii="Times New Roman" w:hAnsi="Times New Roman"/>
          <w:sz w:val="24"/>
          <w:highlight w:val="yellow"/>
        </w:rPr>
        <w:t xml:space="preserve">The global literature on the empirical relationship between tax aggressiveness and market performance reports mixed findings, largely because of geographical and sectoral differences. In Vietnam, aggressive tax planning reduced Tobin’s Q despite improving accounting returns (Khuong et al., 2020), suggesting that investors may view such manoeuvres as indicators of regulatory risk and managerial opportunism. Although governance research in Indonesia </w:t>
      </w:r>
      <w:r>
        <w:rPr>
          <w:rFonts w:ascii="Times New Roman" w:hAnsi="Times New Roman"/>
          <w:sz w:val="24"/>
          <w:highlight w:val="yellow"/>
        </w:rPr>
        <w:lastRenderedPageBreak/>
        <w:t xml:space="preserve">indicates that audit committees can constrain tax aggressiveness (Apriyanti &amp; Arifin, 2021), these findings, together with South Asian banking studies reporting inconsistent effects of board independence (Malik &amp; Munir, 2024; </w:t>
      </w:r>
      <w:r w:rsidR="002008A5" w:rsidRPr="002008A5">
        <w:rPr>
          <w:rFonts w:ascii="Times New Roman" w:hAnsi="Times New Roman"/>
          <w:sz w:val="24"/>
          <w:highlight w:val="yellow"/>
        </w:rPr>
        <w:t>Malik</w:t>
      </w:r>
      <w:r w:rsidR="002008A5" w:rsidRPr="002008A5">
        <w:rPr>
          <w:rFonts w:ascii="Times New Roman" w:hAnsi="Times New Roman"/>
          <w:sz w:val="24"/>
          <w:highlight w:val="yellow"/>
        </w:rPr>
        <w:t xml:space="preserve"> </w:t>
      </w:r>
      <w:r>
        <w:rPr>
          <w:rFonts w:ascii="Times New Roman" w:hAnsi="Times New Roman"/>
          <w:sz w:val="24"/>
          <w:highlight w:val="yellow"/>
        </w:rPr>
        <w:t>et al., 2025), do not address the distinctive regulatory conditions of the insurance sector. Even localised sub-Saharan research has largely favoured banking. For example, Ogbonna et al. (2022) found that tax aggressiveness negatively affected the accounting profitability of Nigerian banks. However, because that study relied on a single tax proxy (ETR) and did not examine real-time market valuations, a literature gap remains concerning how complex tax planning affects both long-term value and equity pricing in the Nigerian insurance industry. Beyond internal governance, the external socio-political environment may also influence how the market prices a firm’s tax behaviour.</w:t>
      </w:r>
    </w:p>
    <w:p w14:paraId="00EF9661" w14:textId="77777777" w:rsidR="008D5DCB" w:rsidRDefault="0020015B">
      <w:pPr>
        <w:spacing w:line="240" w:lineRule="auto"/>
        <w:jc w:val="both"/>
        <w:rPr>
          <w:rFonts w:ascii="Times New Roman" w:hAnsi="Times New Roman" w:cs="Times New Roman"/>
          <w:b/>
          <w:sz w:val="24"/>
          <w:szCs w:val="24"/>
        </w:rPr>
      </w:pPr>
      <w:r>
        <w:rPr>
          <w:rFonts w:ascii="Times New Roman" w:hAnsi="Times New Roman"/>
          <w:sz w:val="24"/>
          <w:highlight w:val="yellow"/>
        </w:rPr>
        <w:t>Abdullah et al. (2022) examined listed corporations in Pakistan and found that tax-aggressive firms generally experienced weaker market performance because of higher risk premiums, while strong political connections moderated these adverse effects through access to government contracts and subsidies. Similarly, Sihono and Khairiyahtussolihah (2023) reported that politically connected firms faced lower market penalties when exploiting fiscal loopholes. Although these studies provide relevant insights into institutional influence, their emphasis on political insulation limits their applicability to closely supervised financial systems such as the insurance industry, in which operational transparency and regulatory compliance are important for institutional continuity.</w:t>
      </w:r>
    </w:p>
    <w:p w14:paraId="0268BA1E"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Empirical research on tax minimisation indicates that its effect on firm value depends on corporate risk, capital structure, and governance. Strong oversight may support positive market returns by reducing agency costs (Hardana et al., 2023), whereas aggressive tax avoidance may weaken investor confidence and reduce firm value, particularly when financial leverage is high (Shubita, 2024). To manage the associated reputational risks, tax-aggressive firms may use intangible value drivers such as greater board gender diversity and increased Corporate Social Responsibility (CSR) reporting (Aryan, 2023). Ultimately, the effect of these tax strategies on a firm’s overall risk profile may differ according to whether stakeholders assess accounting measures or forward-looking valuation indicators such as Tobin’s Q (Bougacha &amp; Guedrib, 2024).</w:t>
      </w:r>
    </w:p>
    <w:p w14:paraId="06B8D131" w14:textId="77777777" w:rsidR="008D5DCB" w:rsidRDefault="0020015B">
      <w:pPr>
        <w:pStyle w:val="NormalWeb"/>
        <w:jc w:val="both"/>
      </w:pPr>
      <w:r>
        <w:rPr>
          <w:highlight w:val="yellow"/>
        </w:rPr>
        <w:t>Adegbite (2025) found that longer external-audit tenures increased both CETR and BTD among listed Nigerian financial institutions but did not examine how these changes affected market valuation. This highlights three gaps in the existing literature: a geographical and sectoral imbalance favouring Western or Asian markets and domestic manufacturing or banking sectors; a methodological overreliance on single, accrual-based tax measures and static accounting returns; and limited consideration of the contemporary Nigerian insurance sector as it restructures under the Nigerian Insurance Industry Reform Act (NIIRA) 2025. This study addresses these gaps by evaluating four tax proxies—ETR, CETR, BTD, and the Tax Savings Ratio—against both Tobin’s Q and Market Value per Share (MVPS) over the 13-year period from 2012 to 2024. Accordingly, the following hypotheses were formulated:</w:t>
      </w:r>
    </w:p>
    <w:p w14:paraId="7B3DFDEE" w14:textId="77777777" w:rsidR="008D5DCB" w:rsidRDefault="0020015B">
      <w:pPr>
        <w:pStyle w:val="NormalWeb"/>
        <w:jc w:val="both"/>
      </w:pPr>
      <w:r>
        <w:rPr>
          <w:b/>
          <w:i/>
        </w:rPr>
        <w:t>H</w:t>
      </w:r>
      <w:r>
        <w:rPr>
          <w:b/>
          <w:i/>
          <w:vertAlign w:val="subscript"/>
        </w:rPr>
        <w:t>1</w:t>
      </w:r>
      <w:r>
        <w:rPr>
          <w:b/>
          <w:i/>
        </w:rPr>
        <w:t>:</w:t>
      </w:r>
      <w:r>
        <w:rPr>
          <w:b/>
          <w:i/>
        </w:rPr>
        <w:tab/>
      </w:r>
      <w:r>
        <w:rPr>
          <w:highlight w:val="yellow"/>
        </w:rPr>
        <w:t>Effective Tax Rate (ETR) has a significant effect on Tobin’s Q of listed insurance companies in Nigeria.</w:t>
      </w:r>
    </w:p>
    <w:p w14:paraId="14437CB6" w14:textId="77777777" w:rsidR="008D5DCB" w:rsidRDefault="0020015B">
      <w:pPr>
        <w:pStyle w:val="NormalWeb"/>
        <w:jc w:val="both"/>
      </w:pPr>
      <w:r>
        <w:rPr>
          <w:b/>
          <w:i/>
        </w:rPr>
        <w:t>H</w:t>
      </w:r>
      <w:r>
        <w:rPr>
          <w:b/>
          <w:i/>
          <w:vertAlign w:val="subscript"/>
        </w:rPr>
        <w:t>2</w:t>
      </w:r>
      <w:r>
        <w:rPr>
          <w:b/>
          <w:i/>
        </w:rPr>
        <w:t>:</w:t>
      </w:r>
      <w:r>
        <w:rPr>
          <w:b/>
          <w:i/>
        </w:rPr>
        <w:tab/>
      </w:r>
      <w:r>
        <w:rPr>
          <w:highlight w:val="yellow"/>
        </w:rPr>
        <w:t>Cash Effective Tax Rate (CETR) has a significant effect on Tobin’s Q of listed insurance companies in Nigeria.</w:t>
      </w:r>
    </w:p>
    <w:p w14:paraId="7C140630" w14:textId="77777777" w:rsidR="008D5DCB" w:rsidRDefault="0020015B">
      <w:pPr>
        <w:pStyle w:val="NormalWeb"/>
        <w:jc w:val="both"/>
      </w:pPr>
      <w:r>
        <w:rPr>
          <w:b/>
          <w:i/>
        </w:rPr>
        <w:lastRenderedPageBreak/>
        <w:t>H</w:t>
      </w:r>
      <w:r>
        <w:rPr>
          <w:b/>
          <w:i/>
          <w:vertAlign w:val="subscript"/>
        </w:rPr>
        <w:t>3</w:t>
      </w:r>
      <w:r>
        <w:rPr>
          <w:b/>
          <w:i/>
        </w:rPr>
        <w:t>:</w:t>
      </w:r>
      <w:r>
        <w:rPr>
          <w:b/>
          <w:i/>
        </w:rPr>
        <w:tab/>
      </w:r>
      <w:r>
        <w:rPr>
          <w:highlight w:val="yellow"/>
        </w:rPr>
        <w:t>Book-Tax Difference (BTD) has a significant effect on Tobin’s Q of listed insurance companies in Nigeria.</w:t>
      </w:r>
    </w:p>
    <w:p w14:paraId="273E68DC" w14:textId="77777777" w:rsidR="008D5DCB" w:rsidRDefault="0020015B">
      <w:pPr>
        <w:pStyle w:val="NormalWeb"/>
        <w:jc w:val="both"/>
      </w:pPr>
      <w:r>
        <w:rPr>
          <w:b/>
          <w:i/>
        </w:rPr>
        <w:t>H</w:t>
      </w:r>
      <w:r>
        <w:rPr>
          <w:b/>
          <w:i/>
          <w:vertAlign w:val="subscript"/>
        </w:rPr>
        <w:t>4</w:t>
      </w:r>
      <w:r>
        <w:rPr>
          <w:b/>
          <w:i/>
        </w:rPr>
        <w:t>:</w:t>
      </w:r>
      <w:r>
        <w:rPr>
          <w:b/>
          <w:i/>
        </w:rPr>
        <w:tab/>
      </w:r>
      <w:r>
        <w:rPr>
          <w:highlight w:val="yellow"/>
        </w:rPr>
        <w:t>Tax Savings Ratio (TSR) has a significant effect on Tobin’s Q of listed insurance companies in Nigeria.</w:t>
      </w:r>
    </w:p>
    <w:p w14:paraId="2049787F" w14:textId="77777777" w:rsidR="008D5DCB" w:rsidRDefault="0020015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2.3</w:t>
      </w:r>
      <w:r>
        <w:rPr>
          <w:rFonts w:ascii="Times New Roman" w:hAnsi="Times New Roman" w:cs="Times New Roman"/>
          <w:b/>
          <w:bCs/>
          <w:sz w:val="24"/>
          <w:szCs w:val="24"/>
        </w:rPr>
        <w:tab/>
        <w:t>Conceptual framework</w:t>
      </w:r>
    </w:p>
    <w:p w14:paraId="3DA058EF" w14:textId="77777777" w:rsidR="008D5DCB" w:rsidRDefault="0020015B">
      <w:pPr>
        <w:spacing w:after="0" w:line="240" w:lineRule="auto"/>
        <w:ind w:left="720" w:firstLine="720"/>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g">
            <w:drawing>
              <wp:anchor distT="0" distB="0" distL="0" distR="0" simplePos="0" relativeHeight="251660288" behindDoc="0" locked="0" layoutInCell="1" allowOverlap="1" wp14:anchorId="7A9AF8DA" wp14:editId="2649C679">
                <wp:simplePos x="0" y="0"/>
                <wp:positionH relativeFrom="column">
                  <wp:posOffset>9525</wp:posOffset>
                </wp:positionH>
                <wp:positionV relativeFrom="paragraph">
                  <wp:posOffset>69850</wp:posOffset>
                </wp:positionV>
                <wp:extent cx="6051550" cy="1785620"/>
                <wp:effectExtent l="0" t="0" r="26035" b="24130"/>
                <wp:wrapNone/>
                <wp:docPr id="9" name="Group 9"/>
                <wp:cNvGraphicFramePr/>
                <a:graphic xmlns:a="http://schemas.openxmlformats.org/drawingml/2006/main">
                  <a:graphicData uri="http://schemas.microsoft.com/office/word/2010/wordprocessingGroup">
                    <wpg:wgp>
                      <wpg:cNvGrpSpPr/>
                      <wpg:grpSpPr>
                        <a:xfrm>
                          <a:off x="0" y="0"/>
                          <a:ext cx="6051485" cy="1785668"/>
                          <a:chOff x="148150" y="0"/>
                          <a:chExt cx="6033575" cy="1613240"/>
                        </a:xfrm>
                      </wpg:grpSpPr>
                      <wps:wsp>
                        <wps:cNvPr id="10" name="1027"/>
                        <wps:cNvSpPr>
                          <a:spLocks noChangeArrowheads="1"/>
                        </wps:cNvSpPr>
                        <wps:spPr bwMode="auto">
                          <a:xfrm>
                            <a:off x="148150" y="0"/>
                            <a:ext cx="2624918" cy="314325"/>
                          </a:xfrm>
                          <a:prstGeom prst="rect">
                            <a:avLst/>
                          </a:prstGeom>
                          <a:solidFill>
                            <a:srgbClr val="70AD47"/>
                          </a:solidFill>
                          <a:ln w="12700">
                            <a:solidFill>
                              <a:srgbClr val="2F491E"/>
                            </a:solidFill>
                            <a:miter lim="800000"/>
                          </a:ln>
                        </wps:spPr>
                        <wps:txbx>
                          <w:txbxContent>
                            <w:p w14:paraId="2295AB37" w14:textId="77777777" w:rsidR="008D5DCB" w:rsidRDefault="0020015B">
                              <w:pPr>
                                <w:jc w:val="both"/>
                                <w:rPr>
                                  <w:rFonts w:ascii="Times New Roman" w:hAnsi="Times New Roman" w:cs="Times New Roman"/>
                                  <w:b/>
                                  <w:sz w:val="24"/>
                                  <w:szCs w:val="24"/>
                                </w:rPr>
                              </w:pPr>
                              <w:r>
                                <w:rPr>
                                  <w:rFonts w:ascii="Times New Roman" w:hAnsi="Times New Roman" w:cs="Times New Roman"/>
                                  <w:b/>
                                  <w:sz w:val="24"/>
                                  <w:szCs w:val="24"/>
                                </w:rPr>
                                <w:tab/>
                                <w:t xml:space="preserve">Tax Aggressiveness </w:t>
                              </w:r>
                            </w:p>
                            <w:p w14:paraId="62D612ED" w14:textId="77777777" w:rsidR="008D5DCB" w:rsidRDefault="008D5DCB">
                              <w:pPr>
                                <w:jc w:val="center"/>
                                <w:rPr>
                                  <w:rFonts w:ascii="Times New Roman" w:hAnsi="Times New Roman" w:cs="Times New Roman"/>
                                </w:rPr>
                              </w:pPr>
                            </w:p>
                          </w:txbxContent>
                        </wps:txbx>
                        <wps:bodyPr rot="0" vert="horz" wrap="square" lIns="91440" tIns="45720" rIns="91440" bIns="45720" anchor="ctr" anchorCtr="0" upright="1">
                          <a:noAutofit/>
                        </wps:bodyPr>
                      </wps:wsp>
                      <wps:wsp>
                        <wps:cNvPr id="11" name="1028"/>
                        <wps:cNvSpPr>
                          <a:spLocks noChangeArrowheads="1"/>
                        </wps:cNvSpPr>
                        <wps:spPr bwMode="auto">
                          <a:xfrm>
                            <a:off x="3648075" y="9525"/>
                            <a:ext cx="2533650" cy="314325"/>
                          </a:xfrm>
                          <a:prstGeom prst="rect">
                            <a:avLst/>
                          </a:prstGeom>
                          <a:solidFill>
                            <a:srgbClr val="70AD47"/>
                          </a:solidFill>
                          <a:ln w="12700">
                            <a:solidFill>
                              <a:srgbClr val="2F491E"/>
                            </a:solidFill>
                            <a:miter lim="800000"/>
                          </a:ln>
                        </wps:spPr>
                        <wps:txbx>
                          <w:txbxContent>
                            <w:p w14:paraId="416C8021" w14:textId="77777777" w:rsidR="008D5DCB" w:rsidRDefault="0020015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rFonts w:ascii="Times New Roman" w:hAnsi="Times New Roman" w:cs="Times New Roman"/>
                                  <w:b/>
                                  <w:sz w:val="24"/>
                                  <w:szCs w:val="24"/>
                                </w:rPr>
                                <w:tab/>
                                <w:t>Market Performance</w:t>
                              </w:r>
                            </w:p>
                            <w:p w14:paraId="7A7C4C93" w14:textId="77777777" w:rsidR="008D5DCB" w:rsidRDefault="008D5DCB">
                              <w:pPr>
                                <w:jc w:val="center"/>
                                <w:rPr>
                                  <w:rFonts w:ascii="Times New Roman" w:hAnsi="Times New Roman" w:cs="Times New Roman"/>
                                </w:rPr>
                              </w:pPr>
                            </w:p>
                          </w:txbxContent>
                        </wps:txbx>
                        <wps:bodyPr rot="0" vert="horz" wrap="square" lIns="91440" tIns="45720" rIns="91440" bIns="45720" anchor="ctr" anchorCtr="0" upright="1">
                          <a:noAutofit/>
                        </wps:bodyPr>
                      </wps:wsp>
                      <wps:wsp>
                        <wps:cNvPr id="12" name="1029"/>
                        <wps:cNvSpPr>
                          <a:spLocks noChangeArrowheads="1"/>
                        </wps:cNvSpPr>
                        <wps:spPr bwMode="auto">
                          <a:xfrm>
                            <a:off x="155747" y="570214"/>
                            <a:ext cx="2647709" cy="1042982"/>
                          </a:xfrm>
                          <a:prstGeom prst="rect">
                            <a:avLst/>
                          </a:prstGeom>
                          <a:solidFill>
                            <a:srgbClr val="70AD47"/>
                          </a:solidFill>
                          <a:ln w="12700">
                            <a:solidFill>
                              <a:srgbClr val="2F491E"/>
                            </a:solidFill>
                            <a:miter lim="800000"/>
                          </a:ln>
                        </wps:spPr>
                        <wps:txbx>
                          <w:txbxContent>
                            <w:p w14:paraId="4B53BD3C" w14:textId="77777777" w:rsidR="008D5DCB" w:rsidRDefault="008D5DCB">
                              <w:pPr>
                                <w:spacing w:after="0" w:line="240" w:lineRule="auto"/>
                                <w:ind w:left="360"/>
                                <w:rPr>
                                  <w:rFonts w:ascii="Times New Roman" w:hAnsi="Times New Roman" w:cs="Times New Roman"/>
                                  <w:b/>
                                  <w:bCs/>
                                  <w:sz w:val="24"/>
                                  <w:szCs w:val="24"/>
                                </w:rPr>
                              </w:pPr>
                            </w:p>
                            <w:p w14:paraId="668F78C4"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Effective</w:t>
                              </w:r>
                              <w:r>
                                <w:t xml:space="preserve"> </w:t>
                              </w:r>
                              <w:r>
                                <w:rPr>
                                  <w:rFonts w:ascii="Times New Roman" w:hAnsi="Times New Roman" w:cs="Times New Roman"/>
                                  <w:sz w:val="24"/>
                                  <w:szCs w:val="24"/>
                                </w:rPr>
                                <w:t>Tax Rate (ETR)</w:t>
                              </w:r>
                            </w:p>
                            <w:p w14:paraId="2918EC78"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Cash Effective Tax Rate (CETR)</w:t>
                              </w:r>
                            </w:p>
                            <w:p w14:paraId="3C347556"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Book-Tax Difference (BTD)</w:t>
                              </w:r>
                              <w:r>
                                <w:rPr>
                                  <w:rFonts w:ascii="Times New Roman" w:eastAsia="Times New Roman" w:hAnsi="Times New Roman" w:cs="Times New Roman"/>
                                  <w:b/>
                                  <w:bCs/>
                                  <w:sz w:val="24"/>
                                  <w:szCs w:val="24"/>
                                  <w:lang w:eastAsia="en-GB"/>
                                </w:rPr>
                                <w:t xml:space="preserve"> </w:t>
                              </w:r>
                            </w:p>
                            <w:p w14:paraId="4386317E"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Tax Savings Ratio (TSR)</w:t>
                              </w:r>
                            </w:p>
                            <w:p w14:paraId="0E259308" w14:textId="77777777" w:rsidR="008D5DCB" w:rsidRDefault="008D5DCB">
                              <w:pPr>
                                <w:rPr>
                                  <w:rFonts w:ascii="Times New Roman" w:hAnsi="Times New Roman" w:cs="Times New Roman"/>
                                  <w:b/>
                                  <w:bCs/>
                                  <w:sz w:val="24"/>
                                  <w:szCs w:val="24"/>
                                </w:rPr>
                              </w:pPr>
                            </w:p>
                            <w:p w14:paraId="52864EBB" w14:textId="77777777" w:rsidR="008D5DCB" w:rsidRDefault="008D5DCB">
                              <w:pPr>
                                <w:rPr>
                                  <w:b/>
                                  <w:bCs/>
                                  <w:sz w:val="24"/>
                                </w:rPr>
                              </w:pPr>
                            </w:p>
                            <w:p w14:paraId="058737F3" w14:textId="77777777" w:rsidR="008D5DCB" w:rsidRDefault="008D5DCB"/>
                          </w:txbxContent>
                        </wps:txbx>
                        <wps:bodyPr rot="0" vert="horz" wrap="square" lIns="91440" tIns="45720" rIns="91440" bIns="45720" anchor="ctr" anchorCtr="0" upright="1">
                          <a:noAutofit/>
                        </wps:bodyPr>
                      </wps:wsp>
                      <wps:wsp>
                        <wps:cNvPr id="13" name="1030"/>
                        <wps:cNvSpPr>
                          <a:spLocks noChangeArrowheads="1"/>
                        </wps:cNvSpPr>
                        <wps:spPr bwMode="auto">
                          <a:xfrm>
                            <a:off x="3617747" y="592433"/>
                            <a:ext cx="2562841" cy="1020807"/>
                          </a:xfrm>
                          <a:prstGeom prst="rect">
                            <a:avLst/>
                          </a:prstGeom>
                          <a:solidFill>
                            <a:srgbClr val="70AD47"/>
                          </a:solidFill>
                          <a:ln w="12700">
                            <a:solidFill>
                              <a:srgbClr val="2F491E"/>
                            </a:solidFill>
                            <a:miter lim="800000"/>
                          </a:ln>
                        </wps:spPr>
                        <wps:txbx>
                          <w:txbxContent>
                            <w:p w14:paraId="7A64F229" w14:textId="77777777" w:rsidR="008D5DCB" w:rsidRDefault="008D5DCB">
                              <w:pPr>
                                <w:rPr>
                                  <w:rFonts w:ascii="Times New Roman" w:hAnsi="Times New Roman" w:cs="Times New Roman"/>
                                  <w:b/>
                                  <w:bCs/>
                                  <w:sz w:val="24"/>
                                </w:rPr>
                              </w:pPr>
                            </w:p>
                            <w:p w14:paraId="0DAB0E5A"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hAnsi="Times New Roman" w:cs="Times New Roman"/>
                                  <w:bCs/>
                                  <w:sz w:val="24"/>
                                  <w:szCs w:val="24"/>
                                </w:rPr>
                                <w:t>Tobin’s Q (TQ)</w:t>
                              </w:r>
                            </w:p>
                            <w:p w14:paraId="7652451E"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eastAsia="Times New Roman" w:hAnsi="Times New Roman" w:cs="Times New Roman"/>
                                  <w:bCs/>
                                  <w:sz w:val="24"/>
                                  <w:szCs w:val="24"/>
                                  <w:lang w:eastAsia="en-GB"/>
                                </w:rPr>
                                <w:t>Market Value Per Share (MVPS)</w:t>
                              </w:r>
                            </w:p>
                            <w:p w14:paraId="4D329977" w14:textId="77777777" w:rsidR="008D5DCB" w:rsidRDefault="008D5DCB">
                              <w:pPr>
                                <w:pStyle w:val="ListParagraph"/>
                                <w:spacing w:after="0" w:line="240" w:lineRule="auto"/>
                                <w:rPr>
                                  <w:rFonts w:ascii="Times New Roman" w:hAnsi="Times New Roman" w:cs="Times New Roman"/>
                                  <w:b/>
                                  <w:bCs/>
                                  <w:sz w:val="24"/>
                                  <w:szCs w:val="24"/>
                                </w:rPr>
                              </w:pPr>
                            </w:p>
                            <w:p w14:paraId="293656F4" w14:textId="77777777" w:rsidR="008D5DCB" w:rsidRDefault="008D5DCB">
                              <w:pPr>
                                <w:pStyle w:val="ListParagraph"/>
                                <w:spacing w:after="0" w:line="240" w:lineRule="auto"/>
                                <w:rPr>
                                  <w:rFonts w:ascii="Times New Roman" w:hAnsi="Times New Roman" w:cs="Times New Roman"/>
                                  <w:b/>
                                  <w:bCs/>
                                  <w:sz w:val="24"/>
                                  <w:szCs w:val="24"/>
                                </w:rPr>
                              </w:pPr>
                            </w:p>
                          </w:txbxContent>
                        </wps:txbx>
                        <wps:bodyPr rot="0" vert="horz" wrap="square" lIns="91440" tIns="45720" rIns="91440" bIns="45720" anchor="ctr" anchorCtr="0" upright="1">
                          <a:noAutofit/>
                        </wps:bodyPr>
                      </wps:wsp>
                    </wpg:wgp>
                  </a:graphicData>
                </a:graphic>
              </wp:anchor>
            </w:drawing>
          </mc:Choice>
          <mc:Fallback>
            <w:pict>
              <v:group w14:anchorId="7A9AF8DA" id="Group 9" o:spid="_x0000_s1026" style="position:absolute;left:0;text-align:left;margin-left:.75pt;margin-top:5.5pt;width:476.5pt;height:140.6pt;z-index:251660288;mso-wrap-distance-left:0;mso-wrap-distance-right:0" coordorigin="1481" coordsize="60335,16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">
                <v:rect id="1027" o:spid="_x0000_s1027" style="position:absolute;left:1481;width:26249;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" fillcolor="#70ad47" strokecolor="#2f491e" strokeweight="1pt">
                  <v:textbox>
                    <w:txbxContent>
                      <w:p w14:paraId="2295AB37" w14:textId="77777777" w:rsidR="008D5DCB" w:rsidRDefault="0020015B">
                        <w:pPr>
                          <w:jc w:val="both"/>
                          <w:rPr>
                            <w:rFonts w:ascii="Times New Roman" w:hAnsi="Times New Roman" w:cs="Times New Roman"/>
                            <w:b/>
                            <w:sz w:val="24"/>
                            <w:szCs w:val="24"/>
                          </w:rPr>
                        </w:pPr>
                        <w:r>
                          <w:rPr>
                            <w:rFonts w:ascii="Times New Roman" w:hAnsi="Times New Roman" w:cs="Times New Roman"/>
                            <w:b/>
                            <w:sz w:val="24"/>
                            <w:szCs w:val="24"/>
                          </w:rPr>
                          <w:tab/>
                          <w:t xml:space="preserve">Tax Aggressiveness </w:t>
                        </w:r>
                      </w:p>
                      <w:p w14:paraId="62D612ED" w14:textId="77777777" w:rsidR="008D5DCB" w:rsidRDefault="008D5DCB">
                        <w:pPr>
                          <w:jc w:val="center"/>
                          <w:rPr>
                            <w:rFonts w:ascii="Times New Roman" w:hAnsi="Times New Roman" w:cs="Times New Roman"/>
                          </w:rPr>
                        </w:pPr>
                      </w:p>
                    </w:txbxContent>
                  </v:textbox>
                </v:rect>
                <v:rect id="1028" o:spid="_x0000_s1028" style="position:absolute;left:36480;top:95;width:25337;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" fillcolor="#70ad47" strokecolor="#2f491e" strokeweight="1pt">
                  <v:textbox>
                    <w:txbxContent>
                      <w:p w14:paraId="416C8021" w14:textId="77777777" w:rsidR="008D5DCB" w:rsidRDefault="0020015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rFonts w:ascii="Times New Roman" w:hAnsi="Times New Roman" w:cs="Times New Roman"/>
                            <w:b/>
                            <w:sz w:val="24"/>
                            <w:szCs w:val="24"/>
                          </w:rPr>
                          <w:tab/>
                          <w:t>Market Performance</w:t>
                        </w:r>
                      </w:p>
                      <w:p w14:paraId="7A7C4C93" w14:textId="77777777" w:rsidR="008D5DCB" w:rsidRDefault="008D5DCB">
                        <w:pPr>
                          <w:jc w:val="center"/>
                          <w:rPr>
                            <w:rFonts w:ascii="Times New Roman" w:hAnsi="Times New Roman" w:cs="Times New Roman"/>
                          </w:rPr>
                        </w:pPr>
                      </w:p>
                    </w:txbxContent>
                  </v:textbox>
                </v:rect>
                <v:rect id="1029" o:spid="_x0000_s1029" style="position:absolute;left:1557;top:5702;width:26477;height:10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" fillcolor="#70ad47" strokecolor="#2f491e" strokeweight="1pt">
                  <v:textbox>
                    <w:txbxContent>
                      <w:p w14:paraId="4B53BD3C" w14:textId="77777777" w:rsidR="008D5DCB" w:rsidRDefault="008D5DCB">
                        <w:pPr>
                          <w:spacing w:after="0" w:line="240" w:lineRule="auto"/>
                          <w:ind w:left="360"/>
                          <w:rPr>
                            <w:rFonts w:ascii="Times New Roman" w:hAnsi="Times New Roman" w:cs="Times New Roman"/>
                            <w:b/>
                            <w:bCs/>
                            <w:sz w:val="24"/>
                            <w:szCs w:val="24"/>
                          </w:rPr>
                        </w:pPr>
                      </w:p>
                      <w:p w14:paraId="668F78C4"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Effective</w:t>
                        </w:r>
                        <w:r>
                          <w:t xml:space="preserve"> </w:t>
                        </w:r>
                        <w:r>
                          <w:rPr>
                            <w:rFonts w:ascii="Times New Roman" w:hAnsi="Times New Roman" w:cs="Times New Roman"/>
                            <w:sz w:val="24"/>
                            <w:szCs w:val="24"/>
                          </w:rPr>
                          <w:t>Tax Rate (ETR)</w:t>
                        </w:r>
                      </w:p>
                      <w:p w14:paraId="2918EC78"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Cash Effective Tax Rate (CETR)</w:t>
                        </w:r>
                      </w:p>
                      <w:p w14:paraId="3C347556"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Book-Tax Difference (BTD)</w:t>
                        </w:r>
                        <w:r>
                          <w:rPr>
                            <w:rFonts w:ascii="Times New Roman" w:eastAsia="Times New Roman" w:hAnsi="Times New Roman" w:cs="Times New Roman"/>
                            <w:b/>
                            <w:bCs/>
                            <w:sz w:val="24"/>
                            <w:szCs w:val="24"/>
                            <w:lang w:eastAsia="en-GB"/>
                          </w:rPr>
                          <w:t xml:space="preserve"> </w:t>
                        </w:r>
                      </w:p>
                      <w:p w14:paraId="4386317E" w14:textId="77777777" w:rsidR="008D5DCB" w:rsidRDefault="0020015B">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sz w:val="24"/>
                            <w:szCs w:val="24"/>
                          </w:rPr>
                          <w:t>Tax Savings Ratio (TSR)</w:t>
                        </w:r>
                      </w:p>
                      <w:p w14:paraId="0E259308" w14:textId="77777777" w:rsidR="008D5DCB" w:rsidRDefault="008D5DCB">
                        <w:pPr>
                          <w:rPr>
                            <w:rFonts w:ascii="Times New Roman" w:hAnsi="Times New Roman" w:cs="Times New Roman"/>
                            <w:b/>
                            <w:bCs/>
                            <w:sz w:val="24"/>
                            <w:szCs w:val="24"/>
                          </w:rPr>
                        </w:pPr>
                      </w:p>
                      <w:p w14:paraId="52864EBB" w14:textId="77777777" w:rsidR="008D5DCB" w:rsidRDefault="008D5DCB">
                        <w:pPr>
                          <w:rPr>
                            <w:b/>
                            <w:bCs/>
                            <w:sz w:val="24"/>
                          </w:rPr>
                        </w:pPr>
                      </w:p>
                      <w:p w14:paraId="058737F3" w14:textId="77777777" w:rsidR="008D5DCB" w:rsidRDefault="008D5DCB"/>
                    </w:txbxContent>
                  </v:textbox>
                </v:rect>
                <v:rect id="1030" o:spid="_x0000_s1030" style="position:absolute;left:36177;top:5924;width:25628;height:10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" fillcolor="#70ad47" strokecolor="#2f491e" strokeweight="1pt">
                  <v:textbox>
                    <w:txbxContent>
                      <w:p w14:paraId="7A64F229" w14:textId="77777777" w:rsidR="008D5DCB" w:rsidRDefault="008D5DCB">
                        <w:pPr>
                          <w:rPr>
                            <w:rFonts w:ascii="Times New Roman" w:hAnsi="Times New Roman" w:cs="Times New Roman"/>
                            <w:b/>
                            <w:bCs/>
                            <w:sz w:val="24"/>
                          </w:rPr>
                        </w:pPr>
                      </w:p>
                      <w:p w14:paraId="0DAB0E5A"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hAnsi="Times New Roman" w:cs="Times New Roman"/>
                            <w:bCs/>
                            <w:sz w:val="24"/>
                            <w:szCs w:val="24"/>
                          </w:rPr>
                          <w:t>Tobin’s Q (TQ)</w:t>
                        </w:r>
                      </w:p>
                      <w:p w14:paraId="7652451E" w14:textId="77777777" w:rsidR="008D5DCB" w:rsidRDefault="0020015B">
                        <w:pPr>
                          <w:pStyle w:val="ListParagraph"/>
                          <w:numPr>
                            <w:ilvl w:val="0"/>
                            <w:numId w:val="2"/>
                          </w:numPr>
                          <w:spacing w:after="160" w:line="259" w:lineRule="auto"/>
                          <w:rPr>
                            <w:rFonts w:ascii="Times New Roman" w:hAnsi="Times New Roman" w:cs="Times New Roman"/>
                            <w:bCs/>
                            <w:sz w:val="24"/>
                            <w:szCs w:val="24"/>
                          </w:rPr>
                        </w:pPr>
                        <w:r>
                          <w:rPr>
                            <w:rFonts w:ascii="Times New Roman" w:eastAsia="Times New Roman" w:hAnsi="Times New Roman" w:cs="Times New Roman"/>
                            <w:bCs/>
                            <w:sz w:val="24"/>
                            <w:szCs w:val="24"/>
                            <w:lang w:eastAsia="en-GB"/>
                          </w:rPr>
                          <w:t>Market Value Per Share (MVPS)</w:t>
                        </w:r>
                      </w:p>
                      <w:p w14:paraId="4D329977" w14:textId="77777777" w:rsidR="008D5DCB" w:rsidRDefault="008D5DCB">
                        <w:pPr>
                          <w:pStyle w:val="ListParagraph"/>
                          <w:spacing w:after="0" w:line="240" w:lineRule="auto"/>
                          <w:rPr>
                            <w:rFonts w:ascii="Times New Roman" w:hAnsi="Times New Roman" w:cs="Times New Roman"/>
                            <w:b/>
                            <w:bCs/>
                            <w:sz w:val="24"/>
                            <w:szCs w:val="24"/>
                          </w:rPr>
                        </w:pPr>
                      </w:p>
                      <w:p w14:paraId="293656F4" w14:textId="77777777" w:rsidR="008D5DCB" w:rsidRDefault="008D5DCB">
                        <w:pPr>
                          <w:pStyle w:val="ListParagraph"/>
                          <w:spacing w:after="0" w:line="240" w:lineRule="auto"/>
                          <w:rPr>
                            <w:rFonts w:ascii="Times New Roman" w:hAnsi="Times New Roman" w:cs="Times New Roman"/>
                            <w:b/>
                            <w:bCs/>
                            <w:sz w:val="24"/>
                            <w:szCs w:val="24"/>
                          </w:rPr>
                        </w:pPr>
                      </w:p>
                    </w:txbxContent>
                  </v:textbox>
                </v:rect>
              </v:group>
            </w:pict>
          </mc:Fallback>
        </mc:AlternateConten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4B809686" w14:textId="77777777" w:rsidR="008D5DCB" w:rsidRDefault="0020015B">
      <w:pPr>
        <w:spacing w:after="0" w:line="240" w:lineRule="auto"/>
        <w:ind w:left="720" w:firstLine="720"/>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s">
            <w:drawing>
              <wp:anchor distT="0" distB="0" distL="0" distR="0" simplePos="0" relativeHeight="251662336" behindDoc="0" locked="0" layoutInCell="1" allowOverlap="1" wp14:anchorId="774FCC6C" wp14:editId="4B623B7A">
                <wp:simplePos x="0" y="0"/>
                <wp:positionH relativeFrom="column">
                  <wp:posOffset>4791075</wp:posOffset>
                </wp:positionH>
                <wp:positionV relativeFrom="paragraph">
                  <wp:posOffset>62230</wp:posOffset>
                </wp:positionV>
                <wp:extent cx="7620" cy="317500"/>
                <wp:effectExtent l="9525" t="15875" r="1143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17500"/>
                        </a:xfrm>
                        <a:prstGeom prst="line">
                          <a:avLst/>
                        </a:prstGeom>
                        <a:noFill/>
                        <a:ln w="19050">
                          <a:solidFill>
                            <a:srgbClr val="5B9BD5"/>
                          </a:solidFill>
                          <a:miter lim="800000"/>
                        </a:ln>
                      </wps:spPr>
                      <wps:bodyPr/>
                    </wps:wsp>
                  </a:graphicData>
                </a:graphic>
              </wp:anchor>
            </w:drawing>
          </mc:Choice>
          <mc:Fallback xmlns:wpsCustomData="http://www.wps.cn/officeDocument/2013/wpsCustomData">
            <w:pict>
              <v:line id="_x0000_s1026" o:spid="_x0000_s1026" o:spt="20" style="position:absolute;left:0pt;margin-left:377.25pt;margin-top:4.9pt;height:25pt;width:0.6pt;z-index:251662336;mso-width-relative:page;mso-height-relative:page;" filled="f" stroked="t" coordsize="21600,21600" o:gfxdata="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5PuML2QAAAAgB&#10;AAAPAAAAAAAAAAEAIAAAACIAAABkcnMvZG93bnJldi54bWxQSwECFAAUAAAACACHTuJA0NbSgOEB&#10;AAC9AwAADgAAAAAAAAABACAAAAAoAQAAZHJzL2Uyb0RvYy54bWxQSwUGAAAAAAYABgBZAQAAewUA&#10;AAAA&#10;">
                <v:fill on="f" focussize="0,0"/>
                <v:stroke weight="1.5pt" color="#5B9BD5" miterlimit="8" joinstyle="miter"/>
                <v:imagedata o:title=""/>
                <o:lock v:ext="edit" aspectratio="f"/>
              </v:line>
            </w:pict>
          </mc:Fallback>
        </mc:AlternateContent>
      </w:r>
      <w:r>
        <w:rPr>
          <w:rFonts w:ascii="Times New Roman" w:hAnsi="Times New Roman" w:cs="Times New Roman"/>
          <w:b/>
          <w:bCs/>
          <w:noProof/>
          <w:sz w:val="24"/>
          <w:szCs w:val="24"/>
          <w:lang w:val="en-GB" w:eastAsia="en-GB"/>
        </w:rPr>
        <mc:AlternateContent>
          <mc:Choice Requires="wps">
            <w:drawing>
              <wp:anchor distT="0" distB="0" distL="0" distR="0" simplePos="0" relativeHeight="251661312" behindDoc="0" locked="0" layoutInCell="1" allowOverlap="1" wp14:anchorId="1290950F" wp14:editId="4FB31CD7">
                <wp:simplePos x="0" y="0"/>
                <wp:positionH relativeFrom="column">
                  <wp:posOffset>1327150</wp:posOffset>
                </wp:positionH>
                <wp:positionV relativeFrom="paragraph">
                  <wp:posOffset>50165</wp:posOffset>
                </wp:positionV>
                <wp:extent cx="0" cy="319405"/>
                <wp:effectExtent l="12700" t="13335" r="15875" b="1016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9405"/>
                        </a:xfrm>
                        <a:prstGeom prst="line">
                          <a:avLst/>
                        </a:prstGeom>
                        <a:noFill/>
                        <a:ln w="19050">
                          <a:solidFill>
                            <a:srgbClr val="A5A5A5"/>
                          </a:solidFill>
                          <a:miter lim="800000"/>
                        </a:ln>
                      </wps:spPr>
                      <wps:bodyPr/>
                    </wps:wsp>
                  </a:graphicData>
                </a:graphic>
              </wp:anchor>
            </w:drawing>
          </mc:Choice>
          <mc:Fallback xmlns:wpsCustomData="http://www.wps.cn/officeDocument/2013/wpsCustomData">
            <w:pict>
              <v:line id="_x0000_s1026" o:spid="_x0000_s1026" o:spt="20" style="position:absolute;left:0pt;margin-left:104.5pt;margin-top:3.95pt;height:25.15pt;width:0pt;z-index:251661312;mso-width-relative:page;mso-height-relative:page;" filled="f" stroked="t" coordsize="21600,21600" o:gfxdata="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VyIavVAAAACAEAAA8AAAAAAAAA&#10;AQAgAAAAIgAAAGRycy9kb3ducmV2LnhtbFBLAQIUABQAAAAIAIdO4kBRq/G/2wEAALoDAAAOAAAA&#10;AAAAAAEAIAAAACQBAABkcnMvZTJvRG9jLnhtbFBLBQYAAAAABgAGAFkBAABxBQAAAAA=&#10;">
                <v:fill on="f" focussize="0,0"/>
                <v:stroke weight="1.5pt" color="#A5A5A5" miterlimit="8" joinstyle="miter"/>
                <v:imagedata o:title=""/>
                <o:lock v:ext="edit" aspectratio="f"/>
              </v:line>
            </w:pict>
          </mc:Fallback>
        </mc:AlternateContent>
      </w:r>
    </w:p>
    <w:p w14:paraId="1F1B7A62" w14:textId="77777777" w:rsidR="008D5DCB" w:rsidRDefault="008D5DCB">
      <w:pPr>
        <w:spacing w:after="0" w:line="240" w:lineRule="auto"/>
        <w:jc w:val="both"/>
        <w:rPr>
          <w:rFonts w:ascii="Times New Roman" w:hAnsi="Times New Roman" w:cs="Times New Roman"/>
          <w:b/>
          <w:bCs/>
          <w:sz w:val="24"/>
          <w:szCs w:val="24"/>
        </w:rPr>
      </w:pPr>
    </w:p>
    <w:p w14:paraId="7C32C40F" w14:textId="77777777" w:rsidR="008D5DCB" w:rsidRDefault="0020015B">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lang w:val="en-GB" w:eastAsia="en-GB"/>
        </w:rPr>
        <mc:AlternateContent>
          <mc:Choice Requires="wps">
            <w:drawing>
              <wp:anchor distT="0" distB="0" distL="114300" distR="114300" simplePos="0" relativeHeight="251659264" behindDoc="0" locked="0" layoutInCell="1" hidden="1" allowOverlap="1" wp14:anchorId="25664D62" wp14:editId="60B363F1">
                <wp:simplePos x="0" y="0"/>
                <wp:positionH relativeFrom="column">
                  <wp:posOffset>0</wp:posOffset>
                </wp:positionH>
                <wp:positionV relativeFrom="paragraph">
                  <wp:posOffset>0</wp:posOffset>
                </wp:positionV>
                <wp:extent cx="635000" cy="635000"/>
                <wp:effectExtent l="9525" t="9525" r="12700" b="12700"/>
                <wp:wrapNone/>
                <wp:docPr id="6" name="Straight Arrow Connector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0pt;margin-top:0pt;height:50pt;width:50pt;visibility:hidden;z-index:251659264;mso-width-relative:page;mso-height-relative:page;" filled="f" stroked="t" coordsize="21600,21600" o:gfxdata="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J/Xkh0AAAAAUBAAAP&#10;AAAAAAAAAAEAIAAAACIAAABkcnMvZG93bnJldi54bWxQSwECFAAUAAAACACHTuJA5f6qC+cBAADd&#10;AwAADgAAAAAAAAABACAAAAAfAQAAZHJzL2Uyb0RvYy54bWxQSwUGAAAAAAYABgBZAQAAeAUAAAAA&#10;">
                <v:fill on="f" focussize="0,0"/>
                <v:stroke color="#000000" joinstyle="round"/>
                <v:imagedata o:title=""/>
                <o:lock v:ext="edit" selection="t" aspectratio="f"/>
              </v:shape>
            </w:pict>
          </mc:Fallback>
        </mc:AlternateContent>
      </w:r>
      <w:r>
        <w:rPr>
          <w:rFonts w:ascii="Times New Roman" w:hAnsi="Times New Roman" w:cs="Times New Roman"/>
          <w:b/>
          <w:bCs/>
          <w:noProof/>
          <w:sz w:val="24"/>
          <w:szCs w:val="24"/>
          <w:lang w:val="en-GB" w:eastAsia="en-GB"/>
        </w:rPr>
        <mc:AlternateContent>
          <mc:Choice Requires="wps">
            <w:drawing>
              <wp:anchor distT="0" distB="0" distL="0" distR="0" simplePos="0" relativeHeight="251663360" behindDoc="0" locked="0" layoutInCell="1" allowOverlap="1" wp14:anchorId="5D0E0F5B" wp14:editId="7F700B18">
                <wp:simplePos x="0" y="0"/>
                <wp:positionH relativeFrom="column">
                  <wp:posOffset>2667000</wp:posOffset>
                </wp:positionH>
                <wp:positionV relativeFrom="paragraph">
                  <wp:posOffset>222250</wp:posOffset>
                </wp:positionV>
                <wp:extent cx="822960" cy="7620"/>
                <wp:effectExtent l="9525" t="66675" r="24765" b="4953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2960" cy="7620"/>
                        </a:xfrm>
                        <a:prstGeom prst="straightConnector1">
                          <a:avLst/>
                        </a:prstGeom>
                        <a:noFill/>
                        <a:ln w="19050">
                          <a:solidFill>
                            <a:srgbClr val="A5A5A5"/>
                          </a:solidFill>
                          <a:miter lim="800000"/>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flip:y;margin-left:210pt;margin-top:17.5pt;height:0.6pt;width:64.8pt;z-index:251663360;mso-width-relative:page;mso-height-relative:page;" filled="f" stroked="t" coordsize="21600,21600" o:gfxdata="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&#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nM/E2AAAAAkBAAAPAAAAAAAAAAEAIAAAACIAAABk&#10;cnMvZG93bnJldi54bWxQSwECFAAUAAAACACHTuJA42IgEQYCAAAJBAAADgAAAAAAAAABACAAAAAn&#10;AQAAZHJzL2Uyb0RvYy54bWxQSwUGAAAAAAYABgBZAQAAnwUAAAAA&#10;">
                <v:fill on="f" focussize="0,0"/>
                <v:stroke weight="1.5pt" color="#A5A5A5" miterlimit="8" joinstyle="miter" endarrow="block"/>
                <v:imagedata o:title=""/>
                <o:lock v:ext="edit" aspectratio="f"/>
              </v:shape>
            </w:pict>
          </mc:Fallback>
        </mc:AlternateContent>
      </w:r>
    </w:p>
    <w:p w14:paraId="42987813" w14:textId="77777777" w:rsidR="008D5DCB" w:rsidRDefault="008D5DCB">
      <w:pPr>
        <w:spacing w:after="0" w:line="240" w:lineRule="auto"/>
        <w:jc w:val="both"/>
        <w:rPr>
          <w:rFonts w:ascii="Times New Roman" w:hAnsi="Times New Roman" w:cs="Times New Roman"/>
          <w:b/>
          <w:bCs/>
          <w:sz w:val="24"/>
          <w:szCs w:val="24"/>
        </w:rPr>
      </w:pPr>
    </w:p>
    <w:p w14:paraId="6E4337DB" w14:textId="77777777" w:rsidR="008D5DCB" w:rsidRDefault="008D5DCB">
      <w:pPr>
        <w:spacing w:after="0" w:line="240" w:lineRule="auto"/>
        <w:jc w:val="both"/>
        <w:rPr>
          <w:rFonts w:asciiTheme="majorBidi" w:hAnsiTheme="majorBidi" w:cstheme="majorBidi"/>
          <w:b/>
          <w:bCs/>
          <w:sz w:val="24"/>
          <w:szCs w:val="24"/>
        </w:rPr>
      </w:pPr>
    </w:p>
    <w:p w14:paraId="23C2CD4A" w14:textId="77777777" w:rsidR="008D5DCB" w:rsidRDefault="008D5DCB">
      <w:pPr>
        <w:spacing w:after="0" w:line="240" w:lineRule="auto"/>
        <w:jc w:val="both"/>
        <w:rPr>
          <w:rFonts w:ascii="Times New Roman" w:hAnsi="Times New Roman" w:cs="Times New Roman"/>
          <w:b/>
          <w:sz w:val="24"/>
          <w:szCs w:val="24"/>
        </w:rPr>
      </w:pPr>
    </w:p>
    <w:p w14:paraId="034A45C3" w14:textId="77777777" w:rsidR="008D5DCB" w:rsidRDefault="008D5DCB">
      <w:pPr>
        <w:spacing w:after="0" w:line="240" w:lineRule="auto"/>
        <w:jc w:val="both"/>
        <w:rPr>
          <w:rFonts w:ascii="Times New Roman" w:hAnsi="Times New Roman" w:cs="Times New Roman"/>
          <w:b/>
          <w:sz w:val="24"/>
          <w:szCs w:val="24"/>
        </w:rPr>
      </w:pPr>
    </w:p>
    <w:p w14:paraId="5362EDF4" w14:textId="77777777" w:rsidR="008D5DCB" w:rsidRDefault="008D5DCB">
      <w:pPr>
        <w:spacing w:after="0" w:line="240" w:lineRule="auto"/>
        <w:jc w:val="both"/>
        <w:rPr>
          <w:rFonts w:ascii="Times New Roman" w:hAnsi="Times New Roman" w:cs="Times New Roman"/>
          <w:b/>
          <w:sz w:val="24"/>
          <w:szCs w:val="24"/>
        </w:rPr>
      </w:pPr>
    </w:p>
    <w:p w14:paraId="154F989D" w14:textId="77777777" w:rsidR="008D5DCB" w:rsidRDefault="008D5DCB">
      <w:pPr>
        <w:spacing w:after="0" w:line="240" w:lineRule="auto"/>
        <w:jc w:val="both"/>
        <w:rPr>
          <w:rFonts w:ascii="Times New Roman" w:hAnsi="Times New Roman" w:cs="Times New Roman"/>
          <w:b/>
          <w:sz w:val="24"/>
          <w:szCs w:val="24"/>
        </w:rPr>
      </w:pPr>
    </w:p>
    <w:p w14:paraId="299E89E4" w14:textId="77777777" w:rsidR="008D5DCB" w:rsidRDefault="008D5DCB">
      <w:pPr>
        <w:spacing w:after="0" w:line="240" w:lineRule="auto"/>
        <w:jc w:val="both"/>
        <w:rPr>
          <w:rFonts w:ascii="Times New Roman" w:hAnsi="Times New Roman" w:cs="Times New Roman"/>
          <w:b/>
          <w:sz w:val="24"/>
          <w:szCs w:val="24"/>
        </w:rPr>
      </w:pPr>
    </w:p>
    <w:p w14:paraId="421CB4EA" w14:textId="77777777" w:rsidR="008D5DCB" w:rsidRDefault="0020015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Pr>
          <w:rFonts w:ascii="Times New Roman" w:hAnsi="Times New Roman" w:cs="Times New Roman"/>
          <w:sz w:val="24"/>
          <w:szCs w:val="24"/>
        </w:rPr>
        <w:t>Author’s Concept (2026)</w:t>
      </w:r>
    </w:p>
    <w:p w14:paraId="62553A9D" w14:textId="77777777" w:rsidR="007A10BA" w:rsidRDefault="007A10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Fig 1-</w:t>
      </w:r>
      <w:r w:rsidRPr="007A10BA">
        <w:rPr>
          <w:rFonts w:ascii="Times New Roman" w:hAnsi="Times New Roman" w:cs="Times New Roman"/>
          <w:b/>
          <w:bCs/>
          <w:sz w:val="24"/>
          <w:szCs w:val="24"/>
        </w:rPr>
        <w:t xml:space="preserve"> </w:t>
      </w:r>
      <w:r>
        <w:rPr>
          <w:rFonts w:ascii="Times New Roman" w:hAnsi="Times New Roman" w:cs="Times New Roman"/>
          <w:b/>
          <w:bCs/>
          <w:sz w:val="24"/>
          <w:szCs w:val="24"/>
        </w:rPr>
        <w:t>Conceptual framework</w:t>
      </w:r>
    </w:p>
    <w:p w14:paraId="7AB68F6B" w14:textId="77777777" w:rsidR="008D5DCB" w:rsidRDefault="008D5DCB">
      <w:pPr>
        <w:pStyle w:val="Heading3"/>
        <w:spacing w:line="240" w:lineRule="auto"/>
      </w:pPr>
    </w:p>
    <w:p w14:paraId="48A8FBC6"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rPr>
        <w:tab/>
        <w:t>Theoretical Review</w:t>
      </w:r>
    </w:p>
    <w:p w14:paraId="15CFB72B"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Pr>
          <w:rFonts w:ascii="Times New Roman" w:hAnsi="Times New Roman" w:cs="Times New Roman"/>
          <w:b/>
          <w:sz w:val="24"/>
          <w:szCs w:val="24"/>
        </w:rPr>
        <w:tab/>
        <w:t>Signaling Theory</w:t>
      </w:r>
    </w:p>
    <w:p w14:paraId="5CB2B719"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sz w:val="24"/>
          <w:highlight w:val="yellow"/>
        </w:rPr>
        <w:t>Signalling theory, introduced by Spence (1973) and extended by Connelly et al. (2011), explains how corporate insiders use credible actions to reduce information asymmetry in the market. However, critics note that the theory is affected by conceptual ambiguity and simplified assumptions about how investors interpret conflicting signals. In this study, the theoretical framework examines how corporate tax aggressiveness interacts with firm liquidity and board financial expertise to affect market performance. For listed Nigerian insurance firms operating under the Nigerian Insurance Industry Reform Act (NIIRA) 2025, tax choices have dual signalling potential. Aggressive tax minimisation may signal either effective cash optimisation or managerial opportunism and regulatory non-compliance. In this opaque environment, board financial expertise can serve as a high-quality governance signal that reassures investors about the legality of the strategy. Strong governance signals may therefore ensure that healthy liquidity buffers are interpreted as resilience rather than value-destroying conservatism.</w:t>
      </w:r>
    </w:p>
    <w:p w14:paraId="4F27290D" w14:textId="77777777" w:rsidR="008D5DCB" w:rsidRDefault="0020015B">
      <w:pPr>
        <w:spacing w:after="0" w:line="240" w:lineRule="auto"/>
        <w:jc w:val="both"/>
      </w:pPr>
      <w:r>
        <w:rPr>
          <w:rFonts w:ascii="Times New Roman" w:hAnsi="Times New Roman" w:cs="Times New Roman"/>
          <w:b/>
          <w:sz w:val="24"/>
          <w:szCs w:val="24"/>
        </w:rPr>
        <w:t>3.0</w:t>
      </w:r>
      <w:r>
        <w:rPr>
          <w:rFonts w:ascii="Times New Roman" w:hAnsi="Times New Roman" w:cs="Times New Roman"/>
          <w:b/>
          <w:sz w:val="24"/>
          <w:szCs w:val="24"/>
        </w:rPr>
        <w:tab/>
        <w:t>Research Method</w:t>
      </w:r>
      <w:r>
        <w:t xml:space="preserve"> </w:t>
      </w:r>
    </w:p>
    <w:p w14:paraId="2C5EB1F0" w14:textId="77777777" w:rsidR="008D5DCB" w:rsidRDefault="0020015B">
      <w:pPr>
        <w:spacing w:after="0" w:line="240" w:lineRule="auto"/>
        <w:jc w:val="both"/>
      </w:pPr>
      <w:r>
        <w:rPr>
          <w:rFonts w:ascii="Times New Roman" w:hAnsi="Times New Roman"/>
          <w:sz w:val="24"/>
          <w:highlight w:val="yellow"/>
        </w:rPr>
        <w:t>To analyse the relationship between tax aggressiveness and market performance among listed Nigerian insurance companies, this study applies OLS and robust, firm-clustered fixed-effects multiple-regression models to a stationary panel. Using a balanced sample of 195 firm-year observations from 2012 to 2024, winsorised at the 1st and 99th percentiles, the empirical procedure begins with descriptive statistics, multicollinearity screening using Pearson correlations and variance inflation factors, and Fisher-type ADF panel-stationarity tests. Potential violations of classical regression assumptions are assessed using the Breusch–Pagan/White tests for heteroscedasticity and the Wooldridge test for serial correlation. The models then evaluate how four tax-aggressiveness proxies—ETR, CETR, BTD, and TSR—predict long-term firm value, measured by Tobin’s Q, and real-time equity pricing, measured by Market Value per Share, at two-tailed significance levels of 1%, 5%, and 10%.</w:t>
      </w:r>
    </w:p>
    <w:p w14:paraId="47DD1256" w14:textId="77777777" w:rsidR="008D5DCB" w:rsidRDefault="002001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3.1</w:t>
      </w:r>
      <w:r>
        <w:rPr>
          <w:rFonts w:ascii="Times New Roman" w:hAnsi="Times New Roman" w:cs="Times New Roman"/>
          <w:b/>
          <w:bCs/>
          <w:sz w:val="24"/>
          <w:szCs w:val="24"/>
        </w:rPr>
        <w:tab/>
        <w:t>Model Specifications</w:t>
      </w:r>
      <w:bookmarkStart w:id="0" w:name="_Hlk210220564"/>
    </w:p>
    <w:bookmarkEnd w:id="0"/>
    <w:p w14:paraId="07155865" w14:textId="77777777" w:rsidR="008D5DCB" w:rsidRDefault="0020015B">
      <w:pPr>
        <w:pStyle w:val="NormalWeb"/>
        <w:spacing w:before="0" w:beforeAutospacing="0" w:after="0" w:afterAutospacing="0"/>
        <w:jc w:val="both"/>
      </w:pPr>
      <w:r>
        <w:rPr>
          <w:highlight w:val="yellow"/>
        </w:rPr>
        <w:lastRenderedPageBreak/>
        <w:t>The econometric framework for this study was adapted from the structural model developed by Dagunduro et al. (2025), which examined governance attributes in relation to market performance using the following baseline linear model: MPit​=β0​+β1​RCSit​+β2​RCIit​+β3​RCDit​+β4​RCFEit​+β5​BFEit​+εit​. To align the framework with a sector-specific assessment of tax behaviour, the model was modified. The risk-committee attributes used by Dagunduro et al. (2025) were omitted, and market performance (MP) was measured using two proxies: long-term firm value (Tobin’s Q) and real-time equity pricing (Market Value per Share). The explanatory variables were replaced with four tax-aggressiveness proxies: Effective Tax Rate (ETR), Cash Effective Tax Rate (CETR), Book–Tax Difference (BTD), and Tax Savings Ratio (TSR). The resulting econometric models are specified as follows:</w:t>
      </w:r>
    </w:p>
    <w:p w14:paraId="58ECC46D" w14:textId="77777777" w:rsidR="008D5DCB" w:rsidRDefault="0020015B">
      <w:pPr>
        <w:spacing w:after="0" w:line="240" w:lineRule="auto"/>
        <w:jc w:val="both"/>
        <w:rPr>
          <w:rFonts w:ascii="Times New Roman" w:hAnsi="Times New Roman" w:cs="Times New Roman"/>
          <w:sz w:val="24"/>
          <w:szCs w:val="24"/>
        </w:rPr>
      </w:pPr>
      <w:r>
        <w:rPr>
          <w:rStyle w:val="mord"/>
          <w:rFonts w:ascii="Times New Roman" w:hAnsi="Times New Roman" w:cs="Times New Roman"/>
          <w:sz w:val="24"/>
          <w:szCs w:val="24"/>
        </w:rPr>
        <w:t>TQit</w:t>
      </w:r>
      <w:r>
        <w:rPr>
          <w:rStyle w:val="vlist-s"/>
          <w:rFonts w:ascii="Times New Roman" w:hAnsi="Times New Roman" w:cs="Times New Roman"/>
          <w:sz w:val="24"/>
          <w:szCs w:val="24"/>
        </w:rPr>
        <w:t>​</w:t>
      </w:r>
      <w:r>
        <w:rPr>
          <w:rStyle w:val="mrel"/>
          <w:rFonts w:ascii="Times New Roman" w:hAnsi="Times New Roman" w:cs="Times New Roman"/>
          <w:sz w:val="24"/>
          <w:szCs w:val="24"/>
        </w:rPr>
        <w:t>=</w:t>
      </w:r>
      <w:r>
        <w:rPr>
          <w:rStyle w:val="mord"/>
          <w:rFonts w:ascii="Times New Roman" w:hAnsi="Times New Roman" w:cs="Times New Roman"/>
          <w:sz w:val="24"/>
          <w:szCs w:val="24"/>
        </w:rPr>
        <w:t>β0</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β1</w:t>
      </w:r>
      <w:r>
        <w:rPr>
          <w:rStyle w:val="vlist-s"/>
          <w:rFonts w:ascii="Times New Roman" w:hAnsi="Times New Roman" w:cs="Times New Roman"/>
          <w:sz w:val="24"/>
          <w:szCs w:val="24"/>
        </w:rPr>
        <w:t>​</w:t>
      </w:r>
      <w:r>
        <w:rPr>
          <w:rStyle w:val="mord"/>
          <w:rFonts w:ascii="Times New Roman" w:hAnsi="Times New Roman" w:cs="Times New Roman"/>
          <w:sz w:val="24"/>
          <w:szCs w:val="24"/>
        </w:rPr>
        <w:t>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β2</w:t>
      </w:r>
      <w:r>
        <w:rPr>
          <w:rStyle w:val="vlist-s"/>
          <w:rFonts w:ascii="Times New Roman" w:hAnsi="Times New Roman" w:cs="Times New Roman"/>
          <w:sz w:val="24"/>
          <w:szCs w:val="24"/>
        </w:rPr>
        <w:t>​</w:t>
      </w:r>
      <w:r>
        <w:rPr>
          <w:rStyle w:val="mord"/>
          <w:rFonts w:ascii="Times New Roman" w:hAnsi="Times New Roman" w:cs="Times New Roman"/>
          <w:sz w:val="24"/>
          <w:szCs w:val="24"/>
        </w:rPr>
        <w:t>CETRit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β3</w:t>
      </w:r>
      <w:r>
        <w:rPr>
          <w:rStyle w:val="vlist-s"/>
          <w:rFonts w:ascii="Times New Roman" w:hAnsi="Times New Roman" w:cs="Times New Roman"/>
          <w:sz w:val="24"/>
          <w:szCs w:val="24"/>
        </w:rPr>
        <w:t>​</w:t>
      </w:r>
      <w:r>
        <w:rPr>
          <w:rStyle w:val="mord"/>
          <w:rFonts w:ascii="Times New Roman" w:hAnsi="Times New Roman" w:cs="Times New Roman"/>
          <w:sz w:val="24"/>
          <w:szCs w:val="24"/>
        </w:rPr>
        <w:t>BTDit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β4</w:t>
      </w:r>
      <w:r>
        <w:rPr>
          <w:rStyle w:val="vlist-s"/>
          <w:rFonts w:ascii="Times New Roman" w:hAnsi="Times New Roman" w:cs="Times New Roman"/>
          <w:sz w:val="24"/>
          <w:szCs w:val="24"/>
        </w:rPr>
        <w:t>​</w:t>
      </w:r>
      <w:r>
        <w:rPr>
          <w:rStyle w:val="mord"/>
          <w:rFonts w:ascii="Times New Roman" w:hAnsi="Times New Roman" w:cs="Times New Roman"/>
          <w:sz w:val="24"/>
          <w:szCs w:val="24"/>
        </w:rPr>
        <w:t>TSRit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εit</w:t>
      </w:r>
      <w:r>
        <w:rPr>
          <w:rStyle w:val="vlist-s"/>
          <w:rFonts w:ascii="Times New Roman" w:hAnsi="Times New Roman" w:cs="Times New Roman"/>
          <w:sz w:val="24"/>
          <w:szCs w:val="24"/>
        </w:rPr>
        <w:t>​</w:t>
      </w:r>
      <w:r>
        <w:rPr>
          <w:rStyle w:val="minner"/>
          <w:rFonts w:ascii="Times New Roman" w:hAnsi="Times New Roman" w:cs="Times New Roman"/>
          <w:sz w:val="24"/>
          <w:szCs w:val="24"/>
        </w:rPr>
        <w:t>…………………………………….</w:t>
      </w:r>
      <w:r>
        <w:rPr>
          <w:rStyle w:val="mopen"/>
          <w:rFonts w:ascii="Times New Roman" w:hAnsi="Times New Roman" w:cs="Times New Roman"/>
          <w:sz w:val="24"/>
          <w:szCs w:val="24"/>
        </w:rPr>
        <w:t xml:space="preserve"> (</w:t>
      </w:r>
      <w:r>
        <w:rPr>
          <w:rStyle w:val="mord"/>
          <w:rFonts w:ascii="Times New Roman" w:hAnsi="Times New Roman" w:cs="Times New Roman"/>
          <w:sz w:val="24"/>
          <w:szCs w:val="24"/>
        </w:rPr>
        <w:t>1</w:t>
      </w:r>
      <w:r>
        <w:rPr>
          <w:rStyle w:val="mclose"/>
          <w:rFonts w:ascii="Times New Roman" w:hAnsi="Times New Roman" w:cs="Times New Roman"/>
          <w:sz w:val="24"/>
          <w:szCs w:val="24"/>
        </w:rPr>
        <w:t>)</w:t>
      </w:r>
    </w:p>
    <w:p w14:paraId="0E386A1C" w14:textId="77777777" w:rsidR="008D5DCB" w:rsidRDefault="0020015B">
      <w:pPr>
        <w:spacing w:after="0" w:line="240" w:lineRule="auto"/>
        <w:jc w:val="both"/>
        <w:rPr>
          <w:rFonts w:ascii="Times New Roman" w:hAnsi="Times New Roman" w:cs="Times New Roman"/>
          <w:sz w:val="24"/>
          <w:szCs w:val="24"/>
        </w:rPr>
      </w:pPr>
      <w:r>
        <w:rPr>
          <w:rStyle w:val="mord"/>
          <w:rFonts w:ascii="Times New Roman" w:hAnsi="Times New Roman" w:cs="Times New Roman"/>
          <w:sz w:val="24"/>
          <w:szCs w:val="24"/>
        </w:rPr>
        <w:t>MVPSit</w:t>
      </w:r>
      <w:r>
        <w:rPr>
          <w:rStyle w:val="vlist-s"/>
          <w:rFonts w:ascii="Times New Roman" w:hAnsi="Times New Roman" w:cs="Times New Roman"/>
          <w:sz w:val="24"/>
          <w:szCs w:val="24"/>
        </w:rPr>
        <w:t>​</w:t>
      </w:r>
      <w:r>
        <w:rPr>
          <w:rStyle w:val="mrel"/>
          <w:rFonts w:ascii="Times New Roman" w:hAnsi="Times New Roman" w:cs="Times New Roman"/>
          <w:sz w:val="24"/>
          <w:szCs w:val="24"/>
        </w:rPr>
        <w:t>=</w:t>
      </w:r>
      <w:r>
        <w:rPr>
          <w:rStyle w:val="mord"/>
          <w:rFonts w:ascii="Times New Roman" w:hAnsi="Times New Roman" w:cs="Times New Roman"/>
          <w:sz w:val="24"/>
          <w:szCs w:val="24"/>
        </w:rPr>
        <w:t>β0</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β1</w:t>
      </w:r>
      <w:r>
        <w:rPr>
          <w:rStyle w:val="vlist-s"/>
          <w:rFonts w:ascii="Times New Roman" w:hAnsi="Times New Roman" w:cs="Times New Roman"/>
          <w:sz w:val="24"/>
          <w:szCs w:val="24"/>
        </w:rPr>
        <w:t>​</w:t>
      </w:r>
      <w:r>
        <w:rPr>
          <w:rStyle w:val="mord"/>
          <w:rFonts w:ascii="Times New Roman" w:hAnsi="Times New Roman" w:cs="Times New Roman"/>
          <w:sz w:val="24"/>
          <w:szCs w:val="24"/>
        </w:rPr>
        <w:t>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β2</w:t>
      </w:r>
      <w:r>
        <w:rPr>
          <w:rStyle w:val="vlist-s"/>
          <w:rFonts w:ascii="Times New Roman" w:hAnsi="Times New Roman" w:cs="Times New Roman"/>
          <w:sz w:val="24"/>
          <w:szCs w:val="24"/>
        </w:rPr>
        <w:t>​</w:t>
      </w:r>
      <w:r>
        <w:rPr>
          <w:rStyle w:val="mord"/>
          <w:rFonts w:ascii="Times New Roman" w:hAnsi="Times New Roman" w:cs="Times New Roman"/>
          <w:sz w:val="24"/>
          <w:szCs w:val="24"/>
        </w:rPr>
        <w:t>CETRit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β3</w:t>
      </w:r>
      <w:r>
        <w:rPr>
          <w:rStyle w:val="vlist-s"/>
          <w:rFonts w:ascii="Times New Roman" w:hAnsi="Times New Roman" w:cs="Times New Roman"/>
          <w:sz w:val="24"/>
          <w:szCs w:val="24"/>
        </w:rPr>
        <w:t>​</w:t>
      </w:r>
      <w:r>
        <w:rPr>
          <w:rStyle w:val="mord"/>
          <w:rFonts w:ascii="Times New Roman" w:hAnsi="Times New Roman" w:cs="Times New Roman"/>
          <w:sz w:val="24"/>
          <w:szCs w:val="24"/>
        </w:rPr>
        <w:t>BTDit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β4</w:t>
      </w:r>
      <w:r>
        <w:rPr>
          <w:rStyle w:val="vlist-s"/>
          <w:rFonts w:ascii="Times New Roman" w:hAnsi="Times New Roman" w:cs="Times New Roman"/>
          <w:sz w:val="24"/>
          <w:szCs w:val="24"/>
        </w:rPr>
        <w:t>​</w:t>
      </w:r>
      <w:r>
        <w:rPr>
          <w:rStyle w:val="mord"/>
          <w:rFonts w:ascii="Times New Roman" w:hAnsi="Times New Roman" w:cs="Times New Roman"/>
          <w:sz w:val="24"/>
          <w:szCs w:val="24"/>
        </w:rPr>
        <w:t>TSRit</w:t>
      </w:r>
      <w:r>
        <w:rPr>
          <w:rStyle w:val="vlist-s"/>
          <w:rFonts w:ascii="Times New Roman" w:hAnsi="Times New Roman" w:cs="Times New Roman"/>
          <w:sz w:val="24"/>
          <w:szCs w:val="24"/>
        </w:rPr>
        <w:t>​</w:t>
      </w:r>
      <w:r>
        <w:rPr>
          <w:rStyle w:val="mbin"/>
          <w:rFonts w:ascii="Times New Roman" w:hAnsi="Times New Roman" w:cs="Times New Roman"/>
          <w:sz w:val="24"/>
          <w:szCs w:val="24"/>
        </w:rPr>
        <w:t>+</w:t>
      </w:r>
      <w:r>
        <w:rPr>
          <w:rStyle w:val="mord"/>
          <w:rFonts w:ascii="Times New Roman" w:hAnsi="Times New Roman" w:cs="Times New Roman"/>
          <w:sz w:val="24"/>
          <w:szCs w:val="24"/>
        </w:rPr>
        <w:t>εit</w:t>
      </w:r>
      <w:r>
        <w:rPr>
          <w:rStyle w:val="vlist-s"/>
          <w:rFonts w:ascii="Times New Roman" w:hAnsi="Times New Roman" w:cs="Times New Roman"/>
          <w:sz w:val="24"/>
          <w:szCs w:val="24"/>
        </w:rPr>
        <w:t>​</w:t>
      </w:r>
      <w:r>
        <w:rPr>
          <w:rStyle w:val="minner"/>
          <w:rFonts w:ascii="Times New Roman" w:hAnsi="Times New Roman" w:cs="Times New Roman"/>
          <w:sz w:val="24"/>
          <w:szCs w:val="24"/>
        </w:rPr>
        <w:t>…………………………………</w:t>
      </w:r>
      <w:r>
        <w:rPr>
          <w:rStyle w:val="mopen"/>
          <w:rFonts w:ascii="Times New Roman" w:hAnsi="Times New Roman" w:cs="Times New Roman"/>
          <w:sz w:val="24"/>
          <w:szCs w:val="24"/>
        </w:rPr>
        <w:t xml:space="preserve"> (</w:t>
      </w:r>
      <w:r>
        <w:rPr>
          <w:rStyle w:val="mord"/>
          <w:rFonts w:ascii="Times New Roman" w:hAnsi="Times New Roman" w:cs="Times New Roman"/>
          <w:sz w:val="24"/>
          <w:szCs w:val="24"/>
        </w:rPr>
        <w:t>2</w:t>
      </w:r>
      <w:r>
        <w:rPr>
          <w:rStyle w:val="mclose"/>
          <w:rFonts w:ascii="Times New Roman" w:hAnsi="Times New Roman" w:cs="Times New Roman"/>
          <w:sz w:val="24"/>
          <w:szCs w:val="24"/>
        </w:rPr>
        <w:t>)</w:t>
      </w:r>
    </w:p>
    <w:p w14:paraId="254B65DA" w14:textId="77777777" w:rsidR="008D5DCB" w:rsidRDefault="0020015B">
      <w:pPr>
        <w:pStyle w:val="NormalWeb"/>
        <w:spacing w:before="0" w:beforeAutospacing="0" w:after="0" w:afterAutospacing="0"/>
        <w:jc w:val="both"/>
      </w:pPr>
      <w:r>
        <w:t>Where:</w:t>
      </w:r>
    </w:p>
    <w:p w14:paraId="588F2014" w14:textId="77777777" w:rsidR="008D5DCB" w:rsidRDefault="0020015B">
      <w:pPr>
        <w:pStyle w:val="NormalWeb"/>
        <w:spacing w:before="0" w:beforeAutospacing="0" w:after="0" w:afterAutospacing="0"/>
        <w:jc w:val="both"/>
      </w:pPr>
      <w:proofErr w:type="spellStart"/>
      <w:r>
        <w:rPr>
          <w:rStyle w:val="mord"/>
        </w:rPr>
        <w:t>TQit</w:t>
      </w:r>
      <w:proofErr w:type="spellEnd"/>
      <w:r>
        <w:rPr>
          <w:rStyle w:val="vlist-s"/>
        </w:rPr>
        <w:t>​</w:t>
      </w:r>
      <w:r>
        <w:t xml:space="preserve">  = Tobin’s Q of firm </w:t>
      </w:r>
      <w:proofErr w:type="spellStart"/>
      <w:r>
        <w:rPr>
          <w:rStyle w:val="mord"/>
        </w:rPr>
        <w:t>i</w:t>
      </w:r>
      <w:proofErr w:type="spellEnd"/>
      <w:r>
        <w:t xml:space="preserve"> in year </w:t>
      </w:r>
      <w:r>
        <w:rPr>
          <w:rStyle w:val="mord"/>
        </w:rPr>
        <w:t>t</w:t>
      </w:r>
    </w:p>
    <w:p w14:paraId="05CE8ED6" w14:textId="77777777" w:rsidR="008D5DCB" w:rsidRDefault="0020015B">
      <w:pPr>
        <w:pStyle w:val="NormalWeb"/>
        <w:spacing w:before="0" w:beforeAutospacing="0" w:after="0" w:afterAutospacing="0"/>
        <w:jc w:val="both"/>
      </w:pPr>
      <w:proofErr w:type="spellStart"/>
      <w:r>
        <w:rPr>
          <w:rStyle w:val="mord"/>
        </w:rPr>
        <w:t>MVPSit</w:t>
      </w:r>
      <w:proofErr w:type="spellEnd"/>
      <w:r>
        <w:rPr>
          <w:rStyle w:val="vlist-s"/>
        </w:rPr>
        <w:t>​</w:t>
      </w:r>
      <w:r>
        <w:t xml:space="preserve">  = Market Value Per Share of firm </w:t>
      </w:r>
      <w:proofErr w:type="spellStart"/>
      <w:r>
        <w:rPr>
          <w:rStyle w:val="mord"/>
        </w:rPr>
        <w:t>i</w:t>
      </w:r>
      <w:proofErr w:type="spellEnd"/>
      <w:r>
        <w:t xml:space="preserve"> in year </w:t>
      </w:r>
      <w:r>
        <w:rPr>
          <w:rStyle w:val="mord"/>
        </w:rPr>
        <w:t>t</w:t>
      </w:r>
    </w:p>
    <w:p w14:paraId="604A6CF9" w14:textId="77777777" w:rsidR="008D5DCB" w:rsidRDefault="0020015B">
      <w:pPr>
        <w:pStyle w:val="NormalWeb"/>
        <w:spacing w:before="0" w:beforeAutospacing="0" w:after="0" w:afterAutospacing="0"/>
        <w:jc w:val="both"/>
      </w:pPr>
      <w:proofErr w:type="spellStart"/>
      <w:r>
        <w:rPr>
          <w:rStyle w:val="mord"/>
        </w:rPr>
        <w:t>ETRit</w:t>
      </w:r>
      <w:proofErr w:type="spellEnd"/>
      <w:r>
        <w:rPr>
          <w:rStyle w:val="vlist-s"/>
        </w:rPr>
        <w:t>​</w:t>
      </w:r>
      <w:r>
        <w:t xml:space="preserve">  = Effective Tax Rate of firm </w:t>
      </w:r>
      <w:proofErr w:type="spellStart"/>
      <w:r>
        <w:rPr>
          <w:rStyle w:val="mord"/>
        </w:rPr>
        <w:t>i</w:t>
      </w:r>
      <w:proofErr w:type="spellEnd"/>
      <w:r>
        <w:t xml:space="preserve"> in year </w:t>
      </w:r>
      <w:r>
        <w:rPr>
          <w:rStyle w:val="mord"/>
        </w:rPr>
        <w:t>t</w:t>
      </w:r>
    </w:p>
    <w:p w14:paraId="2243865E" w14:textId="77777777" w:rsidR="008D5DCB" w:rsidRDefault="0020015B">
      <w:pPr>
        <w:pStyle w:val="NormalWeb"/>
        <w:spacing w:before="0" w:beforeAutospacing="0" w:after="0" w:afterAutospacing="0"/>
        <w:jc w:val="both"/>
      </w:pPr>
      <w:proofErr w:type="spellStart"/>
      <w:r>
        <w:rPr>
          <w:rStyle w:val="mord"/>
        </w:rPr>
        <w:t>CETRit</w:t>
      </w:r>
      <w:proofErr w:type="spellEnd"/>
      <w:r>
        <w:rPr>
          <w:rStyle w:val="vlist-s"/>
        </w:rPr>
        <w:t>​</w:t>
      </w:r>
      <w:r>
        <w:t xml:space="preserve">  = Cash Effective Tax Rate of firm </w:t>
      </w:r>
      <w:proofErr w:type="spellStart"/>
      <w:r>
        <w:rPr>
          <w:rStyle w:val="mord"/>
        </w:rPr>
        <w:t>i</w:t>
      </w:r>
      <w:proofErr w:type="spellEnd"/>
      <w:r>
        <w:t xml:space="preserve"> in year </w:t>
      </w:r>
      <w:r>
        <w:rPr>
          <w:rStyle w:val="mord"/>
        </w:rPr>
        <w:t>t</w:t>
      </w:r>
    </w:p>
    <w:p w14:paraId="13868BEF" w14:textId="77777777" w:rsidR="008D5DCB" w:rsidRDefault="0020015B">
      <w:pPr>
        <w:pStyle w:val="NormalWeb"/>
        <w:spacing w:before="0" w:beforeAutospacing="0" w:after="0" w:afterAutospacing="0"/>
        <w:jc w:val="both"/>
      </w:pPr>
      <w:proofErr w:type="spellStart"/>
      <w:r>
        <w:rPr>
          <w:rStyle w:val="mord"/>
        </w:rPr>
        <w:t>BTDit</w:t>
      </w:r>
      <w:proofErr w:type="spellEnd"/>
      <w:r>
        <w:rPr>
          <w:rStyle w:val="vlist-s"/>
        </w:rPr>
        <w:t>​</w:t>
      </w:r>
      <w:r>
        <w:t xml:space="preserve">  = Book-Tax Difference of firm </w:t>
      </w:r>
      <w:proofErr w:type="spellStart"/>
      <w:r>
        <w:rPr>
          <w:rStyle w:val="mord"/>
        </w:rPr>
        <w:t>i</w:t>
      </w:r>
      <w:proofErr w:type="spellEnd"/>
      <w:r>
        <w:t xml:space="preserve"> in year </w:t>
      </w:r>
      <w:r>
        <w:rPr>
          <w:rStyle w:val="mord"/>
        </w:rPr>
        <w:t>t</w:t>
      </w:r>
    </w:p>
    <w:p w14:paraId="2BB303C0" w14:textId="77777777" w:rsidR="008D5DCB" w:rsidRDefault="0020015B">
      <w:pPr>
        <w:pStyle w:val="NormalWeb"/>
        <w:spacing w:before="0" w:beforeAutospacing="0" w:after="0" w:afterAutospacing="0"/>
        <w:jc w:val="both"/>
      </w:pPr>
      <w:proofErr w:type="spellStart"/>
      <w:r>
        <w:rPr>
          <w:rStyle w:val="mord"/>
        </w:rPr>
        <w:t>TSRit</w:t>
      </w:r>
      <w:proofErr w:type="spellEnd"/>
      <w:r>
        <w:rPr>
          <w:rStyle w:val="vlist-s"/>
        </w:rPr>
        <w:t>​</w:t>
      </w:r>
      <w:r>
        <w:t xml:space="preserve">  = Tax Savings Ratio of firm </w:t>
      </w:r>
      <w:proofErr w:type="spellStart"/>
      <w:r>
        <w:rPr>
          <w:rStyle w:val="mord"/>
        </w:rPr>
        <w:t>i</w:t>
      </w:r>
      <w:proofErr w:type="spellEnd"/>
      <w:r>
        <w:t xml:space="preserve"> in year </w:t>
      </w:r>
      <w:r>
        <w:rPr>
          <w:rStyle w:val="mord"/>
        </w:rPr>
        <w:t>t</w:t>
      </w:r>
    </w:p>
    <w:p w14:paraId="0DA3B1DF" w14:textId="77777777" w:rsidR="008D5DCB" w:rsidRDefault="0020015B">
      <w:pPr>
        <w:pStyle w:val="NormalWeb"/>
        <w:spacing w:before="0" w:beforeAutospacing="0" w:after="0" w:afterAutospacing="0"/>
        <w:jc w:val="both"/>
      </w:pPr>
      <w:r>
        <w:rPr>
          <w:rStyle w:val="mord"/>
        </w:rPr>
        <w:t>β0</w:t>
      </w:r>
      <w:r>
        <w:rPr>
          <w:rStyle w:val="vlist-s"/>
        </w:rPr>
        <w:t>​</w:t>
      </w:r>
      <w:r>
        <w:t xml:space="preserve">  = Constant/Intercept</w:t>
      </w:r>
    </w:p>
    <w:p w14:paraId="5BEB78AC" w14:textId="77777777" w:rsidR="008D5DCB" w:rsidRDefault="0020015B">
      <w:pPr>
        <w:pStyle w:val="NormalWeb"/>
        <w:spacing w:before="0" w:beforeAutospacing="0" w:after="0" w:afterAutospacing="0"/>
        <w:jc w:val="both"/>
      </w:pPr>
      <w:r>
        <w:rPr>
          <w:rStyle w:val="mord"/>
        </w:rPr>
        <w:t>β1</w:t>
      </w:r>
      <w:r>
        <w:rPr>
          <w:rStyle w:val="vlist-s"/>
        </w:rPr>
        <w:t>​</w:t>
      </w:r>
      <w:r>
        <w:rPr>
          <w:rStyle w:val="mbin"/>
        </w:rPr>
        <w:t>−</w:t>
      </w:r>
      <w:r>
        <w:rPr>
          <w:rStyle w:val="mord"/>
        </w:rPr>
        <w:t>β4</w:t>
      </w:r>
      <w:r>
        <w:rPr>
          <w:rStyle w:val="vlist-s"/>
        </w:rPr>
        <w:t>​</w:t>
      </w:r>
      <w:r>
        <w:t xml:space="preserve">  = Coefficients of the explanatory variables</w:t>
      </w:r>
    </w:p>
    <w:p w14:paraId="73815551" w14:textId="77777777" w:rsidR="008D5DCB" w:rsidRDefault="0020015B">
      <w:pPr>
        <w:pStyle w:val="NormalWeb"/>
        <w:spacing w:before="0" w:beforeAutospacing="0" w:after="0" w:afterAutospacing="0"/>
        <w:jc w:val="both"/>
      </w:pPr>
      <w:proofErr w:type="spellStart"/>
      <w:r>
        <w:rPr>
          <w:rStyle w:val="mord"/>
        </w:rPr>
        <w:t>εit</w:t>
      </w:r>
      <w:proofErr w:type="spellEnd"/>
      <w:r>
        <w:rPr>
          <w:rStyle w:val="vlist-s"/>
        </w:rPr>
        <w:t>​</w:t>
      </w:r>
      <w:r>
        <w:t xml:space="preserve">  = Stochastic Error Term</w:t>
      </w:r>
    </w:p>
    <w:p w14:paraId="43B307C6" w14:textId="77777777" w:rsidR="008D5DCB" w:rsidRDefault="0020015B">
      <w:pPr>
        <w:pStyle w:val="NormalWeb"/>
        <w:spacing w:before="0" w:beforeAutospacing="0" w:after="0" w:afterAutospacing="0"/>
        <w:jc w:val="both"/>
      </w:pPr>
      <w:proofErr w:type="spellStart"/>
      <w:r>
        <w:rPr>
          <w:rStyle w:val="mord"/>
        </w:rPr>
        <w:t>i</w:t>
      </w:r>
      <w:r>
        <w:rPr>
          <w:rStyle w:val="mpunct"/>
        </w:rPr>
        <w:t>,</w:t>
      </w:r>
      <w:r>
        <w:rPr>
          <w:rStyle w:val="mord"/>
        </w:rPr>
        <w:t>t</w:t>
      </w:r>
      <w:proofErr w:type="spellEnd"/>
      <w:r>
        <w:t xml:space="preserve"> = Cross-sectional (firms) and time subscripts (2012–2024)</w:t>
      </w:r>
    </w:p>
    <w:p w14:paraId="463E20CE"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A-Priori Expectations</w:t>
      </w:r>
    </w:p>
    <w:p w14:paraId="587D4B90" w14:textId="77777777" w:rsidR="008D5DCB" w:rsidRDefault="0020015B">
      <w:pPr>
        <w:spacing w:after="0" w:line="240" w:lineRule="auto"/>
        <w:jc w:val="both"/>
        <w:rPr>
          <w:rFonts w:ascii="Times New Roman" w:hAnsi="Times New Roman" w:cs="Times New Roman"/>
          <w:b/>
          <w:sz w:val="24"/>
          <w:szCs w:val="24"/>
        </w:rPr>
      </w:pPr>
      <w:r>
        <w:rPr>
          <w:rFonts w:ascii="Times New Roman" w:hAnsi="Times New Roman"/>
          <w:sz w:val="24"/>
          <w:highlight w:val="yellow"/>
        </w:rPr>
        <w:t>Higher levels of tax-minimisation activity are expected to reduce tax liabilities, retain internal funds, and consequently enhance the market performance of listed insurance companies in Nigeria (β1​,β2​,β3​,β4​&gt;0).</w:t>
      </w:r>
    </w:p>
    <w:p w14:paraId="59C8AD26" w14:textId="77777777" w:rsidR="008D5DCB" w:rsidRDefault="008D5DCB">
      <w:pPr>
        <w:spacing w:after="0" w:line="240" w:lineRule="auto"/>
        <w:jc w:val="both"/>
        <w:rPr>
          <w:rFonts w:ascii="Times New Roman" w:eastAsia="Times New Roman" w:hAnsi="Times New Roman" w:cs="Times New Roman"/>
          <w:kern w:val="0"/>
          <w:sz w:val="24"/>
          <w:szCs w:val="24"/>
          <w:lang w:val="en-GB" w:eastAsia="en-GB"/>
          <w14:ligatures w14:val="none"/>
        </w:rPr>
      </w:pPr>
    </w:p>
    <w:p w14:paraId="02A782D8" w14:textId="77777777" w:rsidR="008D5DCB" w:rsidRDefault="0020015B">
      <w:pPr>
        <w:spacing w:line="240" w:lineRule="auto"/>
        <w:jc w:val="both"/>
        <w:rPr>
          <w:rFonts w:ascii="Times New Roman" w:hAnsi="Times New Roman" w:cs="Times New Roman"/>
          <w:b/>
          <w:kern w:val="0"/>
          <w:sz w:val="24"/>
          <w:szCs w:val="24"/>
          <w:lang w:val="en-GB"/>
          <w14:ligatures w14:val="none"/>
        </w:rPr>
      </w:pPr>
      <w:r>
        <w:rPr>
          <w:rFonts w:ascii="Times New Roman" w:hAnsi="Times New Roman" w:cs="Times New Roman"/>
          <w:b/>
          <w:sz w:val="24"/>
          <w:szCs w:val="24"/>
        </w:rPr>
        <w:t>Table 1</w:t>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Operationalisation</w:t>
      </w:r>
      <w:proofErr w:type="spellEnd"/>
      <w:r>
        <w:rPr>
          <w:rFonts w:ascii="Times New Roman" w:hAnsi="Times New Roman" w:cs="Times New Roman"/>
          <w:b/>
          <w:sz w:val="24"/>
          <w:szCs w:val="24"/>
        </w:rPr>
        <w:t>, Description, and Measurements of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1"/>
        <w:gridCol w:w="1577"/>
        <w:gridCol w:w="1822"/>
        <w:gridCol w:w="2303"/>
        <w:gridCol w:w="1763"/>
      </w:tblGrid>
      <w:tr w:rsidR="008D5DCB" w14:paraId="6F25E921" w14:textId="77777777">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tcPr>
          <w:p w14:paraId="6F534B7E"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6984155D"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Role</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0B34739E"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Description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76443E46"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Measurement</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33160761" w14:textId="77777777" w:rsidR="008D5DCB" w:rsidRDefault="0020015B">
            <w:pPr>
              <w:spacing w:after="480" w:line="240" w:lineRule="auto"/>
              <w:rPr>
                <w:rFonts w:ascii="Times New Roman" w:hAnsi="Times New Roman" w:cs="Times New Roman"/>
                <w:sz w:val="24"/>
                <w:szCs w:val="24"/>
              </w:rPr>
            </w:pPr>
            <w:r>
              <w:rPr>
                <w:rStyle w:val="Strong"/>
                <w:rFonts w:ascii="Times New Roman" w:hAnsi="Times New Roman" w:cs="Times New Roman"/>
                <w:sz w:val="24"/>
                <w:szCs w:val="24"/>
              </w:rPr>
              <w:t>Source</w:t>
            </w:r>
          </w:p>
        </w:tc>
      </w:tr>
      <w:tr w:rsidR="008D5DCB" w14:paraId="3D04DDE0" w14:textId="77777777">
        <w:trPr>
          <w:tblCellSpacing w:w="15" w:type="dxa"/>
        </w:trPr>
        <w:tc>
          <w:tcPr>
            <w:tcW w:w="0" w:type="auto"/>
            <w:tcMar>
              <w:top w:w="120" w:type="dxa"/>
              <w:left w:w="180" w:type="dxa"/>
              <w:bottom w:w="120" w:type="dxa"/>
              <w:right w:w="180" w:type="dxa"/>
            </w:tcMar>
            <w:vAlign w:val="center"/>
          </w:tcPr>
          <w:p w14:paraId="1C6D8F7A"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Tobin’s Q (TQ)</w:t>
            </w:r>
          </w:p>
        </w:tc>
        <w:tc>
          <w:tcPr>
            <w:tcW w:w="0" w:type="auto"/>
            <w:tcMar>
              <w:top w:w="120" w:type="dxa"/>
              <w:left w:w="180" w:type="dxa"/>
              <w:bottom w:w="120" w:type="dxa"/>
              <w:right w:w="180" w:type="dxa"/>
            </w:tcMar>
            <w:vAlign w:val="center"/>
          </w:tcPr>
          <w:p w14:paraId="3225F1CB"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Dependent</w:t>
            </w:r>
          </w:p>
        </w:tc>
        <w:tc>
          <w:tcPr>
            <w:tcW w:w="0" w:type="auto"/>
            <w:tcMar>
              <w:top w:w="120" w:type="dxa"/>
              <w:left w:w="180" w:type="dxa"/>
              <w:bottom w:w="120" w:type="dxa"/>
              <w:right w:w="180" w:type="dxa"/>
            </w:tcMar>
            <w:vAlign w:val="center"/>
          </w:tcPr>
          <w:p w14:paraId="74B9D49B"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Compares a firm's market value to its asset replacement cost.</w:t>
            </w:r>
          </w:p>
        </w:tc>
        <w:tc>
          <w:tcPr>
            <w:tcW w:w="0" w:type="auto"/>
            <w:tcMar>
              <w:top w:w="120" w:type="dxa"/>
              <w:left w:w="180" w:type="dxa"/>
              <w:bottom w:w="120" w:type="dxa"/>
              <w:right w:w="180" w:type="dxa"/>
            </w:tcMar>
            <w:vAlign w:val="center"/>
          </w:tcPr>
          <w:p w14:paraId="181E32AD"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Market Value of Equity+ Total Liabilities/Total Assets</w:t>
            </w:r>
          </w:p>
        </w:tc>
        <w:tc>
          <w:tcPr>
            <w:tcW w:w="0" w:type="auto"/>
            <w:tcMar>
              <w:top w:w="120" w:type="dxa"/>
              <w:left w:w="180" w:type="dxa"/>
              <w:bottom w:w="120" w:type="dxa"/>
              <w:right w:w="180" w:type="dxa"/>
            </w:tcMar>
            <w:vAlign w:val="center"/>
          </w:tcPr>
          <w:p w14:paraId="598ACDC5" w14:textId="0F078263" w:rsidR="008D5DCB" w:rsidRDefault="001227DB">
            <w:pPr>
              <w:spacing w:after="480" w:line="240" w:lineRule="auto"/>
              <w:rPr>
                <w:rFonts w:ascii="Times New Roman" w:hAnsi="Times New Roman" w:cs="Times New Roman"/>
                <w:sz w:val="24"/>
                <w:szCs w:val="24"/>
              </w:rPr>
            </w:pPr>
            <w:proofErr w:type="spellStart"/>
            <w:r w:rsidRPr="001227DB">
              <w:rPr>
                <w:rFonts w:ascii="Times New Roman" w:hAnsi="Times New Roman" w:cs="Times New Roman"/>
                <w:sz w:val="24"/>
                <w:szCs w:val="24"/>
              </w:rPr>
              <w:t>Olutimehin</w:t>
            </w:r>
            <w:proofErr w:type="spellEnd"/>
            <w:r w:rsidRPr="001227DB">
              <w:rPr>
                <w:rFonts w:ascii="Times New Roman" w:hAnsi="Times New Roman" w:cs="Times New Roman"/>
                <w:sz w:val="24"/>
                <w:szCs w:val="24"/>
              </w:rPr>
              <w:t xml:space="preserve"> </w:t>
            </w:r>
            <w:r w:rsidR="0020015B">
              <w:rPr>
                <w:rFonts w:ascii="Times New Roman" w:hAnsi="Times New Roman" w:cs="Times New Roman"/>
                <w:sz w:val="24"/>
                <w:szCs w:val="24"/>
              </w:rPr>
              <w:t>(202</w:t>
            </w:r>
            <w:r>
              <w:rPr>
                <w:rFonts w:ascii="Times New Roman" w:hAnsi="Times New Roman" w:cs="Times New Roman"/>
                <w:sz w:val="24"/>
                <w:szCs w:val="24"/>
              </w:rPr>
              <w:t>4</w:t>
            </w:r>
            <w:r w:rsidR="0020015B">
              <w:rPr>
                <w:rFonts w:ascii="Times New Roman" w:hAnsi="Times New Roman" w:cs="Times New Roman"/>
                <w:sz w:val="24"/>
                <w:szCs w:val="24"/>
              </w:rPr>
              <w:t xml:space="preserve">); </w:t>
            </w:r>
            <w:proofErr w:type="spellStart"/>
            <w:r w:rsidR="0020015B">
              <w:rPr>
                <w:rFonts w:ascii="Times New Roman" w:hAnsi="Times New Roman" w:cs="Times New Roman"/>
                <w:sz w:val="24"/>
                <w:szCs w:val="24"/>
              </w:rPr>
              <w:t>Awotomilusi</w:t>
            </w:r>
            <w:proofErr w:type="spellEnd"/>
            <w:r w:rsidR="0020015B">
              <w:rPr>
                <w:rFonts w:ascii="Times New Roman" w:hAnsi="Times New Roman" w:cs="Times New Roman"/>
                <w:sz w:val="24"/>
                <w:szCs w:val="24"/>
              </w:rPr>
              <w:t xml:space="preserve"> et al. (2025)</w:t>
            </w:r>
          </w:p>
        </w:tc>
      </w:tr>
      <w:tr w:rsidR="008D5DCB" w14:paraId="7EB1D5D2" w14:textId="77777777">
        <w:trPr>
          <w:tblCellSpacing w:w="15" w:type="dxa"/>
        </w:trPr>
        <w:tc>
          <w:tcPr>
            <w:tcW w:w="0" w:type="auto"/>
            <w:tcMar>
              <w:top w:w="120" w:type="dxa"/>
              <w:left w:w="180" w:type="dxa"/>
              <w:bottom w:w="120" w:type="dxa"/>
              <w:right w:w="180" w:type="dxa"/>
            </w:tcMar>
            <w:vAlign w:val="center"/>
          </w:tcPr>
          <w:p w14:paraId="7EC0B602"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Market Value Per Share (MVPS)</w:t>
            </w:r>
          </w:p>
        </w:tc>
        <w:tc>
          <w:tcPr>
            <w:tcW w:w="0" w:type="auto"/>
            <w:tcMar>
              <w:top w:w="120" w:type="dxa"/>
              <w:left w:w="180" w:type="dxa"/>
              <w:bottom w:w="120" w:type="dxa"/>
              <w:right w:w="180" w:type="dxa"/>
            </w:tcMar>
            <w:vAlign w:val="center"/>
          </w:tcPr>
          <w:p w14:paraId="4213708C"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Dependent</w:t>
            </w:r>
          </w:p>
        </w:tc>
        <w:tc>
          <w:tcPr>
            <w:tcW w:w="0" w:type="auto"/>
            <w:tcMar>
              <w:top w:w="120" w:type="dxa"/>
              <w:left w:w="180" w:type="dxa"/>
              <w:bottom w:w="120" w:type="dxa"/>
              <w:right w:w="180" w:type="dxa"/>
            </w:tcMar>
            <w:vAlign w:val="center"/>
          </w:tcPr>
          <w:p w14:paraId="7ED19494"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Indicates the stock market's explicit year-end pricing of equity.</w:t>
            </w:r>
          </w:p>
        </w:tc>
        <w:tc>
          <w:tcPr>
            <w:tcW w:w="0" w:type="auto"/>
            <w:tcMar>
              <w:top w:w="120" w:type="dxa"/>
              <w:left w:w="180" w:type="dxa"/>
              <w:bottom w:w="120" w:type="dxa"/>
              <w:right w:w="180" w:type="dxa"/>
            </w:tcMar>
            <w:vAlign w:val="center"/>
          </w:tcPr>
          <w:p w14:paraId="493DFD48"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Closing Market Price per Share at year-end.</w:t>
            </w:r>
          </w:p>
        </w:tc>
        <w:tc>
          <w:tcPr>
            <w:tcW w:w="0" w:type="auto"/>
            <w:tcMar>
              <w:top w:w="120" w:type="dxa"/>
              <w:left w:w="180" w:type="dxa"/>
              <w:bottom w:w="120" w:type="dxa"/>
              <w:right w:w="180" w:type="dxa"/>
            </w:tcMar>
            <w:vAlign w:val="center"/>
          </w:tcPr>
          <w:p w14:paraId="6A2A9563" w14:textId="77777777" w:rsidR="008D5DCB" w:rsidRDefault="0020015B">
            <w:pPr>
              <w:spacing w:after="480" w:line="240" w:lineRule="auto"/>
              <w:rPr>
                <w:rFonts w:ascii="Times New Roman" w:hAnsi="Times New Roman" w:cs="Times New Roman"/>
                <w:sz w:val="24"/>
                <w:szCs w:val="24"/>
              </w:rPr>
            </w:pPr>
            <w:proofErr w:type="spellStart"/>
            <w:r>
              <w:rPr>
                <w:rFonts w:ascii="Times New Roman" w:hAnsi="Times New Roman" w:cs="Times New Roman"/>
                <w:sz w:val="24"/>
                <w:szCs w:val="24"/>
              </w:rPr>
              <w:t>Alduneibat</w:t>
            </w:r>
            <w:proofErr w:type="spellEnd"/>
            <w:r>
              <w:rPr>
                <w:rFonts w:ascii="Times New Roman" w:hAnsi="Times New Roman" w:cs="Times New Roman"/>
                <w:sz w:val="24"/>
                <w:szCs w:val="24"/>
              </w:rPr>
              <w:t xml:space="preserve"> (2023); Bas &amp; </w:t>
            </w:r>
            <w:proofErr w:type="spellStart"/>
            <w:r>
              <w:rPr>
                <w:rFonts w:ascii="Times New Roman" w:hAnsi="Times New Roman" w:cs="Times New Roman"/>
                <w:sz w:val="24"/>
                <w:szCs w:val="24"/>
              </w:rPr>
              <w:t>Paunov</w:t>
            </w:r>
            <w:proofErr w:type="spellEnd"/>
            <w:r>
              <w:rPr>
                <w:rFonts w:ascii="Times New Roman" w:hAnsi="Times New Roman" w:cs="Times New Roman"/>
                <w:sz w:val="24"/>
                <w:szCs w:val="24"/>
              </w:rPr>
              <w:t xml:space="preserve"> (2025)</w:t>
            </w:r>
          </w:p>
        </w:tc>
      </w:tr>
      <w:tr w:rsidR="008D5DCB" w14:paraId="64ECEE14" w14:textId="77777777">
        <w:trPr>
          <w:tblCellSpacing w:w="15" w:type="dxa"/>
        </w:trPr>
        <w:tc>
          <w:tcPr>
            <w:tcW w:w="0" w:type="auto"/>
            <w:tcMar>
              <w:top w:w="120" w:type="dxa"/>
              <w:left w:w="180" w:type="dxa"/>
              <w:bottom w:w="120" w:type="dxa"/>
              <w:right w:w="180" w:type="dxa"/>
            </w:tcMar>
            <w:vAlign w:val="center"/>
          </w:tcPr>
          <w:p w14:paraId="0764D7D9"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lastRenderedPageBreak/>
              <w:t>Effective Tax Rate (ETR)</w:t>
            </w:r>
          </w:p>
        </w:tc>
        <w:tc>
          <w:tcPr>
            <w:tcW w:w="0" w:type="auto"/>
            <w:tcMar>
              <w:top w:w="120" w:type="dxa"/>
              <w:left w:w="180" w:type="dxa"/>
              <w:bottom w:w="120" w:type="dxa"/>
              <w:right w:w="180" w:type="dxa"/>
            </w:tcMar>
            <w:vAlign w:val="center"/>
          </w:tcPr>
          <w:p w14:paraId="42B94B5E"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598D1D14"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Measures the accrual-based proportion of accounting profits paid as tax.</w:t>
            </w:r>
          </w:p>
        </w:tc>
        <w:tc>
          <w:tcPr>
            <w:tcW w:w="0" w:type="auto"/>
            <w:tcMar>
              <w:top w:w="120" w:type="dxa"/>
              <w:left w:w="180" w:type="dxa"/>
              <w:bottom w:w="120" w:type="dxa"/>
              <w:right w:w="180" w:type="dxa"/>
            </w:tcMar>
            <w:vAlign w:val="center"/>
          </w:tcPr>
          <w:p w14:paraId="15A1707E"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Total Tax Expenses/Profit Before Tax</w:t>
            </w:r>
          </w:p>
        </w:tc>
        <w:tc>
          <w:tcPr>
            <w:tcW w:w="0" w:type="auto"/>
            <w:tcMar>
              <w:top w:w="120" w:type="dxa"/>
              <w:left w:w="180" w:type="dxa"/>
              <w:bottom w:w="120" w:type="dxa"/>
              <w:right w:w="180" w:type="dxa"/>
            </w:tcMar>
            <w:vAlign w:val="center"/>
          </w:tcPr>
          <w:p w14:paraId="6D655EA6"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 xml:space="preserve">Khuong et al. (2020); </w:t>
            </w:r>
            <w:proofErr w:type="spellStart"/>
            <w:r>
              <w:rPr>
                <w:rFonts w:ascii="Times New Roman" w:hAnsi="Times New Roman" w:cs="Times New Roman"/>
                <w:sz w:val="24"/>
                <w:szCs w:val="24"/>
              </w:rPr>
              <w:t>Hardana</w:t>
            </w:r>
            <w:proofErr w:type="spellEnd"/>
            <w:r>
              <w:rPr>
                <w:rFonts w:ascii="Times New Roman" w:hAnsi="Times New Roman" w:cs="Times New Roman"/>
                <w:sz w:val="24"/>
                <w:szCs w:val="24"/>
              </w:rPr>
              <w:t xml:space="preserve"> et al. (2023)</w:t>
            </w:r>
          </w:p>
        </w:tc>
      </w:tr>
      <w:tr w:rsidR="008D5DCB" w14:paraId="21C5DB7F" w14:textId="77777777">
        <w:trPr>
          <w:tblCellSpacing w:w="15" w:type="dxa"/>
        </w:trPr>
        <w:tc>
          <w:tcPr>
            <w:tcW w:w="0" w:type="auto"/>
            <w:tcMar>
              <w:top w:w="120" w:type="dxa"/>
              <w:left w:w="180" w:type="dxa"/>
              <w:bottom w:w="120" w:type="dxa"/>
              <w:right w:w="180" w:type="dxa"/>
            </w:tcMar>
            <w:vAlign w:val="center"/>
          </w:tcPr>
          <w:p w14:paraId="70766522"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Cash Effective Tax Rate (CETR)</w:t>
            </w:r>
          </w:p>
        </w:tc>
        <w:tc>
          <w:tcPr>
            <w:tcW w:w="0" w:type="auto"/>
            <w:tcMar>
              <w:top w:w="120" w:type="dxa"/>
              <w:left w:w="180" w:type="dxa"/>
              <w:bottom w:w="120" w:type="dxa"/>
              <w:right w:w="180" w:type="dxa"/>
            </w:tcMar>
            <w:vAlign w:val="center"/>
          </w:tcPr>
          <w:p w14:paraId="0912AA76"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2C2233EE"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Reflects actual cash outflows for corporate taxes relative to pre-tax income.</w:t>
            </w:r>
          </w:p>
        </w:tc>
        <w:tc>
          <w:tcPr>
            <w:tcW w:w="0" w:type="auto"/>
            <w:tcMar>
              <w:top w:w="120" w:type="dxa"/>
              <w:left w:w="180" w:type="dxa"/>
              <w:bottom w:w="120" w:type="dxa"/>
              <w:right w:w="180" w:type="dxa"/>
            </w:tcMar>
            <w:vAlign w:val="center"/>
          </w:tcPr>
          <w:p w14:paraId="372EFABE"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Cash Taxes Paid/Profit Before Tax</w:t>
            </w:r>
          </w:p>
        </w:tc>
        <w:tc>
          <w:tcPr>
            <w:tcW w:w="0" w:type="auto"/>
            <w:tcMar>
              <w:top w:w="120" w:type="dxa"/>
              <w:left w:w="180" w:type="dxa"/>
              <w:bottom w:w="120" w:type="dxa"/>
              <w:right w:w="180" w:type="dxa"/>
            </w:tcMar>
            <w:vAlign w:val="center"/>
          </w:tcPr>
          <w:p w14:paraId="2056173A" w14:textId="77777777" w:rsidR="008D5DCB" w:rsidRDefault="0020015B">
            <w:pPr>
              <w:spacing w:after="480" w:line="240" w:lineRule="auto"/>
              <w:rPr>
                <w:rFonts w:ascii="Times New Roman" w:hAnsi="Times New Roman" w:cs="Times New Roman"/>
                <w:sz w:val="24"/>
                <w:szCs w:val="24"/>
              </w:rPr>
            </w:pPr>
            <w:proofErr w:type="spellStart"/>
            <w:r>
              <w:rPr>
                <w:rFonts w:ascii="Times New Roman" w:hAnsi="Times New Roman" w:cs="Times New Roman"/>
                <w:sz w:val="24"/>
                <w:szCs w:val="24"/>
              </w:rPr>
              <w:t>Febrianto</w:t>
            </w:r>
            <w:proofErr w:type="spellEnd"/>
            <w:r>
              <w:rPr>
                <w:rFonts w:ascii="Times New Roman" w:hAnsi="Times New Roman" w:cs="Times New Roman"/>
                <w:sz w:val="24"/>
                <w:szCs w:val="24"/>
              </w:rPr>
              <w:t xml:space="preserve"> et al. (2025); Shams et al. (2025)</w:t>
            </w:r>
          </w:p>
        </w:tc>
      </w:tr>
      <w:tr w:rsidR="008D5DCB" w14:paraId="0CBC7689" w14:textId="77777777">
        <w:trPr>
          <w:tblCellSpacing w:w="15" w:type="dxa"/>
        </w:trPr>
        <w:tc>
          <w:tcPr>
            <w:tcW w:w="0" w:type="auto"/>
            <w:tcMar>
              <w:top w:w="120" w:type="dxa"/>
              <w:left w:w="180" w:type="dxa"/>
              <w:bottom w:w="120" w:type="dxa"/>
              <w:right w:w="180" w:type="dxa"/>
            </w:tcMar>
            <w:vAlign w:val="center"/>
          </w:tcPr>
          <w:p w14:paraId="3E825F4B"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Book–Tax Difference (BTD)</w:t>
            </w:r>
          </w:p>
        </w:tc>
        <w:tc>
          <w:tcPr>
            <w:tcW w:w="0" w:type="auto"/>
            <w:tcMar>
              <w:top w:w="120" w:type="dxa"/>
              <w:left w:w="180" w:type="dxa"/>
              <w:bottom w:w="120" w:type="dxa"/>
              <w:right w:w="180" w:type="dxa"/>
            </w:tcMar>
            <w:vAlign w:val="center"/>
          </w:tcPr>
          <w:p w14:paraId="2A8E9704"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Mar>
              <w:top w:w="120" w:type="dxa"/>
              <w:left w:w="180" w:type="dxa"/>
              <w:bottom w:w="120" w:type="dxa"/>
              <w:right w:w="180" w:type="dxa"/>
            </w:tcMar>
            <w:vAlign w:val="center"/>
          </w:tcPr>
          <w:p w14:paraId="3B4434F8"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Captures the structural gap between accounting profit and taxable income.</w:t>
            </w:r>
          </w:p>
        </w:tc>
        <w:tc>
          <w:tcPr>
            <w:tcW w:w="0" w:type="auto"/>
            <w:tcMar>
              <w:top w:w="120" w:type="dxa"/>
              <w:left w:w="180" w:type="dxa"/>
              <w:bottom w:w="120" w:type="dxa"/>
              <w:right w:w="180" w:type="dxa"/>
            </w:tcMar>
            <w:vAlign w:val="center"/>
          </w:tcPr>
          <w:p w14:paraId="42B0D0A1"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Profit Before Tax - Tax Expense/Statutory Tax Rate</w:t>
            </w:r>
          </w:p>
        </w:tc>
        <w:tc>
          <w:tcPr>
            <w:tcW w:w="0" w:type="auto"/>
            <w:tcMar>
              <w:top w:w="120" w:type="dxa"/>
              <w:left w:w="180" w:type="dxa"/>
              <w:bottom w:w="120" w:type="dxa"/>
              <w:right w:w="180" w:type="dxa"/>
            </w:tcMar>
            <w:vAlign w:val="center"/>
          </w:tcPr>
          <w:p w14:paraId="144095B8"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 xml:space="preserve">Amri et al. (2023); </w:t>
            </w:r>
            <w:proofErr w:type="spellStart"/>
            <w:r>
              <w:rPr>
                <w:rFonts w:ascii="Times New Roman" w:hAnsi="Times New Roman" w:cs="Times New Roman"/>
                <w:sz w:val="24"/>
                <w:szCs w:val="24"/>
              </w:rPr>
              <w:t>Shubita</w:t>
            </w:r>
            <w:proofErr w:type="spellEnd"/>
            <w:r>
              <w:rPr>
                <w:rFonts w:ascii="Times New Roman" w:hAnsi="Times New Roman" w:cs="Times New Roman"/>
                <w:sz w:val="24"/>
                <w:szCs w:val="24"/>
              </w:rPr>
              <w:t xml:space="preserve"> (2024)</w:t>
            </w:r>
          </w:p>
        </w:tc>
      </w:tr>
      <w:tr w:rsidR="008D5DCB" w14:paraId="1D3A1E9C" w14:textId="77777777">
        <w:trPr>
          <w:tblCellSpacing w:w="15" w:type="dxa"/>
        </w:trPr>
        <w:tc>
          <w:tcPr>
            <w:tcW w:w="0" w:type="auto"/>
            <w:tcBorders>
              <w:bottom w:val="single" w:sz="4" w:space="0" w:color="auto"/>
            </w:tcBorders>
            <w:tcMar>
              <w:top w:w="120" w:type="dxa"/>
              <w:left w:w="180" w:type="dxa"/>
              <w:bottom w:w="120" w:type="dxa"/>
              <w:right w:w="180" w:type="dxa"/>
            </w:tcMar>
            <w:vAlign w:val="center"/>
          </w:tcPr>
          <w:p w14:paraId="351C0C35"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b/>
                <w:bCs/>
                <w:sz w:val="24"/>
                <w:szCs w:val="24"/>
              </w:rPr>
              <w:t>Tax Savings Ratio (TSR)</w:t>
            </w:r>
          </w:p>
        </w:tc>
        <w:tc>
          <w:tcPr>
            <w:tcW w:w="0" w:type="auto"/>
            <w:tcBorders>
              <w:bottom w:val="single" w:sz="4" w:space="0" w:color="auto"/>
            </w:tcBorders>
            <w:tcMar>
              <w:top w:w="120" w:type="dxa"/>
              <w:left w:w="180" w:type="dxa"/>
              <w:bottom w:w="120" w:type="dxa"/>
              <w:right w:w="180" w:type="dxa"/>
            </w:tcMar>
            <w:vAlign w:val="center"/>
          </w:tcPr>
          <w:p w14:paraId="100D2E11"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Independent</w:t>
            </w:r>
          </w:p>
        </w:tc>
        <w:tc>
          <w:tcPr>
            <w:tcW w:w="0" w:type="auto"/>
            <w:tcBorders>
              <w:bottom w:val="single" w:sz="4" w:space="0" w:color="auto"/>
            </w:tcBorders>
            <w:tcMar>
              <w:top w:w="120" w:type="dxa"/>
              <w:left w:w="180" w:type="dxa"/>
              <w:bottom w:w="120" w:type="dxa"/>
              <w:right w:w="180" w:type="dxa"/>
            </w:tcMar>
            <w:vAlign w:val="center"/>
          </w:tcPr>
          <w:p w14:paraId="64ACE95D" w14:textId="77777777" w:rsidR="008D5DCB" w:rsidRDefault="0020015B">
            <w:pPr>
              <w:spacing w:after="480" w:line="240" w:lineRule="auto"/>
              <w:rPr>
                <w:rFonts w:ascii="Times New Roman" w:hAnsi="Times New Roman" w:cs="Times New Roman"/>
                <w:sz w:val="24"/>
                <w:szCs w:val="24"/>
              </w:rPr>
            </w:pPr>
            <w:r>
              <w:rPr>
                <w:rFonts w:ascii="Times New Roman" w:hAnsi="Times New Roman" w:cs="Times New Roman"/>
                <w:sz w:val="24"/>
                <w:szCs w:val="24"/>
              </w:rPr>
              <w:t>Gauges the proportion of corporate tax saved via active fiscal planning.</w:t>
            </w:r>
          </w:p>
        </w:tc>
        <w:tc>
          <w:tcPr>
            <w:tcW w:w="0" w:type="auto"/>
            <w:tcBorders>
              <w:bottom w:val="single" w:sz="4" w:space="0" w:color="auto"/>
            </w:tcBorders>
            <w:tcMar>
              <w:top w:w="120" w:type="dxa"/>
              <w:left w:w="180" w:type="dxa"/>
              <w:bottom w:w="120" w:type="dxa"/>
              <w:right w:w="180" w:type="dxa"/>
            </w:tcMar>
            <w:vAlign w:val="center"/>
          </w:tcPr>
          <w:p w14:paraId="58816E8C" w14:textId="77777777" w:rsidR="008D5DCB" w:rsidRDefault="0020015B">
            <w:pPr>
              <w:spacing w:after="480" w:line="240" w:lineRule="auto"/>
              <w:rPr>
                <w:rFonts w:ascii="Times New Roman" w:hAnsi="Times New Roman" w:cs="Times New Roman"/>
                <w:sz w:val="24"/>
                <w:szCs w:val="24"/>
              </w:rPr>
            </w:pPr>
            <w:r>
              <w:rPr>
                <w:rStyle w:val="math-inline"/>
                <w:rFonts w:ascii="Times New Roman" w:hAnsi="Times New Roman" w:cs="Times New Roman"/>
                <w:sz w:val="24"/>
                <w:szCs w:val="24"/>
              </w:rPr>
              <w:t>1 - Actual Tax Paid/Expected Tax based on Statutory Rate</w:t>
            </w:r>
          </w:p>
        </w:tc>
        <w:tc>
          <w:tcPr>
            <w:tcW w:w="0" w:type="auto"/>
            <w:tcBorders>
              <w:bottom w:val="single" w:sz="4" w:space="0" w:color="auto"/>
            </w:tcBorders>
            <w:tcMar>
              <w:top w:w="120" w:type="dxa"/>
              <w:left w:w="180" w:type="dxa"/>
              <w:bottom w:w="120" w:type="dxa"/>
              <w:right w:w="180" w:type="dxa"/>
            </w:tcMar>
            <w:vAlign w:val="center"/>
          </w:tcPr>
          <w:p w14:paraId="787AE1EC" w14:textId="76862228" w:rsidR="008D5DCB" w:rsidRDefault="0020015B">
            <w:pPr>
              <w:spacing w:after="480" w:line="240" w:lineRule="auto"/>
              <w:rPr>
                <w:rFonts w:ascii="Times New Roman" w:hAnsi="Times New Roman" w:cs="Times New Roman"/>
                <w:sz w:val="24"/>
                <w:szCs w:val="24"/>
              </w:rPr>
            </w:pPr>
            <w:r>
              <w:t xml:space="preserve"> Abdullah et al. (2022); </w:t>
            </w:r>
            <w:r w:rsidR="002008A5" w:rsidRPr="002008A5">
              <w:t>Malik</w:t>
            </w:r>
            <w:r w:rsidR="002008A5" w:rsidRPr="002008A5">
              <w:t xml:space="preserve"> </w:t>
            </w:r>
            <w:r>
              <w:t>et al. (2025)</w:t>
            </w:r>
          </w:p>
        </w:tc>
      </w:tr>
    </w:tbl>
    <w:p w14:paraId="59B51485" w14:textId="77777777" w:rsidR="008D5DCB" w:rsidRDefault="008D5DCB">
      <w:pPr>
        <w:spacing w:after="0" w:line="240" w:lineRule="auto"/>
        <w:jc w:val="both"/>
        <w:rPr>
          <w:rFonts w:ascii="Times New Roman" w:hAnsi="Times New Roman" w:cs="Times New Roman"/>
          <w:sz w:val="24"/>
          <w:szCs w:val="24"/>
        </w:rPr>
      </w:pPr>
    </w:p>
    <w:p w14:paraId="12E127F5" w14:textId="77777777" w:rsidR="008D5DCB" w:rsidRDefault="0020015B">
      <w:pPr>
        <w:spacing w:after="0" w:line="240" w:lineRule="auto"/>
        <w:rPr>
          <w:rFonts w:asciiTheme="majorBidi" w:hAnsiTheme="majorBidi" w:cstheme="majorBidi"/>
          <w:b/>
          <w:bCs/>
          <w:sz w:val="24"/>
          <w:szCs w:val="24"/>
        </w:rPr>
      </w:pPr>
      <w:bookmarkStart w:id="1" w:name="_Toc190087754"/>
      <w:bookmarkStart w:id="2" w:name="_Toc190073225"/>
      <w:bookmarkStart w:id="3" w:name="_Toc190078932"/>
      <w:r>
        <w:rPr>
          <w:rFonts w:ascii="Times New Roman" w:hAnsi="Times New Roman" w:cs="Times New Roman"/>
          <w:b/>
          <w:sz w:val="24"/>
          <w:szCs w:val="24"/>
        </w:rPr>
        <w:t>4.0.</w:t>
      </w:r>
      <w:r>
        <w:rPr>
          <w:rFonts w:ascii="Times New Roman" w:hAnsi="Times New Roman" w:cs="Times New Roman"/>
          <w:b/>
          <w:sz w:val="24"/>
          <w:szCs w:val="24"/>
        </w:rPr>
        <w:tab/>
        <w:t xml:space="preserve">Descriptive </w:t>
      </w:r>
      <w:bookmarkEnd w:id="1"/>
      <w:bookmarkEnd w:id="2"/>
      <w:bookmarkEnd w:id="3"/>
      <w:r>
        <w:rPr>
          <w:rFonts w:ascii="Times New Roman" w:hAnsi="Times New Roman" w:cs="Times New Roman"/>
          <w:b/>
          <w:sz w:val="24"/>
          <w:szCs w:val="24"/>
        </w:rPr>
        <w:t>Analysis</w:t>
      </w:r>
    </w:p>
    <w:p w14:paraId="62C69C39" w14:textId="77777777" w:rsidR="008D5DCB" w:rsidRDefault="0020015B">
      <w:pPr>
        <w:spacing w:line="240" w:lineRule="auto"/>
        <w:rPr>
          <w:rFonts w:ascii="Times New Roman" w:hAnsi="Times New Roman" w:cs="Times New Roman"/>
          <w:b/>
          <w:kern w:val="0"/>
          <w:sz w:val="24"/>
          <w:szCs w:val="24"/>
          <w:lang w:val="en-GB"/>
          <w14:ligatures w14:val="none"/>
        </w:rPr>
      </w:pPr>
      <w:r>
        <w:rPr>
          <w:rFonts w:ascii="Times New Roman" w:hAnsi="Times New Roman" w:cs="Times New Roman"/>
          <w:b/>
          <w:sz w:val="24"/>
          <w:szCs w:val="24"/>
        </w:rPr>
        <w:t xml:space="preserve">Table </w:t>
      </w:r>
      <w:r w:rsidR="007A10BA">
        <w:rPr>
          <w:rFonts w:ascii="Times New Roman" w:hAnsi="Times New Roman" w:cs="Times New Roman"/>
          <w:b/>
          <w:sz w:val="24"/>
          <w:szCs w:val="24"/>
        </w:rPr>
        <w:t>2-</w:t>
      </w:r>
      <w:r>
        <w:rPr>
          <w:rFonts w:ascii="Times New Roman" w:hAnsi="Times New Roman" w:cs="Times New Roman"/>
          <w:b/>
          <w:sz w:val="24"/>
          <w:szCs w:val="24"/>
        </w:rPr>
        <w:t>: Summary Descriptive Statistics of the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3"/>
        <w:gridCol w:w="803"/>
        <w:gridCol w:w="1349"/>
        <w:gridCol w:w="1281"/>
        <w:gridCol w:w="1460"/>
        <w:gridCol w:w="1296"/>
      </w:tblGrid>
      <w:tr w:rsidR="008D5DCB" w14:paraId="1701E7D1" w14:textId="77777777">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tcPr>
          <w:p w14:paraId="786415B7" w14:textId="77777777" w:rsidR="008D5DCB" w:rsidRDefault="0020015B">
            <w:pPr>
              <w:spacing w:after="480" w:line="240" w:lineRule="auto"/>
            </w:pPr>
            <w:r>
              <w:rPr>
                <w:rStyle w:val="Strong"/>
              </w:rPr>
              <w:lastRenderedPageBreak/>
              <w:t>Variables</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32A1F39C" w14:textId="77777777" w:rsidR="008D5DCB" w:rsidRDefault="0020015B">
            <w:pPr>
              <w:spacing w:after="480" w:line="240" w:lineRule="auto"/>
            </w:pPr>
            <w:r>
              <w:rPr>
                <w:rStyle w:val="Strong"/>
              </w:rPr>
              <w:t>Obs.</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0A0B7154" w14:textId="77777777" w:rsidR="008D5DCB" w:rsidRDefault="0020015B">
            <w:pPr>
              <w:spacing w:after="480" w:line="240" w:lineRule="auto"/>
            </w:pPr>
            <w:r>
              <w:rPr>
                <w:rStyle w:val="Strong"/>
              </w:rPr>
              <w:t>Mean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74076C31" w14:textId="77777777" w:rsidR="008D5DCB" w:rsidRDefault="0020015B">
            <w:pPr>
              <w:spacing w:after="480" w:line="240" w:lineRule="auto"/>
            </w:pPr>
            <w:r>
              <w:rPr>
                <w:rStyle w:val="Strong"/>
              </w:rPr>
              <w:t>Std. Dev.</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5BCE9B58" w14:textId="77777777" w:rsidR="008D5DCB" w:rsidRDefault="0020015B">
            <w:pPr>
              <w:spacing w:after="480" w:line="240" w:lineRule="auto"/>
            </w:pPr>
            <w:r>
              <w:rPr>
                <w:rStyle w:val="Strong"/>
              </w:rPr>
              <w:t>Min.</w:t>
            </w:r>
          </w:p>
        </w:tc>
        <w:tc>
          <w:tcPr>
            <w:tcW w:w="0" w:type="auto"/>
            <w:tcBorders>
              <w:top w:val="single" w:sz="4" w:space="0" w:color="auto"/>
              <w:bottom w:val="single" w:sz="4" w:space="0" w:color="auto"/>
            </w:tcBorders>
            <w:tcMar>
              <w:top w:w="120" w:type="dxa"/>
              <w:left w:w="180" w:type="dxa"/>
              <w:bottom w:w="120" w:type="dxa"/>
              <w:right w:w="180" w:type="dxa"/>
            </w:tcMar>
            <w:vAlign w:val="center"/>
          </w:tcPr>
          <w:p w14:paraId="202A6F70" w14:textId="77777777" w:rsidR="008D5DCB" w:rsidRDefault="0020015B">
            <w:pPr>
              <w:spacing w:after="480" w:line="240" w:lineRule="auto"/>
            </w:pPr>
            <w:r>
              <w:rPr>
                <w:rStyle w:val="Strong"/>
              </w:rPr>
              <w:t>Max.</w:t>
            </w:r>
          </w:p>
        </w:tc>
      </w:tr>
      <w:tr w:rsidR="008D5DCB" w14:paraId="12295D8F" w14:textId="77777777">
        <w:trPr>
          <w:tblCellSpacing w:w="15" w:type="dxa"/>
        </w:trPr>
        <w:tc>
          <w:tcPr>
            <w:tcW w:w="0" w:type="auto"/>
            <w:tcMar>
              <w:top w:w="120" w:type="dxa"/>
              <w:left w:w="180" w:type="dxa"/>
              <w:bottom w:w="120" w:type="dxa"/>
              <w:right w:w="180" w:type="dxa"/>
            </w:tcMar>
            <w:vAlign w:val="center"/>
          </w:tcPr>
          <w:p w14:paraId="3F270562" w14:textId="77777777" w:rsidR="008D5DCB" w:rsidRDefault="0020015B">
            <w:pPr>
              <w:spacing w:after="480" w:line="240" w:lineRule="auto"/>
            </w:pPr>
            <w:r>
              <w:rPr>
                <w:b/>
                <w:bCs/>
              </w:rPr>
              <w:t>TQ</w:t>
            </w:r>
          </w:p>
        </w:tc>
        <w:tc>
          <w:tcPr>
            <w:tcW w:w="0" w:type="auto"/>
            <w:tcMar>
              <w:top w:w="120" w:type="dxa"/>
              <w:left w:w="180" w:type="dxa"/>
              <w:bottom w:w="120" w:type="dxa"/>
              <w:right w:w="180" w:type="dxa"/>
            </w:tcMar>
            <w:vAlign w:val="center"/>
          </w:tcPr>
          <w:p w14:paraId="57064CE1"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27C02A22" w14:textId="77777777" w:rsidR="008D5DCB" w:rsidRDefault="0020015B">
            <w:pPr>
              <w:spacing w:after="480" w:line="240" w:lineRule="auto"/>
            </w:pPr>
            <w:r>
              <w:t>0.870</w:t>
            </w:r>
          </w:p>
        </w:tc>
        <w:tc>
          <w:tcPr>
            <w:tcW w:w="0" w:type="auto"/>
            <w:tcMar>
              <w:top w:w="120" w:type="dxa"/>
              <w:left w:w="180" w:type="dxa"/>
              <w:bottom w:w="120" w:type="dxa"/>
              <w:right w:w="180" w:type="dxa"/>
            </w:tcMar>
            <w:vAlign w:val="center"/>
          </w:tcPr>
          <w:p w14:paraId="121D1E64" w14:textId="77777777" w:rsidR="008D5DCB" w:rsidRDefault="0020015B">
            <w:pPr>
              <w:spacing w:after="480" w:line="240" w:lineRule="auto"/>
            </w:pPr>
            <w:r>
              <w:t>0.487</w:t>
            </w:r>
          </w:p>
        </w:tc>
        <w:tc>
          <w:tcPr>
            <w:tcW w:w="0" w:type="auto"/>
            <w:tcMar>
              <w:top w:w="120" w:type="dxa"/>
              <w:left w:w="180" w:type="dxa"/>
              <w:bottom w:w="120" w:type="dxa"/>
              <w:right w:w="180" w:type="dxa"/>
            </w:tcMar>
            <w:vAlign w:val="center"/>
          </w:tcPr>
          <w:p w14:paraId="0223931C" w14:textId="77777777" w:rsidR="008D5DCB" w:rsidRDefault="0020015B">
            <w:pPr>
              <w:spacing w:after="480" w:line="240" w:lineRule="auto"/>
            </w:pPr>
            <w:r>
              <w:t>0.000</w:t>
            </w:r>
          </w:p>
        </w:tc>
        <w:tc>
          <w:tcPr>
            <w:tcW w:w="0" w:type="auto"/>
            <w:tcMar>
              <w:top w:w="120" w:type="dxa"/>
              <w:left w:w="180" w:type="dxa"/>
              <w:bottom w:w="120" w:type="dxa"/>
              <w:right w:w="180" w:type="dxa"/>
            </w:tcMar>
            <w:vAlign w:val="center"/>
          </w:tcPr>
          <w:p w14:paraId="29CF562A" w14:textId="77777777" w:rsidR="008D5DCB" w:rsidRDefault="0020015B">
            <w:pPr>
              <w:spacing w:after="480" w:line="240" w:lineRule="auto"/>
            </w:pPr>
            <w:r>
              <w:t>4.381</w:t>
            </w:r>
          </w:p>
        </w:tc>
      </w:tr>
      <w:tr w:rsidR="008D5DCB" w14:paraId="11C75870" w14:textId="77777777">
        <w:trPr>
          <w:tblCellSpacing w:w="15" w:type="dxa"/>
        </w:trPr>
        <w:tc>
          <w:tcPr>
            <w:tcW w:w="0" w:type="auto"/>
            <w:tcMar>
              <w:top w:w="120" w:type="dxa"/>
              <w:left w:w="180" w:type="dxa"/>
              <w:bottom w:w="120" w:type="dxa"/>
              <w:right w:w="180" w:type="dxa"/>
            </w:tcMar>
            <w:vAlign w:val="center"/>
          </w:tcPr>
          <w:p w14:paraId="57F6E853" w14:textId="77777777" w:rsidR="008D5DCB" w:rsidRDefault="0020015B">
            <w:pPr>
              <w:spacing w:after="480" w:line="240" w:lineRule="auto"/>
            </w:pPr>
            <w:r>
              <w:rPr>
                <w:b/>
                <w:bCs/>
              </w:rPr>
              <w:t>MVPS</w:t>
            </w:r>
          </w:p>
        </w:tc>
        <w:tc>
          <w:tcPr>
            <w:tcW w:w="0" w:type="auto"/>
            <w:tcMar>
              <w:top w:w="120" w:type="dxa"/>
              <w:left w:w="180" w:type="dxa"/>
              <w:bottom w:w="120" w:type="dxa"/>
              <w:right w:w="180" w:type="dxa"/>
            </w:tcMar>
            <w:vAlign w:val="center"/>
          </w:tcPr>
          <w:p w14:paraId="363BACE4"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2A648085" w14:textId="77777777" w:rsidR="008D5DCB" w:rsidRDefault="0020015B">
            <w:pPr>
              <w:spacing w:after="480" w:line="240" w:lineRule="auto"/>
            </w:pPr>
            <w:r>
              <w:t>1.584</w:t>
            </w:r>
          </w:p>
        </w:tc>
        <w:tc>
          <w:tcPr>
            <w:tcW w:w="0" w:type="auto"/>
            <w:tcMar>
              <w:top w:w="120" w:type="dxa"/>
              <w:left w:w="180" w:type="dxa"/>
              <w:bottom w:w="120" w:type="dxa"/>
              <w:right w:w="180" w:type="dxa"/>
            </w:tcMar>
            <w:vAlign w:val="center"/>
          </w:tcPr>
          <w:p w14:paraId="6CA3320D" w14:textId="77777777" w:rsidR="008D5DCB" w:rsidRDefault="0020015B">
            <w:pPr>
              <w:spacing w:after="480" w:line="240" w:lineRule="auto"/>
            </w:pPr>
            <w:r>
              <w:t>3.268</w:t>
            </w:r>
          </w:p>
        </w:tc>
        <w:tc>
          <w:tcPr>
            <w:tcW w:w="0" w:type="auto"/>
            <w:tcMar>
              <w:top w:w="120" w:type="dxa"/>
              <w:left w:w="180" w:type="dxa"/>
              <w:bottom w:w="120" w:type="dxa"/>
              <w:right w:w="180" w:type="dxa"/>
            </w:tcMar>
            <w:vAlign w:val="center"/>
          </w:tcPr>
          <w:p w14:paraId="4BC3FE5B" w14:textId="77777777" w:rsidR="008D5DCB" w:rsidRDefault="0020015B">
            <w:pPr>
              <w:spacing w:after="480" w:line="240" w:lineRule="auto"/>
            </w:pPr>
            <w:r>
              <w:t>0.000</w:t>
            </w:r>
          </w:p>
        </w:tc>
        <w:tc>
          <w:tcPr>
            <w:tcW w:w="0" w:type="auto"/>
            <w:tcMar>
              <w:top w:w="120" w:type="dxa"/>
              <w:left w:w="180" w:type="dxa"/>
              <w:bottom w:w="120" w:type="dxa"/>
              <w:right w:w="180" w:type="dxa"/>
            </w:tcMar>
            <w:vAlign w:val="center"/>
          </w:tcPr>
          <w:p w14:paraId="3901B69C" w14:textId="77777777" w:rsidR="008D5DCB" w:rsidRDefault="0020015B">
            <w:pPr>
              <w:spacing w:after="480" w:line="240" w:lineRule="auto"/>
            </w:pPr>
            <w:r>
              <w:t>26.500</w:t>
            </w:r>
          </w:p>
        </w:tc>
      </w:tr>
      <w:tr w:rsidR="008D5DCB" w14:paraId="46C8BC2F" w14:textId="77777777">
        <w:trPr>
          <w:tblCellSpacing w:w="15" w:type="dxa"/>
        </w:trPr>
        <w:tc>
          <w:tcPr>
            <w:tcW w:w="0" w:type="auto"/>
            <w:tcMar>
              <w:top w:w="120" w:type="dxa"/>
              <w:left w:w="180" w:type="dxa"/>
              <w:bottom w:w="120" w:type="dxa"/>
              <w:right w:w="180" w:type="dxa"/>
            </w:tcMar>
            <w:vAlign w:val="center"/>
          </w:tcPr>
          <w:p w14:paraId="27988B65" w14:textId="77777777" w:rsidR="008D5DCB" w:rsidRDefault="0020015B">
            <w:pPr>
              <w:spacing w:after="480" w:line="240" w:lineRule="auto"/>
            </w:pPr>
            <w:r>
              <w:rPr>
                <w:b/>
                <w:bCs/>
              </w:rPr>
              <w:t>ETR</w:t>
            </w:r>
          </w:p>
        </w:tc>
        <w:tc>
          <w:tcPr>
            <w:tcW w:w="0" w:type="auto"/>
            <w:tcMar>
              <w:top w:w="120" w:type="dxa"/>
              <w:left w:w="180" w:type="dxa"/>
              <w:bottom w:w="120" w:type="dxa"/>
              <w:right w:w="180" w:type="dxa"/>
            </w:tcMar>
            <w:vAlign w:val="center"/>
          </w:tcPr>
          <w:p w14:paraId="222858D7"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00E4FDF6" w14:textId="77777777" w:rsidR="008D5DCB" w:rsidRDefault="0020015B">
            <w:pPr>
              <w:spacing w:after="480" w:line="240" w:lineRule="auto"/>
            </w:pPr>
            <w:r>
              <w:t>0.041</w:t>
            </w:r>
          </w:p>
        </w:tc>
        <w:tc>
          <w:tcPr>
            <w:tcW w:w="0" w:type="auto"/>
            <w:tcMar>
              <w:top w:w="120" w:type="dxa"/>
              <w:left w:w="180" w:type="dxa"/>
              <w:bottom w:w="120" w:type="dxa"/>
              <w:right w:w="180" w:type="dxa"/>
            </w:tcMar>
            <w:vAlign w:val="center"/>
          </w:tcPr>
          <w:p w14:paraId="6BEF6F47" w14:textId="77777777" w:rsidR="008D5DCB" w:rsidRDefault="0020015B">
            <w:pPr>
              <w:spacing w:after="480" w:line="240" w:lineRule="auto"/>
            </w:pPr>
            <w:r>
              <w:t>1.650</w:t>
            </w:r>
          </w:p>
        </w:tc>
        <w:tc>
          <w:tcPr>
            <w:tcW w:w="0" w:type="auto"/>
            <w:tcMar>
              <w:top w:w="120" w:type="dxa"/>
              <w:left w:w="180" w:type="dxa"/>
              <w:bottom w:w="120" w:type="dxa"/>
              <w:right w:w="180" w:type="dxa"/>
            </w:tcMar>
            <w:vAlign w:val="center"/>
          </w:tcPr>
          <w:p w14:paraId="5B8CD760" w14:textId="77777777" w:rsidR="008D5DCB" w:rsidRDefault="0020015B">
            <w:pPr>
              <w:spacing w:after="480" w:line="240" w:lineRule="auto"/>
            </w:pPr>
            <w:r>
              <w:t>-26.071</w:t>
            </w:r>
          </w:p>
        </w:tc>
        <w:tc>
          <w:tcPr>
            <w:tcW w:w="0" w:type="auto"/>
            <w:tcMar>
              <w:top w:w="120" w:type="dxa"/>
              <w:left w:w="180" w:type="dxa"/>
              <w:bottom w:w="120" w:type="dxa"/>
              <w:right w:w="180" w:type="dxa"/>
            </w:tcMar>
            <w:vAlign w:val="center"/>
          </w:tcPr>
          <w:p w14:paraId="452F687F" w14:textId="77777777" w:rsidR="008D5DCB" w:rsidRDefault="0020015B">
            <w:pPr>
              <w:spacing w:after="480" w:line="240" w:lineRule="auto"/>
            </w:pPr>
            <w:r>
              <w:t>8.062</w:t>
            </w:r>
          </w:p>
        </w:tc>
      </w:tr>
      <w:tr w:rsidR="008D5DCB" w14:paraId="4D4E2378" w14:textId="77777777">
        <w:trPr>
          <w:tblCellSpacing w:w="15" w:type="dxa"/>
        </w:trPr>
        <w:tc>
          <w:tcPr>
            <w:tcW w:w="0" w:type="auto"/>
            <w:tcMar>
              <w:top w:w="120" w:type="dxa"/>
              <w:left w:w="180" w:type="dxa"/>
              <w:bottom w:w="120" w:type="dxa"/>
              <w:right w:w="180" w:type="dxa"/>
            </w:tcMar>
            <w:vAlign w:val="center"/>
          </w:tcPr>
          <w:p w14:paraId="1DE82E12" w14:textId="77777777" w:rsidR="008D5DCB" w:rsidRDefault="0020015B">
            <w:pPr>
              <w:spacing w:after="480" w:line="240" w:lineRule="auto"/>
            </w:pPr>
            <w:r>
              <w:rPr>
                <w:b/>
                <w:bCs/>
              </w:rPr>
              <w:t>CETR</w:t>
            </w:r>
          </w:p>
        </w:tc>
        <w:tc>
          <w:tcPr>
            <w:tcW w:w="0" w:type="auto"/>
            <w:tcMar>
              <w:top w:w="120" w:type="dxa"/>
              <w:left w:w="180" w:type="dxa"/>
              <w:bottom w:w="120" w:type="dxa"/>
              <w:right w:w="180" w:type="dxa"/>
            </w:tcMar>
            <w:vAlign w:val="center"/>
          </w:tcPr>
          <w:p w14:paraId="6F3C1797"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6F61FEC1" w14:textId="77777777" w:rsidR="008D5DCB" w:rsidRDefault="0020015B">
            <w:pPr>
              <w:spacing w:after="480" w:line="240" w:lineRule="auto"/>
            </w:pPr>
            <w:r>
              <w:t>-0.059</w:t>
            </w:r>
          </w:p>
        </w:tc>
        <w:tc>
          <w:tcPr>
            <w:tcW w:w="0" w:type="auto"/>
            <w:tcMar>
              <w:top w:w="120" w:type="dxa"/>
              <w:left w:w="180" w:type="dxa"/>
              <w:bottom w:w="120" w:type="dxa"/>
              <w:right w:w="180" w:type="dxa"/>
            </w:tcMar>
            <w:vAlign w:val="center"/>
          </w:tcPr>
          <w:p w14:paraId="1D77188B" w14:textId="77777777" w:rsidR="008D5DCB" w:rsidRDefault="0020015B">
            <w:pPr>
              <w:spacing w:after="480" w:line="240" w:lineRule="auto"/>
            </w:pPr>
            <w:r>
              <w:t>3.839</w:t>
            </w:r>
          </w:p>
        </w:tc>
        <w:tc>
          <w:tcPr>
            <w:tcW w:w="0" w:type="auto"/>
            <w:tcMar>
              <w:top w:w="120" w:type="dxa"/>
              <w:left w:w="180" w:type="dxa"/>
              <w:bottom w:w="120" w:type="dxa"/>
              <w:right w:w="180" w:type="dxa"/>
            </w:tcMar>
            <w:vAlign w:val="center"/>
          </w:tcPr>
          <w:p w14:paraId="7CF54BA8" w14:textId="77777777" w:rsidR="008D5DCB" w:rsidRDefault="0020015B">
            <w:pPr>
              <w:spacing w:after="480" w:line="240" w:lineRule="auto"/>
            </w:pPr>
            <w:r>
              <w:t>-66.032</w:t>
            </w:r>
          </w:p>
        </w:tc>
        <w:tc>
          <w:tcPr>
            <w:tcW w:w="0" w:type="auto"/>
            <w:tcMar>
              <w:top w:w="120" w:type="dxa"/>
              <w:left w:w="180" w:type="dxa"/>
              <w:bottom w:w="120" w:type="dxa"/>
              <w:right w:w="180" w:type="dxa"/>
            </w:tcMar>
            <w:vAlign w:val="center"/>
          </w:tcPr>
          <w:p w14:paraId="696470F4" w14:textId="77777777" w:rsidR="008D5DCB" w:rsidRDefault="0020015B">
            <w:pPr>
              <w:spacing w:after="480" w:line="240" w:lineRule="auto"/>
            </w:pPr>
            <w:r>
              <w:t>8.276</w:t>
            </w:r>
          </w:p>
        </w:tc>
      </w:tr>
      <w:tr w:rsidR="008D5DCB" w14:paraId="6D1529A1" w14:textId="77777777">
        <w:trPr>
          <w:tblCellSpacing w:w="15" w:type="dxa"/>
        </w:trPr>
        <w:tc>
          <w:tcPr>
            <w:tcW w:w="0" w:type="auto"/>
            <w:tcMar>
              <w:top w:w="120" w:type="dxa"/>
              <w:left w:w="180" w:type="dxa"/>
              <w:bottom w:w="120" w:type="dxa"/>
              <w:right w:w="180" w:type="dxa"/>
            </w:tcMar>
            <w:vAlign w:val="center"/>
          </w:tcPr>
          <w:p w14:paraId="49B3A2D6" w14:textId="77777777" w:rsidR="008D5DCB" w:rsidRDefault="0020015B">
            <w:pPr>
              <w:spacing w:after="480" w:line="240" w:lineRule="auto"/>
            </w:pPr>
            <w:r>
              <w:rPr>
                <w:b/>
                <w:bCs/>
              </w:rPr>
              <w:t>BTD</w:t>
            </w:r>
          </w:p>
        </w:tc>
        <w:tc>
          <w:tcPr>
            <w:tcW w:w="0" w:type="auto"/>
            <w:tcMar>
              <w:top w:w="120" w:type="dxa"/>
              <w:left w:w="180" w:type="dxa"/>
              <w:bottom w:w="120" w:type="dxa"/>
              <w:right w:w="180" w:type="dxa"/>
            </w:tcMar>
            <w:vAlign w:val="center"/>
          </w:tcPr>
          <w:p w14:paraId="0B7AC955" w14:textId="77777777" w:rsidR="008D5DCB" w:rsidRDefault="0020015B">
            <w:pPr>
              <w:spacing w:after="480" w:line="240" w:lineRule="auto"/>
            </w:pPr>
            <w:r>
              <w:t>308</w:t>
            </w:r>
          </w:p>
        </w:tc>
        <w:tc>
          <w:tcPr>
            <w:tcW w:w="0" w:type="auto"/>
            <w:tcMar>
              <w:top w:w="120" w:type="dxa"/>
              <w:left w:w="180" w:type="dxa"/>
              <w:bottom w:w="120" w:type="dxa"/>
              <w:right w:w="180" w:type="dxa"/>
            </w:tcMar>
            <w:vAlign w:val="center"/>
          </w:tcPr>
          <w:p w14:paraId="008A7057" w14:textId="77777777" w:rsidR="008D5DCB" w:rsidRDefault="0020015B">
            <w:pPr>
              <w:spacing w:after="480" w:line="240" w:lineRule="auto"/>
            </w:pPr>
            <w:r>
              <w:t>0.004</w:t>
            </w:r>
          </w:p>
        </w:tc>
        <w:tc>
          <w:tcPr>
            <w:tcW w:w="0" w:type="auto"/>
            <w:tcMar>
              <w:top w:w="120" w:type="dxa"/>
              <w:left w:w="180" w:type="dxa"/>
              <w:bottom w:w="120" w:type="dxa"/>
              <w:right w:w="180" w:type="dxa"/>
            </w:tcMar>
            <w:vAlign w:val="center"/>
          </w:tcPr>
          <w:p w14:paraId="5A045E65" w14:textId="77777777" w:rsidR="008D5DCB" w:rsidRDefault="0020015B">
            <w:pPr>
              <w:spacing w:after="480" w:line="240" w:lineRule="auto"/>
            </w:pPr>
            <w:r>
              <w:t>0.124</w:t>
            </w:r>
          </w:p>
        </w:tc>
        <w:tc>
          <w:tcPr>
            <w:tcW w:w="0" w:type="auto"/>
            <w:tcMar>
              <w:top w:w="120" w:type="dxa"/>
              <w:left w:w="180" w:type="dxa"/>
              <w:bottom w:w="120" w:type="dxa"/>
              <w:right w:w="180" w:type="dxa"/>
            </w:tcMar>
            <w:vAlign w:val="center"/>
          </w:tcPr>
          <w:p w14:paraId="74A629A6" w14:textId="77777777" w:rsidR="008D5DCB" w:rsidRDefault="0020015B">
            <w:pPr>
              <w:spacing w:after="480" w:line="240" w:lineRule="auto"/>
            </w:pPr>
            <w:r>
              <w:t>-1.447</w:t>
            </w:r>
          </w:p>
        </w:tc>
        <w:tc>
          <w:tcPr>
            <w:tcW w:w="0" w:type="auto"/>
            <w:tcMar>
              <w:top w:w="120" w:type="dxa"/>
              <w:left w:w="180" w:type="dxa"/>
              <w:bottom w:w="120" w:type="dxa"/>
              <w:right w:w="180" w:type="dxa"/>
            </w:tcMar>
            <w:vAlign w:val="center"/>
          </w:tcPr>
          <w:p w14:paraId="2598AC42" w14:textId="77777777" w:rsidR="008D5DCB" w:rsidRDefault="0020015B">
            <w:pPr>
              <w:spacing w:after="480" w:line="240" w:lineRule="auto"/>
            </w:pPr>
            <w:r>
              <w:t>0.393</w:t>
            </w:r>
          </w:p>
        </w:tc>
      </w:tr>
      <w:tr w:rsidR="008D5DCB" w14:paraId="769808F8" w14:textId="77777777">
        <w:trPr>
          <w:tblCellSpacing w:w="15" w:type="dxa"/>
        </w:trPr>
        <w:tc>
          <w:tcPr>
            <w:tcW w:w="0" w:type="auto"/>
            <w:tcBorders>
              <w:bottom w:val="single" w:sz="4" w:space="0" w:color="auto"/>
            </w:tcBorders>
            <w:tcMar>
              <w:top w:w="120" w:type="dxa"/>
              <w:left w:w="180" w:type="dxa"/>
              <w:bottom w:w="120" w:type="dxa"/>
              <w:right w:w="180" w:type="dxa"/>
            </w:tcMar>
            <w:vAlign w:val="center"/>
          </w:tcPr>
          <w:p w14:paraId="5FEAF488" w14:textId="77777777" w:rsidR="008D5DCB" w:rsidRDefault="0020015B">
            <w:pPr>
              <w:spacing w:after="480" w:line="240" w:lineRule="auto"/>
            </w:pPr>
            <w:r>
              <w:rPr>
                <w:b/>
                <w:bCs/>
              </w:rPr>
              <w:t>TSR</w:t>
            </w:r>
          </w:p>
        </w:tc>
        <w:tc>
          <w:tcPr>
            <w:tcW w:w="0" w:type="auto"/>
            <w:tcBorders>
              <w:bottom w:val="single" w:sz="4" w:space="0" w:color="auto"/>
            </w:tcBorders>
            <w:tcMar>
              <w:top w:w="120" w:type="dxa"/>
              <w:left w:w="180" w:type="dxa"/>
              <w:bottom w:w="120" w:type="dxa"/>
              <w:right w:w="180" w:type="dxa"/>
            </w:tcMar>
            <w:vAlign w:val="center"/>
          </w:tcPr>
          <w:p w14:paraId="53B3E6BD" w14:textId="77777777" w:rsidR="008D5DCB" w:rsidRDefault="0020015B">
            <w:pPr>
              <w:spacing w:after="480" w:line="240" w:lineRule="auto"/>
            </w:pPr>
            <w:r>
              <w:t>308</w:t>
            </w:r>
          </w:p>
        </w:tc>
        <w:tc>
          <w:tcPr>
            <w:tcW w:w="0" w:type="auto"/>
            <w:tcBorders>
              <w:bottom w:val="single" w:sz="4" w:space="0" w:color="auto"/>
            </w:tcBorders>
            <w:tcMar>
              <w:top w:w="120" w:type="dxa"/>
              <w:left w:w="180" w:type="dxa"/>
              <w:bottom w:w="120" w:type="dxa"/>
              <w:right w:w="180" w:type="dxa"/>
            </w:tcMar>
            <w:vAlign w:val="center"/>
          </w:tcPr>
          <w:p w14:paraId="37A7B8A0" w14:textId="77777777" w:rsidR="008D5DCB" w:rsidRDefault="0020015B">
            <w:pPr>
              <w:spacing w:after="480" w:line="240" w:lineRule="auto"/>
            </w:pPr>
            <w:r>
              <w:t>-146,579.9</w:t>
            </w:r>
          </w:p>
        </w:tc>
        <w:tc>
          <w:tcPr>
            <w:tcW w:w="0" w:type="auto"/>
            <w:tcBorders>
              <w:bottom w:val="single" w:sz="4" w:space="0" w:color="auto"/>
            </w:tcBorders>
            <w:tcMar>
              <w:top w:w="120" w:type="dxa"/>
              <w:left w:w="180" w:type="dxa"/>
              <w:bottom w:w="120" w:type="dxa"/>
              <w:right w:w="180" w:type="dxa"/>
            </w:tcMar>
            <w:vAlign w:val="center"/>
          </w:tcPr>
          <w:p w14:paraId="3862B568" w14:textId="77777777" w:rsidR="008D5DCB" w:rsidRDefault="0020015B">
            <w:pPr>
              <w:spacing w:after="480" w:line="240" w:lineRule="auto"/>
            </w:pPr>
            <w:r>
              <w:t>2,568,286</w:t>
            </w:r>
          </w:p>
        </w:tc>
        <w:tc>
          <w:tcPr>
            <w:tcW w:w="0" w:type="auto"/>
            <w:tcBorders>
              <w:bottom w:val="single" w:sz="4" w:space="0" w:color="auto"/>
            </w:tcBorders>
            <w:tcMar>
              <w:top w:w="120" w:type="dxa"/>
              <w:left w:w="180" w:type="dxa"/>
              <w:bottom w:w="120" w:type="dxa"/>
              <w:right w:w="180" w:type="dxa"/>
            </w:tcMar>
            <w:vAlign w:val="center"/>
          </w:tcPr>
          <w:p w14:paraId="3DD6241C" w14:textId="77777777" w:rsidR="008D5DCB" w:rsidRDefault="0020015B">
            <w:pPr>
              <w:spacing w:after="480" w:line="240" w:lineRule="auto"/>
            </w:pPr>
            <w:r>
              <w:t>-45,000,000</w:t>
            </w:r>
          </w:p>
        </w:tc>
        <w:tc>
          <w:tcPr>
            <w:tcW w:w="0" w:type="auto"/>
            <w:tcBorders>
              <w:bottom w:val="single" w:sz="4" w:space="0" w:color="auto"/>
            </w:tcBorders>
            <w:tcMar>
              <w:top w:w="120" w:type="dxa"/>
              <w:left w:w="180" w:type="dxa"/>
              <w:bottom w:w="120" w:type="dxa"/>
              <w:right w:w="180" w:type="dxa"/>
            </w:tcMar>
            <w:vAlign w:val="center"/>
          </w:tcPr>
          <w:p w14:paraId="5B340B08" w14:textId="77777777" w:rsidR="008D5DCB" w:rsidRDefault="0020015B">
            <w:pPr>
              <w:spacing w:after="480" w:line="240" w:lineRule="auto"/>
            </w:pPr>
            <w:r>
              <w:t>2,449,869</w:t>
            </w:r>
          </w:p>
        </w:tc>
      </w:tr>
    </w:tbl>
    <w:p w14:paraId="419D14D8" w14:textId="77777777" w:rsidR="008D5DCB" w:rsidRDefault="0020015B">
      <w:pPr>
        <w:pStyle w:val="NormalWeb"/>
        <w:spacing w:before="0" w:beforeAutospacing="0"/>
      </w:pPr>
      <w:r>
        <w:rPr>
          <w:b/>
          <w:bCs/>
        </w:rPr>
        <w:t>Source:</w:t>
      </w:r>
      <w:r>
        <w:t xml:space="preserve"> Author’s Computation (2026).</w:t>
      </w:r>
    </w:p>
    <w:p w14:paraId="42357AF6"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The descriptive statistics for listed Nigerian insurance firms reveal distinct patterns in the market-performance and tax-aggressiveness measures. Tobin’s Q has a relatively narrow distribution around a mean of 0.870, although the maximum value is 4.381. Market Value per Share (MVPS) shows considerable cross-sectional variation (SD = 3.268), reflecting differences in year-end market prices, which reach a maximum of 26.500 naira. The accounting-based tax measures, ETR and CETR, also show substantial dispersion, with standard deviations of 1.650 and 3.839, respectively, and markedly negative minimum values. These patterns indicate considerable variation in tax planning, deferred-tax structures, and cash-conservation practices across insurers. By contrast, Book–Tax Difference (BTD) is more concentrated, with a standard deviation of 0.124. The Tax Savings Ratio (TSR) shows extremely large dispersion (SD = 2,568,286), which may reflect structural differences, scaling issues, or firms experiencing underwriting losses or restructuring.</w:t>
      </w:r>
    </w:p>
    <w:p w14:paraId="18BAF6B4" w14:textId="77777777" w:rsidR="008D5DCB" w:rsidRDefault="0020015B">
      <w:pPr>
        <w:spacing w:line="240" w:lineRule="auto"/>
        <w:jc w:val="both"/>
        <w:rPr>
          <w:rFonts w:ascii="Times New Roman" w:hAnsi="Times New Roman" w:cs="Times New Roman"/>
          <w:b/>
          <w:sz w:val="24"/>
          <w:szCs w:val="24"/>
        </w:rPr>
      </w:pPr>
      <w:r>
        <w:rPr>
          <w:rFonts w:ascii="Times New Roman" w:hAnsi="Times New Roman" w:cs="Times New Roman"/>
          <w:b/>
          <w:sz w:val="24"/>
          <w:szCs w:val="24"/>
        </w:rPr>
        <w:t>Table 3. Unit Root Test Results: tax aggressiveness &amp; Proxies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6"/>
        <w:gridCol w:w="1687"/>
        <w:gridCol w:w="1382"/>
        <w:gridCol w:w="1283"/>
        <w:gridCol w:w="66"/>
        <w:gridCol w:w="2176"/>
        <w:gridCol w:w="1606"/>
      </w:tblGrid>
      <w:tr w:rsidR="008D5DCB" w14:paraId="68414E6F" w14:textId="77777777">
        <w:trPr>
          <w:tblHeader/>
          <w:tblCellSpacing w:w="15" w:type="dxa"/>
        </w:trPr>
        <w:tc>
          <w:tcPr>
            <w:tcW w:w="0" w:type="auto"/>
            <w:tcBorders>
              <w:top w:val="single" w:sz="4" w:space="0" w:color="auto"/>
              <w:bottom w:val="single" w:sz="4" w:space="0" w:color="auto"/>
            </w:tcBorders>
            <w:vAlign w:val="center"/>
          </w:tcPr>
          <w:p w14:paraId="579707DE" w14:textId="77777777" w:rsidR="008D5DCB" w:rsidRDefault="0020015B">
            <w:pPr>
              <w:spacing w:line="240" w:lineRule="auto"/>
              <w:jc w:val="center"/>
              <w:rPr>
                <w:b/>
                <w:bCs/>
              </w:rPr>
            </w:pPr>
            <w:r>
              <w:rPr>
                <w:b/>
                <w:bCs/>
              </w:rPr>
              <w:t>Variable</w:t>
            </w:r>
          </w:p>
        </w:tc>
        <w:tc>
          <w:tcPr>
            <w:tcW w:w="0" w:type="auto"/>
            <w:tcBorders>
              <w:top w:val="single" w:sz="4" w:space="0" w:color="auto"/>
              <w:bottom w:val="single" w:sz="4" w:space="0" w:color="auto"/>
            </w:tcBorders>
            <w:vAlign w:val="center"/>
          </w:tcPr>
          <w:p w14:paraId="5815BD7E" w14:textId="77777777" w:rsidR="008D5DCB" w:rsidRDefault="0020015B">
            <w:pPr>
              <w:spacing w:line="240" w:lineRule="auto"/>
              <w:jc w:val="center"/>
              <w:rPr>
                <w:b/>
                <w:bCs/>
              </w:rPr>
            </w:pPr>
            <w:r>
              <w:rPr>
                <w:b/>
                <w:bCs/>
              </w:rPr>
              <w:t>Inverse Chi-Squared (</w:t>
            </w:r>
            <w:r>
              <w:rPr>
                <w:rStyle w:val="mord"/>
                <w:b/>
                <w:bCs/>
              </w:rPr>
              <w:t>P</w:t>
            </w:r>
            <w:r>
              <w:rPr>
                <w:b/>
                <w:bCs/>
              </w:rPr>
              <w:t>)</w:t>
            </w:r>
          </w:p>
        </w:tc>
        <w:tc>
          <w:tcPr>
            <w:tcW w:w="0" w:type="auto"/>
            <w:tcBorders>
              <w:top w:val="single" w:sz="4" w:space="0" w:color="auto"/>
              <w:bottom w:val="single" w:sz="4" w:space="0" w:color="auto"/>
            </w:tcBorders>
            <w:vAlign w:val="center"/>
          </w:tcPr>
          <w:p w14:paraId="55136F8D" w14:textId="77777777" w:rsidR="008D5DCB" w:rsidRDefault="0020015B">
            <w:pPr>
              <w:spacing w:line="240" w:lineRule="auto"/>
              <w:jc w:val="center"/>
              <w:rPr>
                <w:b/>
                <w:bCs/>
              </w:rPr>
            </w:pPr>
            <w:r>
              <w:rPr>
                <w:b/>
                <w:bCs/>
              </w:rPr>
              <w:t>Inverse Normal (</w:t>
            </w:r>
            <w:r>
              <w:rPr>
                <w:rStyle w:val="mord"/>
                <w:b/>
                <w:bCs/>
              </w:rPr>
              <w:t>Z</w:t>
            </w:r>
            <w:r>
              <w:rPr>
                <w:b/>
                <w:bCs/>
              </w:rPr>
              <w:t>)</w:t>
            </w:r>
          </w:p>
        </w:tc>
        <w:tc>
          <w:tcPr>
            <w:tcW w:w="0" w:type="auto"/>
            <w:tcBorders>
              <w:top w:val="single" w:sz="4" w:space="0" w:color="auto"/>
              <w:bottom w:val="single" w:sz="4" w:space="0" w:color="auto"/>
            </w:tcBorders>
            <w:vAlign w:val="center"/>
          </w:tcPr>
          <w:p w14:paraId="65AB59D3" w14:textId="77777777" w:rsidR="008D5DCB" w:rsidRDefault="0020015B">
            <w:pPr>
              <w:spacing w:line="240" w:lineRule="auto"/>
              <w:jc w:val="center"/>
              <w:rPr>
                <w:b/>
                <w:bCs/>
              </w:rPr>
            </w:pPr>
            <w:r>
              <w:rPr>
                <w:b/>
                <w:bCs/>
              </w:rPr>
              <w:t>Inverse Logit (</w:t>
            </w:r>
            <w:r>
              <w:rPr>
                <w:rStyle w:val="mord"/>
                <w:b/>
                <w:bCs/>
              </w:rPr>
              <w:t>L</w:t>
            </w:r>
            <w:r>
              <w:rPr>
                <w:rStyle w:val="mbin"/>
                <w:rFonts w:ascii="Cambria Math" w:hAnsi="Cambria Math" w:cs="Cambria Math"/>
                <w:b/>
                <w:bCs/>
              </w:rPr>
              <w:t>∗</w:t>
            </w:r>
            <w:r>
              <w:rPr>
                <w:b/>
                <w:bCs/>
              </w:rPr>
              <w:t>)</w:t>
            </w:r>
          </w:p>
        </w:tc>
        <w:tc>
          <w:tcPr>
            <w:tcW w:w="0" w:type="auto"/>
          </w:tcPr>
          <w:p w14:paraId="79A1D92D" w14:textId="77777777" w:rsidR="008D5DCB" w:rsidRDefault="008D5DCB">
            <w:pPr>
              <w:spacing w:line="240" w:lineRule="auto"/>
              <w:jc w:val="center"/>
              <w:rPr>
                <w:b/>
                <w:bCs/>
              </w:rPr>
            </w:pPr>
          </w:p>
        </w:tc>
        <w:tc>
          <w:tcPr>
            <w:tcW w:w="0" w:type="auto"/>
            <w:tcBorders>
              <w:top w:val="single" w:sz="4" w:space="0" w:color="auto"/>
              <w:bottom w:val="single" w:sz="4" w:space="0" w:color="auto"/>
            </w:tcBorders>
            <w:vAlign w:val="center"/>
          </w:tcPr>
          <w:p w14:paraId="51159845" w14:textId="77777777" w:rsidR="008D5DCB" w:rsidRDefault="0020015B">
            <w:pPr>
              <w:spacing w:line="240" w:lineRule="auto"/>
              <w:jc w:val="center"/>
              <w:rPr>
                <w:b/>
                <w:bCs/>
              </w:rPr>
            </w:pPr>
            <w:r>
              <w:rPr>
                <w:b/>
                <w:bCs/>
              </w:rPr>
              <w:t>Modified Inv. Chi-Squared (</w:t>
            </w:r>
            <w:r>
              <w:rPr>
                <w:rStyle w:val="mord"/>
                <w:b/>
                <w:bCs/>
              </w:rPr>
              <w:t>Pm</w:t>
            </w:r>
            <w:r>
              <w:rPr>
                <w:rStyle w:val="vlist-s"/>
                <w:b/>
                <w:bCs/>
              </w:rPr>
              <w:t>​</w:t>
            </w:r>
            <w:r>
              <w:rPr>
                <w:b/>
                <w:bCs/>
              </w:rPr>
              <w:t>)</w:t>
            </w:r>
          </w:p>
        </w:tc>
        <w:tc>
          <w:tcPr>
            <w:tcW w:w="0" w:type="auto"/>
            <w:tcBorders>
              <w:top w:val="single" w:sz="4" w:space="0" w:color="auto"/>
              <w:bottom w:val="single" w:sz="4" w:space="0" w:color="auto"/>
            </w:tcBorders>
            <w:vAlign w:val="center"/>
          </w:tcPr>
          <w:p w14:paraId="447F71E6" w14:textId="77777777" w:rsidR="008D5DCB" w:rsidRDefault="0020015B">
            <w:pPr>
              <w:spacing w:line="240" w:lineRule="auto"/>
              <w:jc w:val="center"/>
              <w:rPr>
                <w:b/>
                <w:bCs/>
              </w:rPr>
            </w:pPr>
            <w:r>
              <w:rPr>
                <w:b/>
                <w:bCs/>
              </w:rPr>
              <w:t>Order of Integration</w:t>
            </w:r>
          </w:p>
        </w:tc>
      </w:tr>
      <w:tr w:rsidR="008D5DCB" w14:paraId="5BE770C4" w14:textId="77777777">
        <w:trPr>
          <w:tblCellSpacing w:w="15" w:type="dxa"/>
        </w:trPr>
        <w:tc>
          <w:tcPr>
            <w:tcW w:w="0" w:type="auto"/>
            <w:vAlign w:val="center"/>
          </w:tcPr>
          <w:p w14:paraId="2C6AD5E9" w14:textId="77777777" w:rsidR="008D5DCB" w:rsidRDefault="0020015B">
            <w:pPr>
              <w:spacing w:line="240" w:lineRule="auto"/>
            </w:pPr>
            <w:r>
              <w:rPr>
                <w:b/>
                <w:bCs/>
              </w:rPr>
              <w:t>TQ</w:t>
            </w:r>
          </w:p>
        </w:tc>
        <w:tc>
          <w:tcPr>
            <w:tcW w:w="0" w:type="auto"/>
            <w:vAlign w:val="center"/>
          </w:tcPr>
          <w:p w14:paraId="199D2077" w14:textId="77777777" w:rsidR="008D5DCB" w:rsidRDefault="0020015B">
            <w:pPr>
              <w:spacing w:line="240" w:lineRule="auto"/>
            </w:pPr>
            <w:r>
              <w:t>168.854 (0.000)</w:t>
            </w:r>
          </w:p>
        </w:tc>
        <w:tc>
          <w:tcPr>
            <w:tcW w:w="0" w:type="auto"/>
            <w:vAlign w:val="center"/>
          </w:tcPr>
          <w:p w14:paraId="3BF34062" w14:textId="77777777" w:rsidR="008D5DCB" w:rsidRDefault="0020015B">
            <w:pPr>
              <w:spacing w:line="240" w:lineRule="auto"/>
            </w:pPr>
            <w:r>
              <w:t>-10.051 (0.000)</w:t>
            </w:r>
          </w:p>
        </w:tc>
        <w:tc>
          <w:tcPr>
            <w:tcW w:w="0" w:type="auto"/>
            <w:vAlign w:val="center"/>
          </w:tcPr>
          <w:p w14:paraId="7DF9D08E" w14:textId="77777777" w:rsidR="008D5DCB" w:rsidRDefault="0020015B">
            <w:pPr>
              <w:spacing w:line="240" w:lineRule="auto"/>
            </w:pPr>
            <w:r>
              <w:t>-12.474 (0.000)</w:t>
            </w:r>
          </w:p>
        </w:tc>
        <w:tc>
          <w:tcPr>
            <w:tcW w:w="0" w:type="auto"/>
          </w:tcPr>
          <w:p w14:paraId="73C2D96F" w14:textId="77777777" w:rsidR="008D5DCB" w:rsidRDefault="008D5DCB">
            <w:pPr>
              <w:spacing w:line="240" w:lineRule="auto"/>
            </w:pPr>
          </w:p>
        </w:tc>
        <w:tc>
          <w:tcPr>
            <w:tcW w:w="0" w:type="auto"/>
            <w:vAlign w:val="center"/>
          </w:tcPr>
          <w:p w14:paraId="151C6F4A" w14:textId="77777777" w:rsidR="008D5DCB" w:rsidRDefault="0020015B">
            <w:pPr>
              <w:spacing w:line="240" w:lineRule="auto"/>
            </w:pPr>
            <w:r>
              <w:t>18.822 (0.000)</w:t>
            </w:r>
          </w:p>
        </w:tc>
        <w:tc>
          <w:tcPr>
            <w:tcW w:w="0" w:type="auto"/>
            <w:vAlign w:val="center"/>
          </w:tcPr>
          <w:p w14:paraId="7EE61603" w14:textId="77777777" w:rsidR="008D5DCB" w:rsidRDefault="0020015B">
            <w:pPr>
              <w:spacing w:line="240" w:lineRule="auto"/>
            </w:pPr>
            <w:r>
              <w:rPr>
                <w:rStyle w:val="mord"/>
              </w:rPr>
              <w:t>I</w:t>
            </w:r>
            <w:r>
              <w:rPr>
                <w:rStyle w:val="mopen"/>
              </w:rPr>
              <w:t>(</w:t>
            </w:r>
            <w:r>
              <w:rPr>
                <w:rStyle w:val="mord"/>
              </w:rPr>
              <w:t>0</w:t>
            </w:r>
            <w:r>
              <w:rPr>
                <w:rStyle w:val="mclose"/>
              </w:rPr>
              <w:t>)</w:t>
            </w:r>
          </w:p>
        </w:tc>
      </w:tr>
      <w:tr w:rsidR="008D5DCB" w14:paraId="3E024DD8" w14:textId="77777777">
        <w:trPr>
          <w:tblCellSpacing w:w="15" w:type="dxa"/>
        </w:trPr>
        <w:tc>
          <w:tcPr>
            <w:tcW w:w="0" w:type="auto"/>
            <w:vAlign w:val="center"/>
          </w:tcPr>
          <w:p w14:paraId="58DDFCD2" w14:textId="77777777" w:rsidR="008D5DCB" w:rsidRDefault="0020015B">
            <w:pPr>
              <w:spacing w:line="240" w:lineRule="auto"/>
            </w:pPr>
            <w:r>
              <w:rPr>
                <w:b/>
                <w:bCs/>
              </w:rPr>
              <w:lastRenderedPageBreak/>
              <w:t>MVPS</w:t>
            </w:r>
          </w:p>
        </w:tc>
        <w:tc>
          <w:tcPr>
            <w:tcW w:w="0" w:type="auto"/>
            <w:vAlign w:val="center"/>
          </w:tcPr>
          <w:p w14:paraId="5738FA86" w14:textId="77777777" w:rsidR="008D5DCB" w:rsidRDefault="0020015B">
            <w:pPr>
              <w:spacing w:line="240" w:lineRule="auto"/>
            </w:pPr>
            <w:r>
              <w:t>73.337 (0.000)</w:t>
            </w:r>
          </w:p>
        </w:tc>
        <w:tc>
          <w:tcPr>
            <w:tcW w:w="0" w:type="auto"/>
            <w:vAlign w:val="center"/>
          </w:tcPr>
          <w:p w14:paraId="3FEFD8A5" w14:textId="77777777" w:rsidR="008D5DCB" w:rsidRDefault="0020015B">
            <w:pPr>
              <w:spacing w:line="240" w:lineRule="auto"/>
            </w:pPr>
            <w:r>
              <w:t>-5.131 (0.000)</w:t>
            </w:r>
          </w:p>
        </w:tc>
        <w:tc>
          <w:tcPr>
            <w:tcW w:w="0" w:type="auto"/>
            <w:vAlign w:val="center"/>
          </w:tcPr>
          <w:p w14:paraId="6F571658" w14:textId="77777777" w:rsidR="008D5DCB" w:rsidRDefault="0020015B">
            <w:pPr>
              <w:spacing w:line="240" w:lineRule="auto"/>
            </w:pPr>
            <w:r>
              <w:t>-5.183 (0.000)</w:t>
            </w:r>
          </w:p>
        </w:tc>
        <w:tc>
          <w:tcPr>
            <w:tcW w:w="0" w:type="auto"/>
          </w:tcPr>
          <w:p w14:paraId="7B011717" w14:textId="77777777" w:rsidR="008D5DCB" w:rsidRDefault="008D5DCB">
            <w:pPr>
              <w:spacing w:line="240" w:lineRule="auto"/>
            </w:pPr>
          </w:p>
        </w:tc>
        <w:tc>
          <w:tcPr>
            <w:tcW w:w="0" w:type="auto"/>
            <w:vAlign w:val="center"/>
          </w:tcPr>
          <w:p w14:paraId="73DFC790" w14:textId="77777777" w:rsidR="008D5DCB" w:rsidRDefault="0020015B">
            <w:pPr>
              <w:spacing w:line="240" w:lineRule="auto"/>
            </w:pPr>
            <w:r>
              <w:t>6.058 (0.000)</w:t>
            </w:r>
          </w:p>
        </w:tc>
        <w:tc>
          <w:tcPr>
            <w:tcW w:w="0" w:type="auto"/>
            <w:vAlign w:val="center"/>
          </w:tcPr>
          <w:p w14:paraId="6AF7C30A" w14:textId="77777777" w:rsidR="008D5DCB" w:rsidRDefault="0020015B">
            <w:pPr>
              <w:spacing w:line="240" w:lineRule="auto"/>
            </w:pPr>
            <w:r>
              <w:rPr>
                <w:rStyle w:val="mord"/>
              </w:rPr>
              <w:t>I</w:t>
            </w:r>
            <w:r>
              <w:rPr>
                <w:rStyle w:val="mopen"/>
              </w:rPr>
              <w:t>(</w:t>
            </w:r>
            <w:r>
              <w:rPr>
                <w:rStyle w:val="mord"/>
              </w:rPr>
              <w:t>0</w:t>
            </w:r>
            <w:r>
              <w:rPr>
                <w:rStyle w:val="mclose"/>
              </w:rPr>
              <w:t>)</w:t>
            </w:r>
          </w:p>
        </w:tc>
      </w:tr>
      <w:tr w:rsidR="008D5DCB" w14:paraId="5FC4D5E5" w14:textId="77777777">
        <w:trPr>
          <w:tblCellSpacing w:w="15" w:type="dxa"/>
        </w:trPr>
        <w:tc>
          <w:tcPr>
            <w:tcW w:w="0" w:type="auto"/>
            <w:vAlign w:val="center"/>
          </w:tcPr>
          <w:p w14:paraId="79713101" w14:textId="77777777" w:rsidR="008D5DCB" w:rsidRDefault="0020015B">
            <w:pPr>
              <w:spacing w:line="240" w:lineRule="auto"/>
            </w:pPr>
            <w:r>
              <w:rPr>
                <w:b/>
                <w:bCs/>
              </w:rPr>
              <w:t>ETR</w:t>
            </w:r>
          </w:p>
        </w:tc>
        <w:tc>
          <w:tcPr>
            <w:tcW w:w="0" w:type="auto"/>
            <w:vAlign w:val="center"/>
          </w:tcPr>
          <w:p w14:paraId="0671F5E4" w14:textId="77777777" w:rsidR="008D5DCB" w:rsidRDefault="0020015B">
            <w:pPr>
              <w:spacing w:line="240" w:lineRule="auto"/>
            </w:pPr>
            <w:r>
              <w:t>77.043 (0.000)</w:t>
            </w:r>
          </w:p>
        </w:tc>
        <w:tc>
          <w:tcPr>
            <w:tcW w:w="0" w:type="auto"/>
            <w:vAlign w:val="center"/>
          </w:tcPr>
          <w:p w14:paraId="5CF2EF7D" w14:textId="77777777" w:rsidR="008D5DCB" w:rsidRDefault="0020015B">
            <w:pPr>
              <w:spacing w:line="240" w:lineRule="auto"/>
            </w:pPr>
            <w:r>
              <w:t>-4.877 (0.000)</w:t>
            </w:r>
          </w:p>
        </w:tc>
        <w:tc>
          <w:tcPr>
            <w:tcW w:w="0" w:type="auto"/>
            <w:vAlign w:val="center"/>
          </w:tcPr>
          <w:p w14:paraId="6EDA6912" w14:textId="77777777" w:rsidR="008D5DCB" w:rsidRDefault="0020015B">
            <w:pPr>
              <w:spacing w:line="240" w:lineRule="auto"/>
            </w:pPr>
            <w:r>
              <w:t>-5.151 (0.000)</w:t>
            </w:r>
          </w:p>
        </w:tc>
        <w:tc>
          <w:tcPr>
            <w:tcW w:w="0" w:type="auto"/>
          </w:tcPr>
          <w:p w14:paraId="4BFDCF80" w14:textId="77777777" w:rsidR="008D5DCB" w:rsidRDefault="008D5DCB">
            <w:pPr>
              <w:spacing w:line="240" w:lineRule="auto"/>
            </w:pPr>
          </w:p>
        </w:tc>
        <w:tc>
          <w:tcPr>
            <w:tcW w:w="0" w:type="auto"/>
            <w:vAlign w:val="center"/>
          </w:tcPr>
          <w:p w14:paraId="630E33FF" w14:textId="77777777" w:rsidR="008D5DCB" w:rsidRDefault="0020015B">
            <w:pPr>
              <w:spacing w:line="240" w:lineRule="auto"/>
            </w:pPr>
            <w:r>
              <w:t>6.554 (0.000)</w:t>
            </w:r>
          </w:p>
        </w:tc>
        <w:tc>
          <w:tcPr>
            <w:tcW w:w="0" w:type="auto"/>
            <w:vAlign w:val="center"/>
          </w:tcPr>
          <w:p w14:paraId="32ED96F4" w14:textId="77777777" w:rsidR="008D5DCB" w:rsidRDefault="0020015B">
            <w:pPr>
              <w:spacing w:line="240" w:lineRule="auto"/>
            </w:pPr>
            <w:r>
              <w:rPr>
                <w:rStyle w:val="mord"/>
              </w:rPr>
              <w:t>I</w:t>
            </w:r>
            <w:r>
              <w:rPr>
                <w:rStyle w:val="mopen"/>
              </w:rPr>
              <w:t>(</w:t>
            </w:r>
            <w:r>
              <w:rPr>
                <w:rStyle w:val="mord"/>
              </w:rPr>
              <w:t>0</w:t>
            </w:r>
            <w:r>
              <w:rPr>
                <w:rStyle w:val="mclose"/>
              </w:rPr>
              <w:t>)</w:t>
            </w:r>
          </w:p>
        </w:tc>
      </w:tr>
      <w:tr w:rsidR="008D5DCB" w14:paraId="4759F7B3" w14:textId="77777777">
        <w:trPr>
          <w:tblCellSpacing w:w="15" w:type="dxa"/>
        </w:trPr>
        <w:tc>
          <w:tcPr>
            <w:tcW w:w="0" w:type="auto"/>
            <w:vAlign w:val="center"/>
          </w:tcPr>
          <w:p w14:paraId="1D4EA86E" w14:textId="77777777" w:rsidR="008D5DCB" w:rsidRDefault="0020015B">
            <w:pPr>
              <w:spacing w:line="240" w:lineRule="auto"/>
            </w:pPr>
            <w:r>
              <w:rPr>
                <w:b/>
                <w:bCs/>
              </w:rPr>
              <w:t>CETR</w:t>
            </w:r>
          </w:p>
        </w:tc>
        <w:tc>
          <w:tcPr>
            <w:tcW w:w="0" w:type="auto"/>
            <w:vAlign w:val="center"/>
          </w:tcPr>
          <w:p w14:paraId="6DA04F90" w14:textId="77777777" w:rsidR="008D5DCB" w:rsidRDefault="0020015B">
            <w:pPr>
              <w:spacing w:line="240" w:lineRule="auto"/>
            </w:pPr>
            <w:r>
              <w:t>138.000 (0.000)</w:t>
            </w:r>
          </w:p>
        </w:tc>
        <w:tc>
          <w:tcPr>
            <w:tcW w:w="0" w:type="auto"/>
            <w:vAlign w:val="center"/>
          </w:tcPr>
          <w:p w14:paraId="3A192BB8" w14:textId="77777777" w:rsidR="008D5DCB" w:rsidRDefault="0020015B">
            <w:pPr>
              <w:spacing w:line="240" w:lineRule="auto"/>
            </w:pPr>
            <w:r>
              <w:t>-8.205 (0.000)</w:t>
            </w:r>
          </w:p>
        </w:tc>
        <w:tc>
          <w:tcPr>
            <w:tcW w:w="0" w:type="auto"/>
            <w:vAlign w:val="center"/>
          </w:tcPr>
          <w:p w14:paraId="72AEF49A" w14:textId="77777777" w:rsidR="008D5DCB" w:rsidRDefault="0020015B">
            <w:pPr>
              <w:spacing w:line="240" w:lineRule="auto"/>
            </w:pPr>
            <w:r>
              <w:t>-10.021 (0.000)</w:t>
            </w:r>
          </w:p>
        </w:tc>
        <w:tc>
          <w:tcPr>
            <w:tcW w:w="0" w:type="auto"/>
          </w:tcPr>
          <w:p w14:paraId="3CEAB214" w14:textId="77777777" w:rsidR="008D5DCB" w:rsidRDefault="008D5DCB">
            <w:pPr>
              <w:spacing w:line="240" w:lineRule="auto"/>
            </w:pPr>
          </w:p>
        </w:tc>
        <w:tc>
          <w:tcPr>
            <w:tcW w:w="0" w:type="auto"/>
            <w:vAlign w:val="center"/>
          </w:tcPr>
          <w:p w14:paraId="12BE861B" w14:textId="77777777" w:rsidR="008D5DCB" w:rsidRDefault="0020015B">
            <w:pPr>
              <w:spacing w:line="240" w:lineRule="auto"/>
            </w:pPr>
            <w:r>
              <w:t>14.699 (0.000)</w:t>
            </w:r>
          </w:p>
        </w:tc>
        <w:tc>
          <w:tcPr>
            <w:tcW w:w="0" w:type="auto"/>
            <w:vAlign w:val="center"/>
          </w:tcPr>
          <w:p w14:paraId="322B6F4F" w14:textId="77777777" w:rsidR="008D5DCB" w:rsidRDefault="0020015B">
            <w:pPr>
              <w:spacing w:line="240" w:lineRule="auto"/>
            </w:pPr>
            <w:r>
              <w:rPr>
                <w:rStyle w:val="mord"/>
              </w:rPr>
              <w:t>I</w:t>
            </w:r>
            <w:r>
              <w:rPr>
                <w:rStyle w:val="mopen"/>
              </w:rPr>
              <w:t>(</w:t>
            </w:r>
            <w:r>
              <w:rPr>
                <w:rStyle w:val="mord"/>
              </w:rPr>
              <w:t>0</w:t>
            </w:r>
            <w:r>
              <w:rPr>
                <w:rStyle w:val="mclose"/>
              </w:rPr>
              <w:t>)</w:t>
            </w:r>
          </w:p>
        </w:tc>
      </w:tr>
      <w:tr w:rsidR="008D5DCB" w14:paraId="28479A28" w14:textId="77777777">
        <w:trPr>
          <w:tblCellSpacing w:w="15" w:type="dxa"/>
        </w:trPr>
        <w:tc>
          <w:tcPr>
            <w:tcW w:w="0" w:type="auto"/>
            <w:vAlign w:val="center"/>
          </w:tcPr>
          <w:p w14:paraId="61806B3D" w14:textId="77777777" w:rsidR="008D5DCB" w:rsidRDefault="0020015B">
            <w:pPr>
              <w:spacing w:line="240" w:lineRule="auto"/>
            </w:pPr>
            <w:r>
              <w:rPr>
                <w:b/>
                <w:bCs/>
              </w:rPr>
              <w:t>BTD</w:t>
            </w:r>
          </w:p>
        </w:tc>
        <w:tc>
          <w:tcPr>
            <w:tcW w:w="0" w:type="auto"/>
            <w:vAlign w:val="center"/>
          </w:tcPr>
          <w:p w14:paraId="169EDB81" w14:textId="77777777" w:rsidR="008D5DCB" w:rsidRDefault="0020015B">
            <w:pPr>
              <w:spacing w:line="240" w:lineRule="auto"/>
            </w:pPr>
            <w:r>
              <w:t>123.277 (0.000)</w:t>
            </w:r>
          </w:p>
        </w:tc>
        <w:tc>
          <w:tcPr>
            <w:tcW w:w="0" w:type="auto"/>
            <w:vAlign w:val="center"/>
          </w:tcPr>
          <w:p w14:paraId="67579D42" w14:textId="77777777" w:rsidR="008D5DCB" w:rsidRDefault="0020015B">
            <w:pPr>
              <w:spacing w:line="240" w:lineRule="auto"/>
            </w:pPr>
            <w:r>
              <w:t>-7.519 (0.000)</w:t>
            </w:r>
          </w:p>
        </w:tc>
        <w:tc>
          <w:tcPr>
            <w:tcW w:w="0" w:type="auto"/>
            <w:vAlign w:val="center"/>
          </w:tcPr>
          <w:p w14:paraId="2738CC10" w14:textId="77777777" w:rsidR="008D5DCB" w:rsidRDefault="0020015B">
            <w:pPr>
              <w:spacing w:line="240" w:lineRule="auto"/>
            </w:pPr>
            <w:r>
              <w:t>-8.934 (0.000)</w:t>
            </w:r>
          </w:p>
        </w:tc>
        <w:tc>
          <w:tcPr>
            <w:tcW w:w="0" w:type="auto"/>
          </w:tcPr>
          <w:p w14:paraId="48F9488B" w14:textId="77777777" w:rsidR="008D5DCB" w:rsidRDefault="008D5DCB">
            <w:pPr>
              <w:spacing w:line="240" w:lineRule="auto"/>
            </w:pPr>
          </w:p>
        </w:tc>
        <w:tc>
          <w:tcPr>
            <w:tcW w:w="0" w:type="auto"/>
            <w:vAlign w:val="center"/>
          </w:tcPr>
          <w:p w14:paraId="1E60E852" w14:textId="77777777" w:rsidR="008D5DCB" w:rsidRDefault="0020015B">
            <w:pPr>
              <w:spacing w:line="240" w:lineRule="auto"/>
            </w:pPr>
            <w:r>
              <w:t>12.732 (0.000)</w:t>
            </w:r>
          </w:p>
        </w:tc>
        <w:tc>
          <w:tcPr>
            <w:tcW w:w="0" w:type="auto"/>
            <w:vAlign w:val="center"/>
          </w:tcPr>
          <w:p w14:paraId="06BD53E1" w14:textId="77777777" w:rsidR="008D5DCB" w:rsidRDefault="0020015B">
            <w:pPr>
              <w:spacing w:line="240" w:lineRule="auto"/>
            </w:pPr>
            <w:r>
              <w:rPr>
                <w:rStyle w:val="mord"/>
              </w:rPr>
              <w:t>I</w:t>
            </w:r>
            <w:r>
              <w:rPr>
                <w:rStyle w:val="mopen"/>
              </w:rPr>
              <w:t>(</w:t>
            </w:r>
            <w:r>
              <w:rPr>
                <w:rStyle w:val="mord"/>
              </w:rPr>
              <w:t>0</w:t>
            </w:r>
            <w:r>
              <w:rPr>
                <w:rStyle w:val="mclose"/>
              </w:rPr>
              <w:t>)</w:t>
            </w:r>
          </w:p>
        </w:tc>
      </w:tr>
      <w:tr w:rsidR="008D5DCB" w14:paraId="3E4E97CA" w14:textId="77777777">
        <w:trPr>
          <w:tblCellSpacing w:w="15" w:type="dxa"/>
        </w:trPr>
        <w:tc>
          <w:tcPr>
            <w:tcW w:w="0" w:type="auto"/>
            <w:tcBorders>
              <w:bottom w:val="single" w:sz="4" w:space="0" w:color="auto"/>
            </w:tcBorders>
            <w:vAlign w:val="center"/>
          </w:tcPr>
          <w:p w14:paraId="5DF1CBF1" w14:textId="77777777" w:rsidR="008D5DCB" w:rsidRDefault="0020015B">
            <w:pPr>
              <w:spacing w:line="240" w:lineRule="auto"/>
            </w:pPr>
            <w:r>
              <w:rPr>
                <w:b/>
                <w:bCs/>
              </w:rPr>
              <w:t>TSR</w:t>
            </w:r>
          </w:p>
        </w:tc>
        <w:tc>
          <w:tcPr>
            <w:tcW w:w="0" w:type="auto"/>
            <w:tcBorders>
              <w:bottom w:val="single" w:sz="4" w:space="0" w:color="auto"/>
            </w:tcBorders>
            <w:vAlign w:val="center"/>
          </w:tcPr>
          <w:p w14:paraId="2029CD78" w14:textId="77777777" w:rsidR="008D5DCB" w:rsidRDefault="0020015B">
            <w:pPr>
              <w:spacing w:line="240" w:lineRule="auto"/>
            </w:pPr>
            <w:r>
              <w:t>126.072 (0.000)</w:t>
            </w:r>
          </w:p>
        </w:tc>
        <w:tc>
          <w:tcPr>
            <w:tcW w:w="0" w:type="auto"/>
            <w:tcBorders>
              <w:bottom w:val="single" w:sz="4" w:space="0" w:color="auto"/>
            </w:tcBorders>
            <w:vAlign w:val="center"/>
          </w:tcPr>
          <w:p w14:paraId="7EBC442A" w14:textId="77777777" w:rsidR="008D5DCB" w:rsidRDefault="0020015B">
            <w:pPr>
              <w:spacing w:line="240" w:lineRule="auto"/>
            </w:pPr>
            <w:r>
              <w:t>-7.890 (0.000)</w:t>
            </w:r>
          </w:p>
        </w:tc>
        <w:tc>
          <w:tcPr>
            <w:tcW w:w="0" w:type="auto"/>
            <w:tcBorders>
              <w:bottom w:val="single" w:sz="4" w:space="0" w:color="auto"/>
            </w:tcBorders>
            <w:vAlign w:val="center"/>
          </w:tcPr>
          <w:p w14:paraId="178FFBB7" w14:textId="77777777" w:rsidR="008D5DCB" w:rsidRDefault="0020015B">
            <w:pPr>
              <w:spacing w:line="240" w:lineRule="auto"/>
            </w:pPr>
            <w:r>
              <w:t>-9.156 (0.000)</w:t>
            </w:r>
          </w:p>
        </w:tc>
        <w:tc>
          <w:tcPr>
            <w:tcW w:w="0" w:type="auto"/>
          </w:tcPr>
          <w:p w14:paraId="09B86A15" w14:textId="77777777" w:rsidR="008D5DCB" w:rsidRDefault="008D5DCB">
            <w:pPr>
              <w:spacing w:line="240" w:lineRule="auto"/>
            </w:pPr>
          </w:p>
        </w:tc>
        <w:tc>
          <w:tcPr>
            <w:tcW w:w="0" w:type="auto"/>
            <w:tcBorders>
              <w:bottom w:val="single" w:sz="4" w:space="0" w:color="auto"/>
            </w:tcBorders>
            <w:vAlign w:val="center"/>
          </w:tcPr>
          <w:p w14:paraId="02CA6FDD" w14:textId="77777777" w:rsidR="008D5DCB" w:rsidRDefault="0020015B">
            <w:pPr>
              <w:spacing w:line="240" w:lineRule="auto"/>
            </w:pPr>
            <w:r>
              <w:t>13.105 (0.000)</w:t>
            </w:r>
          </w:p>
        </w:tc>
        <w:tc>
          <w:tcPr>
            <w:tcW w:w="0" w:type="auto"/>
            <w:tcBorders>
              <w:bottom w:val="single" w:sz="4" w:space="0" w:color="auto"/>
            </w:tcBorders>
            <w:vAlign w:val="center"/>
          </w:tcPr>
          <w:p w14:paraId="2B3228A9" w14:textId="77777777" w:rsidR="008D5DCB" w:rsidRDefault="0020015B">
            <w:pPr>
              <w:spacing w:line="240" w:lineRule="auto"/>
            </w:pPr>
            <w:r>
              <w:rPr>
                <w:rStyle w:val="mord"/>
              </w:rPr>
              <w:t>I</w:t>
            </w:r>
            <w:r>
              <w:rPr>
                <w:rStyle w:val="mopen"/>
              </w:rPr>
              <w:t>(</w:t>
            </w:r>
            <w:r>
              <w:rPr>
                <w:rStyle w:val="mord"/>
              </w:rPr>
              <w:t>0</w:t>
            </w:r>
            <w:r>
              <w:rPr>
                <w:rStyle w:val="mclose"/>
              </w:rPr>
              <w:t>)</w:t>
            </w:r>
          </w:p>
        </w:tc>
      </w:tr>
    </w:tbl>
    <w:p w14:paraId="6821FA4B" w14:textId="77777777" w:rsidR="008D5DCB" w:rsidRDefault="0020015B">
      <w:pPr>
        <w:pStyle w:val="NormalWeb"/>
      </w:pPr>
      <w:r>
        <w:rPr>
          <w:b/>
          <w:bCs/>
        </w:rPr>
        <w:t>Source:</w:t>
      </w:r>
      <w:r>
        <w:t xml:space="preserve"> Author’s Computation (2026) </w:t>
      </w:r>
    </w:p>
    <w:p w14:paraId="7A8C0E3F" w14:textId="77777777" w:rsidR="008D5DCB" w:rsidRDefault="0020015B">
      <w:pPr>
        <w:spacing w:after="0" w:line="240" w:lineRule="auto"/>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t xml:space="preserve"> Interpretation of Panel Stationarity Results</w:t>
      </w:r>
    </w:p>
    <w:p w14:paraId="6A0B8284" w14:textId="77777777" w:rsidR="008D5DCB" w:rsidRDefault="0020015B">
      <w:pPr>
        <w:spacing w:line="240" w:lineRule="auto"/>
        <w:jc w:val="both"/>
        <w:rPr>
          <w:rFonts w:ascii="Times New Roman" w:hAnsi="Times New Roman" w:cs="Times New Roman"/>
          <w:sz w:val="24"/>
          <w:szCs w:val="24"/>
        </w:rPr>
      </w:pPr>
      <w:r>
        <w:rPr>
          <w:rFonts w:ascii="Times New Roman" w:hAnsi="Times New Roman"/>
          <w:sz w:val="24"/>
          <w:highlight w:val="yellow"/>
        </w:rPr>
        <w:t>Table 3 presents the results of the Fisher-type Augmented Dickey–Fuller (ADF) unit-root tests used to examine the stationarity of the panel-data series. Assessing stationarity is an important pre-estimation requirement in longitudinal panel modelling because non-stationary series may produce spurious regression results (Maddala &amp; Wu, 1999). The null hypothesis (H0​) states that the underlying series contains a unit root and is non-stationary, whereas the alternative hypothesis (H1​) states that the series is stationary. The results show that the dependent market-performance indicators, Tobin’s Q (TQ) and Market Value per Share (MVPS), and the independent tax-aggressiveness indicators, Effective Tax Rate (ETR), Cash Effective Tax Rate (CETR), Book–Tax Difference (BTD), and Tax Savings Ratio (TSR), reject the unit-root null hypothesis at the 1% significance level (p &lt; 0.01). This result is consistent across the Inverse Chi-Squared (P), Inverse Normal (Z), Inverse Logit (L∗), and Modified Inverse Chi-Squared (Pm​) statistics. Consequently, all variables are integrated of order zero, I(0), and are stationary in levels. The study may therefore estimate the regression models using the variables in level form without the risk of spurious results caused by unit roots.</w:t>
      </w:r>
    </w:p>
    <w:p w14:paraId="569AF711" w14:textId="77777777" w:rsidR="008D5DCB" w:rsidRDefault="0020015B">
      <w:pPr>
        <w:spacing w:after="0" w:line="240" w:lineRule="auto"/>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Table 4: Estimates of the Models on the Effect of Tax Aggressiveness on Market Performance (MP)</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3"/>
        <w:gridCol w:w="1100"/>
        <w:gridCol w:w="756"/>
        <w:gridCol w:w="987"/>
        <w:gridCol w:w="898"/>
        <w:gridCol w:w="719"/>
        <w:gridCol w:w="987"/>
      </w:tblGrid>
      <w:tr w:rsidR="008D5DCB" w14:paraId="697FA771" w14:textId="77777777">
        <w:tc>
          <w:tcPr>
            <w:tcW w:w="3913" w:type="dxa"/>
            <w:vMerge w:val="restart"/>
            <w:tcBorders>
              <w:left w:val="single" w:sz="4" w:space="0" w:color="FFFFFF"/>
              <w:right w:val="single" w:sz="4" w:space="0" w:color="FFFFFF"/>
            </w:tcBorders>
          </w:tcPr>
          <w:p w14:paraId="12051D59"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Variables</w:t>
            </w:r>
          </w:p>
        </w:tc>
        <w:tc>
          <w:tcPr>
            <w:tcW w:w="2843" w:type="dxa"/>
            <w:gridSpan w:val="3"/>
            <w:tcBorders>
              <w:left w:val="single" w:sz="4" w:space="0" w:color="FFFFFF"/>
            </w:tcBorders>
          </w:tcPr>
          <w:p w14:paraId="69438E76"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TQ</w:t>
            </w:r>
          </w:p>
          <w:p w14:paraId="5FBD285F"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Pooled OLS</w:t>
            </w:r>
          </w:p>
        </w:tc>
        <w:tc>
          <w:tcPr>
            <w:tcW w:w="2604" w:type="dxa"/>
            <w:gridSpan w:val="3"/>
            <w:tcBorders>
              <w:right w:val="single" w:sz="4" w:space="0" w:color="FFFFFF"/>
            </w:tcBorders>
          </w:tcPr>
          <w:p w14:paraId="76C2A6BD"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MVPS</w:t>
            </w:r>
          </w:p>
          <w:p w14:paraId="2483A5E2" w14:textId="77777777" w:rsidR="008D5DCB" w:rsidRDefault="0020015B">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Fixed Effects (R)</w:t>
            </w:r>
          </w:p>
        </w:tc>
      </w:tr>
      <w:tr w:rsidR="008D5DCB" w14:paraId="0166680A" w14:textId="77777777">
        <w:tc>
          <w:tcPr>
            <w:tcW w:w="3913" w:type="dxa"/>
            <w:vMerge/>
            <w:tcBorders>
              <w:left w:val="single" w:sz="4" w:space="0" w:color="FFFFFF"/>
              <w:right w:val="single" w:sz="4" w:space="0" w:color="FFFFFF"/>
            </w:tcBorders>
          </w:tcPr>
          <w:p w14:paraId="614779CF" w14:textId="77777777" w:rsidR="008D5DCB" w:rsidRDefault="008D5DCB">
            <w:pPr>
              <w:spacing w:after="0" w:line="240" w:lineRule="auto"/>
              <w:jc w:val="both"/>
              <w:rPr>
                <w:rFonts w:ascii="Times New Roman" w:eastAsia="Calibri" w:hAnsi="Times New Roman" w:cs="Times New Roman"/>
                <w:kern w:val="0"/>
                <w:sz w:val="24"/>
                <w:szCs w:val="24"/>
                <w14:ligatures w14:val="none"/>
              </w:rPr>
            </w:pPr>
          </w:p>
        </w:tc>
        <w:tc>
          <w:tcPr>
            <w:tcW w:w="1100" w:type="dxa"/>
            <w:tcBorders>
              <w:left w:val="single" w:sz="4" w:space="0" w:color="FFFFFF"/>
              <w:right w:val="single" w:sz="4" w:space="0" w:color="FFFFFF"/>
            </w:tcBorders>
          </w:tcPr>
          <w:p w14:paraId="0E18D949"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Coeff</w:t>
            </w:r>
          </w:p>
        </w:tc>
        <w:tc>
          <w:tcPr>
            <w:tcW w:w="756" w:type="dxa"/>
            <w:tcBorders>
              <w:left w:val="single" w:sz="4" w:space="0" w:color="FFFFFF"/>
              <w:right w:val="single" w:sz="4" w:space="0" w:color="FFFFFF"/>
            </w:tcBorders>
          </w:tcPr>
          <w:p w14:paraId="6A548C40"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z stat</w:t>
            </w:r>
          </w:p>
        </w:tc>
        <w:tc>
          <w:tcPr>
            <w:tcW w:w="987" w:type="dxa"/>
            <w:tcBorders>
              <w:left w:val="single" w:sz="4" w:space="0" w:color="FFFFFF"/>
            </w:tcBorders>
          </w:tcPr>
          <w:p w14:paraId="48955F12"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p-value</w:t>
            </w:r>
          </w:p>
        </w:tc>
        <w:tc>
          <w:tcPr>
            <w:tcW w:w="898" w:type="dxa"/>
            <w:tcBorders>
              <w:right w:val="single" w:sz="4" w:space="0" w:color="FFFFFF"/>
            </w:tcBorders>
          </w:tcPr>
          <w:p w14:paraId="256D1DFE"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Coeff</w:t>
            </w:r>
          </w:p>
        </w:tc>
        <w:tc>
          <w:tcPr>
            <w:tcW w:w="719" w:type="dxa"/>
            <w:tcBorders>
              <w:left w:val="single" w:sz="4" w:space="0" w:color="FFFFFF"/>
              <w:right w:val="single" w:sz="4" w:space="0" w:color="FFFFFF"/>
            </w:tcBorders>
          </w:tcPr>
          <w:p w14:paraId="662454B1"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z stat</w:t>
            </w:r>
          </w:p>
        </w:tc>
        <w:tc>
          <w:tcPr>
            <w:tcW w:w="987" w:type="dxa"/>
            <w:tcBorders>
              <w:left w:val="single" w:sz="4" w:space="0" w:color="FFFFFF"/>
              <w:right w:val="single" w:sz="4" w:space="0" w:color="FFFFFF"/>
            </w:tcBorders>
          </w:tcPr>
          <w:p w14:paraId="1AD1E5B7"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p-value</w:t>
            </w:r>
          </w:p>
        </w:tc>
      </w:tr>
      <w:tr w:rsidR="008D5DCB" w14:paraId="770846D0" w14:textId="77777777">
        <w:tc>
          <w:tcPr>
            <w:tcW w:w="3913" w:type="dxa"/>
            <w:tcBorders>
              <w:left w:val="single" w:sz="4" w:space="0" w:color="FFFFFF"/>
              <w:bottom w:val="single" w:sz="4" w:space="0" w:color="FFFFFF"/>
              <w:right w:val="single" w:sz="4" w:space="0" w:color="FFFFFF"/>
            </w:tcBorders>
          </w:tcPr>
          <w:p w14:paraId="50B1F0D8"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ETR</w:t>
            </w:r>
          </w:p>
        </w:tc>
        <w:tc>
          <w:tcPr>
            <w:tcW w:w="1100" w:type="dxa"/>
            <w:tcBorders>
              <w:left w:val="single" w:sz="4" w:space="0" w:color="FFFFFF"/>
              <w:bottom w:val="single" w:sz="4" w:space="0" w:color="FFFFFF"/>
              <w:right w:val="single" w:sz="4" w:space="0" w:color="FFFFFF"/>
            </w:tcBorders>
          </w:tcPr>
          <w:p w14:paraId="5571649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0.016</w:t>
            </w:r>
          </w:p>
        </w:tc>
        <w:tc>
          <w:tcPr>
            <w:tcW w:w="756" w:type="dxa"/>
            <w:tcBorders>
              <w:left w:val="single" w:sz="4" w:space="0" w:color="FFFFFF"/>
              <w:bottom w:val="single" w:sz="4" w:space="0" w:color="FFFFFF"/>
              <w:right w:val="single" w:sz="4" w:space="0" w:color="FFFFFF"/>
            </w:tcBorders>
          </w:tcPr>
          <w:p w14:paraId="7A2BC24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0.25</w:t>
            </w:r>
          </w:p>
        </w:tc>
        <w:tc>
          <w:tcPr>
            <w:tcW w:w="987" w:type="dxa"/>
            <w:tcBorders>
              <w:left w:val="single" w:sz="4" w:space="0" w:color="FFFFFF"/>
              <w:bottom w:val="single" w:sz="4" w:space="0" w:color="FFFFFF"/>
            </w:tcBorders>
          </w:tcPr>
          <w:p w14:paraId="7BC9E39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0.801</w:t>
            </w:r>
          </w:p>
        </w:tc>
        <w:tc>
          <w:tcPr>
            <w:tcW w:w="898" w:type="dxa"/>
            <w:tcBorders>
              <w:bottom w:val="single" w:sz="4" w:space="0" w:color="FFFFFF"/>
              <w:right w:val="single" w:sz="4" w:space="0" w:color="FFFFFF"/>
            </w:tcBorders>
          </w:tcPr>
          <w:p w14:paraId="0B2C9C4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0.746</w:t>
            </w:r>
          </w:p>
        </w:tc>
        <w:tc>
          <w:tcPr>
            <w:tcW w:w="719" w:type="dxa"/>
            <w:tcBorders>
              <w:left w:val="single" w:sz="4" w:space="0" w:color="FFFFFF"/>
              <w:bottom w:val="single" w:sz="4" w:space="0" w:color="FFFFFF"/>
              <w:right w:val="single" w:sz="4" w:space="0" w:color="FFFFFF"/>
            </w:tcBorders>
          </w:tcPr>
          <w:p w14:paraId="49741ED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1.54</w:t>
            </w:r>
          </w:p>
        </w:tc>
        <w:tc>
          <w:tcPr>
            <w:tcW w:w="987" w:type="dxa"/>
            <w:tcBorders>
              <w:left w:val="single" w:sz="4" w:space="0" w:color="FFFFFF"/>
              <w:bottom w:val="single" w:sz="4" w:space="0" w:color="FFFFFF"/>
              <w:right w:val="single" w:sz="4" w:space="0" w:color="FFFFFF"/>
            </w:tcBorders>
          </w:tcPr>
          <w:p w14:paraId="06D0102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0.148</w:t>
            </w:r>
          </w:p>
        </w:tc>
      </w:tr>
      <w:tr w:rsidR="008D5DCB" w14:paraId="3A1B1366" w14:textId="77777777">
        <w:tc>
          <w:tcPr>
            <w:tcW w:w="3913" w:type="dxa"/>
            <w:tcBorders>
              <w:top w:val="single" w:sz="4" w:space="0" w:color="FFFFFF"/>
              <w:left w:val="single" w:sz="4" w:space="0" w:color="FFFFFF"/>
              <w:bottom w:val="single" w:sz="4" w:space="0" w:color="FFFFFF"/>
              <w:right w:val="single" w:sz="4" w:space="0" w:color="FFFFFF"/>
            </w:tcBorders>
          </w:tcPr>
          <w:p w14:paraId="13917E92"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CETR</w:t>
            </w:r>
          </w:p>
        </w:tc>
        <w:tc>
          <w:tcPr>
            <w:tcW w:w="1100" w:type="dxa"/>
            <w:tcBorders>
              <w:top w:val="single" w:sz="4" w:space="0" w:color="FFFFFF"/>
              <w:left w:val="single" w:sz="4" w:space="0" w:color="FFFFFF"/>
              <w:bottom w:val="single" w:sz="4" w:space="0" w:color="FFFFFF"/>
              <w:right w:val="single" w:sz="4" w:space="0" w:color="FFFFFF"/>
            </w:tcBorders>
          </w:tcPr>
          <w:p w14:paraId="4FB154D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-0.149</w:t>
            </w:r>
          </w:p>
        </w:tc>
        <w:tc>
          <w:tcPr>
            <w:tcW w:w="756" w:type="dxa"/>
            <w:tcBorders>
              <w:top w:val="single" w:sz="4" w:space="0" w:color="FFFFFF"/>
              <w:left w:val="single" w:sz="4" w:space="0" w:color="FFFFFF"/>
              <w:bottom w:val="single" w:sz="4" w:space="0" w:color="FFFFFF"/>
              <w:right w:val="single" w:sz="4" w:space="0" w:color="FFFFFF"/>
            </w:tcBorders>
          </w:tcPr>
          <w:p w14:paraId="610FD57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-1.20</w:t>
            </w:r>
          </w:p>
        </w:tc>
        <w:tc>
          <w:tcPr>
            <w:tcW w:w="987" w:type="dxa"/>
            <w:tcBorders>
              <w:top w:val="single" w:sz="4" w:space="0" w:color="FFFFFF"/>
              <w:left w:val="single" w:sz="4" w:space="0" w:color="FFFFFF"/>
              <w:bottom w:val="single" w:sz="4" w:space="0" w:color="FFFFFF"/>
            </w:tcBorders>
          </w:tcPr>
          <w:p w14:paraId="377CA2D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0.231</w:t>
            </w:r>
          </w:p>
        </w:tc>
        <w:tc>
          <w:tcPr>
            <w:tcW w:w="898" w:type="dxa"/>
            <w:tcBorders>
              <w:top w:val="single" w:sz="4" w:space="0" w:color="FFFFFF"/>
              <w:bottom w:val="single" w:sz="4" w:space="0" w:color="FFFFFF"/>
              <w:right w:val="single" w:sz="4" w:space="0" w:color="FFFFFF"/>
            </w:tcBorders>
          </w:tcPr>
          <w:p w14:paraId="437F50C5"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1.641</w:t>
            </w:r>
          </w:p>
        </w:tc>
        <w:tc>
          <w:tcPr>
            <w:tcW w:w="719" w:type="dxa"/>
            <w:tcBorders>
              <w:top w:val="single" w:sz="4" w:space="0" w:color="FFFFFF"/>
              <w:left w:val="single" w:sz="4" w:space="0" w:color="FFFFFF"/>
              <w:bottom w:val="single" w:sz="4" w:space="0" w:color="FFFFFF"/>
              <w:right w:val="single" w:sz="4" w:space="0" w:color="FFFFFF"/>
            </w:tcBorders>
          </w:tcPr>
          <w:p w14:paraId="064A606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1.68</w:t>
            </w:r>
          </w:p>
        </w:tc>
        <w:tc>
          <w:tcPr>
            <w:tcW w:w="987" w:type="dxa"/>
            <w:tcBorders>
              <w:top w:val="single" w:sz="4" w:space="0" w:color="FFFFFF"/>
              <w:left w:val="single" w:sz="4" w:space="0" w:color="FFFFFF"/>
              <w:bottom w:val="single" w:sz="4" w:space="0" w:color="FFFFFF"/>
              <w:right w:val="single" w:sz="4" w:space="0" w:color="FFFFFF"/>
            </w:tcBorders>
          </w:tcPr>
          <w:p w14:paraId="6E61D45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0.117</w:t>
            </w:r>
          </w:p>
        </w:tc>
      </w:tr>
      <w:tr w:rsidR="008D5DCB" w14:paraId="419CD830" w14:textId="77777777">
        <w:tc>
          <w:tcPr>
            <w:tcW w:w="3913" w:type="dxa"/>
            <w:tcBorders>
              <w:top w:val="single" w:sz="4" w:space="0" w:color="FFFFFF"/>
              <w:left w:val="single" w:sz="4" w:space="0" w:color="FFFFFF"/>
              <w:bottom w:val="single" w:sz="4" w:space="0" w:color="FFFFFF"/>
              <w:right w:val="single" w:sz="4" w:space="0" w:color="FFFFFF"/>
            </w:tcBorders>
          </w:tcPr>
          <w:p w14:paraId="3BC40027"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BTD</w:t>
            </w:r>
          </w:p>
        </w:tc>
        <w:tc>
          <w:tcPr>
            <w:tcW w:w="1100" w:type="dxa"/>
            <w:tcBorders>
              <w:top w:val="single" w:sz="4" w:space="0" w:color="FFFFFF"/>
              <w:left w:val="single" w:sz="4" w:space="0" w:color="FFFFFF"/>
              <w:bottom w:val="single" w:sz="4" w:space="0" w:color="FFFFFF"/>
              <w:right w:val="single" w:sz="4" w:space="0" w:color="FFFFFF"/>
            </w:tcBorders>
          </w:tcPr>
          <w:p w14:paraId="6946B8A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-0.999</w:t>
            </w:r>
          </w:p>
        </w:tc>
        <w:tc>
          <w:tcPr>
            <w:tcW w:w="756" w:type="dxa"/>
            <w:tcBorders>
              <w:top w:val="single" w:sz="4" w:space="0" w:color="FFFFFF"/>
              <w:left w:val="single" w:sz="4" w:space="0" w:color="FFFFFF"/>
              <w:bottom w:val="single" w:sz="4" w:space="0" w:color="FFFFFF"/>
              <w:right w:val="single" w:sz="4" w:space="0" w:color="FFFFFF"/>
            </w:tcBorders>
          </w:tcPr>
          <w:p w14:paraId="59279CE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-3.47</w:t>
            </w:r>
          </w:p>
        </w:tc>
        <w:tc>
          <w:tcPr>
            <w:tcW w:w="987" w:type="dxa"/>
            <w:tcBorders>
              <w:top w:val="single" w:sz="4" w:space="0" w:color="FFFFFF"/>
              <w:left w:val="single" w:sz="4" w:space="0" w:color="FFFFFF"/>
              <w:bottom w:val="single" w:sz="4" w:space="0" w:color="FFFFFF"/>
            </w:tcBorders>
          </w:tcPr>
          <w:p w14:paraId="5FBA9AB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0.001</w:t>
            </w:r>
          </w:p>
        </w:tc>
        <w:tc>
          <w:tcPr>
            <w:tcW w:w="898" w:type="dxa"/>
            <w:tcBorders>
              <w:top w:val="single" w:sz="4" w:space="0" w:color="FFFFFF"/>
              <w:bottom w:val="single" w:sz="4" w:space="0" w:color="FFFFFF"/>
              <w:right w:val="single" w:sz="4" w:space="0" w:color="FFFFFF"/>
            </w:tcBorders>
          </w:tcPr>
          <w:p w14:paraId="14CE27B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0.792</w:t>
            </w:r>
          </w:p>
        </w:tc>
        <w:tc>
          <w:tcPr>
            <w:tcW w:w="719" w:type="dxa"/>
            <w:tcBorders>
              <w:top w:val="single" w:sz="4" w:space="0" w:color="FFFFFF"/>
              <w:left w:val="single" w:sz="4" w:space="0" w:color="FFFFFF"/>
              <w:bottom w:val="single" w:sz="4" w:space="0" w:color="FFFFFF"/>
              <w:right w:val="single" w:sz="4" w:space="0" w:color="FFFFFF"/>
            </w:tcBorders>
          </w:tcPr>
          <w:p w14:paraId="43D5502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0.50</w:t>
            </w:r>
          </w:p>
        </w:tc>
        <w:tc>
          <w:tcPr>
            <w:tcW w:w="987" w:type="dxa"/>
            <w:tcBorders>
              <w:top w:val="single" w:sz="4" w:space="0" w:color="FFFFFF"/>
              <w:left w:val="single" w:sz="4" w:space="0" w:color="FFFFFF"/>
              <w:bottom w:val="single" w:sz="4" w:space="0" w:color="FFFFFF"/>
              <w:right w:val="single" w:sz="4" w:space="0" w:color="FFFFFF"/>
            </w:tcBorders>
          </w:tcPr>
          <w:p w14:paraId="69717B8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0.624</w:t>
            </w:r>
          </w:p>
        </w:tc>
      </w:tr>
      <w:tr w:rsidR="008D5DCB" w14:paraId="38D1E8C5" w14:textId="77777777">
        <w:tc>
          <w:tcPr>
            <w:tcW w:w="3913" w:type="dxa"/>
            <w:tcBorders>
              <w:top w:val="single" w:sz="4" w:space="0" w:color="FFFFFF"/>
              <w:left w:val="single" w:sz="4" w:space="0" w:color="FFFFFF"/>
              <w:bottom w:val="single" w:sz="4" w:space="0" w:color="FFFFFF"/>
              <w:right w:val="single" w:sz="4" w:space="0" w:color="FFFFFF"/>
            </w:tcBorders>
          </w:tcPr>
          <w:p w14:paraId="391E83BA"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TSR</w:t>
            </w:r>
          </w:p>
        </w:tc>
        <w:tc>
          <w:tcPr>
            <w:tcW w:w="1100" w:type="dxa"/>
            <w:tcBorders>
              <w:top w:val="single" w:sz="4" w:space="0" w:color="FFFFFF"/>
              <w:left w:val="single" w:sz="4" w:space="0" w:color="FFFFFF"/>
              <w:bottom w:val="single" w:sz="4" w:space="0" w:color="FFFFFF"/>
              <w:right w:val="single" w:sz="4" w:space="0" w:color="FFFFFF"/>
            </w:tcBorders>
          </w:tcPr>
          <w:p w14:paraId="62B04BB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0.057</w:t>
            </w:r>
          </w:p>
        </w:tc>
        <w:tc>
          <w:tcPr>
            <w:tcW w:w="756" w:type="dxa"/>
            <w:tcBorders>
              <w:top w:val="single" w:sz="4" w:space="0" w:color="FFFFFF"/>
              <w:left w:val="single" w:sz="4" w:space="0" w:color="FFFFFF"/>
              <w:bottom w:val="single" w:sz="4" w:space="0" w:color="FFFFFF"/>
              <w:right w:val="single" w:sz="4" w:space="0" w:color="FFFFFF"/>
            </w:tcBorders>
          </w:tcPr>
          <w:p w14:paraId="205485F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2.52</w:t>
            </w:r>
          </w:p>
        </w:tc>
        <w:tc>
          <w:tcPr>
            <w:tcW w:w="987" w:type="dxa"/>
            <w:tcBorders>
              <w:top w:val="single" w:sz="4" w:space="0" w:color="FFFFFF"/>
              <w:left w:val="single" w:sz="4" w:space="0" w:color="FFFFFF"/>
              <w:bottom w:val="single" w:sz="4" w:space="0" w:color="FFFFFF"/>
            </w:tcBorders>
          </w:tcPr>
          <w:p w14:paraId="65A4253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0.013</w:t>
            </w:r>
          </w:p>
        </w:tc>
        <w:tc>
          <w:tcPr>
            <w:tcW w:w="898" w:type="dxa"/>
            <w:tcBorders>
              <w:top w:val="single" w:sz="4" w:space="0" w:color="FFFFFF"/>
              <w:bottom w:val="single" w:sz="4" w:space="0" w:color="FFFFFF"/>
              <w:right w:val="single" w:sz="4" w:space="0" w:color="FFFFFF"/>
            </w:tcBorders>
          </w:tcPr>
          <w:p w14:paraId="653418E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-0.462</w:t>
            </w:r>
          </w:p>
        </w:tc>
        <w:tc>
          <w:tcPr>
            <w:tcW w:w="719" w:type="dxa"/>
            <w:tcBorders>
              <w:top w:val="single" w:sz="4" w:space="0" w:color="FFFFFF"/>
              <w:left w:val="single" w:sz="4" w:space="0" w:color="FFFFFF"/>
              <w:bottom w:val="single" w:sz="4" w:space="0" w:color="FFFFFF"/>
              <w:right w:val="single" w:sz="4" w:space="0" w:color="FFFFFF"/>
            </w:tcBorders>
          </w:tcPr>
          <w:p w14:paraId="1AAB332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-2.43</w:t>
            </w:r>
          </w:p>
        </w:tc>
        <w:tc>
          <w:tcPr>
            <w:tcW w:w="987" w:type="dxa"/>
            <w:tcBorders>
              <w:top w:val="single" w:sz="4" w:space="0" w:color="FFFFFF"/>
              <w:left w:val="single" w:sz="4" w:space="0" w:color="FFFFFF"/>
              <w:bottom w:val="single" w:sz="4" w:space="0" w:color="FFFFFF"/>
              <w:right w:val="single" w:sz="4" w:space="0" w:color="FFFFFF"/>
            </w:tcBorders>
          </w:tcPr>
          <w:p w14:paraId="34D70B1B"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0.030</w:t>
            </w:r>
          </w:p>
        </w:tc>
      </w:tr>
      <w:tr w:rsidR="008D5DCB" w14:paraId="1D43D713" w14:textId="77777777">
        <w:tc>
          <w:tcPr>
            <w:tcW w:w="3913" w:type="dxa"/>
            <w:tcBorders>
              <w:top w:val="single" w:sz="4" w:space="0" w:color="FFFFFF"/>
              <w:left w:val="single" w:sz="4" w:space="0" w:color="FFFFFF"/>
              <w:bottom w:val="single" w:sz="4" w:space="0" w:color="auto"/>
              <w:right w:val="single" w:sz="4" w:space="0" w:color="FFFFFF"/>
            </w:tcBorders>
          </w:tcPr>
          <w:p w14:paraId="67DB9EDD" w14:textId="77777777" w:rsidR="008D5DCB" w:rsidRDefault="0020015B">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Constant</w:t>
            </w:r>
          </w:p>
        </w:tc>
        <w:tc>
          <w:tcPr>
            <w:tcW w:w="1100" w:type="dxa"/>
            <w:tcBorders>
              <w:top w:val="single" w:sz="4" w:space="0" w:color="FFFFFF"/>
              <w:left w:val="single" w:sz="4" w:space="0" w:color="FFFFFF"/>
              <w:bottom w:val="single" w:sz="4" w:space="0" w:color="auto"/>
              <w:right w:val="single" w:sz="4" w:space="0" w:color="FFFFFF"/>
            </w:tcBorders>
          </w:tcPr>
          <w:p w14:paraId="6F6A613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0.965</w:t>
            </w:r>
          </w:p>
        </w:tc>
        <w:tc>
          <w:tcPr>
            <w:tcW w:w="756" w:type="dxa"/>
            <w:tcBorders>
              <w:top w:val="single" w:sz="4" w:space="0" w:color="FFFFFF"/>
              <w:left w:val="single" w:sz="4" w:space="0" w:color="FFFFFF"/>
              <w:bottom w:val="single" w:sz="4" w:space="0" w:color="auto"/>
              <w:right w:val="single" w:sz="4" w:space="0" w:color="FFFFFF"/>
            </w:tcBorders>
          </w:tcPr>
          <w:p w14:paraId="5F1F9DFE"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27.21</w:t>
            </w:r>
          </w:p>
        </w:tc>
        <w:tc>
          <w:tcPr>
            <w:tcW w:w="987" w:type="dxa"/>
            <w:tcBorders>
              <w:top w:val="single" w:sz="4" w:space="0" w:color="FFFFFF"/>
              <w:left w:val="single" w:sz="4" w:space="0" w:color="FFFFFF"/>
              <w:bottom w:val="single" w:sz="4" w:space="0" w:color="auto"/>
            </w:tcBorders>
          </w:tcPr>
          <w:p w14:paraId="5AFD099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c>
          <w:tcPr>
            <w:tcW w:w="898" w:type="dxa"/>
            <w:tcBorders>
              <w:top w:val="single" w:sz="4" w:space="0" w:color="FFFFFF"/>
              <w:bottom w:val="single" w:sz="4" w:space="0" w:color="auto"/>
              <w:right w:val="single" w:sz="4" w:space="0" w:color="FFFFFF"/>
            </w:tcBorders>
          </w:tcPr>
          <w:p w14:paraId="3865CA6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1.093</w:t>
            </w:r>
          </w:p>
        </w:tc>
        <w:tc>
          <w:tcPr>
            <w:tcW w:w="719" w:type="dxa"/>
            <w:tcBorders>
              <w:top w:val="single" w:sz="4" w:space="0" w:color="FFFFFF"/>
              <w:left w:val="single" w:sz="4" w:space="0" w:color="FFFFFF"/>
              <w:bottom w:val="single" w:sz="4" w:space="0" w:color="auto"/>
              <w:right w:val="single" w:sz="4" w:space="0" w:color="FFFFFF"/>
            </w:tcBorders>
          </w:tcPr>
          <w:p w14:paraId="3412EED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7.10</w:t>
            </w:r>
          </w:p>
        </w:tc>
        <w:tc>
          <w:tcPr>
            <w:tcW w:w="987" w:type="dxa"/>
            <w:tcBorders>
              <w:top w:val="single" w:sz="4" w:space="0" w:color="FFFFFF"/>
              <w:left w:val="single" w:sz="4" w:space="0" w:color="FFFFFF"/>
              <w:bottom w:val="single" w:sz="4" w:space="0" w:color="auto"/>
              <w:right w:val="single" w:sz="4" w:space="0" w:color="FFFFFF"/>
            </w:tcBorders>
          </w:tcPr>
          <w:p w14:paraId="55619FFF"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r>
      <w:tr w:rsidR="008D5DCB" w14:paraId="6CF6CA72" w14:textId="77777777">
        <w:tc>
          <w:tcPr>
            <w:tcW w:w="3913" w:type="dxa"/>
            <w:tcBorders>
              <w:top w:val="single" w:sz="4" w:space="0" w:color="auto"/>
              <w:left w:val="single" w:sz="4" w:space="0" w:color="FFFFFF"/>
              <w:bottom w:val="single" w:sz="4" w:space="0" w:color="FFFFFF"/>
              <w:right w:val="single" w:sz="4" w:space="0" w:color="FFFFFF"/>
            </w:tcBorders>
          </w:tcPr>
          <w:p w14:paraId="4E9EBAC9"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R-squared</w:t>
            </w:r>
          </w:p>
        </w:tc>
        <w:tc>
          <w:tcPr>
            <w:tcW w:w="1100" w:type="dxa"/>
            <w:tcBorders>
              <w:top w:val="single" w:sz="4" w:space="0" w:color="auto"/>
              <w:left w:val="single" w:sz="4" w:space="0" w:color="FFFFFF"/>
              <w:bottom w:val="single" w:sz="4" w:space="0" w:color="FFFFFF"/>
              <w:right w:val="single" w:sz="4" w:space="0" w:color="FFFFFF"/>
            </w:tcBorders>
          </w:tcPr>
          <w:p w14:paraId="3A70846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0.089</w:t>
            </w:r>
          </w:p>
        </w:tc>
        <w:tc>
          <w:tcPr>
            <w:tcW w:w="756" w:type="dxa"/>
            <w:tcBorders>
              <w:top w:val="single" w:sz="4" w:space="0" w:color="auto"/>
              <w:left w:val="single" w:sz="4" w:space="0" w:color="FFFFFF"/>
              <w:bottom w:val="single" w:sz="4" w:space="0" w:color="FFFFFF"/>
              <w:right w:val="single" w:sz="4" w:space="0" w:color="FFFFFF"/>
            </w:tcBorders>
          </w:tcPr>
          <w:p w14:paraId="0994B6B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auto"/>
              <w:left w:val="single" w:sz="4" w:space="0" w:color="FFFFFF"/>
              <w:bottom w:val="single" w:sz="4" w:space="0" w:color="FFFFFF"/>
            </w:tcBorders>
          </w:tcPr>
          <w:p w14:paraId="29326D0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898" w:type="dxa"/>
            <w:tcBorders>
              <w:top w:val="single" w:sz="4" w:space="0" w:color="auto"/>
              <w:bottom w:val="single" w:sz="4" w:space="0" w:color="FFFFFF"/>
              <w:right w:val="single" w:sz="4" w:space="0" w:color="FFFFFF"/>
            </w:tcBorders>
          </w:tcPr>
          <w:p w14:paraId="0E8CE07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0.050</w:t>
            </w:r>
          </w:p>
        </w:tc>
        <w:tc>
          <w:tcPr>
            <w:tcW w:w="719" w:type="dxa"/>
            <w:tcBorders>
              <w:top w:val="single" w:sz="4" w:space="0" w:color="auto"/>
              <w:left w:val="single" w:sz="4" w:space="0" w:color="FFFFFF"/>
              <w:bottom w:val="single" w:sz="4" w:space="0" w:color="FFFFFF"/>
              <w:right w:val="single" w:sz="4" w:space="0" w:color="FFFFFF"/>
            </w:tcBorders>
          </w:tcPr>
          <w:p w14:paraId="4D8BD69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auto"/>
              <w:left w:val="single" w:sz="4" w:space="0" w:color="FFFFFF"/>
              <w:bottom w:val="single" w:sz="4" w:space="0" w:color="FFFFFF"/>
              <w:right w:val="single" w:sz="4" w:space="0" w:color="FFFFFF"/>
            </w:tcBorders>
          </w:tcPr>
          <w:p w14:paraId="08B398B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r>
      <w:tr w:rsidR="008D5DCB" w14:paraId="6F00E8E5" w14:textId="77777777">
        <w:tc>
          <w:tcPr>
            <w:tcW w:w="3913" w:type="dxa"/>
            <w:tcBorders>
              <w:top w:val="single" w:sz="4" w:space="0" w:color="FFFFFF"/>
              <w:left w:val="single" w:sz="4" w:space="0" w:color="FFFFFF"/>
              <w:bottom w:val="single" w:sz="4" w:space="0" w:color="FFFFFF"/>
              <w:right w:val="single" w:sz="4" w:space="0" w:color="FFFFFF"/>
            </w:tcBorders>
          </w:tcPr>
          <w:p w14:paraId="52C15E11"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Wald Chi-squared</w:t>
            </w:r>
          </w:p>
        </w:tc>
        <w:tc>
          <w:tcPr>
            <w:tcW w:w="1100" w:type="dxa"/>
            <w:tcBorders>
              <w:top w:val="single" w:sz="4" w:space="0" w:color="FFFFFF"/>
              <w:left w:val="single" w:sz="4" w:space="0" w:color="FFFFFF"/>
              <w:bottom w:val="single" w:sz="4" w:space="0" w:color="FFFFFF"/>
              <w:right w:val="single" w:sz="4" w:space="0" w:color="FFFFFF"/>
            </w:tcBorders>
          </w:tcPr>
          <w:p w14:paraId="5F42865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4.65</w:t>
            </w:r>
          </w:p>
        </w:tc>
        <w:tc>
          <w:tcPr>
            <w:tcW w:w="756" w:type="dxa"/>
            <w:tcBorders>
              <w:top w:val="single" w:sz="4" w:space="0" w:color="FFFFFF"/>
              <w:left w:val="single" w:sz="4" w:space="0" w:color="FFFFFF"/>
              <w:bottom w:val="single" w:sz="4" w:space="0" w:color="FFFFFF"/>
              <w:right w:val="single" w:sz="4" w:space="0" w:color="FFFFFF"/>
            </w:tcBorders>
          </w:tcPr>
          <w:p w14:paraId="1627D0F5"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1088005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0.001</w:t>
            </w:r>
          </w:p>
        </w:tc>
        <w:tc>
          <w:tcPr>
            <w:tcW w:w="898" w:type="dxa"/>
            <w:tcBorders>
              <w:top w:val="single" w:sz="4" w:space="0" w:color="FFFFFF"/>
              <w:bottom w:val="single" w:sz="4" w:space="0" w:color="FFFFFF"/>
              <w:right w:val="single" w:sz="4" w:space="0" w:color="FFFFFF"/>
            </w:tcBorders>
          </w:tcPr>
          <w:p w14:paraId="4C814844"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5.84</w:t>
            </w:r>
          </w:p>
        </w:tc>
        <w:tc>
          <w:tcPr>
            <w:tcW w:w="719" w:type="dxa"/>
            <w:tcBorders>
              <w:top w:val="single" w:sz="4" w:space="0" w:color="FFFFFF"/>
              <w:left w:val="single" w:sz="4" w:space="0" w:color="FFFFFF"/>
              <w:bottom w:val="single" w:sz="4" w:space="0" w:color="FFFFFF"/>
              <w:right w:val="single" w:sz="4" w:space="0" w:color="FFFFFF"/>
            </w:tcBorders>
          </w:tcPr>
          <w:p w14:paraId="16BE49E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1D26A7D2"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0.007</w:t>
            </w:r>
          </w:p>
        </w:tc>
      </w:tr>
      <w:tr w:rsidR="008D5DCB" w14:paraId="5F93B977" w14:textId="77777777">
        <w:tc>
          <w:tcPr>
            <w:tcW w:w="3913" w:type="dxa"/>
            <w:tcBorders>
              <w:top w:val="single" w:sz="4" w:space="0" w:color="FFFFFF"/>
              <w:left w:val="single" w:sz="4" w:space="0" w:color="FFFFFF"/>
              <w:bottom w:val="single" w:sz="4" w:space="0" w:color="FFFFFF"/>
              <w:right w:val="single" w:sz="4" w:space="0" w:color="FFFFFF"/>
            </w:tcBorders>
          </w:tcPr>
          <w:p w14:paraId="10F38F95"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Autocorrelation test</w:t>
            </w:r>
          </w:p>
        </w:tc>
        <w:tc>
          <w:tcPr>
            <w:tcW w:w="1100" w:type="dxa"/>
            <w:tcBorders>
              <w:top w:val="single" w:sz="4" w:space="0" w:color="FFFFFF"/>
              <w:left w:val="single" w:sz="4" w:space="0" w:color="FFFFFF"/>
              <w:bottom w:val="single" w:sz="4" w:space="0" w:color="FFFFFF"/>
              <w:right w:val="single" w:sz="4" w:space="0" w:color="FFFFFF"/>
            </w:tcBorders>
          </w:tcPr>
          <w:p w14:paraId="6AD7FA4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4.056</w:t>
            </w:r>
          </w:p>
        </w:tc>
        <w:tc>
          <w:tcPr>
            <w:tcW w:w="756" w:type="dxa"/>
            <w:tcBorders>
              <w:top w:val="single" w:sz="4" w:space="0" w:color="FFFFFF"/>
              <w:left w:val="single" w:sz="4" w:space="0" w:color="FFFFFF"/>
              <w:bottom w:val="single" w:sz="4" w:space="0" w:color="FFFFFF"/>
              <w:right w:val="single" w:sz="4" w:space="0" w:color="FFFFFF"/>
            </w:tcBorders>
          </w:tcPr>
          <w:p w14:paraId="7AAA5E7F"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74F8182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0.067</w:t>
            </w:r>
          </w:p>
        </w:tc>
        <w:tc>
          <w:tcPr>
            <w:tcW w:w="898" w:type="dxa"/>
            <w:tcBorders>
              <w:top w:val="single" w:sz="4" w:space="0" w:color="FFFFFF"/>
              <w:bottom w:val="single" w:sz="4" w:space="0" w:color="FFFFFF"/>
              <w:right w:val="single" w:sz="4" w:space="0" w:color="FFFFFF"/>
            </w:tcBorders>
          </w:tcPr>
          <w:p w14:paraId="6CC3B7A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1.961</w:t>
            </w:r>
          </w:p>
        </w:tc>
        <w:tc>
          <w:tcPr>
            <w:tcW w:w="719" w:type="dxa"/>
            <w:tcBorders>
              <w:top w:val="single" w:sz="4" w:space="0" w:color="FFFFFF"/>
              <w:left w:val="single" w:sz="4" w:space="0" w:color="FFFFFF"/>
              <w:bottom w:val="single" w:sz="4" w:space="0" w:color="FFFFFF"/>
              <w:right w:val="single" w:sz="4" w:space="0" w:color="FFFFFF"/>
            </w:tcBorders>
          </w:tcPr>
          <w:p w14:paraId="2B689A7E"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66FBA91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0.187</w:t>
            </w:r>
          </w:p>
        </w:tc>
      </w:tr>
      <w:tr w:rsidR="008D5DCB" w14:paraId="0D58CFB5" w14:textId="77777777">
        <w:tc>
          <w:tcPr>
            <w:tcW w:w="3913" w:type="dxa"/>
            <w:tcBorders>
              <w:top w:val="single" w:sz="4" w:space="0" w:color="FFFFFF"/>
              <w:left w:val="single" w:sz="4" w:space="0" w:color="FFFFFF"/>
              <w:bottom w:val="single" w:sz="4" w:space="0" w:color="FFFFFF"/>
              <w:right w:val="single" w:sz="4" w:space="0" w:color="FFFFFF"/>
            </w:tcBorders>
          </w:tcPr>
          <w:p w14:paraId="413EF4B4"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Heteroskedasticity test</w:t>
            </w:r>
          </w:p>
        </w:tc>
        <w:tc>
          <w:tcPr>
            <w:tcW w:w="1100" w:type="dxa"/>
            <w:tcBorders>
              <w:top w:val="single" w:sz="4" w:space="0" w:color="FFFFFF"/>
              <w:left w:val="single" w:sz="4" w:space="0" w:color="FFFFFF"/>
              <w:bottom w:val="single" w:sz="4" w:space="0" w:color="FFFFFF"/>
              <w:right w:val="single" w:sz="4" w:space="0" w:color="FFFFFF"/>
            </w:tcBorders>
          </w:tcPr>
          <w:p w14:paraId="273E7B81"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2.96</w:t>
            </w:r>
          </w:p>
        </w:tc>
        <w:tc>
          <w:tcPr>
            <w:tcW w:w="756" w:type="dxa"/>
            <w:tcBorders>
              <w:top w:val="single" w:sz="4" w:space="0" w:color="FFFFFF"/>
              <w:left w:val="single" w:sz="4" w:space="0" w:color="FFFFFF"/>
              <w:bottom w:val="single" w:sz="4" w:space="0" w:color="FFFFFF"/>
              <w:right w:val="single" w:sz="4" w:space="0" w:color="FFFFFF"/>
            </w:tcBorders>
          </w:tcPr>
          <w:p w14:paraId="2314BCB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6D994CF7"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0.086</w:t>
            </w:r>
          </w:p>
        </w:tc>
        <w:tc>
          <w:tcPr>
            <w:tcW w:w="898" w:type="dxa"/>
            <w:tcBorders>
              <w:top w:val="single" w:sz="4" w:space="0" w:color="FFFFFF"/>
              <w:bottom w:val="single" w:sz="4" w:space="0" w:color="FFFFFF"/>
              <w:right w:val="single" w:sz="4" w:space="0" w:color="FFFFFF"/>
            </w:tcBorders>
          </w:tcPr>
          <w:p w14:paraId="2D2A835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40.79</w:t>
            </w:r>
          </w:p>
        </w:tc>
        <w:tc>
          <w:tcPr>
            <w:tcW w:w="719" w:type="dxa"/>
            <w:tcBorders>
              <w:top w:val="single" w:sz="4" w:space="0" w:color="FFFFFF"/>
              <w:left w:val="single" w:sz="4" w:space="0" w:color="FFFFFF"/>
              <w:bottom w:val="single" w:sz="4" w:space="0" w:color="FFFFFF"/>
              <w:right w:val="single" w:sz="4" w:space="0" w:color="FFFFFF"/>
            </w:tcBorders>
          </w:tcPr>
          <w:p w14:paraId="52FC56F9"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35A1702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0.000</w:t>
            </w:r>
          </w:p>
        </w:tc>
      </w:tr>
      <w:tr w:rsidR="008D5DCB" w14:paraId="65D3137C" w14:textId="77777777">
        <w:tc>
          <w:tcPr>
            <w:tcW w:w="3913" w:type="dxa"/>
            <w:tcBorders>
              <w:top w:val="single" w:sz="4" w:space="0" w:color="FFFFFF"/>
              <w:left w:val="single" w:sz="4" w:space="0" w:color="FFFFFF"/>
              <w:bottom w:val="single" w:sz="4" w:space="0" w:color="FFFFFF"/>
              <w:right w:val="single" w:sz="4" w:space="0" w:color="FFFFFF"/>
            </w:tcBorders>
          </w:tcPr>
          <w:p w14:paraId="2324FB11"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lastRenderedPageBreak/>
              <w:t>Average VIF</w:t>
            </w:r>
          </w:p>
        </w:tc>
        <w:tc>
          <w:tcPr>
            <w:tcW w:w="1100" w:type="dxa"/>
            <w:tcBorders>
              <w:top w:val="single" w:sz="4" w:space="0" w:color="FFFFFF"/>
              <w:left w:val="single" w:sz="4" w:space="0" w:color="FFFFFF"/>
              <w:bottom w:val="single" w:sz="4" w:space="0" w:color="FFFFFF"/>
              <w:right w:val="single" w:sz="4" w:space="0" w:color="FFFFFF"/>
            </w:tcBorders>
          </w:tcPr>
          <w:p w14:paraId="5CC08A60"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4.77</w:t>
            </w:r>
          </w:p>
        </w:tc>
        <w:tc>
          <w:tcPr>
            <w:tcW w:w="756" w:type="dxa"/>
            <w:tcBorders>
              <w:top w:val="single" w:sz="4" w:space="0" w:color="FFFFFF"/>
              <w:left w:val="single" w:sz="4" w:space="0" w:color="FFFFFF"/>
              <w:bottom w:val="single" w:sz="4" w:space="0" w:color="FFFFFF"/>
              <w:right w:val="single" w:sz="4" w:space="0" w:color="FFFFFF"/>
            </w:tcBorders>
          </w:tcPr>
          <w:p w14:paraId="61895E7D"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tcBorders>
          </w:tcPr>
          <w:p w14:paraId="6DFAC48A"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898" w:type="dxa"/>
            <w:tcBorders>
              <w:top w:val="single" w:sz="4" w:space="0" w:color="FFFFFF"/>
              <w:bottom w:val="single" w:sz="4" w:space="0" w:color="FFFFFF"/>
              <w:right w:val="single" w:sz="4" w:space="0" w:color="FFFFFF"/>
            </w:tcBorders>
          </w:tcPr>
          <w:p w14:paraId="4852C7E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4.77</w:t>
            </w:r>
          </w:p>
        </w:tc>
        <w:tc>
          <w:tcPr>
            <w:tcW w:w="719" w:type="dxa"/>
            <w:tcBorders>
              <w:top w:val="single" w:sz="4" w:space="0" w:color="FFFFFF"/>
              <w:left w:val="single" w:sz="4" w:space="0" w:color="FFFFFF"/>
              <w:bottom w:val="single" w:sz="4" w:space="0" w:color="FFFFFF"/>
              <w:right w:val="single" w:sz="4" w:space="0" w:color="FFFFFF"/>
            </w:tcBorders>
          </w:tcPr>
          <w:p w14:paraId="2ACB1CB8"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c>
          <w:tcPr>
            <w:tcW w:w="987" w:type="dxa"/>
            <w:tcBorders>
              <w:top w:val="single" w:sz="4" w:space="0" w:color="FFFFFF"/>
              <w:left w:val="single" w:sz="4" w:space="0" w:color="FFFFFF"/>
              <w:bottom w:val="single" w:sz="4" w:space="0" w:color="FFFFFF"/>
              <w:right w:val="single" w:sz="4" w:space="0" w:color="FFFFFF"/>
            </w:tcBorders>
          </w:tcPr>
          <w:p w14:paraId="4D197CBC"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p>
        </w:tc>
      </w:tr>
      <w:tr w:rsidR="008D5DCB" w14:paraId="19301FB5" w14:textId="77777777">
        <w:tc>
          <w:tcPr>
            <w:tcW w:w="3913" w:type="dxa"/>
            <w:tcBorders>
              <w:top w:val="single" w:sz="4" w:space="0" w:color="FFFFFF"/>
              <w:left w:val="single" w:sz="4" w:space="0" w:color="FFFFFF"/>
              <w:right w:val="single" w:sz="4" w:space="0" w:color="FFFFFF"/>
            </w:tcBorders>
          </w:tcPr>
          <w:p w14:paraId="6D9F580E" w14:textId="77777777" w:rsidR="008D5DCB" w:rsidRDefault="0020015B">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Observations</w:t>
            </w:r>
          </w:p>
        </w:tc>
        <w:tc>
          <w:tcPr>
            <w:tcW w:w="1100" w:type="dxa"/>
            <w:tcBorders>
              <w:top w:val="single" w:sz="4" w:space="0" w:color="FFFFFF"/>
              <w:left w:val="single" w:sz="4" w:space="0" w:color="FFFFFF"/>
              <w:right w:val="single" w:sz="4" w:space="0" w:color="FFFFFF"/>
            </w:tcBorders>
          </w:tcPr>
          <w:p w14:paraId="15021364"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756" w:type="dxa"/>
            <w:tcBorders>
              <w:top w:val="single" w:sz="4" w:space="0" w:color="FFFFFF"/>
              <w:left w:val="single" w:sz="4" w:space="0" w:color="FFFFFF"/>
              <w:right w:val="single" w:sz="4" w:space="0" w:color="FFFFFF"/>
            </w:tcBorders>
          </w:tcPr>
          <w:p w14:paraId="0BAE9203"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195</w:t>
            </w:r>
          </w:p>
        </w:tc>
        <w:tc>
          <w:tcPr>
            <w:tcW w:w="987" w:type="dxa"/>
            <w:tcBorders>
              <w:top w:val="single" w:sz="4" w:space="0" w:color="FFFFFF"/>
              <w:left w:val="single" w:sz="4" w:space="0" w:color="FFFFFF"/>
            </w:tcBorders>
          </w:tcPr>
          <w:p w14:paraId="432436C9"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898" w:type="dxa"/>
            <w:tcBorders>
              <w:top w:val="single" w:sz="4" w:space="0" w:color="FFFFFF"/>
              <w:right w:val="single" w:sz="4" w:space="0" w:color="FFFFFF"/>
            </w:tcBorders>
          </w:tcPr>
          <w:p w14:paraId="5F56919D"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c>
          <w:tcPr>
            <w:tcW w:w="719" w:type="dxa"/>
            <w:tcBorders>
              <w:top w:val="single" w:sz="4" w:space="0" w:color="FFFFFF"/>
              <w:left w:val="single" w:sz="4" w:space="0" w:color="FFFFFF"/>
              <w:right w:val="single" w:sz="4" w:space="0" w:color="FFFFFF"/>
            </w:tcBorders>
          </w:tcPr>
          <w:p w14:paraId="171D10A6" w14:textId="77777777" w:rsidR="008D5DCB" w:rsidRDefault="0020015B">
            <w:pPr>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195</w:t>
            </w:r>
          </w:p>
        </w:tc>
        <w:tc>
          <w:tcPr>
            <w:tcW w:w="987" w:type="dxa"/>
            <w:tcBorders>
              <w:top w:val="single" w:sz="4" w:space="0" w:color="FFFFFF"/>
              <w:left w:val="single" w:sz="4" w:space="0" w:color="FFFFFF"/>
              <w:right w:val="single" w:sz="4" w:space="0" w:color="FFFFFF"/>
            </w:tcBorders>
          </w:tcPr>
          <w:p w14:paraId="51147743" w14:textId="77777777" w:rsidR="008D5DCB" w:rsidRDefault="008D5DCB">
            <w:pPr>
              <w:spacing w:after="0" w:line="240" w:lineRule="auto"/>
              <w:jc w:val="center"/>
              <w:rPr>
                <w:rFonts w:ascii="Times New Roman" w:eastAsia="Calibri" w:hAnsi="Times New Roman" w:cs="Times New Roman"/>
                <w:kern w:val="0"/>
                <w:sz w:val="24"/>
                <w:szCs w:val="24"/>
                <w14:ligatures w14:val="none"/>
              </w:rPr>
            </w:pPr>
          </w:p>
        </w:tc>
      </w:tr>
    </w:tbl>
    <w:p w14:paraId="663D187A" w14:textId="77777777" w:rsidR="008D5DCB" w:rsidRDefault="0020015B">
      <w:pPr>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b/>
          <w:kern w:val="0"/>
          <w:sz w:val="24"/>
          <w:szCs w:val="24"/>
          <w14:ligatures w14:val="none"/>
        </w:rPr>
        <w:t>Source, Author’s Computation (2024),</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i/>
          <w:kern w:val="0"/>
          <w:sz w:val="18"/>
          <w:szCs w:val="18"/>
          <w14:ligatures w14:val="none"/>
        </w:rPr>
        <w:t>ETR = Effective Tax Rate; CETR = Cash Effective Tax Rate; BTD = Book–Tax Difference; TSR = Tax Savings Ratio</w:t>
      </w:r>
      <w:r>
        <w:rPr>
          <w:rFonts w:ascii="Times New Roman" w:eastAsia="Calibri" w:hAnsi="Times New Roman" w:cs="Times New Roman"/>
          <w:i/>
          <w:kern w:val="0"/>
          <w:sz w:val="20"/>
          <w:szCs w:val="20"/>
          <w14:ligatures w14:val="none"/>
        </w:rPr>
        <w:t>, (R) is Robust Standard Error.</w:t>
      </w:r>
    </w:p>
    <w:p w14:paraId="50E0E33A" w14:textId="77777777" w:rsidR="008D5DCB" w:rsidRDefault="0020015B">
      <w:pPr>
        <w:spacing w:before="100" w:beforeAutospacing="1" w:after="100" w:afterAutospacing="1" w:line="240" w:lineRule="auto"/>
        <w:jc w:val="both"/>
        <w:rPr>
          <w:rFonts w:ascii="Times New Roman" w:eastAsia="Times New Roman" w:hAnsi="Times New Roman" w:cs="Times New Roman"/>
          <w:kern w:val="0"/>
          <w:sz w:val="24"/>
          <w:szCs w:val="24"/>
          <w:lang w:val="en-GB" w:eastAsia="en-GB"/>
          <w14:ligatures w14:val="none"/>
        </w:rPr>
      </w:pPr>
      <w:r>
        <w:rPr>
          <w:rFonts w:ascii="Times New Roman" w:hAnsi="Times New Roman"/>
          <w:sz w:val="24"/>
          <w:highlight w:val="yellow"/>
        </w:rPr>
        <w:t>The regression analysis examined the determinants of Tobin’s Q (TQ) using pooled OLS and Market Value per Share (MVPS) using fixed effects, with p &lt; 0.05 as the threshold for statistical significance. The tax-aggressiveness variables explained 8.9% of the variation in TQ (R2 = 0.089) and 5.0% of the variation in MVPS (R2 = 0.050). Nevertheless, both models were statistically significant overall, as indicated by their Wald chi-square p-values of 0.001 and 0.007, respectively. The Wooldridge test indicated no statistically significant autocorrelation in either model (p &gt; 0.05). The Breusch–Pagan test also indicated no statistically significant heteroscedasticity in the TQ model (p = 0.086). However, the MVPS model showed significant heteroscedasticity (p = 0.000); accordingly, robust standard errors were applied to support heteroscedasticity-robust inference.</w:t>
      </w:r>
    </w:p>
    <w:p w14:paraId="5E79F8EB" w14:textId="77777777" w:rsidR="008D5DCB" w:rsidRDefault="0020015B">
      <w:pPr>
        <w:spacing w:line="240" w:lineRule="auto"/>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4.3</w:t>
      </w:r>
      <w:r>
        <w:rPr>
          <w:rFonts w:ascii="Times New Roman" w:eastAsia="Calibri" w:hAnsi="Times New Roman" w:cs="Times New Roman"/>
          <w:b/>
          <w:kern w:val="0"/>
          <w:sz w:val="24"/>
          <w:szCs w:val="24"/>
          <w14:ligatures w14:val="none"/>
        </w:rPr>
        <w:tab/>
        <w:t>Discussion of findings</w:t>
      </w:r>
    </w:p>
    <w:p w14:paraId="084F28D7" w14:textId="77777777" w:rsidR="008D5DCB" w:rsidRDefault="0020015B">
      <w:pPr>
        <w:spacing w:line="240" w:lineRule="auto"/>
        <w:jc w:val="both"/>
        <w:rPr>
          <w:rFonts w:ascii="Times New Roman" w:hAnsi="Times New Roman" w:cs="Times New Roman"/>
          <w:sz w:val="24"/>
          <w:szCs w:val="24"/>
        </w:rPr>
      </w:pPr>
      <w:r>
        <w:rPr>
          <w:rFonts w:ascii="Times New Roman" w:hAnsi="Times New Roman"/>
          <w:sz w:val="24"/>
          <w:highlight w:val="yellow"/>
        </w:rPr>
        <w:t>The pooled OLS results indicate that tax aggressiveness had a statistically significant joint effect on the market performance of listed insurance companies in Nigeria, as shown by a Wald chi-square value of 4.65 (p = 0.001), leading to the rejection of the null hypothesis (H_01). Individually, Book–Tax Difference (BTD) had a negative and statistically significant effect on Tobin’s Q (p = 0.001), indicating that wider differences between financial-reporting profit and taxable income were associated with lower market valuation. From the perspective of Agency Theory (Jensen &amp; Meckling, 1976), investors may interpret large book–tax differences as indicators of lower earnings quality, regulatory exposure, and managerial opportunism. This interpretation is consistent with Khuong et al. (2020), Bougacha and Guedrib (2024), and Shubita (2024). Conversely, the Tax Savings Ratio (TSR) had a positive and statistically significant effect on Tobin’s Q (p = 0.013), indicating that higher realised tax savings were associated with improved firm value. Under Signalling Theory (Spence, 1973), efficient and legitimate fiscal planning may signal effective corporate oversight and preserve cash flows for insurance-capital requirements, thereby supporting investor confidence, as reported by Taufik et al. (2022) and Indawati and Rizkiyani (2025).</w:t>
      </w:r>
    </w:p>
    <w:p w14:paraId="5FDE6EEF" w14:textId="77777777" w:rsidR="00A57A87" w:rsidRPr="00A57A87" w:rsidRDefault="0020015B" w:rsidP="00A57A8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hAnsi="Times New Roman" w:cs="Times New Roman"/>
          <w:b/>
          <w:sz w:val="24"/>
          <w:szCs w:val="24"/>
        </w:rPr>
        <w:t>5.0</w:t>
      </w:r>
      <w:r>
        <w:rPr>
          <w:rFonts w:ascii="Times New Roman" w:hAnsi="Times New Roman" w:cs="Times New Roman"/>
          <w:b/>
          <w:sz w:val="24"/>
          <w:szCs w:val="24"/>
        </w:rPr>
        <w:tab/>
        <w:t xml:space="preserve"> </w:t>
      </w:r>
      <w:r w:rsidR="00A57A87" w:rsidRPr="00A57A87">
        <w:rPr>
          <w:rFonts w:ascii="Times New Roman" w:eastAsia="Times New Roman" w:hAnsi="Times New Roman" w:cs="Times New Roman"/>
          <w:b/>
          <w:bCs/>
          <w:kern w:val="0"/>
          <w:sz w:val="27"/>
          <w:szCs w:val="27"/>
          <w14:ligatures w14:val="none"/>
        </w:rPr>
        <w:t>Conclusion</w:t>
      </w:r>
    </w:p>
    <w:p w14:paraId="7352B4D1" w14:textId="77777777" w:rsidR="00A57A87" w:rsidRPr="00A57A87" w:rsidRDefault="00A57A87" w:rsidP="00A57A87">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hAnsi="Times New Roman"/>
          <w:sz w:val="24"/>
          <w:highlight w:val="yellow"/>
        </w:rPr>
        <w:t>The study assessed the relationship between tax aggressiveness and market performance among listed insurance companies in Nigeria. The findings indicate that tax aggressiveness has mixed implications for market valuation. Book–Tax Difference had a statistically significant negative effect on Tobin’s Q, suggesting that large differences between accounting profit and taxable income may raise investor concerns about reporting transparency, governance risk, and potential regulatory exposure. By contrast, the Tax Savings Ratio had a statistically significant positive effect on Tobin’s Q, implying that tax planning perceived as transparent and cash-efficient may support firm valuation. However, the Market Value per Share results were less consistent: the Tax Savings Ratio had a statistically significant negative effect, whereas the other tax-aggressiveness indicators were not statistically significant. These results suggest that the capital market may distinguish between opaque tax aggressiveness and legitimate tax-efficiency strategies. The findings should be interpreted cautiously because of inconsistencies in the reported data, low explanatory power, and the need for further robustness checks.</w:t>
      </w:r>
    </w:p>
    <w:p w14:paraId="46EFA8A4" w14:textId="77777777" w:rsidR="00A57A87" w:rsidRPr="00A57A87" w:rsidRDefault="00A57A87" w:rsidP="00A57A8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57A87">
        <w:rPr>
          <w:rFonts w:ascii="Times New Roman" w:eastAsia="Times New Roman" w:hAnsi="Times New Roman" w:cs="Times New Roman"/>
          <w:b/>
          <w:bCs/>
          <w:kern w:val="0"/>
          <w:sz w:val="27"/>
          <w:szCs w:val="27"/>
          <w14:ligatures w14:val="none"/>
        </w:rPr>
        <w:lastRenderedPageBreak/>
        <w:t>Limitation</w:t>
      </w:r>
    </w:p>
    <w:p w14:paraId="73257903" w14:textId="6F42A39E" w:rsidR="00A57A87" w:rsidRPr="00A57A87" w:rsidRDefault="00A57A87" w:rsidP="00A57A87">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hAnsi="Times New Roman"/>
          <w:sz w:val="24"/>
          <w:highlight w:val="yellow"/>
        </w:rPr>
        <w:t>The study relies on secondary financial-statement and market data, the accuracy of which depends on the quality of company reporting. The models have low explanatory power, indicating that other firm-specific, governance, and macroeconomic factors may influence market performance. Future research should use verified data and additional robustness tests.</w:t>
      </w:r>
    </w:p>
    <w:p w14:paraId="7FA05555" w14:textId="77777777" w:rsidR="00A57A87" w:rsidRPr="00A57A87" w:rsidRDefault="00A57A87" w:rsidP="00A57A87">
      <w:pPr>
        <w:spacing w:after="0" w:line="240" w:lineRule="auto"/>
        <w:rPr>
          <w:rFonts w:ascii="Times New Roman" w:eastAsia="Calibri" w:hAnsi="Times New Roman" w:cs="Times New Roman"/>
          <w:b/>
          <w:kern w:val="0"/>
          <w14:ligatures w14:val="none"/>
        </w:rPr>
      </w:pPr>
      <w:r w:rsidRPr="00A57A87">
        <w:rPr>
          <w:rFonts w:ascii="Times New Roman" w:eastAsia="Calibri" w:hAnsi="Times New Roman" w:cs="Times New Roman"/>
          <w:b/>
          <w:kern w:val="0"/>
          <w14:ligatures w14:val="none"/>
        </w:rPr>
        <w:t>Declaration of AI Use</w:t>
      </w:r>
    </w:p>
    <w:p w14:paraId="44F697CA" w14:textId="77777777" w:rsidR="00A57A87" w:rsidRPr="00A57A87" w:rsidRDefault="00A57A87" w:rsidP="00A57A87">
      <w:pPr>
        <w:spacing w:after="0" w:line="240" w:lineRule="auto"/>
        <w:rPr>
          <w:rFonts w:ascii="Times New Roman" w:eastAsia="Calibri" w:hAnsi="Times New Roman" w:cs="Times New Roman"/>
          <w:kern w:val="0"/>
          <w14:ligatures w14:val="none"/>
        </w:rPr>
      </w:pPr>
    </w:p>
    <w:p w14:paraId="4329E83D" w14:textId="77777777" w:rsidR="00A57A87" w:rsidRPr="00A57A87" w:rsidRDefault="00A57A87" w:rsidP="00A57A87">
      <w:pPr>
        <w:spacing w:after="0" w:line="240" w:lineRule="auto"/>
        <w:jc w:val="both"/>
        <w:rPr>
          <w:rFonts w:ascii="Times New Roman" w:eastAsia="Calibri" w:hAnsi="Times New Roman" w:cs="Times New Roman"/>
          <w:kern w:val="0"/>
          <w14:ligatures w14:val="none"/>
        </w:rPr>
      </w:pPr>
      <w:r>
        <w:rPr>
          <w:rFonts w:ascii="Times New Roman" w:hAnsi="Times New Roman"/>
          <w:highlight w:val="yellow"/>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and reference formatting. These AI-assisted tools were not used as authors and did not replace the intellectual contributions or scholarly judgement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9BF4D6B" w14:textId="77777777" w:rsidR="008D5DCB" w:rsidRDefault="008D5DCB" w:rsidP="00A57A87">
      <w:pPr>
        <w:spacing w:line="240" w:lineRule="auto"/>
        <w:jc w:val="both"/>
        <w:rPr>
          <w:rFonts w:ascii="Times New Roman" w:hAnsi="Times New Roman" w:cs="Times New Roman"/>
          <w:b/>
          <w:sz w:val="24"/>
          <w:szCs w:val="24"/>
        </w:rPr>
      </w:pPr>
    </w:p>
    <w:p w14:paraId="7B09D2DE" w14:textId="77777777" w:rsidR="008D5DCB" w:rsidRDefault="0020015B">
      <w:pPr>
        <w:spacing w:line="240" w:lineRule="auto"/>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t xml:space="preserve"> Recommendations</w:t>
      </w:r>
    </w:p>
    <w:p w14:paraId="42EB760D" w14:textId="77777777" w:rsidR="008D5DCB" w:rsidRDefault="0020015B">
      <w:pPr>
        <w:spacing w:after="0" w:line="240" w:lineRule="auto"/>
        <w:jc w:val="both"/>
        <w:rPr>
          <w:rFonts w:ascii="Times New Roman" w:hAnsi="Times New Roman" w:cs="Times New Roman"/>
          <w:sz w:val="24"/>
          <w:szCs w:val="24"/>
        </w:rPr>
      </w:pPr>
      <w:r>
        <w:rPr>
          <w:rFonts w:ascii="Times New Roman" w:hAnsi="Times New Roman"/>
          <w:sz w:val="24"/>
          <w:highlight w:val="yellow"/>
        </w:rPr>
        <w:t>In line with the objectives and conclusions of this study, the following policy and corporate recommendations are provided:</w:t>
      </w:r>
    </w:p>
    <w:p w14:paraId="5E1C9DAC" w14:textId="77777777" w:rsidR="008D5DCB" w:rsidRDefault="0020015B">
      <w:pPr>
        <w:spacing w:line="240" w:lineRule="auto"/>
        <w:jc w:val="both"/>
        <w:rPr>
          <w:rFonts w:ascii="Times New Roman" w:hAnsi="Times New Roman" w:cs="Times New Roman"/>
          <w:sz w:val="24"/>
          <w:szCs w:val="24"/>
        </w:rPr>
      </w:pPr>
      <w:r>
        <w:rPr>
          <w:rFonts w:ascii="Times New Roman" w:hAnsi="Times New Roman"/>
          <w:sz w:val="24"/>
          <w:highlight w:val="yellow"/>
        </w:rPr>
        <w:t>To Corporate Managers and Boards of Directors: Insurers should move away from aggressive book–tax adjustments that distort fiscal reporting and instead develop transparent, legitimate tax-planning frameworks that improve the Tax Savings Ratio. Corporate tax choices should be treated as important market-communication signals that require proactive disclosure to protect institutional legitimacy and maintain investor confidence. To Regulatory Authorities (NAICOM and FIRS): The National Insurance Commission (NAICOM) and the Federal Inland Revenue Service (FIRS) should jointly establish unified and transparent tax-reporting templates for financial institutions. This alignment may minimise unnecessary differences between financial and fiscal accounting, reduce information asymmetry, and protect shareholder wealth during industry consolidation.</w:t>
      </w:r>
    </w:p>
    <w:p w14:paraId="0AD9BE3B" w14:textId="77777777" w:rsidR="008D5DCB" w:rsidRDefault="0020015B">
      <w:pPr>
        <w:spacing w:after="0" w:line="240" w:lineRule="auto"/>
        <w:ind w:left="720" w:hanging="720"/>
        <w:jc w:val="center"/>
        <w:rPr>
          <w:rStyle w:val="c-bibliographic-informationvalue"/>
          <w:rFonts w:ascii="Times New Roman" w:hAnsi="Times New Roman" w:cs="Times New Roman"/>
          <w:sz w:val="24"/>
          <w:szCs w:val="24"/>
        </w:rPr>
      </w:pPr>
      <w:r>
        <w:rPr>
          <w:rStyle w:val="c-bibliographic-informationvalue"/>
          <w:rFonts w:ascii="Times New Roman" w:hAnsi="Times New Roman" w:cs="Times New Roman"/>
          <w:sz w:val="24"/>
          <w:szCs w:val="24"/>
        </w:rPr>
        <w:t>References</w:t>
      </w:r>
    </w:p>
    <w:p w14:paraId="7889885A" w14:textId="61F9C97F" w:rsidR="000B029A" w:rsidRPr="008F2879"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F2879">
        <w:rPr>
          <w:rFonts w:ascii="Times New Roman" w:eastAsia="Times New Roman" w:hAnsi="Times New Roman" w:cs="Times New Roman"/>
          <w:kern w:val="0"/>
          <w:sz w:val="24"/>
          <w:szCs w:val="24"/>
          <w14:ligatures w14:val="none"/>
        </w:rPr>
        <w:t xml:space="preserve">Claessens, S., &amp; </w:t>
      </w:r>
      <w:proofErr w:type="spellStart"/>
      <w:r w:rsidRPr="008F2879">
        <w:rPr>
          <w:rFonts w:ascii="Times New Roman" w:eastAsia="Times New Roman" w:hAnsi="Times New Roman" w:cs="Times New Roman"/>
          <w:kern w:val="0"/>
          <w:sz w:val="24"/>
          <w:szCs w:val="24"/>
          <w14:ligatures w14:val="none"/>
        </w:rPr>
        <w:t>Yurtoglu</w:t>
      </w:r>
      <w:proofErr w:type="spellEnd"/>
      <w:r w:rsidRPr="008F2879">
        <w:rPr>
          <w:rFonts w:ascii="Times New Roman" w:eastAsia="Times New Roman" w:hAnsi="Times New Roman" w:cs="Times New Roman"/>
          <w:kern w:val="0"/>
          <w:sz w:val="24"/>
          <w:szCs w:val="24"/>
          <w14:ligatures w14:val="none"/>
        </w:rPr>
        <w:t xml:space="preserve">, B. B. (2013). Corporate governance in emerging markets: A survey. </w:t>
      </w:r>
      <w:r w:rsidRPr="008F2879">
        <w:rPr>
          <w:rFonts w:ascii="Times New Roman" w:eastAsia="Times New Roman" w:hAnsi="Times New Roman" w:cs="Times New Roman"/>
          <w:i/>
          <w:iCs/>
          <w:kern w:val="0"/>
          <w:sz w:val="24"/>
          <w:szCs w:val="24"/>
          <w14:ligatures w14:val="none"/>
        </w:rPr>
        <w:t>Emerging Markets Review, 15</w:t>
      </w:r>
      <w:r w:rsidRPr="008F2879">
        <w:rPr>
          <w:rFonts w:ascii="Times New Roman" w:eastAsia="Times New Roman" w:hAnsi="Times New Roman" w:cs="Times New Roman"/>
          <w:kern w:val="0"/>
          <w:sz w:val="24"/>
          <w:szCs w:val="24"/>
          <w14:ligatures w14:val="none"/>
        </w:rPr>
        <w:t xml:space="preserve">, 1–33. </w:t>
      </w:r>
      <w:hyperlink r:id="rId8" w:history="1">
        <w:r w:rsidRPr="008F2879">
          <w:rPr>
            <w:rFonts w:ascii="Times New Roman" w:eastAsia="Times New Roman" w:hAnsi="Times New Roman" w:cs="Times New Roman"/>
            <w:color w:val="0000FF"/>
            <w:kern w:val="0"/>
            <w:sz w:val="24"/>
            <w:szCs w:val="24"/>
            <w:u w:val="single"/>
            <w14:ligatures w14:val="none"/>
          </w:rPr>
          <w:t>https://doi.org/10.1016/j.ememar.2012.03.002</w:t>
        </w:r>
      </w:hyperlink>
    </w:p>
    <w:p w14:paraId="4F40CDBF"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Abdullah, Hashmi, M. A., Mateen, A., Badshah, Y. A., &amp; Iqbal, M. S. (2022). Does tax aggressiveness and cost of debt affect firm performance? The moderating role of political connections. </w:t>
      </w:r>
      <w:r w:rsidRPr="000B029A">
        <w:rPr>
          <w:rFonts w:ascii="Times New Roman" w:eastAsia="Times New Roman" w:hAnsi="Times New Roman" w:cs="Times New Roman"/>
          <w:i/>
          <w:iCs/>
          <w:kern w:val="0"/>
          <w:sz w:val="24"/>
          <w:szCs w:val="24"/>
          <w14:ligatures w14:val="none"/>
        </w:rPr>
        <w:t>Cogent Economics &amp; Finance, 10</w:t>
      </w:r>
      <w:r w:rsidRPr="000B029A">
        <w:rPr>
          <w:rFonts w:ascii="Times New Roman" w:eastAsia="Times New Roman" w:hAnsi="Times New Roman" w:cs="Times New Roman"/>
          <w:kern w:val="0"/>
          <w:sz w:val="24"/>
          <w:szCs w:val="24"/>
          <w14:ligatures w14:val="none"/>
        </w:rPr>
        <w:t xml:space="preserve">(1), Article 2132645. </w:t>
      </w:r>
      <w:hyperlink r:id="rId9" w:history="1">
        <w:r w:rsidRPr="000B029A">
          <w:rPr>
            <w:rFonts w:ascii="Times New Roman" w:eastAsia="Times New Roman" w:hAnsi="Times New Roman" w:cs="Times New Roman"/>
            <w:color w:val="0000FF"/>
            <w:kern w:val="0"/>
            <w:sz w:val="24"/>
            <w:szCs w:val="24"/>
            <w:u w:val="single"/>
            <w14:ligatures w14:val="none"/>
          </w:rPr>
          <w:t>https://doi.org/10.1080/23322039.2022.2132645</w:t>
        </w:r>
      </w:hyperlink>
    </w:p>
    <w:p w14:paraId="0421E558"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Adegbite, T. A. (2025). Audit quality and tax aggressiveness: Financial service companies overview. </w:t>
      </w:r>
      <w:proofErr w:type="spellStart"/>
      <w:r w:rsidRPr="000B029A">
        <w:rPr>
          <w:rFonts w:ascii="Times New Roman" w:eastAsia="Times New Roman" w:hAnsi="Times New Roman" w:cs="Times New Roman"/>
          <w:i/>
          <w:iCs/>
          <w:kern w:val="0"/>
          <w:sz w:val="24"/>
          <w:szCs w:val="24"/>
          <w14:ligatures w14:val="none"/>
        </w:rPr>
        <w:t>Jurnal</w:t>
      </w:r>
      <w:proofErr w:type="spellEnd"/>
      <w:r w:rsidRPr="000B029A">
        <w:rPr>
          <w:rFonts w:ascii="Times New Roman" w:eastAsia="Times New Roman" w:hAnsi="Times New Roman" w:cs="Times New Roman"/>
          <w:i/>
          <w:iCs/>
          <w:kern w:val="0"/>
          <w:sz w:val="24"/>
          <w:szCs w:val="24"/>
          <w14:ligatures w14:val="none"/>
        </w:rPr>
        <w:t xml:space="preserve"> </w:t>
      </w:r>
      <w:proofErr w:type="spellStart"/>
      <w:r w:rsidRPr="000B029A">
        <w:rPr>
          <w:rFonts w:ascii="Times New Roman" w:eastAsia="Times New Roman" w:hAnsi="Times New Roman" w:cs="Times New Roman"/>
          <w:i/>
          <w:iCs/>
          <w:kern w:val="0"/>
          <w:sz w:val="24"/>
          <w:szCs w:val="24"/>
          <w14:ligatures w14:val="none"/>
        </w:rPr>
        <w:t>Akuntansi</w:t>
      </w:r>
      <w:proofErr w:type="spellEnd"/>
      <w:r w:rsidRPr="000B029A">
        <w:rPr>
          <w:rFonts w:ascii="Times New Roman" w:eastAsia="Times New Roman" w:hAnsi="Times New Roman" w:cs="Times New Roman"/>
          <w:i/>
          <w:iCs/>
          <w:kern w:val="0"/>
          <w:sz w:val="24"/>
          <w:szCs w:val="24"/>
          <w14:ligatures w14:val="none"/>
        </w:rPr>
        <w:t>, 17</w:t>
      </w:r>
      <w:r w:rsidRPr="000B029A">
        <w:rPr>
          <w:rFonts w:ascii="Times New Roman" w:eastAsia="Times New Roman" w:hAnsi="Times New Roman" w:cs="Times New Roman"/>
          <w:kern w:val="0"/>
          <w:sz w:val="24"/>
          <w:szCs w:val="24"/>
          <w14:ligatures w14:val="none"/>
        </w:rPr>
        <w:t xml:space="preserve">(1), 15–35. </w:t>
      </w:r>
      <w:hyperlink r:id="rId10" w:history="1">
        <w:r w:rsidRPr="000B029A">
          <w:rPr>
            <w:rFonts w:ascii="Times New Roman" w:eastAsia="Times New Roman" w:hAnsi="Times New Roman" w:cs="Times New Roman"/>
            <w:color w:val="0000FF"/>
            <w:kern w:val="0"/>
            <w:sz w:val="24"/>
            <w:szCs w:val="24"/>
            <w:u w:val="single"/>
            <w14:ligatures w14:val="none"/>
          </w:rPr>
          <w:t>https://doi.org/10.28932/jam.v17i1.11219</w:t>
        </w:r>
      </w:hyperlink>
    </w:p>
    <w:p w14:paraId="236802FD"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Adem, M., &amp; Dsouza, P. K. (2024). Impact of board characteristics on firm performance: Evidence from Ethiopian microfinance institutions. </w:t>
      </w:r>
      <w:r w:rsidRPr="000B029A">
        <w:rPr>
          <w:rFonts w:ascii="Times New Roman" w:eastAsia="Times New Roman" w:hAnsi="Times New Roman" w:cs="Times New Roman"/>
          <w:i/>
          <w:iCs/>
          <w:kern w:val="0"/>
          <w:sz w:val="24"/>
          <w:szCs w:val="24"/>
          <w14:ligatures w14:val="none"/>
        </w:rPr>
        <w:t>Global Business Review</w:t>
      </w:r>
      <w:r w:rsidRPr="000B029A">
        <w:rPr>
          <w:rFonts w:ascii="Times New Roman" w:eastAsia="Times New Roman" w:hAnsi="Times New Roman" w:cs="Times New Roman"/>
          <w:kern w:val="0"/>
          <w:sz w:val="24"/>
          <w:szCs w:val="24"/>
          <w14:ligatures w14:val="none"/>
        </w:rPr>
        <w:t xml:space="preserve">. Advance online publication. </w:t>
      </w:r>
      <w:hyperlink r:id="rId11" w:history="1">
        <w:r w:rsidRPr="000B029A">
          <w:rPr>
            <w:rFonts w:ascii="Times New Roman" w:eastAsia="Times New Roman" w:hAnsi="Times New Roman" w:cs="Times New Roman"/>
            <w:color w:val="0000FF"/>
            <w:kern w:val="0"/>
            <w:sz w:val="24"/>
            <w:szCs w:val="24"/>
            <w:u w:val="single"/>
            <w14:ligatures w14:val="none"/>
          </w:rPr>
          <w:t>https://doi.org/10.1177/09721509241276957</w:t>
        </w:r>
      </w:hyperlink>
    </w:p>
    <w:p w14:paraId="68476937"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lastRenderedPageBreak/>
        <w:t xml:space="preserve">Aguilera, R. V., Aragón-Correa, J. A., Marano, V., &amp; Tashman, P. A. (2021). The corporate governance of environmental sustainability: A review and proposal for more integrated research. </w:t>
      </w:r>
      <w:r w:rsidRPr="000B029A">
        <w:rPr>
          <w:rFonts w:ascii="Times New Roman" w:eastAsia="Times New Roman" w:hAnsi="Times New Roman" w:cs="Times New Roman"/>
          <w:i/>
          <w:iCs/>
          <w:kern w:val="0"/>
          <w:sz w:val="24"/>
          <w:szCs w:val="24"/>
          <w14:ligatures w14:val="none"/>
        </w:rPr>
        <w:t>Journal of Management, 47</w:t>
      </w:r>
      <w:r w:rsidRPr="000B029A">
        <w:rPr>
          <w:rFonts w:ascii="Times New Roman" w:eastAsia="Times New Roman" w:hAnsi="Times New Roman" w:cs="Times New Roman"/>
          <w:kern w:val="0"/>
          <w:sz w:val="24"/>
          <w:szCs w:val="24"/>
          <w14:ligatures w14:val="none"/>
        </w:rPr>
        <w:t xml:space="preserve">(6), 1468–1497. </w:t>
      </w:r>
      <w:hyperlink r:id="rId12" w:history="1">
        <w:r w:rsidRPr="000B029A">
          <w:rPr>
            <w:rFonts w:ascii="Times New Roman" w:eastAsia="Times New Roman" w:hAnsi="Times New Roman" w:cs="Times New Roman"/>
            <w:color w:val="0000FF"/>
            <w:kern w:val="0"/>
            <w:sz w:val="24"/>
            <w:szCs w:val="24"/>
            <w:u w:val="single"/>
            <w14:ligatures w14:val="none"/>
          </w:rPr>
          <w:t>https://doi.org/10.1177/0149206321991212</w:t>
        </w:r>
      </w:hyperlink>
    </w:p>
    <w:p w14:paraId="169C63DC" w14:textId="5F20058F" w:rsidR="000B029A" w:rsidRPr="001227DB"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1227DB">
        <w:rPr>
          <w:rFonts w:ascii="Times New Roman" w:eastAsia="Times New Roman" w:hAnsi="Times New Roman" w:cs="Times New Roman"/>
          <w:kern w:val="0"/>
          <w:sz w:val="24"/>
          <w:szCs w:val="24"/>
          <w14:ligatures w14:val="none"/>
        </w:rPr>
        <w:t>Olutimehin</w:t>
      </w:r>
      <w:proofErr w:type="spellEnd"/>
      <w:r w:rsidRPr="001227DB">
        <w:rPr>
          <w:rFonts w:ascii="Times New Roman" w:eastAsia="Times New Roman" w:hAnsi="Times New Roman" w:cs="Times New Roman"/>
          <w:kern w:val="0"/>
          <w:sz w:val="24"/>
          <w:szCs w:val="24"/>
          <w14:ligatures w14:val="none"/>
        </w:rPr>
        <w:t xml:space="preserve">, D. O., </w:t>
      </w:r>
      <w:proofErr w:type="spellStart"/>
      <w:r w:rsidRPr="001227DB">
        <w:rPr>
          <w:rFonts w:ascii="Times New Roman" w:eastAsia="Times New Roman" w:hAnsi="Times New Roman" w:cs="Times New Roman"/>
          <w:kern w:val="0"/>
          <w:sz w:val="24"/>
          <w:szCs w:val="24"/>
          <w14:ligatures w14:val="none"/>
        </w:rPr>
        <w:t>Ofodile</w:t>
      </w:r>
      <w:proofErr w:type="spellEnd"/>
      <w:r w:rsidRPr="001227DB">
        <w:rPr>
          <w:rFonts w:ascii="Times New Roman" w:eastAsia="Times New Roman" w:hAnsi="Times New Roman" w:cs="Times New Roman"/>
          <w:kern w:val="0"/>
          <w:sz w:val="24"/>
          <w:szCs w:val="24"/>
          <w14:ligatures w14:val="none"/>
        </w:rPr>
        <w:t xml:space="preserve">, O. C., Ugochukwu, C. E., &amp; Nwankwo, E. E. (2024). Corporate governance and stakeholder engagement in Nigerian enterprises: A review of current practices and future directions. </w:t>
      </w:r>
      <w:r w:rsidRPr="001227DB">
        <w:rPr>
          <w:rFonts w:ascii="Times New Roman" w:eastAsia="Times New Roman" w:hAnsi="Times New Roman" w:cs="Times New Roman"/>
          <w:i/>
          <w:iCs/>
          <w:kern w:val="0"/>
          <w:sz w:val="24"/>
          <w:szCs w:val="24"/>
          <w14:ligatures w14:val="none"/>
        </w:rPr>
        <w:t>World Journal of Advanced Research and Reviews, 21</w:t>
      </w:r>
      <w:r w:rsidRPr="001227DB">
        <w:rPr>
          <w:rFonts w:ascii="Times New Roman" w:eastAsia="Times New Roman" w:hAnsi="Times New Roman" w:cs="Times New Roman"/>
          <w:kern w:val="0"/>
          <w:sz w:val="24"/>
          <w:szCs w:val="24"/>
          <w14:ligatures w14:val="none"/>
        </w:rPr>
        <w:t xml:space="preserve">(3), 736–742. </w:t>
      </w:r>
      <w:hyperlink r:id="rId13" w:history="1">
        <w:r w:rsidRPr="001227DB">
          <w:rPr>
            <w:rFonts w:ascii="Times New Roman" w:eastAsia="Times New Roman" w:hAnsi="Times New Roman" w:cs="Times New Roman"/>
            <w:color w:val="0000FF"/>
            <w:kern w:val="0"/>
            <w:sz w:val="24"/>
            <w:szCs w:val="24"/>
            <w:u w:val="single"/>
            <w14:ligatures w14:val="none"/>
          </w:rPr>
          <w:t>https://doi.org/10.30574/wjarr.2024.21.3.0737</w:t>
        </w:r>
      </w:hyperlink>
    </w:p>
    <w:p w14:paraId="08AFB296"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Alam, S., Das, S. K., Dey, P. K., </w:t>
      </w:r>
      <w:proofErr w:type="spellStart"/>
      <w:r w:rsidRPr="000B029A">
        <w:rPr>
          <w:rFonts w:ascii="Times New Roman" w:eastAsia="Times New Roman" w:hAnsi="Times New Roman" w:cs="Times New Roman"/>
          <w:kern w:val="0"/>
          <w:sz w:val="24"/>
          <w:szCs w:val="24"/>
          <w14:ligatures w14:val="none"/>
        </w:rPr>
        <w:t>Jabed</w:t>
      </w:r>
      <w:proofErr w:type="spellEnd"/>
      <w:r w:rsidRPr="000B029A">
        <w:rPr>
          <w:rFonts w:ascii="Times New Roman" w:eastAsia="Times New Roman" w:hAnsi="Times New Roman" w:cs="Times New Roman"/>
          <w:kern w:val="0"/>
          <w:sz w:val="24"/>
          <w:szCs w:val="24"/>
          <w14:ligatures w14:val="none"/>
        </w:rPr>
        <w:t xml:space="preserve">, A. S., &amp; Hossain, S. Z. (2025). Does board expertise impact firm performance? Evidence from an emerging economy. </w:t>
      </w:r>
      <w:r w:rsidRPr="000B029A">
        <w:rPr>
          <w:rFonts w:ascii="Times New Roman" w:eastAsia="Times New Roman" w:hAnsi="Times New Roman" w:cs="Times New Roman"/>
          <w:i/>
          <w:iCs/>
          <w:kern w:val="0"/>
          <w:sz w:val="24"/>
          <w:szCs w:val="24"/>
          <w14:ligatures w14:val="none"/>
        </w:rPr>
        <w:t>International Journal of Disclosure and Governance, 22</w:t>
      </w:r>
      <w:r w:rsidRPr="000B029A">
        <w:rPr>
          <w:rFonts w:ascii="Times New Roman" w:eastAsia="Times New Roman" w:hAnsi="Times New Roman" w:cs="Times New Roman"/>
          <w:kern w:val="0"/>
          <w:sz w:val="24"/>
          <w:szCs w:val="24"/>
          <w14:ligatures w14:val="none"/>
        </w:rPr>
        <w:t xml:space="preserve">, 1054–1071. </w:t>
      </w:r>
      <w:hyperlink r:id="rId14" w:history="1">
        <w:r w:rsidRPr="000B029A">
          <w:rPr>
            <w:rFonts w:ascii="Times New Roman" w:eastAsia="Times New Roman" w:hAnsi="Times New Roman" w:cs="Times New Roman"/>
            <w:color w:val="0000FF"/>
            <w:kern w:val="0"/>
            <w:sz w:val="24"/>
            <w:szCs w:val="24"/>
            <w:u w:val="single"/>
            <w14:ligatures w14:val="none"/>
          </w:rPr>
          <w:t>https://doi.org/10.1057/s41310-025-00289-0</w:t>
        </w:r>
      </w:hyperlink>
    </w:p>
    <w:p w14:paraId="5762D8CB"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Alduneibat</w:t>
      </w:r>
      <w:proofErr w:type="spellEnd"/>
      <w:r w:rsidRPr="000B029A">
        <w:rPr>
          <w:rFonts w:ascii="Times New Roman" w:eastAsia="Times New Roman" w:hAnsi="Times New Roman" w:cs="Times New Roman"/>
          <w:kern w:val="0"/>
          <w:sz w:val="24"/>
          <w:szCs w:val="24"/>
          <w14:ligatures w14:val="none"/>
        </w:rPr>
        <w:t xml:space="preserve">, K. A. (2023). The effect of risk management committee characteristics on a company’s performance in an emerging country. </w:t>
      </w:r>
      <w:r w:rsidRPr="000B029A">
        <w:rPr>
          <w:rFonts w:ascii="Times New Roman" w:eastAsia="Times New Roman" w:hAnsi="Times New Roman" w:cs="Times New Roman"/>
          <w:i/>
          <w:iCs/>
          <w:kern w:val="0"/>
          <w:sz w:val="24"/>
          <w:szCs w:val="24"/>
          <w14:ligatures w14:val="none"/>
        </w:rPr>
        <w:t>Journal of Governance &amp; Regulation, 12</w:t>
      </w:r>
      <w:r w:rsidRPr="000B029A">
        <w:rPr>
          <w:rFonts w:ascii="Times New Roman" w:eastAsia="Times New Roman" w:hAnsi="Times New Roman" w:cs="Times New Roman"/>
          <w:kern w:val="0"/>
          <w:sz w:val="24"/>
          <w:szCs w:val="24"/>
          <w14:ligatures w14:val="none"/>
        </w:rPr>
        <w:t xml:space="preserve">(1), 376–386. </w:t>
      </w:r>
      <w:hyperlink r:id="rId15" w:history="1">
        <w:r w:rsidRPr="000B029A">
          <w:rPr>
            <w:rFonts w:ascii="Times New Roman" w:eastAsia="Times New Roman" w:hAnsi="Times New Roman" w:cs="Times New Roman"/>
            <w:color w:val="0000FF"/>
            <w:kern w:val="0"/>
            <w:sz w:val="24"/>
            <w:szCs w:val="24"/>
            <w:u w:val="single"/>
            <w14:ligatures w14:val="none"/>
          </w:rPr>
          <w:t>https://doi.org/10.22495/jgrv12i1siart16</w:t>
        </w:r>
      </w:hyperlink>
    </w:p>
    <w:p w14:paraId="0623B559"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Amri, K., Ben Mrad Douagi, F. W., &amp; </w:t>
      </w:r>
      <w:proofErr w:type="spellStart"/>
      <w:r w:rsidRPr="000B029A">
        <w:rPr>
          <w:rFonts w:ascii="Times New Roman" w:eastAsia="Times New Roman" w:hAnsi="Times New Roman" w:cs="Times New Roman"/>
          <w:kern w:val="0"/>
          <w:sz w:val="24"/>
          <w:szCs w:val="24"/>
          <w14:ligatures w14:val="none"/>
        </w:rPr>
        <w:t>Guedrib</w:t>
      </w:r>
      <w:proofErr w:type="spellEnd"/>
      <w:r w:rsidRPr="000B029A">
        <w:rPr>
          <w:rFonts w:ascii="Times New Roman" w:eastAsia="Times New Roman" w:hAnsi="Times New Roman" w:cs="Times New Roman"/>
          <w:kern w:val="0"/>
          <w:sz w:val="24"/>
          <w:szCs w:val="24"/>
          <w14:ligatures w14:val="none"/>
        </w:rPr>
        <w:t xml:space="preserve">, M. (2023). The impact of internal and external corporate governance mechanisms on tax aggressiveness: Evidence from Tunisia. </w:t>
      </w:r>
      <w:r w:rsidRPr="000B029A">
        <w:rPr>
          <w:rFonts w:ascii="Times New Roman" w:eastAsia="Times New Roman" w:hAnsi="Times New Roman" w:cs="Times New Roman"/>
          <w:i/>
          <w:iCs/>
          <w:kern w:val="0"/>
          <w:sz w:val="24"/>
          <w:szCs w:val="24"/>
          <w14:ligatures w14:val="none"/>
        </w:rPr>
        <w:t>Journal of Accounting in Emerging Economies, 13</w:t>
      </w:r>
      <w:r w:rsidRPr="000B029A">
        <w:rPr>
          <w:rFonts w:ascii="Times New Roman" w:eastAsia="Times New Roman" w:hAnsi="Times New Roman" w:cs="Times New Roman"/>
          <w:kern w:val="0"/>
          <w:sz w:val="24"/>
          <w:szCs w:val="24"/>
          <w14:ligatures w14:val="none"/>
        </w:rPr>
        <w:t xml:space="preserve">(1), 43–68. </w:t>
      </w:r>
      <w:hyperlink r:id="rId16" w:history="1">
        <w:r w:rsidRPr="000B029A">
          <w:rPr>
            <w:rFonts w:ascii="Times New Roman" w:eastAsia="Times New Roman" w:hAnsi="Times New Roman" w:cs="Times New Roman"/>
            <w:color w:val="0000FF"/>
            <w:kern w:val="0"/>
            <w:sz w:val="24"/>
            <w:szCs w:val="24"/>
            <w:u w:val="single"/>
            <w14:ligatures w14:val="none"/>
          </w:rPr>
          <w:t>https://doi.org/10.1108/JAEE-01-2021-0019</w:t>
        </w:r>
      </w:hyperlink>
    </w:p>
    <w:p w14:paraId="22F0C364"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Apriyanti</w:t>
      </w:r>
      <w:proofErr w:type="spellEnd"/>
      <w:r w:rsidRPr="000B029A">
        <w:rPr>
          <w:rFonts w:ascii="Times New Roman" w:eastAsia="Times New Roman" w:hAnsi="Times New Roman" w:cs="Times New Roman"/>
          <w:kern w:val="0"/>
          <w:sz w:val="24"/>
          <w:szCs w:val="24"/>
          <w14:ligatures w14:val="none"/>
        </w:rPr>
        <w:t xml:space="preserve">, H. W., &amp; Arifin, M. (2021). Tax aggressiveness determinants. </w:t>
      </w:r>
      <w:r w:rsidRPr="000B029A">
        <w:rPr>
          <w:rFonts w:ascii="Times New Roman" w:eastAsia="Times New Roman" w:hAnsi="Times New Roman" w:cs="Times New Roman"/>
          <w:i/>
          <w:iCs/>
          <w:kern w:val="0"/>
          <w:sz w:val="24"/>
          <w:szCs w:val="24"/>
          <w14:ligatures w14:val="none"/>
        </w:rPr>
        <w:t>Journal of Islamic Accounting and Finance Research, 3</w:t>
      </w:r>
      <w:r w:rsidRPr="000B029A">
        <w:rPr>
          <w:rFonts w:ascii="Times New Roman" w:eastAsia="Times New Roman" w:hAnsi="Times New Roman" w:cs="Times New Roman"/>
          <w:kern w:val="0"/>
          <w:sz w:val="24"/>
          <w:szCs w:val="24"/>
          <w14:ligatures w14:val="none"/>
        </w:rPr>
        <w:t xml:space="preserve">(1), 27–52. </w:t>
      </w:r>
      <w:hyperlink r:id="rId17" w:history="1">
        <w:r w:rsidRPr="000B029A">
          <w:rPr>
            <w:rFonts w:ascii="Times New Roman" w:eastAsia="Times New Roman" w:hAnsi="Times New Roman" w:cs="Times New Roman"/>
            <w:color w:val="0000FF"/>
            <w:kern w:val="0"/>
            <w:sz w:val="24"/>
            <w:szCs w:val="24"/>
            <w:u w:val="single"/>
            <w14:ligatures w14:val="none"/>
          </w:rPr>
          <w:t>https://doi.org/10.21580/jiafr.2021.3.1.7412</w:t>
        </w:r>
      </w:hyperlink>
    </w:p>
    <w:p w14:paraId="0984A5AE"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Aryan, L. I. A. (2023). The impact of tax aggressiveness and gender diversity on the corporate social responsibilities of listed firm in Jordan. </w:t>
      </w:r>
      <w:r w:rsidRPr="000B029A">
        <w:rPr>
          <w:rFonts w:ascii="Times New Roman" w:eastAsia="Times New Roman" w:hAnsi="Times New Roman" w:cs="Times New Roman"/>
          <w:i/>
          <w:iCs/>
          <w:kern w:val="0"/>
          <w:sz w:val="24"/>
          <w:szCs w:val="24"/>
          <w14:ligatures w14:val="none"/>
        </w:rPr>
        <w:t>International Journal of Professional Business Review, 8</w:t>
      </w:r>
      <w:r w:rsidRPr="000B029A">
        <w:rPr>
          <w:rFonts w:ascii="Times New Roman" w:eastAsia="Times New Roman" w:hAnsi="Times New Roman" w:cs="Times New Roman"/>
          <w:kern w:val="0"/>
          <w:sz w:val="24"/>
          <w:szCs w:val="24"/>
          <w14:ligatures w14:val="none"/>
        </w:rPr>
        <w:t xml:space="preserve">(4), Article e01852. </w:t>
      </w:r>
      <w:hyperlink r:id="rId18" w:history="1">
        <w:r w:rsidRPr="000B029A">
          <w:rPr>
            <w:rFonts w:ascii="Times New Roman" w:eastAsia="Times New Roman" w:hAnsi="Times New Roman" w:cs="Times New Roman"/>
            <w:color w:val="0000FF"/>
            <w:kern w:val="0"/>
            <w:sz w:val="24"/>
            <w:szCs w:val="24"/>
            <w:u w:val="single"/>
            <w14:ligatures w14:val="none"/>
          </w:rPr>
          <w:t>https://doi.org/10.26668/businessreview/2023.v8i4.511</w:t>
        </w:r>
      </w:hyperlink>
    </w:p>
    <w:p w14:paraId="40D4A93A"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Astrina, F., Sunardi, &amp; Pertiwi, A. P. (2024). The effect of liquidity and capital intensity on tax aggressiveness. </w:t>
      </w:r>
      <w:r w:rsidRPr="000B029A">
        <w:rPr>
          <w:rFonts w:ascii="Times New Roman" w:eastAsia="Times New Roman" w:hAnsi="Times New Roman" w:cs="Times New Roman"/>
          <w:i/>
          <w:iCs/>
          <w:kern w:val="0"/>
          <w:sz w:val="24"/>
          <w:szCs w:val="24"/>
          <w14:ligatures w14:val="none"/>
        </w:rPr>
        <w:t>Asian Journal of Economics, Business and Accounting, 24</w:t>
      </w:r>
      <w:r w:rsidRPr="000B029A">
        <w:rPr>
          <w:rFonts w:ascii="Times New Roman" w:eastAsia="Times New Roman" w:hAnsi="Times New Roman" w:cs="Times New Roman"/>
          <w:kern w:val="0"/>
          <w:sz w:val="24"/>
          <w:szCs w:val="24"/>
          <w14:ligatures w14:val="none"/>
        </w:rPr>
        <w:t xml:space="preserve">(4), 93–105. </w:t>
      </w:r>
      <w:hyperlink r:id="rId19" w:history="1">
        <w:r w:rsidRPr="000B029A">
          <w:rPr>
            <w:rFonts w:ascii="Times New Roman" w:eastAsia="Times New Roman" w:hAnsi="Times New Roman" w:cs="Times New Roman"/>
            <w:color w:val="0000FF"/>
            <w:kern w:val="0"/>
            <w:sz w:val="24"/>
            <w:szCs w:val="24"/>
            <w:u w:val="single"/>
            <w14:ligatures w14:val="none"/>
          </w:rPr>
          <w:t>https://doi.org/10.9734/ajeba/2024/v24i41267</w:t>
        </w:r>
      </w:hyperlink>
    </w:p>
    <w:p w14:paraId="396CE592"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Audi, M., Poulin, M., Ahmad, K., &amp; Ali, A. (2025). </w:t>
      </w:r>
      <w:r w:rsidRPr="000B029A">
        <w:rPr>
          <w:rFonts w:ascii="Times New Roman" w:eastAsia="Times New Roman" w:hAnsi="Times New Roman" w:cs="Times New Roman"/>
          <w:i/>
          <w:iCs/>
          <w:kern w:val="0"/>
          <w:sz w:val="24"/>
          <w:szCs w:val="24"/>
          <w14:ligatures w14:val="none"/>
        </w:rPr>
        <w:t>Quantile analysis of oil price shocks and stock market performance: A European perspective</w:t>
      </w:r>
      <w:r w:rsidRPr="000B029A">
        <w:rPr>
          <w:rFonts w:ascii="Times New Roman" w:eastAsia="Times New Roman" w:hAnsi="Times New Roman" w:cs="Times New Roman"/>
          <w:kern w:val="0"/>
          <w:sz w:val="24"/>
          <w:szCs w:val="24"/>
          <w14:ligatures w14:val="none"/>
        </w:rPr>
        <w:t xml:space="preserve"> (MPRA Paper No. 124295). Munich Personal </w:t>
      </w:r>
      <w:proofErr w:type="spellStart"/>
      <w:r w:rsidRPr="000B029A">
        <w:rPr>
          <w:rFonts w:ascii="Times New Roman" w:eastAsia="Times New Roman" w:hAnsi="Times New Roman" w:cs="Times New Roman"/>
          <w:kern w:val="0"/>
          <w:sz w:val="24"/>
          <w:szCs w:val="24"/>
          <w14:ligatures w14:val="none"/>
        </w:rPr>
        <w:t>RePEc</w:t>
      </w:r>
      <w:proofErr w:type="spellEnd"/>
      <w:r w:rsidRPr="000B029A">
        <w:rPr>
          <w:rFonts w:ascii="Times New Roman" w:eastAsia="Times New Roman" w:hAnsi="Times New Roman" w:cs="Times New Roman"/>
          <w:kern w:val="0"/>
          <w:sz w:val="24"/>
          <w:szCs w:val="24"/>
          <w14:ligatures w14:val="none"/>
        </w:rPr>
        <w:t xml:space="preserve"> Archive. </w:t>
      </w:r>
      <w:hyperlink r:id="rId20" w:history="1">
        <w:r w:rsidRPr="000B029A">
          <w:rPr>
            <w:rFonts w:ascii="Times New Roman" w:eastAsia="Times New Roman" w:hAnsi="Times New Roman" w:cs="Times New Roman"/>
            <w:color w:val="0000FF"/>
            <w:kern w:val="0"/>
            <w:sz w:val="24"/>
            <w:szCs w:val="24"/>
            <w:u w:val="single"/>
            <w14:ligatures w14:val="none"/>
          </w:rPr>
          <w:t>https://mpra.ub.uni-muenchen.de/124295/</w:t>
        </w:r>
      </w:hyperlink>
    </w:p>
    <w:p w14:paraId="21AFE12A"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Awotomilusi</w:t>
      </w:r>
      <w:proofErr w:type="spellEnd"/>
      <w:r w:rsidRPr="000B029A">
        <w:rPr>
          <w:rFonts w:ascii="Times New Roman" w:eastAsia="Times New Roman" w:hAnsi="Times New Roman" w:cs="Times New Roman"/>
          <w:kern w:val="0"/>
          <w:sz w:val="24"/>
          <w:szCs w:val="24"/>
          <w14:ligatures w14:val="none"/>
        </w:rPr>
        <w:t xml:space="preserve">, N. S., </w:t>
      </w:r>
      <w:proofErr w:type="spellStart"/>
      <w:r w:rsidRPr="000B029A">
        <w:rPr>
          <w:rFonts w:ascii="Times New Roman" w:eastAsia="Times New Roman" w:hAnsi="Times New Roman" w:cs="Times New Roman"/>
          <w:kern w:val="0"/>
          <w:sz w:val="24"/>
          <w:szCs w:val="24"/>
          <w14:ligatures w14:val="none"/>
        </w:rPr>
        <w:t>Ajoloko</w:t>
      </w:r>
      <w:proofErr w:type="spellEnd"/>
      <w:r w:rsidRPr="000B029A">
        <w:rPr>
          <w:rFonts w:ascii="Times New Roman" w:eastAsia="Times New Roman" w:hAnsi="Times New Roman" w:cs="Times New Roman"/>
          <w:kern w:val="0"/>
          <w:sz w:val="24"/>
          <w:szCs w:val="24"/>
          <w14:ligatures w14:val="none"/>
        </w:rPr>
        <w:t xml:space="preserve">, O. M., Saka, B. F., Adeniran, T. E., </w:t>
      </w:r>
      <w:proofErr w:type="spellStart"/>
      <w:r w:rsidRPr="000B029A">
        <w:rPr>
          <w:rFonts w:ascii="Times New Roman" w:eastAsia="Times New Roman" w:hAnsi="Times New Roman" w:cs="Times New Roman"/>
          <w:kern w:val="0"/>
          <w:sz w:val="24"/>
          <w:szCs w:val="24"/>
          <w14:ligatures w14:val="none"/>
        </w:rPr>
        <w:t>Owonifari</w:t>
      </w:r>
      <w:proofErr w:type="spellEnd"/>
      <w:r w:rsidRPr="000B029A">
        <w:rPr>
          <w:rFonts w:ascii="Times New Roman" w:eastAsia="Times New Roman" w:hAnsi="Times New Roman" w:cs="Times New Roman"/>
          <w:kern w:val="0"/>
          <w:sz w:val="24"/>
          <w:szCs w:val="24"/>
          <w14:ligatures w14:val="none"/>
        </w:rPr>
        <w:t xml:space="preserve">, V. O., &amp; </w:t>
      </w:r>
      <w:proofErr w:type="spellStart"/>
      <w:r w:rsidRPr="000B029A">
        <w:rPr>
          <w:rFonts w:ascii="Times New Roman" w:eastAsia="Times New Roman" w:hAnsi="Times New Roman" w:cs="Times New Roman"/>
          <w:kern w:val="0"/>
          <w:sz w:val="24"/>
          <w:szCs w:val="24"/>
          <w14:ligatures w14:val="none"/>
        </w:rPr>
        <w:t>Dagunduro</w:t>
      </w:r>
      <w:proofErr w:type="spellEnd"/>
      <w:r w:rsidRPr="000B029A">
        <w:rPr>
          <w:rFonts w:ascii="Times New Roman" w:eastAsia="Times New Roman" w:hAnsi="Times New Roman" w:cs="Times New Roman"/>
          <w:kern w:val="0"/>
          <w:sz w:val="24"/>
          <w:szCs w:val="24"/>
          <w14:ligatures w14:val="none"/>
        </w:rPr>
        <w:t xml:space="preserve">, M. E. (2025). Risk management committee attributes and market performance of listed insurance firms in Nigeria. </w:t>
      </w:r>
      <w:r w:rsidRPr="000B029A">
        <w:rPr>
          <w:rFonts w:ascii="Times New Roman" w:eastAsia="Times New Roman" w:hAnsi="Times New Roman" w:cs="Times New Roman"/>
          <w:i/>
          <w:iCs/>
          <w:kern w:val="0"/>
          <w:sz w:val="24"/>
          <w:szCs w:val="24"/>
          <w14:ligatures w14:val="none"/>
        </w:rPr>
        <w:t>International Journal of Economics and Financial Issues, 15</w:t>
      </w:r>
      <w:r w:rsidRPr="000B029A">
        <w:rPr>
          <w:rFonts w:ascii="Times New Roman" w:eastAsia="Times New Roman" w:hAnsi="Times New Roman" w:cs="Times New Roman"/>
          <w:kern w:val="0"/>
          <w:sz w:val="24"/>
          <w:szCs w:val="24"/>
          <w14:ligatures w14:val="none"/>
        </w:rPr>
        <w:t xml:space="preserve">(3), 29–41. </w:t>
      </w:r>
      <w:hyperlink r:id="rId21" w:history="1">
        <w:r w:rsidRPr="000B029A">
          <w:rPr>
            <w:rFonts w:ascii="Times New Roman" w:eastAsia="Times New Roman" w:hAnsi="Times New Roman" w:cs="Times New Roman"/>
            <w:color w:val="0000FF"/>
            <w:kern w:val="0"/>
            <w:sz w:val="24"/>
            <w:szCs w:val="24"/>
            <w:u w:val="single"/>
            <w14:ligatures w14:val="none"/>
          </w:rPr>
          <w:t>https://doi.org/10.32479/ijefi.17643</w:t>
        </w:r>
      </w:hyperlink>
    </w:p>
    <w:p w14:paraId="735DDAE7"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Bamisaye</w:t>
      </w:r>
      <w:proofErr w:type="spellEnd"/>
      <w:r w:rsidRPr="000B029A">
        <w:rPr>
          <w:rFonts w:ascii="Times New Roman" w:eastAsia="Times New Roman" w:hAnsi="Times New Roman" w:cs="Times New Roman"/>
          <w:kern w:val="0"/>
          <w:sz w:val="24"/>
          <w:szCs w:val="24"/>
          <w14:ligatures w14:val="none"/>
        </w:rPr>
        <w:t xml:space="preserve">, T. O., Owoeye, T. O., &amp; Awe, S. O. (2025). Financing cash flow management and firm performance: Evidence from Nigerian listed companies. </w:t>
      </w:r>
      <w:r w:rsidRPr="000B029A">
        <w:rPr>
          <w:rFonts w:ascii="Times New Roman" w:eastAsia="Times New Roman" w:hAnsi="Times New Roman" w:cs="Times New Roman"/>
          <w:i/>
          <w:iCs/>
          <w:kern w:val="0"/>
          <w:sz w:val="24"/>
          <w:szCs w:val="24"/>
          <w14:ligatures w14:val="none"/>
        </w:rPr>
        <w:t>FUDMA Journal of Business Management, 3</w:t>
      </w:r>
      <w:r w:rsidRPr="000B029A">
        <w:rPr>
          <w:rFonts w:ascii="Times New Roman" w:eastAsia="Times New Roman" w:hAnsi="Times New Roman" w:cs="Times New Roman"/>
          <w:kern w:val="0"/>
          <w:sz w:val="24"/>
          <w:szCs w:val="24"/>
          <w14:ligatures w14:val="none"/>
        </w:rPr>
        <w:t xml:space="preserve">(2), 49–70. </w:t>
      </w:r>
      <w:hyperlink r:id="rId22" w:history="1">
        <w:r w:rsidRPr="000B029A">
          <w:rPr>
            <w:rFonts w:ascii="Times New Roman" w:eastAsia="Times New Roman" w:hAnsi="Times New Roman" w:cs="Times New Roman"/>
            <w:color w:val="0000FF"/>
            <w:kern w:val="0"/>
            <w:sz w:val="24"/>
            <w:szCs w:val="24"/>
            <w:u w:val="single"/>
            <w14:ligatures w14:val="none"/>
          </w:rPr>
          <w:t>https://fjbm.fudutsinma.edu.ng/index.php/fjbm/article/view/6</w:t>
        </w:r>
      </w:hyperlink>
    </w:p>
    <w:p w14:paraId="72A3B72B"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lastRenderedPageBreak/>
        <w:t xml:space="preserve">Bas, M., &amp; Paunov, C. (2025). Riders on the storm: How do firms navigate production and market conditions amid El Niño? </w:t>
      </w:r>
      <w:r w:rsidRPr="000B029A">
        <w:rPr>
          <w:rFonts w:ascii="Times New Roman" w:eastAsia="Times New Roman" w:hAnsi="Times New Roman" w:cs="Times New Roman"/>
          <w:i/>
          <w:iCs/>
          <w:kern w:val="0"/>
          <w:sz w:val="24"/>
          <w:szCs w:val="24"/>
          <w14:ligatures w14:val="none"/>
        </w:rPr>
        <w:t>Journal of Development Economics, 172</w:t>
      </w:r>
      <w:r w:rsidRPr="000B029A">
        <w:rPr>
          <w:rFonts w:ascii="Times New Roman" w:eastAsia="Times New Roman" w:hAnsi="Times New Roman" w:cs="Times New Roman"/>
          <w:kern w:val="0"/>
          <w:sz w:val="24"/>
          <w:szCs w:val="24"/>
          <w14:ligatures w14:val="none"/>
        </w:rPr>
        <w:t xml:space="preserve">, Article 103374. </w:t>
      </w:r>
      <w:hyperlink r:id="rId23" w:history="1">
        <w:r w:rsidRPr="000B029A">
          <w:rPr>
            <w:rFonts w:ascii="Times New Roman" w:eastAsia="Times New Roman" w:hAnsi="Times New Roman" w:cs="Times New Roman"/>
            <w:color w:val="0000FF"/>
            <w:kern w:val="0"/>
            <w:sz w:val="24"/>
            <w:szCs w:val="24"/>
            <w:u w:val="single"/>
            <w14:ligatures w14:val="none"/>
          </w:rPr>
          <w:t>https://doi.org/10.1016/j.jdeveco.2024.103374</w:t>
        </w:r>
      </w:hyperlink>
    </w:p>
    <w:p w14:paraId="0DB6D227"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Belahouaoui</w:t>
      </w:r>
      <w:proofErr w:type="spellEnd"/>
      <w:r w:rsidRPr="000B029A">
        <w:rPr>
          <w:rFonts w:ascii="Times New Roman" w:eastAsia="Times New Roman" w:hAnsi="Times New Roman" w:cs="Times New Roman"/>
          <w:kern w:val="0"/>
          <w:sz w:val="24"/>
          <w:szCs w:val="24"/>
          <w14:ligatures w14:val="none"/>
        </w:rPr>
        <w:t xml:space="preserve">, R. (2025). Assessing the impact of internal governance mechanisms on the tax aggressiveness of listed companies in Morocco. </w:t>
      </w:r>
      <w:r w:rsidRPr="000B029A">
        <w:rPr>
          <w:rFonts w:ascii="Times New Roman" w:eastAsia="Times New Roman" w:hAnsi="Times New Roman" w:cs="Times New Roman"/>
          <w:i/>
          <w:iCs/>
          <w:kern w:val="0"/>
          <w:sz w:val="24"/>
          <w:szCs w:val="24"/>
          <w14:ligatures w14:val="none"/>
        </w:rPr>
        <w:t>Investment Management &amp; Financial Innovations, 22</w:t>
      </w:r>
      <w:r w:rsidRPr="000B029A">
        <w:rPr>
          <w:rFonts w:ascii="Times New Roman" w:eastAsia="Times New Roman" w:hAnsi="Times New Roman" w:cs="Times New Roman"/>
          <w:kern w:val="0"/>
          <w:sz w:val="24"/>
          <w:szCs w:val="24"/>
          <w14:ligatures w14:val="none"/>
        </w:rPr>
        <w:t xml:space="preserve">(2), 192–207. </w:t>
      </w:r>
      <w:hyperlink r:id="rId24" w:history="1">
        <w:r w:rsidRPr="000B029A">
          <w:rPr>
            <w:rFonts w:ascii="Times New Roman" w:eastAsia="Times New Roman" w:hAnsi="Times New Roman" w:cs="Times New Roman"/>
            <w:color w:val="0000FF"/>
            <w:kern w:val="0"/>
            <w:sz w:val="24"/>
            <w:szCs w:val="24"/>
            <w:u w:val="single"/>
            <w14:ligatures w14:val="none"/>
          </w:rPr>
          <w:t>https://doi.org/10.21511/imfi.22(2).2025.16</w:t>
        </w:r>
      </w:hyperlink>
    </w:p>
    <w:p w14:paraId="39A8DA71"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Bougacha</w:t>
      </w:r>
      <w:proofErr w:type="spellEnd"/>
      <w:r w:rsidRPr="000B029A">
        <w:rPr>
          <w:rFonts w:ascii="Times New Roman" w:eastAsia="Times New Roman" w:hAnsi="Times New Roman" w:cs="Times New Roman"/>
          <w:kern w:val="0"/>
          <w:sz w:val="24"/>
          <w:szCs w:val="24"/>
          <w14:ligatures w14:val="none"/>
        </w:rPr>
        <w:t xml:space="preserve">, F., &amp; </w:t>
      </w:r>
      <w:proofErr w:type="spellStart"/>
      <w:r w:rsidRPr="000B029A">
        <w:rPr>
          <w:rFonts w:ascii="Times New Roman" w:eastAsia="Times New Roman" w:hAnsi="Times New Roman" w:cs="Times New Roman"/>
          <w:kern w:val="0"/>
          <w:sz w:val="24"/>
          <w:szCs w:val="24"/>
          <w14:ligatures w14:val="none"/>
        </w:rPr>
        <w:t>Guedrib</w:t>
      </w:r>
      <w:proofErr w:type="spellEnd"/>
      <w:r w:rsidRPr="000B029A">
        <w:rPr>
          <w:rFonts w:ascii="Times New Roman" w:eastAsia="Times New Roman" w:hAnsi="Times New Roman" w:cs="Times New Roman"/>
          <w:kern w:val="0"/>
          <w:sz w:val="24"/>
          <w:szCs w:val="24"/>
          <w14:ligatures w14:val="none"/>
        </w:rPr>
        <w:t xml:space="preserve">, M. (2024). Corporate tax avoidance and firm risk: What role does firm performance play? </w:t>
      </w:r>
      <w:r w:rsidRPr="000B029A">
        <w:rPr>
          <w:rFonts w:ascii="Times New Roman" w:eastAsia="Times New Roman" w:hAnsi="Times New Roman" w:cs="Times New Roman"/>
          <w:i/>
          <w:iCs/>
          <w:kern w:val="0"/>
          <w:sz w:val="24"/>
          <w:szCs w:val="24"/>
          <w14:ligatures w14:val="none"/>
        </w:rPr>
        <w:t>Accounting and Management Information Systems, 23</w:t>
      </w:r>
      <w:r w:rsidRPr="000B029A">
        <w:rPr>
          <w:rFonts w:ascii="Times New Roman" w:eastAsia="Times New Roman" w:hAnsi="Times New Roman" w:cs="Times New Roman"/>
          <w:kern w:val="0"/>
          <w:sz w:val="24"/>
          <w:szCs w:val="24"/>
          <w14:ligatures w14:val="none"/>
        </w:rPr>
        <w:t xml:space="preserve">(2), 381–411. </w:t>
      </w:r>
      <w:hyperlink r:id="rId25" w:history="1">
        <w:r w:rsidRPr="000B029A">
          <w:rPr>
            <w:rFonts w:ascii="Times New Roman" w:eastAsia="Times New Roman" w:hAnsi="Times New Roman" w:cs="Times New Roman"/>
            <w:color w:val="0000FF"/>
            <w:kern w:val="0"/>
            <w:sz w:val="24"/>
            <w:szCs w:val="24"/>
            <w:u w:val="single"/>
            <w14:ligatures w14:val="none"/>
          </w:rPr>
          <w:t>https://doi.org/10.24818/jamis.2024.02005</w:t>
        </w:r>
      </w:hyperlink>
    </w:p>
    <w:p w14:paraId="1DD0E457"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Connelly, B. L., Certo, S. T., Ireland, R. D., &amp; Reutzel, C. R. (2011). Signaling theory: A review and assessment. </w:t>
      </w:r>
      <w:r w:rsidRPr="000B029A">
        <w:rPr>
          <w:rFonts w:ascii="Times New Roman" w:eastAsia="Times New Roman" w:hAnsi="Times New Roman" w:cs="Times New Roman"/>
          <w:i/>
          <w:iCs/>
          <w:kern w:val="0"/>
          <w:sz w:val="24"/>
          <w:szCs w:val="24"/>
          <w14:ligatures w14:val="none"/>
        </w:rPr>
        <w:t>Journal of Management, 37</w:t>
      </w:r>
      <w:r w:rsidRPr="000B029A">
        <w:rPr>
          <w:rFonts w:ascii="Times New Roman" w:eastAsia="Times New Roman" w:hAnsi="Times New Roman" w:cs="Times New Roman"/>
          <w:kern w:val="0"/>
          <w:sz w:val="24"/>
          <w:szCs w:val="24"/>
          <w14:ligatures w14:val="none"/>
        </w:rPr>
        <w:t xml:space="preserve">(1), 39–67. </w:t>
      </w:r>
      <w:hyperlink r:id="rId26" w:history="1">
        <w:r w:rsidRPr="000B029A">
          <w:rPr>
            <w:rFonts w:ascii="Times New Roman" w:eastAsia="Times New Roman" w:hAnsi="Times New Roman" w:cs="Times New Roman"/>
            <w:color w:val="0000FF"/>
            <w:kern w:val="0"/>
            <w:sz w:val="24"/>
            <w:szCs w:val="24"/>
            <w:u w:val="single"/>
            <w14:ligatures w14:val="none"/>
          </w:rPr>
          <w:t>https://doi.org/10.1177/0149206310388419</w:t>
        </w:r>
      </w:hyperlink>
    </w:p>
    <w:p w14:paraId="71D4956D"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Dagunduro</w:t>
      </w:r>
      <w:proofErr w:type="spellEnd"/>
      <w:r w:rsidRPr="000B029A">
        <w:rPr>
          <w:rFonts w:ascii="Times New Roman" w:eastAsia="Times New Roman" w:hAnsi="Times New Roman" w:cs="Times New Roman"/>
          <w:kern w:val="0"/>
          <w:sz w:val="24"/>
          <w:szCs w:val="24"/>
          <w14:ligatures w14:val="none"/>
        </w:rPr>
        <w:t xml:space="preserve">, M. E., Falana, G. A., </w:t>
      </w:r>
      <w:proofErr w:type="spellStart"/>
      <w:r w:rsidRPr="000B029A">
        <w:rPr>
          <w:rFonts w:ascii="Times New Roman" w:eastAsia="Times New Roman" w:hAnsi="Times New Roman" w:cs="Times New Roman"/>
          <w:kern w:val="0"/>
          <w:sz w:val="24"/>
          <w:szCs w:val="24"/>
          <w14:ligatures w14:val="none"/>
        </w:rPr>
        <w:t>Omodara</w:t>
      </w:r>
      <w:proofErr w:type="spellEnd"/>
      <w:r w:rsidRPr="000B029A">
        <w:rPr>
          <w:rFonts w:ascii="Times New Roman" w:eastAsia="Times New Roman" w:hAnsi="Times New Roman" w:cs="Times New Roman"/>
          <w:kern w:val="0"/>
          <w:sz w:val="24"/>
          <w:szCs w:val="24"/>
          <w14:ligatures w14:val="none"/>
        </w:rPr>
        <w:t xml:space="preserve">, O. V., Fagbomedo, B. I., Aluko, A. F., Olufemi, S. O., Ogunleye, A. W., &amp; Osaloni, B. O. (2025). Risk committee attributes, board financial expertise, and the market performance of industrial goods firms in Nigeria. </w:t>
      </w:r>
      <w:r w:rsidRPr="000B029A">
        <w:rPr>
          <w:rFonts w:ascii="Times New Roman" w:eastAsia="Times New Roman" w:hAnsi="Times New Roman" w:cs="Times New Roman"/>
          <w:i/>
          <w:iCs/>
          <w:kern w:val="0"/>
          <w:sz w:val="24"/>
          <w:szCs w:val="24"/>
          <w14:ligatures w14:val="none"/>
        </w:rPr>
        <w:t>International Journal of Accounting and Economics Studies, 12</w:t>
      </w:r>
      <w:r w:rsidRPr="000B029A">
        <w:rPr>
          <w:rFonts w:ascii="Times New Roman" w:eastAsia="Times New Roman" w:hAnsi="Times New Roman" w:cs="Times New Roman"/>
          <w:kern w:val="0"/>
          <w:sz w:val="24"/>
          <w:szCs w:val="24"/>
          <w14:ligatures w14:val="none"/>
        </w:rPr>
        <w:t xml:space="preserve">(6), 570–579. </w:t>
      </w:r>
      <w:hyperlink r:id="rId27" w:history="1">
        <w:r w:rsidRPr="000B029A">
          <w:rPr>
            <w:rFonts w:ascii="Times New Roman" w:eastAsia="Times New Roman" w:hAnsi="Times New Roman" w:cs="Times New Roman"/>
            <w:color w:val="0000FF"/>
            <w:kern w:val="0"/>
            <w:sz w:val="24"/>
            <w:szCs w:val="24"/>
            <w:u w:val="single"/>
            <w14:ligatures w14:val="none"/>
          </w:rPr>
          <w:t>https://doi.org/10.14419/9yw50217</w:t>
        </w:r>
      </w:hyperlink>
    </w:p>
    <w:p w14:paraId="03755CCE"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Febrianto</w:t>
      </w:r>
      <w:proofErr w:type="spellEnd"/>
      <w:r w:rsidRPr="000B029A">
        <w:rPr>
          <w:rFonts w:ascii="Times New Roman" w:eastAsia="Times New Roman" w:hAnsi="Times New Roman" w:cs="Times New Roman"/>
          <w:kern w:val="0"/>
          <w:sz w:val="24"/>
          <w:szCs w:val="24"/>
          <w14:ligatures w14:val="none"/>
        </w:rPr>
        <w:t xml:space="preserve">, H. G., </w:t>
      </w:r>
      <w:proofErr w:type="spellStart"/>
      <w:r w:rsidRPr="000B029A">
        <w:rPr>
          <w:rFonts w:ascii="Times New Roman" w:eastAsia="Times New Roman" w:hAnsi="Times New Roman" w:cs="Times New Roman"/>
          <w:kern w:val="0"/>
          <w:sz w:val="24"/>
          <w:szCs w:val="24"/>
          <w14:ligatures w14:val="none"/>
        </w:rPr>
        <w:t>Pambudi</w:t>
      </w:r>
      <w:proofErr w:type="spellEnd"/>
      <w:r w:rsidRPr="000B029A">
        <w:rPr>
          <w:rFonts w:ascii="Times New Roman" w:eastAsia="Times New Roman" w:hAnsi="Times New Roman" w:cs="Times New Roman"/>
          <w:kern w:val="0"/>
          <w:sz w:val="24"/>
          <w:szCs w:val="24"/>
          <w14:ligatures w14:val="none"/>
        </w:rPr>
        <w:t xml:space="preserve">, J. E., Sunaryo, D., Fitriana, A. I., &amp; </w:t>
      </w:r>
      <w:proofErr w:type="spellStart"/>
      <w:r w:rsidRPr="000B029A">
        <w:rPr>
          <w:rFonts w:ascii="Times New Roman" w:eastAsia="Times New Roman" w:hAnsi="Times New Roman" w:cs="Times New Roman"/>
          <w:kern w:val="0"/>
          <w:sz w:val="24"/>
          <w:szCs w:val="24"/>
          <w14:ligatures w14:val="none"/>
        </w:rPr>
        <w:t>Dehavilan</w:t>
      </w:r>
      <w:proofErr w:type="spellEnd"/>
      <w:r w:rsidRPr="000B029A">
        <w:rPr>
          <w:rFonts w:ascii="Times New Roman" w:eastAsia="Times New Roman" w:hAnsi="Times New Roman" w:cs="Times New Roman"/>
          <w:kern w:val="0"/>
          <w:sz w:val="24"/>
          <w:szCs w:val="24"/>
          <w14:ligatures w14:val="none"/>
        </w:rPr>
        <w:t xml:space="preserve">, S. (2025). Tax avoidance and green accounting in increasing firm value and CSR practices in Indonesia. </w:t>
      </w:r>
      <w:proofErr w:type="spellStart"/>
      <w:r w:rsidRPr="000B029A">
        <w:rPr>
          <w:rFonts w:ascii="Times New Roman" w:eastAsia="Times New Roman" w:hAnsi="Times New Roman" w:cs="Times New Roman"/>
          <w:i/>
          <w:iCs/>
          <w:kern w:val="0"/>
          <w:sz w:val="24"/>
          <w:szCs w:val="24"/>
          <w14:ligatures w14:val="none"/>
        </w:rPr>
        <w:t>Jurnal</w:t>
      </w:r>
      <w:proofErr w:type="spellEnd"/>
      <w:r w:rsidRPr="000B029A">
        <w:rPr>
          <w:rFonts w:ascii="Times New Roman" w:eastAsia="Times New Roman" w:hAnsi="Times New Roman" w:cs="Times New Roman"/>
          <w:i/>
          <w:iCs/>
          <w:kern w:val="0"/>
          <w:sz w:val="24"/>
          <w:szCs w:val="24"/>
          <w14:ligatures w14:val="none"/>
        </w:rPr>
        <w:t xml:space="preserve"> </w:t>
      </w:r>
      <w:proofErr w:type="spellStart"/>
      <w:r w:rsidRPr="000B029A">
        <w:rPr>
          <w:rFonts w:ascii="Times New Roman" w:eastAsia="Times New Roman" w:hAnsi="Times New Roman" w:cs="Times New Roman"/>
          <w:i/>
          <w:iCs/>
          <w:kern w:val="0"/>
          <w:sz w:val="24"/>
          <w:szCs w:val="24"/>
          <w14:ligatures w14:val="none"/>
        </w:rPr>
        <w:t>Reviu</w:t>
      </w:r>
      <w:proofErr w:type="spellEnd"/>
      <w:r w:rsidRPr="000B029A">
        <w:rPr>
          <w:rFonts w:ascii="Times New Roman" w:eastAsia="Times New Roman" w:hAnsi="Times New Roman" w:cs="Times New Roman"/>
          <w:i/>
          <w:iCs/>
          <w:kern w:val="0"/>
          <w:sz w:val="24"/>
          <w:szCs w:val="24"/>
          <w14:ligatures w14:val="none"/>
        </w:rPr>
        <w:t xml:space="preserve"> </w:t>
      </w:r>
      <w:proofErr w:type="spellStart"/>
      <w:r w:rsidRPr="000B029A">
        <w:rPr>
          <w:rFonts w:ascii="Times New Roman" w:eastAsia="Times New Roman" w:hAnsi="Times New Roman" w:cs="Times New Roman"/>
          <w:i/>
          <w:iCs/>
          <w:kern w:val="0"/>
          <w:sz w:val="24"/>
          <w:szCs w:val="24"/>
          <w14:ligatures w14:val="none"/>
        </w:rPr>
        <w:t>Akuntansi</w:t>
      </w:r>
      <w:proofErr w:type="spellEnd"/>
      <w:r w:rsidRPr="000B029A">
        <w:rPr>
          <w:rFonts w:ascii="Times New Roman" w:eastAsia="Times New Roman" w:hAnsi="Times New Roman" w:cs="Times New Roman"/>
          <w:i/>
          <w:iCs/>
          <w:kern w:val="0"/>
          <w:sz w:val="24"/>
          <w:szCs w:val="24"/>
          <w14:ligatures w14:val="none"/>
        </w:rPr>
        <w:t xml:space="preserve"> dan </w:t>
      </w:r>
      <w:proofErr w:type="spellStart"/>
      <w:r w:rsidRPr="000B029A">
        <w:rPr>
          <w:rFonts w:ascii="Times New Roman" w:eastAsia="Times New Roman" w:hAnsi="Times New Roman" w:cs="Times New Roman"/>
          <w:i/>
          <w:iCs/>
          <w:kern w:val="0"/>
          <w:sz w:val="24"/>
          <w:szCs w:val="24"/>
          <w14:ligatures w14:val="none"/>
        </w:rPr>
        <w:t>Keuangan</w:t>
      </w:r>
      <w:proofErr w:type="spellEnd"/>
      <w:r w:rsidRPr="000B029A">
        <w:rPr>
          <w:rFonts w:ascii="Times New Roman" w:eastAsia="Times New Roman" w:hAnsi="Times New Roman" w:cs="Times New Roman"/>
          <w:i/>
          <w:iCs/>
          <w:kern w:val="0"/>
          <w:sz w:val="24"/>
          <w:szCs w:val="24"/>
          <w14:ligatures w14:val="none"/>
        </w:rPr>
        <w:t>, 15</w:t>
      </w:r>
      <w:r w:rsidRPr="000B029A">
        <w:rPr>
          <w:rFonts w:ascii="Times New Roman" w:eastAsia="Times New Roman" w:hAnsi="Times New Roman" w:cs="Times New Roman"/>
          <w:kern w:val="0"/>
          <w:sz w:val="24"/>
          <w:szCs w:val="24"/>
          <w14:ligatures w14:val="none"/>
        </w:rPr>
        <w:t xml:space="preserve">(1), 33–50. </w:t>
      </w:r>
      <w:hyperlink r:id="rId28" w:history="1">
        <w:r w:rsidRPr="000B029A">
          <w:rPr>
            <w:rFonts w:ascii="Times New Roman" w:eastAsia="Times New Roman" w:hAnsi="Times New Roman" w:cs="Times New Roman"/>
            <w:color w:val="0000FF"/>
            <w:kern w:val="0"/>
            <w:sz w:val="24"/>
            <w:szCs w:val="24"/>
            <w:u w:val="single"/>
            <w14:ligatures w14:val="none"/>
          </w:rPr>
          <w:t>https://doi.org/10.22219/jrak.v15i1.34304</w:t>
        </w:r>
      </w:hyperlink>
    </w:p>
    <w:p w14:paraId="4875F505"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Hardana</w:t>
      </w:r>
      <w:proofErr w:type="spellEnd"/>
      <w:r w:rsidRPr="000B029A">
        <w:rPr>
          <w:rFonts w:ascii="Times New Roman" w:eastAsia="Times New Roman" w:hAnsi="Times New Roman" w:cs="Times New Roman"/>
          <w:kern w:val="0"/>
          <w:sz w:val="24"/>
          <w:szCs w:val="24"/>
          <w14:ligatures w14:val="none"/>
        </w:rPr>
        <w:t xml:space="preserve">, A. H., </w:t>
      </w:r>
      <w:proofErr w:type="spellStart"/>
      <w:r w:rsidRPr="000B029A">
        <w:rPr>
          <w:rFonts w:ascii="Times New Roman" w:eastAsia="Times New Roman" w:hAnsi="Times New Roman" w:cs="Times New Roman"/>
          <w:kern w:val="0"/>
          <w:sz w:val="24"/>
          <w:szCs w:val="24"/>
          <w14:ligatures w14:val="none"/>
        </w:rPr>
        <w:t>Hasibuan</w:t>
      </w:r>
      <w:proofErr w:type="spellEnd"/>
      <w:r w:rsidRPr="000B029A">
        <w:rPr>
          <w:rFonts w:ascii="Times New Roman" w:eastAsia="Times New Roman" w:hAnsi="Times New Roman" w:cs="Times New Roman"/>
          <w:kern w:val="0"/>
          <w:sz w:val="24"/>
          <w:szCs w:val="24"/>
          <w14:ligatures w14:val="none"/>
        </w:rPr>
        <w:t xml:space="preserve">, L., &amp; </w:t>
      </w:r>
      <w:proofErr w:type="spellStart"/>
      <w:r w:rsidRPr="000B029A">
        <w:rPr>
          <w:rFonts w:ascii="Times New Roman" w:eastAsia="Times New Roman" w:hAnsi="Times New Roman" w:cs="Times New Roman"/>
          <w:kern w:val="0"/>
          <w:sz w:val="24"/>
          <w:szCs w:val="24"/>
          <w14:ligatures w14:val="none"/>
        </w:rPr>
        <w:t>Hasibuan</w:t>
      </w:r>
      <w:proofErr w:type="spellEnd"/>
      <w:r w:rsidRPr="000B029A">
        <w:rPr>
          <w:rFonts w:ascii="Times New Roman" w:eastAsia="Times New Roman" w:hAnsi="Times New Roman" w:cs="Times New Roman"/>
          <w:kern w:val="0"/>
          <w:sz w:val="24"/>
          <w:szCs w:val="24"/>
          <w14:ligatures w14:val="none"/>
        </w:rPr>
        <w:t xml:space="preserve">, S. E. (2023). Tax aggressiveness, capital structure, corporate governance dan firm performance. </w:t>
      </w:r>
      <w:r w:rsidRPr="000B029A">
        <w:rPr>
          <w:rFonts w:ascii="Times New Roman" w:eastAsia="Times New Roman" w:hAnsi="Times New Roman" w:cs="Times New Roman"/>
          <w:i/>
          <w:iCs/>
          <w:kern w:val="0"/>
          <w:sz w:val="24"/>
          <w:szCs w:val="24"/>
          <w14:ligatures w14:val="none"/>
        </w:rPr>
        <w:t>International Journal of Economic Research and Financial Accounting, 1</w:t>
      </w:r>
      <w:r w:rsidRPr="000B029A">
        <w:rPr>
          <w:rFonts w:ascii="Times New Roman" w:eastAsia="Times New Roman" w:hAnsi="Times New Roman" w:cs="Times New Roman"/>
          <w:kern w:val="0"/>
          <w:sz w:val="24"/>
          <w:szCs w:val="24"/>
          <w14:ligatures w14:val="none"/>
        </w:rPr>
        <w:t xml:space="preserve">(2). </w:t>
      </w:r>
      <w:hyperlink r:id="rId29" w:history="1">
        <w:r w:rsidRPr="000B029A">
          <w:rPr>
            <w:rFonts w:ascii="Times New Roman" w:eastAsia="Times New Roman" w:hAnsi="Times New Roman" w:cs="Times New Roman"/>
            <w:color w:val="0000FF"/>
            <w:kern w:val="0"/>
            <w:sz w:val="24"/>
            <w:szCs w:val="24"/>
            <w:u w:val="single"/>
            <w14:ligatures w14:val="none"/>
          </w:rPr>
          <w:t>https://doi.org/10.55227/ijerfa.v1i2.28</w:t>
        </w:r>
      </w:hyperlink>
    </w:p>
    <w:p w14:paraId="7045A4C5"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Indawati</w:t>
      </w:r>
      <w:proofErr w:type="spellEnd"/>
      <w:r w:rsidRPr="000B029A">
        <w:rPr>
          <w:rFonts w:ascii="Times New Roman" w:eastAsia="Times New Roman" w:hAnsi="Times New Roman" w:cs="Times New Roman"/>
          <w:kern w:val="0"/>
          <w:sz w:val="24"/>
          <w:szCs w:val="24"/>
          <w14:ligatures w14:val="none"/>
        </w:rPr>
        <w:t xml:space="preserve">, I., &amp; </w:t>
      </w:r>
      <w:proofErr w:type="spellStart"/>
      <w:r w:rsidRPr="000B029A">
        <w:rPr>
          <w:rFonts w:ascii="Times New Roman" w:eastAsia="Times New Roman" w:hAnsi="Times New Roman" w:cs="Times New Roman"/>
          <w:kern w:val="0"/>
          <w:sz w:val="24"/>
          <w:szCs w:val="24"/>
          <w14:ligatures w14:val="none"/>
        </w:rPr>
        <w:t>Rizkiyani</w:t>
      </w:r>
      <w:proofErr w:type="spellEnd"/>
      <w:r w:rsidRPr="000B029A">
        <w:rPr>
          <w:rFonts w:ascii="Times New Roman" w:eastAsia="Times New Roman" w:hAnsi="Times New Roman" w:cs="Times New Roman"/>
          <w:kern w:val="0"/>
          <w:sz w:val="24"/>
          <w:szCs w:val="24"/>
          <w14:ligatures w14:val="none"/>
        </w:rPr>
        <w:t xml:space="preserve">, N. H. (2025). Influence tax aggressiveness, debt policy and financial performance against company value. </w:t>
      </w:r>
      <w:r w:rsidRPr="000B029A">
        <w:rPr>
          <w:rFonts w:ascii="Times New Roman" w:eastAsia="Times New Roman" w:hAnsi="Times New Roman" w:cs="Times New Roman"/>
          <w:i/>
          <w:iCs/>
          <w:kern w:val="0"/>
          <w:sz w:val="24"/>
          <w:szCs w:val="24"/>
          <w14:ligatures w14:val="none"/>
        </w:rPr>
        <w:t xml:space="preserve">AKUA: </w:t>
      </w:r>
      <w:proofErr w:type="spellStart"/>
      <w:r w:rsidRPr="000B029A">
        <w:rPr>
          <w:rFonts w:ascii="Times New Roman" w:eastAsia="Times New Roman" w:hAnsi="Times New Roman" w:cs="Times New Roman"/>
          <w:i/>
          <w:iCs/>
          <w:kern w:val="0"/>
          <w:sz w:val="24"/>
          <w:szCs w:val="24"/>
          <w14:ligatures w14:val="none"/>
        </w:rPr>
        <w:t>Jurnal</w:t>
      </w:r>
      <w:proofErr w:type="spellEnd"/>
      <w:r w:rsidRPr="000B029A">
        <w:rPr>
          <w:rFonts w:ascii="Times New Roman" w:eastAsia="Times New Roman" w:hAnsi="Times New Roman" w:cs="Times New Roman"/>
          <w:i/>
          <w:iCs/>
          <w:kern w:val="0"/>
          <w:sz w:val="24"/>
          <w:szCs w:val="24"/>
          <w14:ligatures w14:val="none"/>
        </w:rPr>
        <w:t xml:space="preserve"> </w:t>
      </w:r>
      <w:proofErr w:type="spellStart"/>
      <w:r w:rsidRPr="000B029A">
        <w:rPr>
          <w:rFonts w:ascii="Times New Roman" w:eastAsia="Times New Roman" w:hAnsi="Times New Roman" w:cs="Times New Roman"/>
          <w:i/>
          <w:iCs/>
          <w:kern w:val="0"/>
          <w:sz w:val="24"/>
          <w:szCs w:val="24"/>
          <w14:ligatures w14:val="none"/>
        </w:rPr>
        <w:t>Akuntansi</w:t>
      </w:r>
      <w:proofErr w:type="spellEnd"/>
      <w:r w:rsidRPr="000B029A">
        <w:rPr>
          <w:rFonts w:ascii="Times New Roman" w:eastAsia="Times New Roman" w:hAnsi="Times New Roman" w:cs="Times New Roman"/>
          <w:i/>
          <w:iCs/>
          <w:kern w:val="0"/>
          <w:sz w:val="24"/>
          <w:szCs w:val="24"/>
          <w14:ligatures w14:val="none"/>
        </w:rPr>
        <w:t xml:space="preserve"> dan </w:t>
      </w:r>
      <w:proofErr w:type="spellStart"/>
      <w:r w:rsidRPr="000B029A">
        <w:rPr>
          <w:rFonts w:ascii="Times New Roman" w:eastAsia="Times New Roman" w:hAnsi="Times New Roman" w:cs="Times New Roman"/>
          <w:i/>
          <w:iCs/>
          <w:kern w:val="0"/>
          <w:sz w:val="24"/>
          <w:szCs w:val="24"/>
          <w14:ligatures w14:val="none"/>
        </w:rPr>
        <w:t>Keuangan</w:t>
      </w:r>
      <w:proofErr w:type="spellEnd"/>
      <w:r w:rsidRPr="000B029A">
        <w:rPr>
          <w:rFonts w:ascii="Times New Roman" w:eastAsia="Times New Roman" w:hAnsi="Times New Roman" w:cs="Times New Roman"/>
          <w:i/>
          <w:iCs/>
          <w:kern w:val="0"/>
          <w:sz w:val="24"/>
          <w:szCs w:val="24"/>
          <w14:ligatures w14:val="none"/>
        </w:rPr>
        <w:t>, 4</w:t>
      </w:r>
      <w:r w:rsidRPr="000B029A">
        <w:rPr>
          <w:rFonts w:ascii="Times New Roman" w:eastAsia="Times New Roman" w:hAnsi="Times New Roman" w:cs="Times New Roman"/>
          <w:kern w:val="0"/>
          <w:sz w:val="24"/>
          <w:szCs w:val="24"/>
          <w14:ligatures w14:val="none"/>
        </w:rPr>
        <w:t xml:space="preserve">(2), 129–138. </w:t>
      </w:r>
      <w:hyperlink r:id="rId30" w:history="1">
        <w:r w:rsidRPr="000B029A">
          <w:rPr>
            <w:rFonts w:ascii="Times New Roman" w:eastAsia="Times New Roman" w:hAnsi="Times New Roman" w:cs="Times New Roman"/>
            <w:color w:val="0000FF"/>
            <w:kern w:val="0"/>
            <w:sz w:val="24"/>
            <w:szCs w:val="24"/>
            <w:u w:val="single"/>
            <w14:ligatures w14:val="none"/>
          </w:rPr>
          <w:t>https://doi.org/10.54259/akua.v4i2.4213</w:t>
        </w:r>
      </w:hyperlink>
    </w:p>
    <w:p w14:paraId="3ACEFF3F"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Jensen, M. C., &amp; Meckling, W. H. (1976). Theory of the firm: Managerial behavior, agency costs and ownership structure. </w:t>
      </w:r>
      <w:r w:rsidRPr="000B029A">
        <w:rPr>
          <w:rFonts w:ascii="Times New Roman" w:eastAsia="Times New Roman" w:hAnsi="Times New Roman" w:cs="Times New Roman"/>
          <w:i/>
          <w:iCs/>
          <w:kern w:val="0"/>
          <w:sz w:val="24"/>
          <w:szCs w:val="24"/>
          <w14:ligatures w14:val="none"/>
        </w:rPr>
        <w:t>Journal of Financial Economics, 3</w:t>
      </w:r>
      <w:r w:rsidRPr="000B029A">
        <w:rPr>
          <w:rFonts w:ascii="Times New Roman" w:eastAsia="Times New Roman" w:hAnsi="Times New Roman" w:cs="Times New Roman"/>
          <w:kern w:val="0"/>
          <w:sz w:val="24"/>
          <w:szCs w:val="24"/>
          <w14:ligatures w14:val="none"/>
        </w:rPr>
        <w:t xml:space="preserve">(4), 305–360. </w:t>
      </w:r>
      <w:hyperlink r:id="rId31" w:history="1">
        <w:r w:rsidRPr="000B029A">
          <w:rPr>
            <w:rFonts w:ascii="Times New Roman" w:eastAsia="Times New Roman" w:hAnsi="Times New Roman" w:cs="Times New Roman"/>
            <w:color w:val="0000FF"/>
            <w:kern w:val="0"/>
            <w:sz w:val="24"/>
            <w:szCs w:val="24"/>
            <w:u w:val="single"/>
            <w14:ligatures w14:val="none"/>
          </w:rPr>
          <w:t>https://doi.org/10.1016/0304-405X(76)90026-X</w:t>
        </w:r>
      </w:hyperlink>
    </w:p>
    <w:p w14:paraId="3222DA18"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Keasey, K., </w:t>
      </w:r>
      <w:proofErr w:type="spellStart"/>
      <w:r w:rsidRPr="000B029A">
        <w:rPr>
          <w:rFonts w:ascii="Times New Roman" w:eastAsia="Times New Roman" w:hAnsi="Times New Roman" w:cs="Times New Roman"/>
          <w:kern w:val="0"/>
          <w:sz w:val="24"/>
          <w:szCs w:val="24"/>
          <w14:ligatures w14:val="none"/>
        </w:rPr>
        <w:t>Lambrinoudakis</w:t>
      </w:r>
      <w:proofErr w:type="spellEnd"/>
      <w:r w:rsidRPr="000B029A">
        <w:rPr>
          <w:rFonts w:ascii="Times New Roman" w:eastAsia="Times New Roman" w:hAnsi="Times New Roman" w:cs="Times New Roman"/>
          <w:kern w:val="0"/>
          <w:sz w:val="24"/>
          <w:szCs w:val="24"/>
          <w14:ligatures w14:val="none"/>
        </w:rPr>
        <w:t xml:space="preserve">, C., Mascia, D. V., &amp; Zhang, Z. (2025). The impact of social media influencers on the financial market performance of firms. </w:t>
      </w:r>
      <w:r w:rsidRPr="000B029A">
        <w:rPr>
          <w:rFonts w:ascii="Times New Roman" w:eastAsia="Times New Roman" w:hAnsi="Times New Roman" w:cs="Times New Roman"/>
          <w:i/>
          <w:iCs/>
          <w:kern w:val="0"/>
          <w:sz w:val="24"/>
          <w:szCs w:val="24"/>
          <w14:ligatures w14:val="none"/>
        </w:rPr>
        <w:t>European Financial Management, 31</w:t>
      </w:r>
      <w:r w:rsidRPr="000B029A">
        <w:rPr>
          <w:rFonts w:ascii="Times New Roman" w:eastAsia="Times New Roman" w:hAnsi="Times New Roman" w:cs="Times New Roman"/>
          <w:kern w:val="0"/>
          <w:sz w:val="24"/>
          <w:szCs w:val="24"/>
          <w14:ligatures w14:val="none"/>
        </w:rPr>
        <w:t xml:space="preserve">(2), 745–785. </w:t>
      </w:r>
      <w:hyperlink r:id="rId32" w:history="1">
        <w:r w:rsidRPr="000B029A">
          <w:rPr>
            <w:rFonts w:ascii="Times New Roman" w:eastAsia="Times New Roman" w:hAnsi="Times New Roman" w:cs="Times New Roman"/>
            <w:color w:val="0000FF"/>
            <w:kern w:val="0"/>
            <w:sz w:val="24"/>
            <w:szCs w:val="24"/>
            <w:u w:val="single"/>
            <w14:ligatures w14:val="none"/>
          </w:rPr>
          <w:t>https://doi.org/10.1111/eufm.12513</w:t>
        </w:r>
      </w:hyperlink>
    </w:p>
    <w:p w14:paraId="7E15AC1F"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Khuong, N. V., Liem, N. T., Thu, P. A., &amp; Khanh, T. H. T. (2020). Does corporate tax avoidance explain firm performance? Evidence from an emerging economy. </w:t>
      </w:r>
      <w:r w:rsidRPr="000B029A">
        <w:rPr>
          <w:rFonts w:ascii="Times New Roman" w:eastAsia="Times New Roman" w:hAnsi="Times New Roman" w:cs="Times New Roman"/>
          <w:i/>
          <w:iCs/>
          <w:kern w:val="0"/>
          <w:sz w:val="24"/>
          <w:szCs w:val="24"/>
          <w14:ligatures w14:val="none"/>
        </w:rPr>
        <w:t>Cogent Business &amp; Management, 7</w:t>
      </w:r>
      <w:r w:rsidRPr="000B029A">
        <w:rPr>
          <w:rFonts w:ascii="Times New Roman" w:eastAsia="Times New Roman" w:hAnsi="Times New Roman" w:cs="Times New Roman"/>
          <w:kern w:val="0"/>
          <w:sz w:val="24"/>
          <w:szCs w:val="24"/>
          <w14:ligatures w14:val="none"/>
        </w:rPr>
        <w:t xml:space="preserve">(1), Article 1780101. </w:t>
      </w:r>
      <w:hyperlink r:id="rId33" w:history="1">
        <w:r w:rsidRPr="000B029A">
          <w:rPr>
            <w:rFonts w:ascii="Times New Roman" w:eastAsia="Times New Roman" w:hAnsi="Times New Roman" w:cs="Times New Roman"/>
            <w:color w:val="0000FF"/>
            <w:kern w:val="0"/>
            <w:sz w:val="24"/>
            <w:szCs w:val="24"/>
            <w:u w:val="single"/>
            <w14:ligatures w14:val="none"/>
          </w:rPr>
          <w:t>https://doi.org/10.1080/23311975.2020.1780101</w:t>
        </w:r>
      </w:hyperlink>
    </w:p>
    <w:p w14:paraId="20792690"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Kijkasiwat</w:t>
      </w:r>
      <w:proofErr w:type="spellEnd"/>
      <w:r w:rsidRPr="000B029A">
        <w:rPr>
          <w:rFonts w:ascii="Times New Roman" w:eastAsia="Times New Roman" w:hAnsi="Times New Roman" w:cs="Times New Roman"/>
          <w:kern w:val="0"/>
          <w:sz w:val="24"/>
          <w:szCs w:val="24"/>
          <w14:ligatures w14:val="none"/>
        </w:rPr>
        <w:t xml:space="preserve">, P., Hussain, A., &amp; Mumtaz, A. (2022). Corporate governance, firm performance and financial leverage across developed and emerging economies. </w:t>
      </w:r>
      <w:r w:rsidRPr="000B029A">
        <w:rPr>
          <w:rFonts w:ascii="Times New Roman" w:eastAsia="Times New Roman" w:hAnsi="Times New Roman" w:cs="Times New Roman"/>
          <w:i/>
          <w:iCs/>
          <w:kern w:val="0"/>
          <w:sz w:val="24"/>
          <w:szCs w:val="24"/>
          <w14:ligatures w14:val="none"/>
        </w:rPr>
        <w:t>Risks, 10</w:t>
      </w:r>
      <w:r w:rsidRPr="000B029A">
        <w:rPr>
          <w:rFonts w:ascii="Times New Roman" w:eastAsia="Times New Roman" w:hAnsi="Times New Roman" w:cs="Times New Roman"/>
          <w:kern w:val="0"/>
          <w:sz w:val="24"/>
          <w:szCs w:val="24"/>
          <w14:ligatures w14:val="none"/>
        </w:rPr>
        <w:t xml:space="preserve">(10), Article 185. </w:t>
      </w:r>
      <w:hyperlink r:id="rId34" w:history="1">
        <w:r w:rsidRPr="000B029A">
          <w:rPr>
            <w:rFonts w:ascii="Times New Roman" w:eastAsia="Times New Roman" w:hAnsi="Times New Roman" w:cs="Times New Roman"/>
            <w:color w:val="0000FF"/>
            <w:kern w:val="0"/>
            <w:sz w:val="24"/>
            <w:szCs w:val="24"/>
            <w:u w:val="single"/>
            <w14:ligatures w14:val="none"/>
          </w:rPr>
          <w:t>https://doi.org/10.3390/risks10100185</w:t>
        </w:r>
      </w:hyperlink>
    </w:p>
    <w:p w14:paraId="62C91B2E"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lastRenderedPageBreak/>
        <w:t>Lv</w:t>
      </w:r>
      <w:proofErr w:type="spellEnd"/>
      <w:r w:rsidRPr="000B029A">
        <w:rPr>
          <w:rFonts w:ascii="Times New Roman" w:eastAsia="Times New Roman" w:hAnsi="Times New Roman" w:cs="Times New Roman"/>
          <w:kern w:val="0"/>
          <w:sz w:val="24"/>
          <w:szCs w:val="24"/>
          <w14:ligatures w14:val="none"/>
        </w:rPr>
        <w:t xml:space="preserve">, W., Meng, Q., Cao, Y., &amp; Liu, J. (2025). Impact and moderating mechanism of corporate tax avoidance on firm value from the perspective of corporate governance. </w:t>
      </w:r>
      <w:r w:rsidRPr="000B029A">
        <w:rPr>
          <w:rFonts w:ascii="Times New Roman" w:eastAsia="Times New Roman" w:hAnsi="Times New Roman" w:cs="Times New Roman"/>
          <w:i/>
          <w:iCs/>
          <w:kern w:val="0"/>
          <w:sz w:val="24"/>
          <w:szCs w:val="24"/>
          <w14:ligatures w14:val="none"/>
        </w:rPr>
        <w:t>International Review of Financial Analysis, 99</w:t>
      </w:r>
      <w:r w:rsidRPr="000B029A">
        <w:rPr>
          <w:rFonts w:ascii="Times New Roman" w:eastAsia="Times New Roman" w:hAnsi="Times New Roman" w:cs="Times New Roman"/>
          <w:kern w:val="0"/>
          <w:sz w:val="24"/>
          <w:szCs w:val="24"/>
          <w14:ligatures w14:val="none"/>
        </w:rPr>
        <w:t xml:space="preserve">, Article 103926. </w:t>
      </w:r>
      <w:hyperlink r:id="rId35" w:history="1">
        <w:r w:rsidRPr="000B029A">
          <w:rPr>
            <w:rFonts w:ascii="Times New Roman" w:eastAsia="Times New Roman" w:hAnsi="Times New Roman" w:cs="Times New Roman"/>
            <w:color w:val="0000FF"/>
            <w:kern w:val="0"/>
            <w:sz w:val="24"/>
            <w:szCs w:val="24"/>
            <w:u w:val="single"/>
            <w14:ligatures w14:val="none"/>
          </w:rPr>
          <w:t>https://doi.org/10.1016/j.irfa.2025.103926</w:t>
        </w:r>
      </w:hyperlink>
    </w:p>
    <w:p w14:paraId="5824AEBE"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Maddala, G. S., &amp; Wu, S. (1999). A comparative study of unit root tests with panel data and a new simple test. </w:t>
      </w:r>
      <w:r w:rsidRPr="000B029A">
        <w:rPr>
          <w:rFonts w:ascii="Times New Roman" w:eastAsia="Times New Roman" w:hAnsi="Times New Roman" w:cs="Times New Roman"/>
          <w:i/>
          <w:iCs/>
          <w:kern w:val="0"/>
          <w:sz w:val="24"/>
          <w:szCs w:val="24"/>
          <w14:ligatures w14:val="none"/>
        </w:rPr>
        <w:t>Oxford Bulletin of Economics and Statistics, 61</w:t>
      </w:r>
      <w:r w:rsidRPr="000B029A">
        <w:rPr>
          <w:rFonts w:ascii="Times New Roman" w:eastAsia="Times New Roman" w:hAnsi="Times New Roman" w:cs="Times New Roman"/>
          <w:kern w:val="0"/>
          <w:sz w:val="24"/>
          <w:szCs w:val="24"/>
          <w14:ligatures w14:val="none"/>
        </w:rPr>
        <w:t xml:space="preserve">(S1), 631–652. </w:t>
      </w:r>
      <w:hyperlink r:id="rId36" w:history="1">
        <w:r w:rsidRPr="000B029A">
          <w:rPr>
            <w:rFonts w:ascii="Times New Roman" w:eastAsia="Times New Roman" w:hAnsi="Times New Roman" w:cs="Times New Roman"/>
            <w:color w:val="0000FF"/>
            <w:kern w:val="0"/>
            <w:sz w:val="24"/>
            <w:szCs w:val="24"/>
            <w:u w:val="single"/>
            <w14:ligatures w14:val="none"/>
          </w:rPr>
          <w:t>https://doi.org/10.1111/1468-0084.0610s1631</w:t>
        </w:r>
      </w:hyperlink>
    </w:p>
    <w:p w14:paraId="1250929B"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Malik, M. S., &amp; Munir, S. (2024). The nexus of corporate tax avoidance and firm performance with the moderating effect of ownership concentration and board independence: Evidence from developing economies. </w:t>
      </w:r>
      <w:r w:rsidRPr="000B029A">
        <w:rPr>
          <w:rFonts w:ascii="Times New Roman" w:eastAsia="Times New Roman" w:hAnsi="Times New Roman" w:cs="Times New Roman"/>
          <w:i/>
          <w:iCs/>
          <w:kern w:val="0"/>
          <w:sz w:val="24"/>
          <w:szCs w:val="24"/>
          <w14:ligatures w14:val="none"/>
        </w:rPr>
        <w:t>Journal of Excellence in Management Sciences, 3</w:t>
      </w:r>
      <w:r w:rsidRPr="000B029A">
        <w:rPr>
          <w:rFonts w:ascii="Times New Roman" w:eastAsia="Times New Roman" w:hAnsi="Times New Roman" w:cs="Times New Roman"/>
          <w:kern w:val="0"/>
          <w:sz w:val="24"/>
          <w:szCs w:val="24"/>
          <w14:ligatures w14:val="none"/>
        </w:rPr>
        <w:t xml:space="preserve">(1), 26–44. </w:t>
      </w:r>
      <w:hyperlink r:id="rId37" w:history="1">
        <w:r w:rsidRPr="000B029A">
          <w:rPr>
            <w:rFonts w:ascii="Times New Roman" w:eastAsia="Times New Roman" w:hAnsi="Times New Roman" w:cs="Times New Roman"/>
            <w:color w:val="0000FF"/>
            <w:kern w:val="0"/>
            <w:sz w:val="24"/>
            <w:szCs w:val="24"/>
            <w:u w:val="single"/>
            <w14:ligatures w14:val="none"/>
          </w:rPr>
          <w:t>https://doi.org/10.69565/jems.v3i1.204</w:t>
        </w:r>
      </w:hyperlink>
    </w:p>
    <w:p w14:paraId="4EFFBC90" w14:textId="77777777" w:rsidR="002008A5"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Malik, M. S., Irfan, M., &amp; Munir, S. (2025). Corporate tax avoidance and firm performance: The moderating role of ownership concentration and board independence. </w:t>
      </w:r>
      <w:r w:rsidRPr="000B029A">
        <w:rPr>
          <w:rFonts w:ascii="Times New Roman" w:eastAsia="Times New Roman" w:hAnsi="Times New Roman" w:cs="Times New Roman"/>
          <w:i/>
          <w:iCs/>
          <w:kern w:val="0"/>
          <w:sz w:val="24"/>
          <w:szCs w:val="24"/>
          <w14:ligatures w14:val="none"/>
        </w:rPr>
        <w:t>Cogent Business &amp; Management, 12</w:t>
      </w:r>
      <w:r w:rsidRPr="000B029A">
        <w:rPr>
          <w:rFonts w:ascii="Times New Roman" w:eastAsia="Times New Roman" w:hAnsi="Times New Roman" w:cs="Times New Roman"/>
          <w:kern w:val="0"/>
          <w:sz w:val="24"/>
          <w:szCs w:val="24"/>
          <w14:ligatures w14:val="none"/>
        </w:rPr>
        <w:t xml:space="preserve">(1), Article 2448277. </w:t>
      </w:r>
      <w:hyperlink r:id="rId38" w:history="1">
        <w:r w:rsidRPr="000B029A">
          <w:rPr>
            <w:rFonts w:ascii="Times New Roman" w:eastAsia="Times New Roman" w:hAnsi="Times New Roman" w:cs="Times New Roman"/>
            <w:color w:val="0000FF"/>
            <w:kern w:val="0"/>
            <w:sz w:val="24"/>
            <w:szCs w:val="24"/>
            <w:u w:val="single"/>
            <w14:ligatures w14:val="none"/>
          </w:rPr>
          <w:t>https://doi.org/10.1080/23311975.2024.2448277</w:t>
        </w:r>
      </w:hyperlink>
      <w:r w:rsidRPr="000B029A">
        <w:rPr>
          <w:rFonts w:ascii="Times New Roman" w:eastAsia="Times New Roman" w:hAnsi="Times New Roman" w:cs="Times New Roman"/>
          <w:kern w:val="0"/>
          <w:sz w:val="24"/>
          <w:szCs w:val="24"/>
          <w14:ligatures w14:val="none"/>
        </w:rPr>
        <w:br/>
      </w:r>
    </w:p>
    <w:p w14:paraId="19BFF12F" w14:textId="34237301"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Merendino, A., &amp; Melville, R. (2019). The board of directors and firm performance: Empirical evidence from listed companies. </w:t>
      </w:r>
      <w:r w:rsidRPr="000B029A">
        <w:rPr>
          <w:rFonts w:ascii="Times New Roman" w:eastAsia="Times New Roman" w:hAnsi="Times New Roman" w:cs="Times New Roman"/>
          <w:i/>
          <w:iCs/>
          <w:kern w:val="0"/>
          <w:sz w:val="24"/>
          <w:szCs w:val="24"/>
          <w14:ligatures w14:val="none"/>
        </w:rPr>
        <w:t>Corporate Governance: The International Journal of Business in Society, 19</w:t>
      </w:r>
      <w:r w:rsidRPr="000B029A">
        <w:rPr>
          <w:rFonts w:ascii="Times New Roman" w:eastAsia="Times New Roman" w:hAnsi="Times New Roman" w:cs="Times New Roman"/>
          <w:kern w:val="0"/>
          <w:sz w:val="24"/>
          <w:szCs w:val="24"/>
          <w14:ligatures w14:val="none"/>
        </w:rPr>
        <w:t xml:space="preserve">(3), 508–551. </w:t>
      </w:r>
      <w:hyperlink r:id="rId39" w:history="1">
        <w:r w:rsidRPr="000B029A">
          <w:rPr>
            <w:rFonts w:ascii="Times New Roman" w:eastAsia="Times New Roman" w:hAnsi="Times New Roman" w:cs="Times New Roman"/>
            <w:color w:val="0000FF"/>
            <w:kern w:val="0"/>
            <w:sz w:val="24"/>
            <w:szCs w:val="24"/>
            <w:u w:val="single"/>
            <w14:ligatures w14:val="none"/>
          </w:rPr>
          <w:t>https://doi.org/10.1108/CG-06-2018-0211</w:t>
        </w:r>
      </w:hyperlink>
    </w:p>
    <w:p w14:paraId="73944A46"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0B029A">
        <w:rPr>
          <w:rFonts w:ascii="Times New Roman" w:eastAsia="Times New Roman" w:hAnsi="Times New Roman" w:cs="Times New Roman"/>
          <w:kern w:val="0"/>
          <w:sz w:val="24"/>
          <w:szCs w:val="24"/>
          <w14:ligatures w14:val="none"/>
        </w:rPr>
        <w:t>Nkwa</w:t>
      </w:r>
      <w:proofErr w:type="spellEnd"/>
      <w:r w:rsidRPr="000B029A">
        <w:rPr>
          <w:rFonts w:ascii="Times New Roman" w:eastAsia="Times New Roman" w:hAnsi="Times New Roman" w:cs="Times New Roman"/>
          <w:kern w:val="0"/>
          <w:sz w:val="24"/>
          <w:szCs w:val="24"/>
          <w14:ligatures w14:val="none"/>
        </w:rPr>
        <w:t xml:space="preserve">, I. E., Yusuff, T. O., Oyewole, J. S., Adeleke, A. T., </w:t>
      </w:r>
      <w:proofErr w:type="spellStart"/>
      <w:r w:rsidRPr="000B029A">
        <w:rPr>
          <w:rFonts w:ascii="Times New Roman" w:eastAsia="Times New Roman" w:hAnsi="Times New Roman" w:cs="Times New Roman"/>
          <w:kern w:val="0"/>
          <w:sz w:val="24"/>
          <w:szCs w:val="24"/>
          <w14:ligatures w14:val="none"/>
        </w:rPr>
        <w:t>Oladetan</w:t>
      </w:r>
      <w:proofErr w:type="spellEnd"/>
      <w:r w:rsidRPr="000B029A">
        <w:rPr>
          <w:rFonts w:ascii="Times New Roman" w:eastAsia="Times New Roman" w:hAnsi="Times New Roman" w:cs="Times New Roman"/>
          <w:kern w:val="0"/>
          <w:sz w:val="24"/>
          <w:szCs w:val="24"/>
          <w14:ligatures w14:val="none"/>
        </w:rPr>
        <w:t xml:space="preserve">, O. E., &amp; </w:t>
      </w:r>
      <w:proofErr w:type="spellStart"/>
      <w:r w:rsidRPr="000B029A">
        <w:rPr>
          <w:rFonts w:ascii="Times New Roman" w:eastAsia="Times New Roman" w:hAnsi="Times New Roman" w:cs="Times New Roman"/>
          <w:kern w:val="0"/>
          <w:sz w:val="24"/>
          <w:szCs w:val="24"/>
          <w14:ligatures w14:val="none"/>
        </w:rPr>
        <w:t>Madukwe</w:t>
      </w:r>
      <w:proofErr w:type="spellEnd"/>
      <w:r w:rsidRPr="000B029A">
        <w:rPr>
          <w:rFonts w:ascii="Times New Roman" w:eastAsia="Times New Roman" w:hAnsi="Times New Roman" w:cs="Times New Roman"/>
          <w:kern w:val="0"/>
          <w:sz w:val="24"/>
          <w:szCs w:val="24"/>
          <w14:ligatures w14:val="none"/>
        </w:rPr>
        <w:t xml:space="preserve">, J. O. (2026). Audit quality and firm value: Evidence from selected money deposit banks in Abia State, Nigeria. </w:t>
      </w:r>
      <w:r w:rsidRPr="000B029A">
        <w:rPr>
          <w:rFonts w:ascii="Times New Roman" w:eastAsia="Times New Roman" w:hAnsi="Times New Roman" w:cs="Times New Roman"/>
          <w:i/>
          <w:iCs/>
          <w:kern w:val="0"/>
          <w:sz w:val="24"/>
          <w:szCs w:val="24"/>
          <w14:ligatures w14:val="none"/>
        </w:rPr>
        <w:t>Journal of Global Economics, Management and Business Research, 18</w:t>
      </w:r>
      <w:r w:rsidRPr="000B029A">
        <w:rPr>
          <w:rFonts w:ascii="Times New Roman" w:eastAsia="Times New Roman" w:hAnsi="Times New Roman" w:cs="Times New Roman"/>
          <w:kern w:val="0"/>
          <w:sz w:val="24"/>
          <w:szCs w:val="24"/>
          <w14:ligatures w14:val="none"/>
        </w:rPr>
        <w:t xml:space="preserve">(1), 170–183. </w:t>
      </w:r>
      <w:hyperlink r:id="rId40" w:history="1">
        <w:r w:rsidRPr="000B029A">
          <w:rPr>
            <w:rFonts w:ascii="Times New Roman" w:eastAsia="Times New Roman" w:hAnsi="Times New Roman" w:cs="Times New Roman"/>
            <w:color w:val="0000FF"/>
            <w:kern w:val="0"/>
            <w:sz w:val="24"/>
            <w:szCs w:val="24"/>
            <w:u w:val="single"/>
            <w14:ligatures w14:val="none"/>
          </w:rPr>
          <w:t>https://doi.org/10.56557/jgembr/2026/v18i110164</w:t>
        </w:r>
      </w:hyperlink>
    </w:p>
    <w:p w14:paraId="1AF25418"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Nuta, A. C., Habib, A. M., </w:t>
      </w:r>
      <w:proofErr w:type="spellStart"/>
      <w:r w:rsidRPr="000B029A">
        <w:rPr>
          <w:rFonts w:ascii="Times New Roman" w:eastAsia="Times New Roman" w:hAnsi="Times New Roman" w:cs="Times New Roman"/>
          <w:kern w:val="0"/>
          <w:sz w:val="24"/>
          <w:szCs w:val="24"/>
          <w14:ligatures w14:val="none"/>
        </w:rPr>
        <w:t>Neslihanoglu</w:t>
      </w:r>
      <w:proofErr w:type="spellEnd"/>
      <w:r w:rsidRPr="000B029A">
        <w:rPr>
          <w:rFonts w:ascii="Times New Roman" w:eastAsia="Times New Roman" w:hAnsi="Times New Roman" w:cs="Times New Roman"/>
          <w:kern w:val="0"/>
          <w:sz w:val="24"/>
          <w:szCs w:val="24"/>
          <w14:ligatures w14:val="none"/>
        </w:rPr>
        <w:t xml:space="preserve">, S., </w:t>
      </w:r>
      <w:proofErr w:type="spellStart"/>
      <w:r w:rsidRPr="000B029A">
        <w:rPr>
          <w:rFonts w:ascii="Times New Roman" w:eastAsia="Times New Roman" w:hAnsi="Times New Roman" w:cs="Times New Roman"/>
          <w:kern w:val="0"/>
          <w:sz w:val="24"/>
          <w:szCs w:val="24"/>
          <w14:ligatures w14:val="none"/>
        </w:rPr>
        <w:t>Dalwai</w:t>
      </w:r>
      <w:proofErr w:type="spellEnd"/>
      <w:r w:rsidRPr="000B029A">
        <w:rPr>
          <w:rFonts w:ascii="Times New Roman" w:eastAsia="Times New Roman" w:hAnsi="Times New Roman" w:cs="Times New Roman"/>
          <w:kern w:val="0"/>
          <w:sz w:val="24"/>
          <w:szCs w:val="24"/>
          <w14:ligatures w14:val="none"/>
        </w:rPr>
        <w:t xml:space="preserve">, T., &amp; Rangu, C. M. (2025). Analyzing the market performance of Romanian firms: Do the COVID-19 crisis and classification type matter? </w:t>
      </w:r>
      <w:r w:rsidRPr="000B029A">
        <w:rPr>
          <w:rFonts w:ascii="Times New Roman" w:eastAsia="Times New Roman" w:hAnsi="Times New Roman" w:cs="Times New Roman"/>
          <w:i/>
          <w:iCs/>
          <w:kern w:val="0"/>
          <w:sz w:val="24"/>
          <w:szCs w:val="24"/>
          <w14:ligatures w14:val="none"/>
        </w:rPr>
        <w:t>International Journal of Emerging Markets, 20</w:t>
      </w:r>
      <w:r w:rsidRPr="000B029A">
        <w:rPr>
          <w:rFonts w:ascii="Times New Roman" w:eastAsia="Times New Roman" w:hAnsi="Times New Roman" w:cs="Times New Roman"/>
          <w:kern w:val="0"/>
          <w:sz w:val="24"/>
          <w:szCs w:val="24"/>
          <w14:ligatures w14:val="none"/>
        </w:rPr>
        <w:t xml:space="preserve">(7), 3050–3067. </w:t>
      </w:r>
      <w:hyperlink r:id="rId41" w:history="1">
        <w:r w:rsidRPr="000B029A">
          <w:rPr>
            <w:rFonts w:ascii="Times New Roman" w:eastAsia="Times New Roman" w:hAnsi="Times New Roman" w:cs="Times New Roman"/>
            <w:color w:val="0000FF"/>
            <w:kern w:val="0"/>
            <w:sz w:val="24"/>
            <w:szCs w:val="24"/>
            <w:u w:val="single"/>
            <w14:ligatures w14:val="none"/>
          </w:rPr>
          <w:t>https://doi.org/10.1108/IJOEM-05-2023-0842</w:t>
        </w:r>
      </w:hyperlink>
    </w:p>
    <w:p w14:paraId="5D90EF83"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Ogbonna, U. G., Emmanuel, U., &amp; </w:t>
      </w:r>
      <w:proofErr w:type="spellStart"/>
      <w:r w:rsidRPr="000B029A">
        <w:rPr>
          <w:rFonts w:ascii="Times New Roman" w:eastAsia="Times New Roman" w:hAnsi="Times New Roman" w:cs="Times New Roman"/>
          <w:kern w:val="0"/>
          <w:sz w:val="24"/>
          <w:szCs w:val="24"/>
          <w14:ligatures w14:val="none"/>
        </w:rPr>
        <w:t>Mmesoma</w:t>
      </w:r>
      <w:proofErr w:type="spellEnd"/>
      <w:r w:rsidRPr="000B029A">
        <w:rPr>
          <w:rFonts w:ascii="Times New Roman" w:eastAsia="Times New Roman" w:hAnsi="Times New Roman" w:cs="Times New Roman"/>
          <w:kern w:val="0"/>
          <w:sz w:val="24"/>
          <w:szCs w:val="24"/>
          <w14:ligatures w14:val="none"/>
        </w:rPr>
        <w:t xml:space="preserve">, E. A. (2022). Effect of managerial ownership and tax aggressiveness on financial performance of domestic systematically important banks in Nigeria. </w:t>
      </w:r>
      <w:r w:rsidRPr="000B029A">
        <w:rPr>
          <w:rFonts w:ascii="Times New Roman" w:eastAsia="Times New Roman" w:hAnsi="Times New Roman" w:cs="Times New Roman"/>
          <w:i/>
          <w:iCs/>
          <w:kern w:val="0"/>
          <w:sz w:val="24"/>
          <w:szCs w:val="24"/>
          <w14:ligatures w14:val="none"/>
        </w:rPr>
        <w:t>American Journal of Economics and Business Management, 5</w:t>
      </w:r>
      <w:r w:rsidRPr="000B029A">
        <w:rPr>
          <w:rFonts w:ascii="Times New Roman" w:eastAsia="Times New Roman" w:hAnsi="Times New Roman" w:cs="Times New Roman"/>
          <w:kern w:val="0"/>
          <w:sz w:val="24"/>
          <w:szCs w:val="24"/>
          <w14:ligatures w14:val="none"/>
        </w:rPr>
        <w:t xml:space="preserve">(10), 51–71. </w:t>
      </w:r>
      <w:hyperlink r:id="rId42" w:history="1">
        <w:r w:rsidRPr="000B029A">
          <w:rPr>
            <w:rFonts w:ascii="Times New Roman" w:eastAsia="Times New Roman" w:hAnsi="Times New Roman" w:cs="Times New Roman"/>
            <w:color w:val="0000FF"/>
            <w:kern w:val="0"/>
            <w:sz w:val="24"/>
            <w:szCs w:val="24"/>
            <w:u w:val="single"/>
            <w14:ligatures w14:val="none"/>
          </w:rPr>
          <w:t>https://doi.org/10.31150/ajebm.v5i10.1569</w:t>
        </w:r>
      </w:hyperlink>
    </w:p>
    <w:p w14:paraId="1C4169C8"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Ojo, O. B., </w:t>
      </w:r>
      <w:proofErr w:type="spellStart"/>
      <w:r w:rsidRPr="000B029A">
        <w:rPr>
          <w:rFonts w:ascii="Times New Roman" w:eastAsia="Times New Roman" w:hAnsi="Times New Roman" w:cs="Times New Roman"/>
          <w:kern w:val="0"/>
          <w:sz w:val="24"/>
          <w:szCs w:val="24"/>
          <w14:ligatures w14:val="none"/>
        </w:rPr>
        <w:t>Akinadewo</w:t>
      </w:r>
      <w:proofErr w:type="spellEnd"/>
      <w:r w:rsidRPr="000B029A">
        <w:rPr>
          <w:rFonts w:ascii="Times New Roman" w:eastAsia="Times New Roman" w:hAnsi="Times New Roman" w:cs="Times New Roman"/>
          <w:kern w:val="0"/>
          <w:sz w:val="24"/>
          <w:szCs w:val="24"/>
          <w14:ligatures w14:val="none"/>
        </w:rPr>
        <w:t xml:space="preserve">, I. S., </w:t>
      </w:r>
      <w:proofErr w:type="spellStart"/>
      <w:r w:rsidRPr="000B029A">
        <w:rPr>
          <w:rFonts w:ascii="Times New Roman" w:eastAsia="Times New Roman" w:hAnsi="Times New Roman" w:cs="Times New Roman"/>
          <w:kern w:val="0"/>
          <w:sz w:val="24"/>
          <w:szCs w:val="24"/>
          <w14:ligatures w14:val="none"/>
        </w:rPr>
        <w:t>Duduyegbe</w:t>
      </w:r>
      <w:proofErr w:type="spellEnd"/>
      <w:r w:rsidRPr="000B029A">
        <w:rPr>
          <w:rFonts w:ascii="Times New Roman" w:eastAsia="Times New Roman" w:hAnsi="Times New Roman" w:cs="Times New Roman"/>
          <w:kern w:val="0"/>
          <w:sz w:val="24"/>
          <w:szCs w:val="24"/>
          <w14:ligatures w14:val="none"/>
        </w:rPr>
        <w:t xml:space="preserve">, S. S., </w:t>
      </w:r>
      <w:proofErr w:type="spellStart"/>
      <w:r w:rsidRPr="000B029A">
        <w:rPr>
          <w:rFonts w:ascii="Times New Roman" w:eastAsia="Times New Roman" w:hAnsi="Times New Roman" w:cs="Times New Roman"/>
          <w:kern w:val="0"/>
          <w:sz w:val="24"/>
          <w:szCs w:val="24"/>
          <w14:ligatures w14:val="none"/>
        </w:rPr>
        <w:t>Fasakin</w:t>
      </w:r>
      <w:proofErr w:type="spellEnd"/>
      <w:r w:rsidRPr="000B029A">
        <w:rPr>
          <w:rFonts w:ascii="Times New Roman" w:eastAsia="Times New Roman" w:hAnsi="Times New Roman" w:cs="Times New Roman"/>
          <w:kern w:val="0"/>
          <w:sz w:val="24"/>
          <w:szCs w:val="24"/>
          <w14:ligatures w14:val="none"/>
        </w:rPr>
        <w:t xml:space="preserve">, A. J., &amp; Owoeye, T. O. (2025). AI-driven decision-making in financial management. </w:t>
      </w:r>
      <w:r w:rsidRPr="000B029A">
        <w:rPr>
          <w:rFonts w:ascii="Times New Roman" w:eastAsia="Times New Roman" w:hAnsi="Times New Roman" w:cs="Times New Roman"/>
          <w:i/>
          <w:iCs/>
          <w:kern w:val="0"/>
          <w:sz w:val="24"/>
          <w:szCs w:val="24"/>
          <w14:ligatures w14:val="none"/>
        </w:rPr>
        <w:t>International Journal of Economics and Business Management, 1</w:t>
      </w:r>
      <w:r w:rsidRPr="000B029A">
        <w:rPr>
          <w:rFonts w:ascii="Times New Roman" w:eastAsia="Times New Roman" w:hAnsi="Times New Roman" w:cs="Times New Roman"/>
          <w:kern w:val="0"/>
          <w:sz w:val="24"/>
          <w:szCs w:val="24"/>
          <w14:ligatures w14:val="none"/>
        </w:rPr>
        <w:t xml:space="preserve">(2), 644–663. </w:t>
      </w:r>
      <w:hyperlink r:id="rId43" w:history="1">
        <w:r w:rsidRPr="000B029A">
          <w:rPr>
            <w:rFonts w:ascii="Times New Roman" w:eastAsia="Times New Roman" w:hAnsi="Times New Roman" w:cs="Times New Roman"/>
            <w:color w:val="0000FF"/>
            <w:kern w:val="0"/>
            <w:sz w:val="24"/>
            <w:szCs w:val="24"/>
            <w:u w:val="single"/>
            <w14:ligatures w14:val="none"/>
          </w:rPr>
          <w:t>https://doi.org/10.59568/IJEBM-2025-1-2-43</w:t>
        </w:r>
      </w:hyperlink>
    </w:p>
    <w:p w14:paraId="1483D46F"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Shamil, M. M., Gooneratne, D. W., Gunathilaka, D., &amp; Shaikh, J. M. (2024). The effect of board characteristics on tax aggressiveness: The case of listed entities in Sri Lanka. </w:t>
      </w:r>
      <w:r w:rsidRPr="000B029A">
        <w:rPr>
          <w:rFonts w:ascii="Times New Roman" w:eastAsia="Times New Roman" w:hAnsi="Times New Roman" w:cs="Times New Roman"/>
          <w:i/>
          <w:iCs/>
          <w:kern w:val="0"/>
          <w:sz w:val="24"/>
          <w:szCs w:val="24"/>
          <w14:ligatures w14:val="none"/>
        </w:rPr>
        <w:t>Journal of Accounting in Emerging Economies, 14</w:t>
      </w:r>
      <w:r w:rsidRPr="000B029A">
        <w:rPr>
          <w:rFonts w:ascii="Times New Roman" w:eastAsia="Times New Roman" w:hAnsi="Times New Roman" w:cs="Times New Roman"/>
          <w:kern w:val="0"/>
          <w:sz w:val="24"/>
          <w:szCs w:val="24"/>
          <w14:ligatures w14:val="none"/>
        </w:rPr>
        <w:t xml:space="preserve">(4), 747–770. </w:t>
      </w:r>
      <w:hyperlink r:id="rId44" w:history="1">
        <w:r w:rsidRPr="000B029A">
          <w:rPr>
            <w:rFonts w:ascii="Times New Roman" w:eastAsia="Times New Roman" w:hAnsi="Times New Roman" w:cs="Times New Roman"/>
            <w:color w:val="0000FF"/>
            <w:kern w:val="0"/>
            <w:sz w:val="24"/>
            <w:szCs w:val="24"/>
            <w:u w:val="single"/>
            <w14:ligatures w14:val="none"/>
          </w:rPr>
          <w:t>https://doi.org/10.1108/JAEE-08-2022-0224</w:t>
        </w:r>
      </w:hyperlink>
    </w:p>
    <w:p w14:paraId="20795156"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Shams, H. A., Tahir, M., Kazmi, S. S. A., Khan, S., &amp; Marwat, A. (2025). Unveiling the relationships among tax avoidance and sustainable firms’ performance: Empirical evidence from Pakistan manufacturing firms. </w:t>
      </w:r>
      <w:r w:rsidRPr="000B029A">
        <w:rPr>
          <w:rFonts w:ascii="Times New Roman" w:eastAsia="Times New Roman" w:hAnsi="Times New Roman" w:cs="Times New Roman"/>
          <w:i/>
          <w:iCs/>
          <w:kern w:val="0"/>
          <w:sz w:val="24"/>
          <w:szCs w:val="24"/>
          <w14:ligatures w14:val="none"/>
        </w:rPr>
        <w:t>Dialogue Social Science Review, 3</w:t>
      </w:r>
      <w:r w:rsidRPr="000B029A">
        <w:rPr>
          <w:rFonts w:ascii="Times New Roman" w:eastAsia="Times New Roman" w:hAnsi="Times New Roman" w:cs="Times New Roman"/>
          <w:kern w:val="0"/>
          <w:sz w:val="24"/>
          <w:szCs w:val="24"/>
          <w14:ligatures w14:val="none"/>
        </w:rPr>
        <w:t xml:space="preserve">(1), 920–930. </w:t>
      </w:r>
      <w:hyperlink r:id="rId45" w:history="1">
        <w:r w:rsidRPr="000B029A">
          <w:rPr>
            <w:rFonts w:ascii="Times New Roman" w:eastAsia="Times New Roman" w:hAnsi="Times New Roman" w:cs="Times New Roman"/>
            <w:color w:val="0000FF"/>
            <w:kern w:val="0"/>
            <w:sz w:val="24"/>
            <w:szCs w:val="24"/>
            <w:u w:val="single"/>
            <w14:ligatures w14:val="none"/>
          </w:rPr>
          <w:t>https://dialoguesreview.com/index.php/2/article/view/228</w:t>
        </w:r>
      </w:hyperlink>
    </w:p>
    <w:p w14:paraId="69320DC2"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lastRenderedPageBreak/>
        <w:t xml:space="preserve">Shubita, M. F. (2024). The effect of tax avoidance on firm value with leverage as a moderating variable. </w:t>
      </w:r>
      <w:r w:rsidRPr="000B029A">
        <w:rPr>
          <w:rFonts w:ascii="Times New Roman" w:eastAsia="Times New Roman" w:hAnsi="Times New Roman" w:cs="Times New Roman"/>
          <w:i/>
          <w:iCs/>
          <w:kern w:val="0"/>
          <w:sz w:val="24"/>
          <w:szCs w:val="24"/>
          <w14:ligatures w14:val="none"/>
        </w:rPr>
        <w:t>Investment Management &amp; Financial Innovations, 21</w:t>
      </w:r>
      <w:r w:rsidRPr="000B029A">
        <w:rPr>
          <w:rFonts w:ascii="Times New Roman" w:eastAsia="Times New Roman" w:hAnsi="Times New Roman" w:cs="Times New Roman"/>
          <w:kern w:val="0"/>
          <w:sz w:val="24"/>
          <w:szCs w:val="24"/>
          <w14:ligatures w14:val="none"/>
        </w:rPr>
        <w:t xml:space="preserve">(2), 336–348. </w:t>
      </w:r>
      <w:hyperlink r:id="rId46" w:history="1">
        <w:r w:rsidRPr="000B029A">
          <w:rPr>
            <w:rFonts w:ascii="Times New Roman" w:eastAsia="Times New Roman" w:hAnsi="Times New Roman" w:cs="Times New Roman"/>
            <w:color w:val="0000FF"/>
            <w:kern w:val="0"/>
            <w:sz w:val="24"/>
            <w:szCs w:val="24"/>
            <w:u w:val="single"/>
            <w14:ligatures w14:val="none"/>
          </w:rPr>
          <w:t>https://doi.org/10.21511/imfi.21(2).2024.27</w:t>
        </w:r>
      </w:hyperlink>
    </w:p>
    <w:p w14:paraId="4046AA30"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Sihono, A., &amp; </w:t>
      </w:r>
      <w:proofErr w:type="spellStart"/>
      <w:r w:rsidRPr="000B029A">
        <w:rPr>
          <w:rFonts w:ascii="Times New Roman" w:eastAsia="Times New Roman" w:hAnsi="Times New Roman" w:cs="Times New Roman"/>
          <w:kern w:val="0"/>
          <w:sz w:val="24"/>
          <w:szCs w:val="24"/>
          <w14:ligatures w14:val="none"/>
        </w:rPr>
        <w:t>Khairiyahtussolihah</w:t>
      </w:r>
      <w:proofErr w:type="spellEnd"/>
      <w:r w:rsidRPr="000B029A">
        <w:rPr>
          <w:rFonts w:ascii="Times New Roman" w:eastAsia="Times New Roman" w:hAnsi="Times New Roman" w:cs="Times New Roman"/>
          <w:kern w:val="0"/>
          <w:sz w:val="24"/>
          <w:szCs w:val="24"/>
          <w14:ligatures w14:val="none"/>
        </w:rPr>
        <w:t xml:space="preserve">, A. A. (2023). Does tax aggressiveness and capital structure affect firm performance? The moderating role of political connections. </w:t>
      </w:r>
      <w:proofErr w:type="spellStart"/>
      <w:r w:rsidRPr="000B029A">
        <w:rPr>
          <w:rFonts w:ascii="Times New Roman" w:eastAsia="Times New Roman" w:hAnsi="Times New Roman" w:cs="Times New Roman"/>
          <w:i/>
          <w:iCs/>
          <w:kern w:val="0"/>
          <w:sz w:val="24"/>
          <w:szCs w:val="24"/>
          <w14:ligatures w14:val="none"/>
        </w:rPr>
        <w:t>Maksimum</w:t>
      </w:r>
      <w:proofErr w:type="spellEnd"/>
      <w:r w:rsidRPr="000B029A">
        <w:rPr>
          <w:rFonts w:ascii="Times New Roman" w:eastAsia="Times New Roman" w:hAnsi="Times New Roman" w:cs="Times New Roman"/>
          <w:i/>
          <w:iCs/>
          <w:kern w:val="0"/>
          <w:sz w:val="24"/>
          <w:szCs w:val="24"/>
          <w14:ligatures w14:val="none"/>
        </w:rPr>
        <w:t xml:space="preserve">: Media </w:t>
      </w:r>
      <w:proofErr w:type="spellStart"/>
      <w:r w:rsidRPr="000B029A">
        <w:rPr>
          <w:rFonts w:ascii="Times New Roman" w:eastAsia="Times New Roman" w:hAnsi="Times New Roman" w:cs="Times New Roman"/>
          <w:i/>
          <w:iCs/>
          <w:kern w:val="0"/>
          <w:sz w:val="24"/>
          <w:szCs w:val="24"/>
          <w14:ligatures w14:val="none"/>
        </w:rPr>
        <w:t>Akuntansi</w:t>
      </w:r>
      <w:proofErr w:type="spellEnd"/>
      <w:r w:rsidRPr="000B029A">
        <w:rPr>
          <w:rFonts w:ascii="Times New Roman" w:eastAsia="Times New Roman" w:hAnsi="Times New Roman" w:cs="Times New Roman"/>
          <w:i/>
          <w:iCs/>
          <w:kern w:val="0"/>
          <w:sz w:val="24"/>
          <w:szCs w:val="24"/>
          <w14:ligatures w14:val="none"/>
        </w:rPr>
        <w:t xml:space="preserve"> Universitas Muhammadiyah Semarang, 13</w:t>
      </w:r>
      <w:r w:rsidRPr="000B029A">
        <w:rPr>
          <w:rFonts w:ascii="Times New Roman" w:eastAsia="Times New Roman" w:hAnsi="Times New Roman" w:cs="Times New Roman"/>
          <w:kern w:val="0"/>
          <w:sz w:val="24"/>
          <w:szCs w:val="24"/>
          <w14:ligatures w14:val="none"/>
        </w:rPr>
        <w:t xml:space="preserve">(1), 39–49. </w:t>
      </w:r>
      <w:hyperlink r:id="rId47" w:history="1">
        <w:r w:rsidRPr="000B029A">
          <w:rPr>
            <w:rFonts w:ascii="Times New Roman" w:eastAsia="Times New Roman" w:hAnsi="Times New Roman" w:cs="Times New Roman"/>
            <w:color w:val="0000FF"/>
            <w:kern w:val="0"/>
            <w:sz w:val="24"/>
            <w:szCs w:val="24"/>
            <w:u w:val="single"/>
            <w14:ligatures w14:val="none"/>
          </w:rPr>
          <w:t>https://doi.org/10.26714/mki.13.1.2023.39-49</w:t>
        </w:r>
      </w:hyperlink>
    </w:p>
    <w:p w14:paraId="71FBBDB0"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Spence, M. (1973). Job market signaling. </w:t>
      </w:r>
      <w:r w:rsidRPr="000B029A">
        <w:rPr>
          <w:rFonts w:ascii="Times New Roman" w:eastAsia="Times New Roman" w:hAnsi="Times New Roman" w:cs="Times New Roman"/>
          <w:i/>
          <w:iCs/>
          <w:kern w:val="0"/>
          <w:sz w:val="24"/>
          <w:szCs w:val="24"/>
          <w14:ligatures w14:val="none"/>
        </w:rPr>
        <w:t>The Quarterly Journal of Economics, 87</w:t>
      </w:r>
      <w:r w:rsidRPr="000B029A">
        <w:rPr>
          <w:rFonts w:ascii="Times New Roman" w:eastAsia="Times New Roman" w:hAnsi="Times New Roman" w:cs="Times New Roman"/>
          <w:kern w:val="0"/>
          <w:sz w:val="24"/>
          <w:szCs w:val="24"/>
          <w14:ligatures w14:val="none"/>
        </w:rPr>
        <w:t xml:space="preserve">(3), 355–374. </w:t>
      </w:r>
      <w:hyperlink r:id="rId48" w:history="1">
        <w:r w:rsidRPr="000B029A">
          <w:rPr>
            <w:rFonts w:ascii="Times New Roman" w:eastAsia="Times New Roman" w:hAnsi="Times New Roman" w:cs="Times New Roman"/>
            <w:color w:val="0000FF"/>
            <w:kern w:val="0"/>
            <w:sz w:val="24"/>
            <w:szCs w:val="24"/>
            <w:u w:val="single"/>
            <w14:ligatures w14:val="none"/>
          </w:rPr>
          <w:t>https://doi.org/10.2307/1882010</w:t>
        </w:r>
      </w:hyperlink>
    </w:p>
    <w:p w14:paraId="61A9095D" w14:textId="43F1B9ED"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Su, Q., &amp; Deng, Y. (2024). Tax avoidance news, investor behavior, and stock market performance. </w:t>
      </w:r>
      <w:r w:rsidRPr="000B029A">
        <w:rPr>
          <w:rFonts w:ascii="Times New Roman" w:eastAsia="Times New Roman" w:hAnsi="Times New Roman" w:cs="Times New Roman"/>
          <w:i/>
          <w:iCs/>
          <w:kern w:val="0"/>
          <w:sz w:val="24"/>
          <w:szCs w:val="24"/>
          <w14:ligatures w14:val="none"/>
        </w:rPr>
        <w:t>Finance Research Letters, 67</w:t>
      </w:r>
      <w:r w:rsidRPr="000B029A">
        <w:rPr>
          <w:rFonts w:ascii="Times New Roman" w:eastAsia="Times New Roman" w:hAnsi="Times New Roman" w:cs="Times New Roman"/>
          <w:kern w:val="0"/>
          <w:sz w:val="24"/>
          <w:szCs w:val="24"/>
          <w14:ligatures w14:val="none"/>
        </w:rPr>
        <w:t xml:space="preserve">, Article 105834. </w:t>
      </w:r>
      <w:hyperlink r:id="rId49" w:history="1">
        <w:r w:rsidRPr="000B029A">
          <w:rPr>
            <w:rFonts w:ascii="Times New Roman" w:eastAsia="Times New Roman" w:hAnsi="Times New Roman" w:cs="Times New Roman"/>
            <w:color w:val="0000FF"/>
            <w:kern w:val="0"/>
            <w:sz w:val="24"/>
            <w:szCs w:val="24"/>
            <w:u w:val="single"/>
            <w14:ligatures w14:val="none"/>
          </w:rPr>
          <w:t>https://doi.org/10.1016/j.frl.2024.105834</w:t>
        </w:r>
      </w:hyperlink>
      <w:r w:rsidRPr="000B029A">
        <w:rPr>
          <w:rFonts w:ascii="Times New Roman" w:eastAsia="Times New Roman" w:hAnsi="Times New Roman" w:cs="Times New Roman"/>
          <w:kern w:val="0"/>
          <w:sz w:val="24"/>
          <w:szCs w:val="24"/>
          <w14:ligatures w14:val="none"/>
        </w:rPr>
        <w:br/>
      </w:r>
    </w:p>
    <w:p w14:paraId="2CD91B83"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Tang, M., Hu, Y., Hou, Y., Oxley, L., &amp; Goodell, J. W. (2025). Fintech development, corporate tax avoidance and firm value. </w:t>
      </w:r>
      <w:r w:rsidRPr="000B029A">
        <w:rPr>
          <w:rFonts w:ascii="Times New Roman" w:eastAsia="Times New Roman" w:hAnsi="Times New Roman" w:cs="Times New Roman"/>
          <w:i/>
          <w:iCs/>
          <w:kern w:val="0"/>
          <w:sz w:val="24"/>
          <w:szCs w:val="24"/>
          <w14:ligatures w14:val="none"/>
        </w:rPr>
        <w:t>International Review of Financial Analysis, 97</w:t>
      </w:r>
      <w:r w:rsidRPr="000B029A">
        <w:rPr>
          <w:rFonts w:ascii="Times New Roman" w:eastAsia="Times New Roman" w:hAnsi="Times New Roman" w:cs="Times New Roman"/>
          <w:kern w:val="0"/>
          <w:sz w:val="24"/>
          <w:szCs w:val="24"/>
          <w14:ligatures w14:val="none"/>
        </w:rPr>
        <w:t xml:space="preserve">, Article 103765. </w:t>
      </w:r>
      <w:hyperlink r:id="rId50" w:history="1">
        <w:r w:rsidRPr="000B029A">
          <w:rPr>
            <w:rFonts w:ascii="Times New Roman" w:eastAsia="Times New Roman" w:hAnsi="Times New Roman" w:cs="Times New Roman"/>
            <w:color w:val="0000FF"/>
            <w:kern w:val="0"/>
            <w:sz w:val="24"/>
            <w:szCs w:val="24"/>
            <w:u w:val="single"/>
            <w14:ligatures w14:val="none"/>
          </w:rPr>
          <w:t>https://doi.org/10.1016/j.irfa.2024.103765</w:t>
        </w:r>
      </w:hyperlink>
    </w:p>
    <w:p w14:paraId="20014B8E"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Taufik, R., Hasanah, H., Lestari, S., </w:t>
      </w:r>
      <w:proofErr w:type="spellStart"/>
      <w:r w:rsidRPr="000B029A">
        <w:rPr>
          <w:rFonts w:ascii="Times New Roman" w:eastAsia="Times New Roman" w:hAnsi="Times New Roman" w:cs="Times New Roman"/>
          <w:kern w:val="0"/>
          <w:sz w:val="24"/>
          <w:szCs w:val="24"/>
          <w14:ligatures w14:val="none"/>
        </w:rPr>
        <w:t>Dharmayanti</w:t>
      </w:r>
      <w:proofErr w:type="spellEnd"/>
      <w:r w:rsidRPr="000B029A">
        <w:rPr>
          <w:rFonts w:ascii="Times New Roman" w:eastAsia="Times New Roman" w:hAnsi="Times New Roman" w:cs="Times New Roman"/>
          <w:kern w:val="0"/>
          <w:sz w:val="24"/>
          <w:szCs w:val="24"/>
          <w14:ligatures w14:val="none"/>
        </w:rPr>
        <w:t xml:space="preserve">, N., &amp; </w:t>
      </w:r>
      <w:proofErr w:type="spellStart"/>
      <w:r w:rsidRPr="000B029A">
        <w:rPr>
          <w:rFonts w:ascii="Times New Roman" w:eastAsia="Times New Roman" w:hAnsi="Times New Roman" w:cs="Times New Roman"/>
          <w:kern w:val="0"/>
          <w:sz w:val="24"/>
          <w:szCs w:val="24"/>
          <w14:ligatures w14:val="none"/>
        </w:rPr>
        <w:t>Sriharyanti</w:t>
      </w:r>
      <w:proofErr w:type="spellEnd"/>
      <w:r w:rsidRPr="000B029A">
        <w:rPr>
          <w:rFonts w:ascii="Times New Roman" w:eastAsia="Times New Roman" w:hAnsi="Times New Roman" w:cs="Times New Roman"/>
          <w:kern w:val="0"/>
          <w:sz w:val="24"/>
          <w:szCs w:val="24"/>
          <w14:ligatures w14:val="none"/>
        </w:rPr>
        <w:t xml:space="preserve">, R. (2022). Company performance analysis and tax aggressiveness. </w:t>
      </w:r>
      <w:r w:rsidRPr="000B029A">
        <w:rPr>
          <w:rFonts w:ascii="Times New Roman" w:eastAsia="Times New Roman" w:hAnsi="Times New Roman" w:cs="Times New Roman"/>
          <w:i/>
          <w:iCs/>
          <w:kern w:val="0"/>
          <w:sz w:val="24"/>
          <w:szCs w:val="24"/>
          <w14:ligatures w14:val="none"/>
        </w:rPr>
        <w:t>International Research Journal of Management, IT and Social Sciences, 9</w:t>
      </w:r>
      <w:r w:rsidRPr="000B029A">
        <w:rPr>
          <w:rFonts w:ascii="Times New Roman" w:eastAsia="Times New Roman" w:hAnsi="Times New Roman" w:cs="Times New Roman"/>
          <w:kern w:val="0"/>
          <w:sz w:val="24"/>
          <w:szCs w:val="24"/>
          <w14:ligatures w14:val="none"/>
        </w:rPr>
        <w:t xml:space="preserve">(2), 244–253. </w:t>
      </w:r>
      <w:hyperlink r:id="rId51" w:history="1">
        <w:r w:rsidRPr="000B029A">
          <w:rPr>
            <w:rFonts w:ascii="Times New Roman" w:eastAsia="Times New Roman" w:hAnsi="Times New Roman" w:cs="Times New Roman"/>
            <w:color w:val="0000FF"/>
            <w:kern w:val="0"/>
            <w:sz w:val="24"/>
            <w:szCs w:val="24"/>
            <w:u w:val="single"/>
            <w14:ligatures w14:val="none"/>
          </w:rPr>
          <w:t>https://doi.org/10.21744/irjmis.v9n2.2053</w:t>
        </w:r>
      </w:hyperlink>
    </w:p>
    <w:p w14:paraId="6CBC4DB1" w14:textId="77777777" w:rsidR="000B029A" w:rsidRPr="000B029A" w:rsidRDefault="000B029A" w:rsidP="000B02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B029A">
        <w:rPr>
          <w:rFonts w:ascii="Times New Roman" w:eastAsia="Times New Roman" w:hAnsi="Times New Roman" w:cs="Times New Roman"/>
          <w:kern w:val="0"/>
          <w:sz w:val="24"/>
          <w:szCs w:val="24"/>
          <w14:ligatures w14:val="none"/>
        </w:rPr>
        <w:t xml:space="preserve">Zhang, L., &amp; Sok, S. (2025). The impact of government open data platform construction on corporate capital market performance: Evidence from stock liquidity. </w:t>
      </w:r>
      <w:r w:rsidRPr="000B029A">
        <w:rPr>
          <w:rFonts w:ascii="Times New Roman" w:eastAsia="Times New Roman" w:hAnsi="Times New Roman" w:cs="Times New Roman"/>
          <w:i/>
          <w:iCs/>
          <w:kern w:val="0"/>
          <w:sz w:val="24"/>
          <w:szCs w:val="24"/>
          <w14:ligatures w14:val="none"/>
        </w:rPr>
        <w:t>Pacific-Basin Finance Journal, 90</w:t>
      </w:r>
      <w:r w:rsidRPr="000B029A">
        <w:rPr>
          <w:rFonts w:ascii="Times New Roman" w:eastAsia="Times New Roman" w:hAnsi="Times New Roman" w:cs="Times New Roman"/>
          <w:kern w:val="0"/>
          <w:sz w:val="24"/>
          <w:szCs w:val="24"/>
          <w14:ligatures w14:val="none"/>
        </w:rPr>
        <w:t xml:space="preserve">, Article 102667. </w:t>
      </w:r>
      <w:hyperlink r:id="rId52" w:history="1">
        <w:r w:rsidRPr="000B029A">
          <w:rPr>
            <w:rFonts w:ascii="Times New Roman" w:eastAsia="Times New Roman" w:hAnsi="Times New Roman" w:cs="Times New Roman"/>
            <w:color w:val="0000FF"/>
            <w:kern w:val="0"/>
            <w:sz w:val="24"/>
            <w:szCs w:val="24"/>
            <w:u w:val="single"/>
            <w14:ligatures w14:val="none"/>
          </w:rPr>
          <w:t>https://doi.org/10.1016/j.pacfin.2025.102667</w:t>
        </w:r>
      </w:hyperlink>
    </w:p>
    <w:p w14:paraId="735FF093" w14:textId="77777777" w:rsidR="008D5DCB" w:rsidRDefault="008D5DCB">
      <w:pPr>
        <w:jc w:val="both"/>
        <w:rPr>
          <w:rFonts w:ascii="Times New Roman" w:hAnsi="Times New Roman" w:cs="Times New Roman"/>
          <w:b/>
          <w:sz w:val="24"/>
          <w:szCs w:val="24"/>
        </w:rPr>
      </w:pPr>
    </w:p>
    <w:p w14:paraId="429D2E8A" w14:textId="77777777" w:rsidR="008D5DCB" w:rsidRDefault="008D5DCB">
      <w:pPr>
        <w:spacing w:line="240" w:lineRule="auto"/>
        <w:jc w:val="both"/>
        <w:rPr>
          <w:rFonts w:ascii="Times New Roman" w:eastAsia="Calibri" w:hAnsi="Times New Roman" w:cs="Times New Roman"/>
          <w:kern w:val="0"/>
          <w:sz w:val="24"/>
          <w:szCs w:val="24"/>
          <w14:ligatures w14:val="none"/>
        </w:rPr>
      </w:pPr>
    </w:p>
    <w:p w14:paraId="230F36C8" w14:textId="77777777" w:rsidR="008D5DCB" w:rsidRDefault="008D5DCB">
      <w:pPr>
        <w:spacing w:line="240" w:lineRule="auto"/>
        <w:jc w:val="both"/>
        <w:rPr>
          <w:rFonts w:ascii="Times New Roman" w:hAnsi="Times New Roman" w:cs="Times New Roman"/>
          <w:b/>
          <w:sz w:val="24"/>
          <w:szCs w:val="24"/>
        </w:rPr>
      </w:pPr>
    </w:p>
    <w:p w14:paraId="19B5578C" w14:textId="77777777" w:rsidR="008D5DCB" w:rsidRDefault="008D5DCB">
      <w:pPr>
        <w:rPr>
          <w:rFonts w:ascii="Times New Roman" w:hAnsi="Times New Roman" w:cs="Times New Roman"/>
          <w:b/>
          <w:sz w:val="24"/>
          <w:szCs w:val="24"/>
        </w:rPr>
      </w:pPr>
    </w:p>
    <w:p w14:paraId="5CEC54DF" w14:textId="77777777" w:rsidR="008D5DCB" w:rsidRDefault="008D5DCB">
      <w:pPr>
        <w:pStyle w:val="NormalWeb"/>
        <w:jc w:val="both"/>
      </w:pPr>
    </w:p>
    <w:p w14:paraId="7180E5FF" w14:textId="77777777" w:rsidR="008D5DCB" w:rsidRDefault="008D5DCB">
      <w:pPr>
        <w:pStyle w:val="NormalWeb"/>
        <w:jc w:val="both"/>
      </w:pPr>
    </w:p>
    <w:p w14:paraId="7904528E" w14:textId="77777777" w:rsidR="008D5DCB" w:rsidRDefault="008D5DCB">
      <w:pPr>
        <w:jc w:val="both"/>
        <w:rPr>
          <w:rFonts w:ascii="Times New Roman" w:hAnsi="Times New Roman" w:cs="Times New Roman"/>
          <w:sz w:val="24"/>
          <w:szCs w:val="24"/>
        </w:rPr>
      </w:pPr>
    </w:p>
    <w:p w14:paraId="35E01995" w14:textId="77777777" w:rsidR="008D5DCB" w:rsidRDefault="008D5DCB">
      <w:pPr>
        <w:jc w:val="both"/>
        <w:rPr>
          <w:rFonts w:ascii="Times New Roman" w:hAnsi="Times New Roman" w:cs="Times New Roman"/>
          <w:sz w:val="24"/>
          <w:szCs w:val="24"/>
        </w:rPr>
      </w:pPr>
    </w:p>
    <w:p w14:paraId="714236AD" w14:textId="77777777" w:rsidR="008D5DCB" w:rsidRDefault="008D5DCB">
      <w:pPr>
        <w:jc w:val="both"/>
        <w:rPr>
          <w:rFonts w:ascii="Times New Roman" w:hAnsi="Times New Roman" w:cs="Times New Roman"/>
          <w:sz w:val="24"/>
          <w:szCs w:val="24"/>
        </w:rPr>
      </w:pPr>
    </w:p>
    <w:p w14:paraId="14388AFA" w14:textId="77777777" w:rsidR="008D5DCB" w:rsidRDefault="008D5DCB">
      <w:pPr>
        <w:jc w:val="both"/>
        <w:rPr>
          <w:rFonts w:ascii="Times New Roman" w:hAnsi="Times New Roman" w:cs="Times New Roman"/>
          <w:sz w:val="24"/>
          <w:szCs w:val="24"/>
        </w:rPr>
      </w:pPr>
    </w:p>
    <w:p w14:paraId="583863AC" w14:textId="77777777" w:rsidR="008D5DCB" w:rsidRDefault="008D5DCB">
      <w:pPr>
        <w:jc w:val="both"/>
        <w:rPr>
          <w:rFonts w:ascii="Times New Roman" w:hAnsi="Times New Roman" w:cs="Times New Roman"/>
          <w:sz w:val="24"/>
          <w:szCs w:val="24"/>
        </w:rPr>
      </w:pPr>
    </w:p>
    <w:p w14:paraId="0654A8EF" w14:textId="77777777" w:rsidR="008D5DCB" w:rsidRDefault="008D5DCB">
      <w:pPr>
        <w:jc w:val="both"/>
      </w:pPr>
    </w:p>
    <w:p w14:paraId="78E19E6E" w14:textId="77777777" w:rsidR="008D5DCB" w:rsidRDefault="008D5DCB">
      <w:pPr>
        <w:jc w:val="both"/>
      </w:pPr>
    </w:p>
    <w:p w14:paraId="0287D85A" w14:textId="77777777" w:rsidR="008D5DCB" w:rsidRDefault="008D5DCB">
      <w:pPr>
        <w:jc w:val="both"/>
      </w:pPr>
    </w:p>
    <w:p w14:paraId="3083A7DF" w14:textId="77777777" w:rsidR="008D5DCB" w:rsidRDefault="008D5DCB">
      <w:pPr>
        <w:jc w:val="both"/>
      </w:pPr>
    </w:p>
    <w:p w14:paraId="45CBF22D" w14:textId="77777777" w:rsidR="008D5DCB" w:rsidRDefault="008D5DCB">
      <w:pPr>
        <w:jc w:val="both"/>
      </w:pPr>
    </w:p>
    <w:p w14:paraId="3C1682DD" w14:textId="77777777" w:rsidR="008D5DCB" w:rsidRDefault="008D5DCB">
      <w:pPr>
        <w:jc w:val="both"/>
      </w:pPr>
    </w:p>
    <w:p w14:paraId="46A71BF2" w14:textId="77777777" w:rsidR="008D5DCB" w:rsidRDefault="008D5DCB">
      <w:pPr>
        <w:jc w:val="both"/>
      </w:pPr>
    </w:p>
    <w:p w14:paraId="13E7ED95" w14:textId="77777777" w:rsidR="008D5DCB" w:rsidRDefault="008D5DCB">
      <w:pPr>
        <w:jc w:val="both"/>
      </w:pPr>
    </w:p>
    <w:p w14:paraId="4392185D" w14:textId="77777777" w:rsidR="008D5DCB" w:rsidRDefault="008D5DCB">
      <w:pPr>
        <w:jc w:val="both"/>
      </w:pPr>
    </w:p>
    <w:p w14:paraId="56BD7A35" w14:textId="77777777" w:rsidR="008D5DCB" w:rsidRDefault="008D5DCB">
      <w:pPr>
        <w:jc w:val="both"/>
      </w:pPr>
    </w:p>
    <w:p w14:paraId="3E06159A" w14:textId="77777777" w:rsidR="008D5DCB" w:rsidRDefault="008D5DCB">
      <w:pPr>
        <w:jc w:val="both"/>
      </w:pPr>
    </w:p>
    <w:p w14:paraId="0A778054" w14:textId="77777777" w:rsidR="008D5DCB" w:rsidRDefault="008D5DCB">
      <w:pPr>
        <w:jc w:val="both"/>
      </w:pPr>
    </w:p>
    <w:p w14:paraId="2582BFA7" w14:textId="77777777" w:rsidR="008D5DCB" w:rsidRDefault="008D5DCB">
      <w:pPr>
        <w:jc w:val="both"/>
      </w:pPr>
    </w:p>
    <w:p w14:paraId="23FF38CB" w14:textId="77777777" w:rsidR="008D5DCB" w:rsidRDefault="008D5DCB">
      <w:pPr>
        <w:jc w:val="both"/>
      </w:pPr>
    </w:p>
    <w:p w14:paraId="11329665" w14:textId="77777777" w:rsidR="008D5DCB" w:rsidRDefault="008D5DCB">
      <w:pPr>
        <w:jc w:val="both"/>
      </w:pPr>
    </w:p>
    <w:p w14:paraId="5CC06194" w14:textId="77777777" w:rsidR="008D5DCB" w:rsidRDefault="008D5DCB">
      <w:pPr>
        <w:jc w:val="both"/>
      </w:pPr>
    </w:p>
    <w:p w14:paraId="5B6C5024" w14:textId="77777777" w:rsidR="008D5DCB" w:rsidRDefault="008D5DCB">
      <w:pPr>
        <w:jc w:val="both"/>
      </w:pPr>
    </w:p>
    <w:p w14:paraId="654B6C10" w14:textId="77777777" w:rsidR="008D5DCB" w:rsidRDefault="008D5DCB"/>
    <w:p w14:paraId="197D8CBD" w14:textId="77777777" w:rsidR="008D5DCB" w:rsidRDefault="008D5DCB"/>
    <w:p w14:paraId="008CE9DC" w14:textId="77777777" w:rsidR="008D5DCB" w:rsidRDefault="008D5DCB"/>
    <w:p w14:paraId="38F43D11" w14:textId="77777777" w:rsidR="008D5DCB" w:rsidRDefault="008D5DCB"/>
    <w:p w14:paraId="0CD78C19" w14:textId="77777777" w:rsidR="008D5DCB" w:rsidRDefault="008D5DCB"/>
    <w:p w14:paraId="44264EA2" w14:textId="77777777" w:rsidR="008D5DCB" w:rsidRDefault="008D5DCB"/>
    <w:p w14:paraId="0CA3757F" w14:textId="77777777" w:rsidR="008D5DCB" w:rsidRDefault="008D5DCB"/>
    <w:p w14:paraId="75DF380A" w14:textId="77777777" w:rsidR="008D5DCB" w:rsidRDefault="008D5DCB"/>
    <w:p w14:paraId="0F75CC99" w14:textId="77777777" w:rsidR="008D5DCB" w:rsidRDefault="008D5DCB"/>
    <w:p w14:paraId="3536D1E4" w14:textId="77777777" w:rsidR="008D5DCB" w:rsidRDefault="008D5DCB"/>
    <w:p w14:paraId="131ED62C" w14:textId="77777777" w:rsidR="008D5DCB" w:rsidRDefault="008D5DCB"/>
    <w:sectPr w:rsidR="008D5DCB">
      <w:headerReference w:type="even" r:id="rId53"/>
      <w:headerReference w:type="default" r:id="rId54"/>
      <w:footerReference w:type="even" r:id="rId55"/>
      <w:footerReference w:type="default" r:id="rId56"/>
      <w:headerReference w:type="first" r:id="rId57"/>
      <w:footerReference w:type="firs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F5C8F" w14:textId="77777777" w:rsidR="000941E5" w:rsidRDefault="000941E5">
      <w:pPr>
        <w:spacing w:line="240" w:lineRule="auto"/>
      </w:pPr>
      <w:r>
        <w:separator/>
      </w:r>
    </w:p>
  </w:endnote>
  <w:endnote w:type="continuationSeparator" w:id="0">
    <w:p w14:paraId="72632B72" w14:textId="77777777" w:rsidR="000941E5" w:rsidRDefault="000941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B167" w14:textId="77777777" w:rsidR="002F4786" w:rsidRDefault="002F4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8FD8" w14:textId="77777777" w:rsidR="002F4786" w:rsidRDefault="002F4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8E95" w14:textId="77777777" w:rsidR="002F4786" w:rsidRDefault="002F4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02FC9" w14:textId="77777777" w:rsidR="000941E5" w:rsidRDefault="000941E5">
      <w:pPr>
        <w:spacing w:after="0"/>
      </w:pPr>
      <w:r>
        <w:separator/>
      </w:r>
    </w:p>
  </w:footnote>
  <w:footnote w:type="continuationSeparator" w:id="0">
    <w:p w14:paraId="1CFF2F31" w14:textId="77777777" w:rsidR="000941E5" w:rsidRDefault="000941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21B9" w14:textId="77777777" w:rsidR="002F4786" w:rsidRDefault="00000000">
    <w:pPr>
      <w:pStyle w:val="Header"/>
    </w:pPr>
    <w:r>
      <w:rPr>
        <w:noProof/>
      </w:rPr>
      <w:pict w14:anchorId="6F563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E7B6" w14:textId="77777777" w:rsidR="002F4786" w:rsidRDefault="00000000">
    <w:pPr>
      <w:pStyle w:val="Header"/>
    </w:pPr>
    <w:r>
      <w:rPr>
        <w:noProof/>
      </w:rPr>
      <w:pict w14:anchorId="211BFC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6EAF" w14:textId="77777777" w:rsidR="002F4786" w:rsidRDefault="00000000">
    <w:pPr>
      <w:pStyle w:val="Header"/>
    </w:pPr>
    <w:r>
      <w:rPr>
        <w:noProof/>
      </w:rPr>
      <w:pict w14:anchorId="41042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837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1A"/>
    <w:multiLevelType w:val="multilevel"/>
    <w:tmpl w:val="000000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4B60FCB"/>
    <w:multiLevelType w:val="hybridMultilevel"/>
    <w:tmpl w:val="02408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0756113">
    <w:abstractNumId w:val="0"/>
  </w:num>
  <w:num w:numId="2" w16cid:durableId="2028821461">
    <w:abstractNumId w:val="1"/>
  </w:num>
  <w:num w:numId="3" w16cid:durableId="887955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EB2"/>
    <w:rsid w:val="0000014B"/>
    <w:rsid w:val="00074F4F"/>
    <w:rsid w:val="000941E5"/>
    <w:rsid w:val="000B029A"/>
    <w:rsid w:val="000B7B26"/>
    <w:rsid w:val="000F464D"/>
    <w:rsid w:val="0010605C"/>
    <w:rsid w:val="001227DB"/>
    <w:rsid w:val="001555A3"/>
    <w:rsid w:val="00176628"/>
    <w:rsid w:val="001E518C"/>
    <w:rsid w:val="0020015B"/>
    <w:rsid w:val="002008A5"/>
    <w:rsid w:val="0023243E"/>
    <w:rsid w:val="00233139"/>
    <w:rsid w:val="0024196E"/>
    <w:rsid w:val="002420C6"/>
    <w:rsid w:val="00253F75"/>
    <w:rsid w:val="00254459"/>
    <w:rsid w:val="002844BF"/>
    <w:rsid w:val="002F4786"/>
    <w:rsid w:val="003019DA"/>
    <w:rsid w:val="00301D6E"/>
    <w:rsid w:val="003212BA"/>
    <w:rsid w:val="00396E17"/>
    <w:rsid w:val="003F3C2C"/>
    <w:rsid w:val="00410832"/>
    <w:rsid w:val="00443F99"/>
    <w:rsid w:val="004654E0"/>
    <w:rsid w:val="00476804"/>
    <w:rsid w:val="00480A92"/>
    <w:rsid w:val="00490042"/>
    <w:rsid w:val="004F796F"/>
    <w:rsid w:val="00500483"/>
    <w:rsid w:val="00506715"/>
    <w:rsid w:val="0051578A"/>
    <w:rsid w:val="00521A65"/>
    <w:rsid w:val="005643A9"/>
    <w:rsid w:val="005761A9"/>
    <w:rsid w:val="005F39F1"/>
    <w:rsid w:val="00601BF2"/>
    <w:rsid w:val="00611563"/>
    <w:rsid w:val="00612A8F"/>
    <w:rsid w:val="006A3167"/>
    <w:rsid w:val="006D3965"/>
    <w:rsid w:val="007009CE"/>
    <w:rsid w:val="00713BDA"/>
    <w:rsid w:val="00733D7A"/>
    <w:rsid w:val="00740112"/>
    <w:rsid w:val="007A10BA"/>
    <w:rsid w:val="007D7EC3"/>
    <w:rsid w:val="007E0DC2"/>
    <w:rsid w:val="007E3FDE"/>
    <w:rsid w:val="007E487C"/>
    <w:rsid w:val="00806E92"/>
    <w:rsid w:val="0086204B"/>
    <w:rsid w:val="00880430"/>
    <w:rsid w:val="008D5DCB"/>
    <w:rsid w:val="008F2879"/>
    <w:rsid w:val="00901A1B"/>
    <w:rsid w:val="00910089"/>
    <w:rsid w:val="00975EF2"/>
    <w:rsid w:val="009A657D"/>
    <w:rsid w:val="009D1703"/>
    <w:rsid w:val="00A11806"/>
    <w:rsid w:val="00A12261"/>
    <w:rsid w:val="00A239A2"/>
    <w:rsid w:val="00A261CF"/>
    <w:rsid w:val="00A339A0"/>
    <w:rsid w:val="00A444FF"/>
    <w:rsid w:val="00A57A87"/>
    <w:rsid w:val="00A92C70"/>
    <w:rsid w:val="00AC67A5"/>
    <w:rsid w:val="00AD460A"/>
    <w:rsid w:val="00AE1341"/>
    <w:rsid w:val="00B04BB9"/>
    <w:rsid w:val="00B15338"/>
    <w:rsid w:val="00B15F9C"/>
    <w:rsid w:val="00B26639"/>
    <w:rsid w:val="00B80B07"/>
    <w:rsid w:val="00BA2419"/>
    <w:rsid w:val="00C636C6"/>
    <w:rsid w:val="00C853B4"/>
    <w:rsid w:val="00CA4D2A"/>
    <w:rsid w:val="00CD361F"/>
    <w:rsid w:val="00CE3C95"/>
    <w:rsid w:val="00CE7EF8"/>
    <w:rsid w:val="00D03962"/>
    <w:rsid w:val="00D310BE"/>
    <w:rsid w:val="00D37833"/>
    <w:rsid w:val="00D54C0F"/>
    <w:rsid w:val="00D64123"/>
    <w:rsid w:val="00D75E41"/>
    <w:rsid w:val="00DA02F1"/>
    <w:rsid w:val="00E33BFD"/>
    <w:rsid w:val="00E802BA"/>
    <w:rsid w:val="00E929DD"/>
    <w:rsid w:val="00E94F22"/>
    <w:rsid w:val="00E96CA8"/>
    <w:rsid w:val="00EA0131"/>
    <w:rsid w:val="00EC6D7F"/>
    <w:rsid w:val="00ED15BC"/>
    <w:rsid w:val="00EF0EB2"/>
    <w:rsid w:val="00F17A91"/>
    <w:rsid w:val="00F518E2"/>
    <w:rsid w:val="00F6089B"/>
    <w:rsid w:val="00F7146C"/>
    <w:rsid w:val="00F71FF5"/>
    <w:rsid w:val="00FE428A"/>
    <w:rsid w:val="00FE5662"/>
    <w:rsid w:val="5E7C4F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C992061"/>
  <w15:docId w15:val="{F952777C-244E-46EB-BEB4-4C7CBC16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1">
    <w:name w:val="heading 1"/>
    <w:link w:val="Heading1Char"/>
    <w:uiPriority w:val="9"/>
    <w:qFormat/>
    <w:pPr>
      <w:spacing w:before="400" w:after="200"/>
      <w:outlineLvl w:val="0"/>
    </w:pPr>
    <w:rPr>
      <w:rFonts w:ascii="Times New Roman" w:eastAsia="Times New Roman" w:hAnsi="Times New Roman" w:cs="Times New Roman"/>
      <w:b/>
      <w:bCs/>
      <w:sz w:val="28"/>
      <w:szCs w:val="28"/>
      <w:lang w:val="en-US" w:eastAsia="en-US"/>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sz w:val="28"/>
      <w:szCs w:val="28"/>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4E79" w:themeColor="accent1" w:themeShade="80"/>
      <w:kern w:val="2"/>
      <w:sz w:val="24"/>
      <w:szCs w:val="24"/>
      <w:lang w:val="en-US"/>
      <w14:ligatures w14:val="standardContextual"/>
    </w:rPr>
  </w:style>
  <w:style w:type="paragraph" w:styleId="ListParagraph">
    <w:name w:val="List Paragraph"/>
    <w:basedOn w:val="Normal"/>
    <w:link w:val="ListParagraphChar"/>
    <w:uiPriority w:val="34"/>
    <w:qFormat/>
    <w:pPr>
      <w:spacing w:after="200" w:line="276" w:lineRule="auto"/>
      <w:ind w:left="720"/>
      <w:contextualSpacing/>
    </w:pPr>
    <w:rPr>
      <w:rFonts w:ascii="Calibri" w:eastAsia="SimSun" w:hAnsi="Calibri" w:cs="SimSun"/>
      <w:kern w:val="0"/>
      <w:lang w:val="de-DE"/>
      <w14:ligatures w14:val="none"/>
    </w:rPr>
  </w:style>
  <w:style w:type="character" w:customStyle="1" w:styleId="ListParagraphChar">
    <w:name w:val="List Paragraph Char"/>
    <w:basedOn w:val="DefaultParagraphFont"/>
    <w:link w:val="ListParagraph"/>
    <w:uiPriority w:val="34"/>
    <w:qFormat/>
    <w:locked/>
    <w:rPr>
      <w:rFonts w:ascii="Calibri" w:eastAsia="SimSun" w:hAnsi="Calibri" w:cs="SimSun"/>
      <w:lang w:val="de-DE"/>
    </w:rPr>
  </w:style>
  <w:style w:type="paragraph" w:styleId="NoSpacing">
    <w:name w:val="No Spacing"/>
    <w:link w:val="NoSpacingChar"/>
    <w:uiPriority w:val="1"/>
    <w:qFormat/>
    <w:rPr>
      <w:rFonts w:eastAsiaTheme="minorEastAsia"/>
      <w:sz w:val="22"/>
      <w:szCs w:val="22"/>
      <w:lang w:val="en-GB" w:eastAsia="en-GB"/>
    </w:rPr>
  </w:style>
  <w:style w:type="character" w:customStyle="1" w:styleId="NoSpacingChar">
    <w:name w:val="No Spacing Char"/>
    <w:link w:val="NoSpacing"/>
    <w:uiPriority w:val="1"/>
    <w:qFormat/>
    <w:locked/>
    <w:rPr>
      <w:rFonts w:eastAsiaTheme="minorEastAsia"/>
      <w:lang w:eastAsia="en-GB"/>
    </w:rPr>
  </w:style>
  <w:style w:type="character" w:customStyle="1" w:styleId="katex">
    <w:name w:val="katex"/>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space">
    <w:name w:val="mspace"/>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character" w:customStyle="1" w:styleId="minner">
    <w:name w:val="minner"/>
    <w:basedOn w:val="DefaultParagraphFont"/>
    <w:qFormat/>
  </w:style>
  <w:style w:type="character" w:customStyle="1" w:styleId="mopen">
    <w:name w:val="mopen"/>
    <w:basedOn w:val="DefaultParagraphFont"/>
    <w:qFormat/>
  </w:style>
  <w:style w:type="character" w:customStyle="1" w:styleId="mclose">
    <w:name w:val="mclose"/>
    <w:basedOn w:val="DefaultParagraphFont"/>
    <w:qFormat/>
  </w:style>
  <w:style w:type="character" w:customStyle="1" w:styleId="mpunct">
    <w:name w:val="mpunct"/>
    <w:basedOn w:val="DefaultParagraphFont"/>
    <w:qFormat/>
  </w:style>
  <w:style w:type="character" w:customStyle="1" w:styleId="math-inline">
    <w:name w:val="math-inline"/>
    <w:basedOn w:val="DefaultParagraphFont"/>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US" w:eastAsia="en-US"/>
      <w14:ligatures w14:val="standardContextual"/>
    </w:rPr>
  </w:style>
  <w:style w:type="paragraph" w:customStyle="1" w:styleId="whitespace-normal">
    <w:name w:val="whitespace-normal"/>
    <w:basedOn w:val="Normal"/>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bibliographic-informationvalue">
    <w:name w:val="c-bibliographic-information__value"/>
    <w:basedOn w:val="DefaultParagraphFont"/>
    <w:qFormat/>
  </w:style>
  <w:style w:type="character" w:styleId="UnresolvedMention">
    <w:name w:val="Unresolved Mention"/>
    <w:basedOn w:val="DefaultParagraphFont"/>
    <w:uiPriority w:val="99"/>
    <w:semiHidden/>
    <w:unhideWhenUsed/>
    <w:rsid w:val="007A10BA"/>
    <w:rPr>
      <w:color w:val="605E5C"/>
      <w:shd w:val="clear" w:color="auto" w:fill="E1DFDD"/>
    </w:rPr>
  </w:style>
  <w:style w:type="paragraph" w:styleId="Header">
    <w:name w:val="header"/>
    <w:basedOn w:val="Normal"/>
    <w:link w:val="HeaderChar"/>
    <w:uiPriority w:val="99"/>
    <w:unhideWhenUsed/>
    <w:rsid w:val="002F4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786"/>
    <w:rPr>
      <w:kern w:val="2"/>
      <w:sz w:val="22"/>
      <w:szCs w:val="22"/>
      <w:lang w:val="en-US" w:eastAsia="en-US"/>
      <w14:ligatures w14:val="standardContextual"/>
    </w:rPr>
  </w:style>
  <w:style w:type="paragraph" w:styleId="Footer">
    <w:name w:val="footer"/>
    <w:basedOn w:val="Normal"/>
    <w:link w:val="FooterChar"/>
    <w:uiPriority w:val="99"/>
    <w:unhideWhenUsed/>
    <w:rsid w:val="002F4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786"/>
    <w:rPr>
      <w:kern w:val="2"/>
      <w:sz w:val="2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659">
      <w:bodyDiv w:val="1"/>
      <w:marLeft w:val="0"/>
      <w:marRight w:val="0"/>
      <w:marTop w:val="0"/>
      <w:marBottom w:val="0"/>
      <w:divBdr>
        <w:top w:val="none" w:sz="0" w:space="0" w:color="auto"/>
        <w:left w:val="none" w:sz="0" w:space="0" w:color="auto"/>
        <w:bottom w:val="none" w:sz="0" w:space="0" w:color="auto"/>
        <w:right w:val="none" w:sz="0" w:space="0" w:color="auto"/>
      </w:divBdr>
    </w:div>
    <w:div w:id="14966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0574/wjarr.2024.21.3.0737" TargetMode="External"/><Relationship Id="rId18" Type="http://schemas.openxmlformats.org/officeDocument/2006/relationships/hyperlink" Target="https://doi.org/10.26668/businessreview/2023.v8i4.511" TargetMode="External"/><Relationship Id="rId26" Type="http://schemas.openxmlformats.org/officeDocument/2006/relationships/hyperlink" Target="https://doi.org/10.1177/0149206310388419" TargetMode="External"/><Relationship Id="rId39" Type="http://schemas.openxmlformats.org/officeDocument/2006/relationships/hyperlink" Target="https://doi.org/10.1108/CG-06-2018-0211" TargetMode="External"/><Relationship Id="rId21" Type="http://schemas.openxmlformats.org/officeDocument/2006/relationships/hyperlink" Target="https://doi.org/10.32479/ijefi.17643" TargetMode="External"/><Relationship Id="rId34" Type="http://schemas.openxmlformats.org/officeDocument/2006/relationships/hyperlink" Target="https://doi.org/10.3390/risks10100185" TargetMode="External"/><Relationship Id="rId42" Type="http://schemas.openxmlformats.org/officeDocument/2006/relationships/hyperlink" Target="https://doi.org/10.31150/ajebm.v5i10.1569" TargetMode="External"/><Relationship Id="rId47" Type="http://schemas.openxmlformats.org/officeDocument/2006/relationships/hyperlink" Target="https://doi.org/10.26714/mki.13.1.2023.39-49" TargetMode="External"/><Relationship Id="rId50" Type="http://schemas.openxmlformats.org/officeDocument/2006/relationships/hyperlink" Target="https://doi.org/10.1016/j.irfa.2024.103765"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08/JAEE-01-2021-0019" TargetMode="External"/><Relationship Id="rId29" Type="http://schemas.openxmlformats.org/officeDocument/2006/relationships/hyperlink" Target="https://doi.org/10.55227/ijerfa.v1i2.28" TargetMode="External"/><Relationship Id="rId11" Type="http://schemas.openxmlformats.org/officeDocument/2006/relationships/hyperlink" Target="https://doi.org/10.1177/09721509241276957" TargetMode="External"/><Relationship Id="rId24" Type="http://schemas.openxmlformats.org/officeDocument/2006/relationships/hyperlink" Target="https://doi.org/10.21511/imfi.22(2).2025.16" TargetMode="External"/><Relationship Id="rId32" Type="http://schemas.openxmlformats.org/officeDocument/2006/relationships/hyperlink" Target="https://doi.org/10.1111/eufm.12513" TargetMode="External"/><Relationship Id="rId37" Type="http://schemas.openxmlformats.org/officeDocument/2006/relationships/hyperlink" Target="https://doi.org/10.69565/jems.v3i1.204" TargetMode="External"/><Relationship Id="rId40" Type="http://schemas.openxmlformats.org/officeDocument/2006/relationships/hyperlink" Target="https://doi.org/10.56557/jgembr/2026/v18i110164" TargetMode="External"/><Relationship Id="rId45" Type="http://schemas.openxmlformats.org/officeDocument/2006/relationships/hyperlink" Target="https://dialoguesreview.com/index.php/2/article/view/228"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hyperlink" Target="https://doi.org/10.9734/ajeba/2024/v24i41267" TargetMode="External"/><Relationship Id="rId4" Type="http://schemas.openxmlformats.org/officeDocument/2006/relationships/settings" Target="settings.xml"/><Relationship Id="rId9" Type="http://schemas.openxmlformats.org/officeDocument/2006/relationships/hyperlink" Target="https://doi.org/10.1080/23322039.2022.2132645" TargetMode="External"/><Relationship Id="rId14" Type="http://schemas.openxmlformats.org/officeDocument/2006/relationships/hyperlink" Target="https://doi.org/10.1057/s41310-025-00289-0" TargetMode="External"/><Relationship Id="rId22" Type="http://schemas.openxmlformats.org/officeDocument/2006/relationships/hyperlink" Target="https://fjbm.fudutsinma.edu.ng/index.php/fjbm/article/view/6" TargetMode="External"/><Relationship Id="rId27" Type="http://schemas.openxmlformats.org/officeDocument/2006/relationships/hyperlink" Target="https://doi.org/10.14419/9yw50217" TargetMode="External"/><Relationship Id="rId30" Type="http://schemas.openxmlformats.org/officeDocument/2006/relationships/hyperlink" Target="https://doi.org/10.54259/akua.v4i2.4213" TargetMode="External"/><Relationship Id="rId35" Type="http://schemas.openxmlformats.org/officeDocument/2006/relationships/hyperlink" Target="https://doi.org/10.1016/j.irfa.2025.103926" TargetMode="External"/><Relationship Id="rId43" Type="http://schemas.openxmlformats.org/officeDocument/2006/relationships/hyperlink" Target="https://doi.org/10.59568/IJEBM-2025-1-2-43" TargetMode="External"/><Relationship Id="rId48" Type="http://schemas.openxmlformats.org/officeDocument/2006/relationships/hyperlink" Target="https://doi.org/10.2307/1882010" TargetMode="External"/><Relationship Id="rId56" Type="http://schemas.openxmlformats.org/officeDocument/2006/relationships/footer" Target="footer2.xml"/><Relationship Id="rId8" Type="http://schemas.openxmlformats.org/officeDocument/2006/relationships/hyperlink" Target="https://doi.org/10.1016/j.ememar.2012.03.002" TargetMode="External"/><Relationship Id="rId51" Type="http://schemas.openxmlformats.org/officeDocument/2006/relationships/hyperlink" Target="https://doi.org/10.21744/irjmis.v9n2.2053" TargetMode="External"/><Relationship Id="rId3" Type="http://schemas.openxmlformats.org/officeDocument/2006/relationships/styles" Target="styles.xml"/><Relationship Id="rId12" Type="http://schemas.openxmlformats.org/officeDocument/2006/relationships/hyperlink" Target="https://doi.org/10.1177/0149206321991212" TargetMode="External"/><Relationship Id="rId17" Type="http://schemas.openxmlformats.org/officeDocument/2006/relationships/hyperlink" Target="https://doi.org/10.21580/jiafr.2021.3.1.7412" TargetMode="External"/><Relationship Id="rId25" Type="http://schemas.openxmlformats.org/officeDocument/2006/relationships/hyperlink" Target="https://doi.org/10.24818/jamis.2024.02005" TargetMode="External"/><Relationship Id="rId33" Type="http://schemas.openxmlformats.org/officeDocument/2006/relationships/hyperlink" Target="https://doi.org/10.1080/23311975.2020.1780101" TargetMode="External"/><Relationship Id="rId38" Type="http://schemas.openxmlformats.org/officeDocument/2006/relationships/hyperlink" Target="https://doi.org/10.1080/23311975.2024.2448277" TargetMode="External"/><Relationship Id="rId46" Type="http://schemas.openxmlformats.org/officeDocument/2006/relationships/hyperlink" Target="https://doi.org/10.21511/imfi.21(2).2024.27" TargetMode="External"/><Relationship Id="rId59" Type="http://schemas.openxmlformats.org/officeDocument/2006/relationships/fontTable" Target="fontTable.xml"/><Relationship Id="rId20" Type="http://schemas.openxmlformats.org/officeDocument/2006/relationships/hyperlink" Target="https://mpra.ub.uni-muenchen.de/124295/" TargetMode="External"/><Relationship Id="rId41" Type="http://schemas.openxmlformats.org/officeDocument/2006/relationships/hyperlink" Target="https://doi.org/10.1108/IJOEM-05-2023-0842"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22495/jgrv12i1siart16" TargetMode="External"/><Relationship Id="rId23" Type="http://schemas.openxmlformats.org/officeDocument/2006/relationships/hyperlink" Target="https://doi.org/10.1016/j.jdeveco.2024.103374" TargetMode="External"/><Relationship Id="rId28" Type="http://schemas.openxmlformats.org/officeDocument/2006/relationships/hyperlink" Target="https://doi.org/10.22219/jrak.v15i1.34304" TargetMode="External"/><Relationship Id="rId36" Type="http://schemas.openxmlformats.org/officeDocument/2006/relationships/hyperlink" Target="https://doi.org/10.1111/1468-0084.0610s1631" TargetMode="External"/><Relationship Id="rId49" Type="http://schemas.openxmlformats.org/officeDocument/2006/relationships/hyperlink" Target="https://doi.org/10.1016/j.frl.2024.105834" TargetMode="External"/><Relationship Id="rId57" Type="http://schemas.openxmlformats.org/officeDocument/2006/relationships/header" Target="header3.xml"/><Relationship Id="rId10" Type="http://schemas.openxmlformats.org/officeDocument/2006/relationships/hyperlink" Target="https://doi.org/10.28932/jam.v17i1.11219" TargetMode="External"/><Relationship Id="rId31" Type="http://schemas.openxmlformats.org/officeDocument/2006/relationships/hyperlink" Target="https://doi.org/10.1016/0304-405X(76)90026-X" TargetMode="External"/><Relationship Id="rId44" Type="http://schemas.openxmlformats.org/officeDocument/2006/relationships/hyperlink" Target="https://doi.org/10.1108/JAEE-08-2022-0224" TargetMode="External"/><Relationship Id="rId52" Type="http://schemas.openxmlformats.org/officeDocument/2006/relationships/hyperlink" Target="https://doi.org/10.1016/j.pacfin.2025.102667"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16</Pages>
  <Words>6608</Words>
  <Characters>37672</Characters>
  <Application>Microsoft Office Word</Application>
  <DocSecurity>0</DocSecurity>
  <Lines>313</Lines>
  <Paragraphs>88</Paragraphs>
  <ScaleCrop>false</ScaleCrop>
  <Company/>
  <LinksUpToDate>false</LinksUpToDate>
  <CharactersWithSpaces>44192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SDI 1087</cp:lastModifiedBy>
  <cp:revision>72</cp:revision>
  <dcterms:created xsi:type="dcterms:W3CDTF">2026-06-26T13:24:00Z</dcterms:created>
  <dcterms:modified xsi:type="dcterms:W3CDTF">2026-07-11T11:23:00Z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E8299EE84DB8416A919DBE9D85EB6617_13</vt:lpwstr>
  </property>
</Properties>
</file>