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4AE3" w14:textId="77777777" w:rsidR="00BD1176" w:rsidRDefault="00556F51" w:rsidP="00A32E4E">
      <w:pPr>
        <w:pStyle w:val="ListParagraph"/>
        <w:spacing w:after="0" w:line="240" w:lineRule="auto"/>
        <w:jc w:val="center"/>
        <w:rPr>
          <w:rFonts w:asciiTheme="majorBidi" w:hAnsiTheme="majorBidi" w:cstheme="majorBidi"/>
          <w:b/>
          <w:sz w:val="28"/>
          <w:szCs w:val="28"/>
        </w:rPr>
      </w:pPr>
      <w:r>
        <w:rPr>
          <w:rFonts w:asciiTheme="majorBidi" w:hAnsiTheme="majorBidi" w:cstheme="majorBidi"/>
          <w:b/>
          <w:sz w:val="28"/>
          <w:szCs w:val="28"/>
        </w:rPr>
        <w:t xml:space="preserve">Corporate </w:t>
      </w:r>
      <w:r w:rsidR="00F72BA4">
        <w:rPr>
          <w:rFonts w:asciiTheme="majorBidi" w:hAnsiTheme="majorBidi" w:cstheme="majorBidi"/>
          <w:b/>
          <w:sz w:val="28"/>
          <w:szCs w:val="28"/>
        </w:rPr>
        <w:t>t</w:t>
      </w:r>
      <w:r w:rsidR="007A63CF" w:rsidRPr="007A63CF">
        <w:rPr>
          <w:rFonts w:asciiTheme="majorBidi" w:hAnsiTheme="majorBidi" w:cstheme="majorBidi"/>
          <w:b/>
          <w:sz w:val="28"/>
          <w:szCs w:val="28"/>
        </w:rPr>
        <w:t xml:space="preserve">ax planning </w:t>
      </w:r>
      <w:r w:rsidR="007A63CF">
        <w:rPr>
          <w:rFonts w:asciiTheme="majorBidi" w:hAnsiTheme="majorBidi" w:cstheme="majorBidi"/>
          <w:b/>
          <w:sz w:val="28"/>
          <w:szCs w:val="28"/>
        </w:rPr>
        <w:t>and</w:t>
      </w:r>
      <w:r w:rsidR="00F72BA4">
        <w:rPr>
          <w:rFonts w:asciiTheme="majorBidi" w:hAnsiTheme="majorBidi" w:cstheme="majorBidi"/>
          <w:b/>
          <w:sz w:val="28"/>
          <w:szCs w:val="28"/>
        </w:rPr>
        <w:t xml:space="preserve"> financial s</w:t>
      </w:r>
      <w:r w:rsidR="007A63CF" w:rsidRPr="007A63CF">
        <w:rPr>
          <w:rFonts w:asciiTheme="majorBidi" w:hAnsiTheme="majorBidi" w:cstheme="majorBidi"/>
          <w:b/>
          <w:sz w:val="28"/>
          <w:szCs w:val="28"/>
        </w:rPr>
        <w:t>tability of listed deposit money banks in Nigeria</w:t>
      </w:r>
    </w:p>
    <w:p w14:paraId="0D5DC64D" w14:textId="77777777" w:rsidR="009B0EF4" w:rsidRDefault="009B0EF4" w:rsidP="00A32E4E">
      <w:pPr>
        <w:pStyle w:val="ListParagraph"/>
        <w:spacing w:after="0" w:line="240" w:lineRule="auto"/>
        <w:jc w:val="center"/>
        <w:rPr>
          <w:rFonts w:asciiTheme="majorBidi" w:hAnsiTheme="majorBidi" w:cstheme="majorBidi"/>
          <w:b/>
          <w:sz w:val="28"/>
          <w:szCs w:val="28"/>
        </w:rPr>
      </w:pPr>
    </w:p>
    <w:p w14:paraId="618D37A9" w14:textId="77777777" w:rsidR="000B54E3" w:rsidRDefault="000B54E3" w:rsidP="0017160F">
      <w:pPr>
        <w:pStyle w:val="Heading3"/>
        <w:spacing w:before="0" w:beforeAutospacing="0" w:after="0" w:afterAutospacing="0"/>
        <w:jc w:val="center"/>
      </w:pPr>
    </w:p>
    <w:p w14:paraId="019D3760" w14:textId="77777777" w:rsidR="0017160F" w:rsidRDefault="0017160F" w:rsidP="0017160F">
      <w:pPr>
        <w:pStyle w:val="Heading3"/>
        <w:spacing w:before="0" w:beforeAutospacing="0" w:after="0" w:afterAutospacing="0"/>
        <w:jc w:val="center"/>
      </w:pPr>
      <w:r>
        <w:t>Abstract</w:t>
      </w:r>
    </w:p>
    <w:p w14:paraId="53E012D9" w14:textId="77777777" w:rsidR="00C0556C" w:rsidRDefault="00C0556C" w:rsidP="0017160F">
      <w:pPr>
        <w:pStyle w:val="Heading3"/>
        <w:jc w:val="both"/>
        <w:rPr>
          <w:b w:val="0"/>
          <w:sz w:val="24"/>
          <w:szCs w:val="24"/>
        </w:rPr>
      </w:pPr>
      <w:r w:rsidRPr="00C0556C">
        <w:rPr>
          <w:b w:val="0"/>
          <w:sz w:val="24"/>
          <w:szCs w:val="24"/>
        </w:rPr>
        <w:t>This study examined the effect of corporate tax planning on the financial stability of listed deposit money banks in Nigeria. An ex-post facto and explanatory research design was adopted, using secondary panel data obtained from the annual reports of 10 listed deposit money banks, Nigerian Exchange Group filings, and Central Bank of Nigeria statistical bulletins for 2010–2024. Corporate tax planning was represented by capital intensity, inventory intensity, and effective tax rate, while financial stability was measured using the non-performing loans ratio, current ratio, and equity-to-total-assets ratio. The Fisher-type ADF panel unit-root tests indicated a mixed order of integration, with most variables stationary at level and selected variables stationary after first differencing. The model estimates showed that capital intensity was the principal tax-planning variable with statistically significant effects. Capital intensity had a negative relationship with the current ratio, suggesting a possible reduction in short-term liquidity as investment in fixed assets increased, but it had a positive relationship with the equity-to-total-assets ratio, indicating a possible contribution to capital strength and long-term solvency. The effective tax rate was not statistically significant across the examined financial-stability proxies. The findings suggest that tax-planning decisions should be aligned with liquidity management, capital-adequacy planning, and risk-control practices rather than treated as automatic mechanisms for improving stability. The study recommends transparent and compliant tax planning, with tax-related savings directed towards liquid assets and capital buffers.</w:t>
      </w:r>
    </w:p>
    <w:p w14:paraId="5540FDE6" w14:textId="753D8339" w:rsidR="0017160F" w:rsidRPr="0017160F" w:rsidRDefault="0017160F" w:rsidP="0017160F">
      <w:pPr>
        <w:pStyle w:val="Heading3"/>
        <w:jc w:val="both"/>
        <w:rPr>
          <w:b w:val="0"/>
          <w:i/>
          <w:sz w:val="24"/>
          <w:szCs w:val="24"/>
        </w:rPr>
      </w:pPr>
      <w:r>
        <w:rPr>
          <w:sz w:val="24"/>
          <w:szCs w:val="24"/>
          <w:highlight w:val="yellow"/>
        </w:rPr>
        <w:t xml:space="preserve">Keywords: </w:t>
      </w:r>
      <w:r>
        <w:rPr>
          <w:i/>
          <w:sz w:val="24"/>
          <w:szCs w:val="24"/>
          <w:highlight w:val="yellow"/>
        </w:rPr>
        <w:t>Corporate tax planning, capital intensity, current ratio, financial stability, Nigerian banks.</w:t>
      </w:r>
    </w:p>
    <w:p w14:paraId="3959393C" w14:textId="77777777" w:rsidR="004E4941" w:rsidRDefault="00F70A86" w:rsidP="004E4941">
      <w:pPr>
        <w:pStyle w:val="NormalWeb"/>
        <w:spacing w:before="0" w:beforeAutospacing="0" w:after="0" w:afterAutospacing="0"/>
        <w:jc w:val="both"/>
        <w:rPr>
          <w:b/>
        </w:rPr>
      </w:pPr>
      <w:r>
        <w:rPr>
          <w:b/>
        </w:rPr>
        <w:t>1</w:t>
      </w:r>
      <w:r>
        <w:rPr>
          <w:b/>
        </w:rPr>
        <w:tab/>
      </w:r>
      <w:r w:rsidR="00B969B9">
        <w:rPr>
          <w:b/>
        </w:rPr>
        <w:t>Introduction</w:t>
      </w:r>
    </w:p>
    <w:p w14:paraId="2EF57855" w14:textId="77777777" w:rsidR="00F70A86" w:rsidRPr="00F70A86" w:rsidRDefault="00F70A86" w:rsidP="004E4941">
      <w:pPr>
        <w:pStyle w:val="NormalWeb"/>
        <w:spacing w:before="0" w:beforeAutospacing="0" w:after="0" w:afterAutospacing="0"/>
        <w:jc w:val="both"/>
        <w:rPr>
          <w:b/>
        </w:rPr>
      </w:pPr>
      <w:r>
        <w:rPr>
          <w:highlight w:val="yellow"/>
        </w:rPr>
        <w:t xml:space="preserve">On a global scale, financial stability represents the cornerstone of a robust banking system, in which deposit money banks serve as primary intermediaries that ensure systemic resilience against macroeconomic shocks and promote sustainable economic growth (Dinh et al., 2025). In advanced economies, this stability is strongly safeguarded by sophisticated institutional frameworks, such as Basel III capital requirements, comprehensive stress testing, and macroprudential supervision (Olawale, 2024). However, the 2023 collapse of Silicon Valley Bank (SVB) in the United States demonstrated how quickly weak liquidity management and severe asset-liability mismatches can trigger systemic panic and catastrophic bank runs, even within highly developed regulatory environments (Barrett, 2023; </w:t>
      </w:r>
      <w:proofErr w:type="spellStart"/>
      <w:r>
        <w:rPr>
          <w:highlight w:val="yellow"/>
        </w:rPr>
        <w:t>Lusmeida</w:t>
      </w:r>
      <w:proofErr w:type="spellEnd"/>
      <w:r>
        <w:rPr>
          <w:highlight w:val="yellow"/>
        </w:rPr>
        <w:t xml:space="preserve"> &amp; Gunawan, 2025). To insulate banking systems from such vulnerabilities, contemporary research relies on rigorous frameworks to measure financial health across critical operational dimensions (</w:t>
      </w:r>
      <w:proofErr w:type="spellStart"/>
      <w:r>
        <w:rPr>
          <w:highlight w:val="yellow"/>
        </w:rPr>
        <w:t>Hastuti</w:t>
      </w:r>
      <w:proofErr w:type="spellEnd"/>
      <w:r>
        <w:rPr>
          <w:highlight w:val="yellow"/>
        </w:rPr>
        <w:t xml:space="preserve"> et al., 2024), focusing on key proxies of systemic resilience, including the Non-Performing Loans (NPL) Ratio to gauge asset quality, the Current Ratio to capture short-term liquidity, and the Equity-to-Total-Assets Ratio to evaluate long-term solvency.</w:t>
      </w:r>
    </w:p>
    <w:p w14:paraId="1A161DF0" w14:textId="36EA2E91" w:rsidR="00F70A86" w:rsidRDefault="00F70A86" w:rsidP="00556F51">
      <w:pPr>
        <w:pStyle w:val="NormalWeb"/>
        <w:jc w:val="both"/>
      </w:pPr>
      <w:r>
        <w:rPr>
          <w:highlight w:val="yellow"/>
        </w:rPr>
        <w:t xml:space="preserve">Banking systems in developing and African economies operate under markedly different conditions, characterised by greater macroeconomic volatility, heightened susceptibility to external shocks, and institutional weaknesses that amplify implementation challenges (Adam et al., 2024; </w:t>
      </w:r>
      <w:proofErr w:type="spellStart"/>
      <w:r>
        <w:rPr>
          <w:highlight w:val="yellow"/>
        </w:rPr>
        <w:t>Durguti</w:t>
      </w:r>
      <w:proofErr w:type="spellEnd"/>
      <w:r>
        <w:rPr>
          <w:highlight w:val="yellow"/>
        </w:rPr>
        <w:t xml:space="preserve"> et al., 2025). Across emerging markets, banks face distinct threats to </w:t>
      </w:r>
      <w:r>
        <w:rPr>
          <w:highlight w:val="yellow"/>
        </w:rPr>
        <w:lastRenderedPageBreak/>
        <w:t xml:space="preserve">stability, including currency fluctuations, sovereign debt exposure, and concentrated loan portfolios that are heavily weighted towards specific economic sectors (Mirza et al., 2025; </w:t>
      </w:r>
      <w:r w:rsidR="008F5244" w:rsidRPr="008F5244">
        <w:rPr>
          <w:highlight w:val="yellow"/>
        </w:rPr>
        <w:t>Financial Stability Board</w:t>
      </w:r>
      <w:r w:rsidR="008F5244" w:rsidRPr="008F5244">
        <w:rPr>
          <w:highlight w:val="yellow"/>
        </w:rPr>
        <w:t xml:space="preserve">, </w:t>
      </w:r>
      <w:r w:rsidRPr="008F5244">
        <w:rPr>
          <w:highlight w:val="yellow"/>
        </w:rPr>
        <w:t>2023</w:t>
      </w:r>
      <w:r>
        <w:rPr>
          <w:highlight w:val="yellow"/>
        </w:rPr>
        <w:t>). In the broader sub-Saharan African context, these institutional vulnerabilities are further compounded by infrastructure deficits, rapid expansion of digital financial inclusion, and persistent political risks (Adam et al., 2024). Consequently, banking institutions in these regions require more strategic internal financial-management mechanisms to accumulate capital buffers organically, manage volatile cash flows, and guard against cross-border financial contagion while operating within constrained regulatory and economic environments (Solanke et al., 2023; Tran &amp; Nguyen, 2025).</w:t>
      </w:r>
    </w:p>
    <w:p w14:paraId="5D87377C" w14:textId="77777777" w:rsidR="00F70A86" w:rsidRDefault="00F70A86" w:rsidP="00F70A86">
      <w:pPr>
        <w:pStyle w:val="NormalWeb"/>
        <w:jc w:val="both"/>
      </w:pPr>
      <w:r>
        <w:rPr>
          <w:highlight w:val="yellow"/>
        </w:rPr>
        <w:t xml:space="preserve">In Nigeria, the financial stability of listed deposit money banks is currently under severe pressure because of weakening capital buffers, acute liquidity stress, and deteriorating asset quality (Akingbade, 2025; </w:t>
      </w:r>
      <w:proofErr w:type="spellStart"/>
      <w:r>
        <w:rPr>
          <w:highlight w:val="yellow"/>
        </w:rPr>
        <w:t>Erhijakpor</w:t>
      </w:r>
      <w:proofErr w:type="spellEnd"/>
      <w:r>
        <w:rPr>
          <w:highlight w:val="yellow"/>
        </w:rPr>
        <w:t xml:space="preserve"> &amp; </w:t>
      </w:r>
      <w:proofErr w:type="spellStart"/>
      <w:r>
        <w:rPr>
          <w:highlight w:val="yellow"/>
        </w:rPr>
        <w:t>Eyamu</w:t>
      </w:r>
      <w:proofErr w:type="spellEnd"/>
      <w:r>
        <w:rPr>
          <w:highlight w:val="yellow"/>
        </w:rPr>
        <w:t xml:space="preserve">, 2025). The banking sector faces a major policy-driven recapitalisation mandate introduced by the Central Bank of Nigeria (CBN) in March 2024, requiring international banks to increase their capital to ₦500 billion by March 2026, following a sharp contraction in the industry's aggregate capital base from approximately US$5 billion in 2022 to US$1.8 billion in early 2024 (Ali-Momoh et al., 2024; Central Bank of Nigeria, 2024). This systemic strain is further compounded by a reported 436% increase in borrowing from the CBN's Standing Lending Facility and escalating asset deterioration, with prominent listed institutions reporting non-performing loan (NPL) ratios that exceed the 5% regulatory threshold and occasionally rise above 10% (Adam et al., 2024; </w:t>
      </w:r>
      <w:proofErr w:type="spellStart"/>
      <w:r>
        <w:rPr>
          <w:highlight w:val="yellow"/>
        </w:rPr>
        <w:t>Ozili</w:t>
      </w:r>
      <w:proofErr w:type="spellEnd"/>
      <w:r>
        <w:rPr>
          <w:highlight w:val="yellow"/>
        </w:rPr>
        <w:t>, 2025). Furthermore, substantial regulatory sanctions related to cash availability have exposed operational and logistical weaknesses, illustrating an urgent multidimensional crisis affecting asset quality, reliance on emergency funding, and regulatory compliance (Central Bank of Nigeria, 2025).</w:t>
      </w:r>
    </w:p>
    <w:p w14:paraId="27686BD6" w14:textId="5B2391E8" w:rsidR="00F70A86" w:rsidRDefault="00F70A86" w:rsidP="00F70A86">
      <w:pPr>
        <w:pStyle w:val="NormalWeb"/>
        <w:jc w:val="both"/>
      </w:pPr>
      <w:r>
        <w:rPr>
          <w:highlight w:val="yellow"/>
        </w:rPr>
        <w:t>Corporate tax planning, operationalised through capital intensity, inventory intensity, and effective tax-rate management, emerges as a strategic financial tool that can directly address these stability challenges (Iddrisu, 2025). Through the strategic management of capital intensity, banks can optimise their fixed-asset structures to maximise tax-deductible depreciation, thereby lowering their effective tax rates and preserving essential cash flows to strengthen equity-to-total-assets ratios (</w:t>
      </w:r>
      <w:proofErr w:type="spellStart"/>
      <w:r>
        <w:rPr>
          <w:highlight w:val="yellow"/>
        </w:rPr>
        <w:t>Lailiyah</w:t>
      </w:r>
      <w:proofErr w:type="spellEnd"/>
      <w:r>
        <w:rPr>
          <w:highlight w:val="yellow"/>
        </w:rPr>
        <w:t xml:space="preserve"> et al., 2024). Simultaneously, optimising inventory intensity within trading and investment-security portfolios allows banks to generate near-term tax efficiencies and manage immediate cash positions through the strategic timing of asset disposals (Irawati et al., 2025). By minimising the overall effective tax rate through legitimate optimisation strategies, Nigerian deposit money banks can enhance after-tax profitability, accelerate the accumulation of retained earnings, and systematically reduce their precarious reliance on central-bank emergency lending </w:t>
      </w:r>
      <w:r w:rsidRPr="008F5244">
        <w:rPr>
          <w:highlight w:val="yellow"/>
        </w:rPr>
        <w:t>facilities (</w:t>
      </w:r>
      <w:r w:rsidR="008F5244" w:rsidRPr="008F5244">
        <w:rPr>
          <w:highlight w:val="yellow"/>
        </w:rPr>
        <w:t>Umeh</w:t>
      </w:r>
      <w:r w:rsidR="008F5244" w:rsidRPr="008F5244">
        <w:rPr>
          <w:highlight w:val="yellow"/>
        </w:rPr>
        <w:t xml:space="preserve"> et al.</w:t>
      </w:r>
      <w:r w:rsidRPr="008F5244">
        <w:rPr>
          <w:highlight w:val="yellow"/>
        </w:rPr>
        <w:t xml:space="preserve">, </w:t>
      </w:r>
      <w:r>
        <w:rPr>
          <w:highlight w:val="yellow"/>
        </w:rPr>
        <w:t>202</w:t>
      </w:r>
      <w:r w:rsidR="008F5244">
        <w:rPr>
          <w:highlight w:val="yellow"/>
        </w:rPr>
        <w:t>0</w:t>
      </w:r>
      <w:r>
        <w:rPr>
          <w:highlight w:val="yellow"/>
        </w:rPr>
        <w:t>).</w:t>
      </w:r>
    </w:p>
    <w:p w14:paraId="6BFDB7C6" w14:textId="77777777" w:rsidR="00DB7453" w:rsidRPr="00C0556C" w:rsidRDefault="001B2B3D">
      <w:pPr>
        <w:pStyle w:val="NormalWeb"/>
        <w:jc w:val="both"/>
        <w:rPr>
          <w:bCs/>
        </w:rPr>
      </w:pPr>
      <w:r w:rsidRPr="00C0556C">
        <w:rPr>
          <w:bCs/>
          <w:highlight w:val="yellow"/>
        </w:rPr>
        <w:t xml:space="preserve">Recent evidence from listed Nigerian firms indicates that financing structure and ownership oversight can influence corporate tax-planning decisions, while risk-committee composition and accounting expertise are associated with more conservative tax behaviour and stronger oversight (Ho et al., 2025; </w:t>
      </w:r>
      <w:proofErr w:type="spellStart"/>
      <w:r w:rsidRPr="00C0556C">
        <w:rPr>
          <w:bCs/>
          <w:highlight w:val="yellow"/>
        </w:rPr>
        <w:t>Olanisebe</w:t>
      </w:r>
      <w:proofErr w:type="spellEnd"/>
      <w:r w:rsidRPr="00C0556C">
        <w:rPr>
          <w:bCs/>
          <w:highlight w:val="yellow"/>
        </w:rPr>
        <w:t xml:space="preserve"> et al., 2026; Oyewole &amp; </w:t>
      </w:r>
      <w:proofErr w:type="spellStart"/>
      <w:r w:rsidRPr="00C0556C">
        <w:rPr>
          <w:bCs/>
          <w:highlight w:val="yellow"/>
        </w:rPr>
        <w:t>Oluwagbemi</w:t>
      </w:r>
      <w:proofErr w:type="spellEnd"/>
      <w:r w:rsidRPr="00C0556C">
        <w:rPr>
          <w:bCs/>
          <w:highlight w:val="yellow"/>
        </w:rPr>
        <w:t>, 2026).</w:t>
      </w:r>
    </w:p>
    <w:p w14:paraId="7F800842" w14:textId="77777777" w:rsidR="00DB7453" w:rsidRPr="00C0556C" w:rsidRDefault="001B2B3D">
      <w:pPr>
        <w:pStyle w:val="NormalWeb"/>
        <w:jc w:val="both"/>
        <w:rPr>
          <w:bCs/>
        </w:rPr>
      </w:pPr>
      <w:r w:rsidRPr="00C0556C">
        <w:rPr>
          <w:bCs/>
          <w:highlight w:val="yellow"/>
        </w:rPr>
        <w:t>Evidence from banking and cross-country settings further indicates that profitability and financing constraints are relevant to tax-avoidance decisions, supporting the need to evaluate tax planning alongside financial condition and institutional context (</w:t>
      </w:r>
      <w:proofErr w:type="spellStart"/>
      <w:r w:rsidRPr="00C0556C">
        <w:rPr>
          <w:bCs/>
          <w:highlight w:val="yellow"/>
        </w:rPr>
        <w:t>Benkraiem</w:t>
      </w:r>
      <w:proofErr w:type="spellEnd"/>
      <w:r w:rsidRPr="00C0556C">
        <w:rPr>
          <w:bCs/>
          <w:highlight w:val="yellow"/>
        </w:rPr>
        <w:t xml:space="preserve"> et al., 2025; </w:t>
      </w:r>
      <w:proofErr w:type="spellStart"/>
      <w:r w:rsidRPr="00C0556C">
        <w:rPr>
          <w:bCs/>
          <w:highlight w:val="yellow"/>
        </w:rPr>
        <w:t>Shubita</w:t>
      </w:r>
      <w:proofErr w:type="spellEnd"/>
      <w:r w:rsidRPr="00C0556C">
        <w:rPr>
          <w:bCs/>
          <w:highlight w:val="yellow"/>
        </w:rPr>
        <w:t>, 2024).</w:t>
      </w:r>
    </w:p>
    <w:p w14:paraId="6DC9CA61" w14:textId="51F9D0EE" w:rsidR="00F70A86" w:rsidRDefault="00F70A86" w:rsidP="00F70A86">
      <w:pPr>
        <w:pStyle w:val="NormalWeb"/>
        <w:jc w:val="both"/>
      </w:pPr>
      <w:r>
        <w:rPr>
          <w:highlight w:val="yellow"/>
        </w:rPr>
        <w:lastRenderedPageBreak/>
        <w:t xml:space="preserve">Despite these connections, a substantial empirical, methodological, and contextual gap persists in the literature. Empirically, prior tax-planning research has overwhelmingly focused on non-financial industries (Abubakar et al., 2024; </w:t>
      </w:r>
      <w:proofErr w:type="spellStart"/>
      <w:r>
        <w:rPr>
          <w:highlight w:val="yellow"/>
        </w:rPr>
        <w:t>Omesi</w:t>
      </w:r>
      <w:proofErr w:type="spellEnd"/>
      <w:r>
        <w:rPr>
          <w:highlight w:val="yellow"/>
        </w:rPr>
        <w:t xml:space="preserve"> &amp; Appah, 2021; </w:t>
      </w:r>
      <w:proofErr w:type="spellStart"/>
      <w:r>
        <w:rPr>
          <w:highlight w:val="yellow"/>
        </w:rPr>
        <w:t>Widyastuti</w:t>
      </w:r>
      <w:proofErr w:type="spellEnd"/>
      <w:r>
        <w:rPr>
          <w:highlight w:val="yellow"/>
        </w:rPr>
        <w:t xml:space="preserve"> et al., 202</w:t>
      </w:r>
      <w:r w:rsidR="00571108">
        <w:rPr>
          <w:highlight w:val="yellow"/>
        </w:rPr>
        <w:t>2</w:t>
      </w:r>
      <w:r>
        <w:rPr>
          <w:highlight w:val="yellow"/>
        </w:rPr>
        <w:t>), leaving the banking sector under-researched despite its distinctive capital constraints and systemic risks. Methodologically, existing studies frequently treat tax planning as a single construct or rely on isolated metrics to predict conventional profitability measures such as ROA or ROE (</w:t>
      </w:r>
      <w:proofErr w:type="spellStart"/>
      <w:r>
        <w:rPr>
          <w:highlight w:val="yellow"/>
        </w:rPr>
        <w:t>Hendayana</w:t>
      </w:r>
      <w:proofErr w:type="spellEnd"/>
      <w:r>
        <w:rPr>
          <w:highlight w:val="yellow"/>
        </w:rPr>
        <w:t xml:space="preserve"> et al., 2024; </w:t>
      </w:r>
      <w:proofErr w:type="spellStart"/>
      <w:r>
        <w:rPr>
          <w:highlight w:val="yellow"/>
        </w:rPr>
        <w:t>Syawalia</w:t>
      </w:r>
      <w:proofErr w:type="spellEnd"/>
      <w:r>
        <w:rPr>
          <w:highlight w:val="yellow"/>
        </w:rPr>
        <w:t>, 2025), without evaluating how specific operational dimensions, namely capital intensity and inventory intensity, interact with comprehensive financial-stability indicators such as the Non-Performing Loans Ratio, Current Ratio, and Equity-to-Total-Assets Ratio (</w:t>
      </w:r>
      <w:proofErr w:type="spellStart"/>
      <w:r>
        <w:rPr>
          <w:highlight w:val="yellow"/>
        </w:rPr>
        <w:t>Febrianto</w:t>
      </w:r>
      <w:proofErr w:type="spellEnd"/>
      <w:r>
        <w:rPr>
          <w:highlight w:val="yellow"/>
        </w:rPr>
        <w:t xml:space="preserve"> et al., 2024; </w:t>
      </w:r>
      <w:proofErr w:type="spellStart"/>
      <w:r>
        <w:rPr>
          <w:highlight w:val="yellow"/>
        </w:rPr>
        <w:t>Omesi</w:t>
      </w:r>
      <w:proofErr w:type="spellEnd"/>
      <w:r>
        <w:rPr>
          <w:highlight w:val="yellow"/>
        </w:rPr>
        <w:t xml:space="preserve"> &amp; Appah, 2021). Contextually, there is limited empirical evidence on whether aggressive tax minimisation functions as a structural shield or a reputational vulnerability when banks face the acute strain of an ongoing, policy-driven ₦500 billion regulatory recapitalisation </w:t>
      </w:r>
      <w:r w:rsidRPr="008F5244">
        <w:rPr>
          <w:highlight w:val="yellow"/>
        </w:rPr>
        <w:t>exercise (</w:t>
      </w:r>
      <w:proofErr w:type="spellStart"/>
      <w:r w:rsidR="008F5244" w:rsidRPr="008F5244">
        <w:rPr>
          <w:highlight w:val="yellow"/>
        </w:rPr>
        <w:t>Bougacha</w:t>
      </w:r>
      <w:proofErr w:type="spellEnd"/>
      <w:r w:rsidRPr="008F5244">
        <w:rPr>
          <w:highlight w:val="yellow"/>
        </w:rPr>
        <w:t xml:space="preserve"> </w:t>
      </w:r>
      <w:r>
        <w:rPr>
          <w:highlight w:val="yellow"/>
        </w:rPr>
        <w:t>et al., 2024; Ali-Momoh et al., 2024). This study addresses these gaps by examining multidimensional tax metrics against distinct channels of banking resilience within an unprecedented period of regulatory restructuring.</w:t>
      </w:r>
    </w:p>
    <w:p w14:paraId="7165D58F" w14:textId="77777777" w:rsidR="00F70A86" w:rsidRPr="00C0556C" w:rsidRDefault="00F70A86" w:rsidP="00FB5718">
      <w:pPr>
        <w:pStyle w:val="NormalWeb"/>
        <w:jc w:val="both"/>
        <w:rPr>
          <w:bCs/>
        </w:rPr>
      </w:pPr>
      <w:r w:rsidRPr="00C0556C">
        <w:rPr>
          <w:bCs/>
          <w:highlight w:val="yellow"/>
        </w:rPr>
        <w:t>Consequently, the primary objective of this study is to evaluate the effects of tax planning on the financial stability of listed deposit money banks in Nigeria. Specifically, the study seeks to analyse the individual and interactive effects of Capital Intensity, Inventory Intensity, and the Effective Tax Rate on the core financial-stability proxies of the Non-Performing Loans Ratio, Current Ratio, and Equity-to-Total-Assets Ratio within the current regulatory and recapitalisation environment. Ultimately, this research aims to provide banking executives, regulatory authorities such as the CBN and FIRS, and capital-market participants with clear, data-driven insights into how tax-management efficiency can be used prudently as a financial shield to reinforce corporate stability, protect shareholder wealth, and restore public trust during a period of substantial industry transformation.</w:t>
      </w:r>
    </w:p>
    <w:p w14:paraId="6ABEC58F" w14:textId="77777777" w:rsidR="00FB5718" w:rsidRDefault="00556F51" w:rsidP="00FB571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Literature Review and Hypothesis Development</w:t>
      </w:r>
    </w:p>
    <w:p w14:paraId="33ADED78" w14:textId="77777777" w:rsidR="00AF335C" w:rsidRDefault="00AF335C" w:rsidP="00FB5718">
      <w:pPr>
        <w:spacing w:after="0" w:line="240" w:lineRule="auto"/>
        <w:jc w:val="both"/>
        <w:rPr>
          <w:rFonts w:ascii="Times New Roman" w:hAnsi="Times New Roman" w:cs="Times New Roman"/>
          <w:b/>
          <w:sz w:val="24"/>
          <w:szCs w:val="24"/>
        </w:rPr>
      </w:pPr>
      <w:r w:rsidRPr="00AF335C">
        <w:rPr>
          <w:rFonts w:ascii="Times New Roman" w:hAnsi="Times New Roman" w:cs="Times New Roman"/>
          <w:b/>
          <w:sz w:val="24"/>
          <w:szCs w:val="24"/>
        </w:rPr>
        <w:t>2.1</w:t>
      </w:r>
      <w:r>
        <w:rPr>
          <w:rFonts w:ascii="Times New Roman" w:hAnsi="Times New Roman" w:cs="Times New Roman"/>
          <w:sz w:val="24"/>
          <w:szCs w:val="24"/>
        </w:rPr>
        <w:tab/>
      </w:r>
      <w:r w:rsidR="00FB5718" w:rsidRPr="00AF335C">
        <w:rPr>
          <w:rFonts w:ascii="Times New Roman" w:hAnsi="Times New Roman" w:cs="Times New Roman"/>
          <w:b/>
          <w:sz w:val="24"/>
          <w:szCs w:val="24"/>
        </w:rPr>
        <w:t>Financial stability</w:t>
      </w:r>
    </w:p>
    <w:p w14:paraId="327BEB5D" w14:textId="77777777" w:rsidR="00FB5718" w:rsidRDefault="00AF335C" w:rsidP="00FB5718">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yellow"/>
        </w:rPr>
        <w:t>Financial stability is a multidimensional construct denoting a financial institution's capacity to absorb internal and external shocks while maintaining continuous operations, effective risk management, and uninterrupted credit intermediation (Adeosun et al., 2025; Ali-Momoh et al., 2024). In the banking industry, this systemic resilience is empirically captured through three distinct operational metrics: the Non-Performing Loans (NPL) Ratio, which serves as an early-warning indicator of credit risk and asset-quality deterioration (Akingbade, 2025); the Current Ratio, which reflects baseline liquidity and the immediate ability to meet short-term obligations, including depositor withdrawals, without external funding pressure (</w:t>
      </w:r>
      <w:proofErr w:type="spellStart"/>
      <w:r>
        <w:rPr>
          <w:rFonts w:ascii="Times New Roman" w:hAnsi="Times New Roman" w:cs="Times New Roman"/>
          <w:sz w:val="24"/>
          <w:szCs w:val="24"/>
          <w:highlight w:val="yellow"/>
        </w:rPr>
        <w:t>Ekadjaja</w:t>
      </w:r>
      <w:proofErr w:type="spellEnd"/>
      <w:r>
        <w:rPr>
          <w:rFonts w:ascii="Times New Roman" w:hAnsi="Times New Roman" w:cs="Times New Roman"/>
          <w:sz w:val="24"/>
          <w:szCs w:val="24"/>
          <w:highlight w:val="yellow"/>
        </w:rPr>
        <w:t xml:space="preserve"> et al., 2021; Husna &amp; Satria, 2019); and the Equity-to-Total-Assets Ratio (ETAR), which assesses long-term solvency, capital adequacy, and leverage-induced risk margins (</w:t>
      </w:r>
      <w:proofErr w:type="spellStart"/>
      <w:r>
        <w:rPr>
          <w:rFonts w:ascii="Times New Roman" w:hAnsi="Times New Roman" w:cs="Times New Roman"/>
          <w:sz w:val="24"/>
          <w:szCs w:val="24"/>
          <w:highlight w:val="yellow"/>
        </w:rPr>
        <w:t>Hastuti</w:t>
      </w:r>
      <w:proofErr w:type="spellEnd"/>
      <w:r>
        <w:rPr>
          <w:rFonts w:ascii="Times New Roman" w:hAnsi="Times New Roman" w:cs="Times New Roman"/>
          <w:sz w:val="24"/>
          <w:szCs w:val="24"/>
          <w:highlight w:val="yellow"/>
        </w:rPr>
        <w:t xml:space="preserve"> et al., 2024). Consequently, this study operationalises financial stability as a bank's ability to strengthen these </w:t>
      </w:r>
      <w:proofErr w:type="gramStart"/>
      <w:r>
        <w:rPr>
          <w:rFonts w:ascii="Times New Roman" w:hAnsi="Times New Roman" w:cs="Times New Roman"/>
          <w:sz w:val="24"/>
          <w:szCs w:val="24"/>
          <w:highlight w:val="yellow"/>
        </w:rPr>
        <w:t>three core</w:t>
      </w:r>
      <w:proofErr w:type="gramEnd"/>
      <w:r>
        <w:rPr>
          <w:rFonts w:ascii="Times New Roman" w:hAnsi="Times New Roman" w:cs="Times New Roman"/>
          <w:sz w:val="24"/>
          <w:szCs w:val="24"/>
          <w:highlight w:val="yellow"/>
        </w:rPr>
        <w:t xml:space="preserve"> metrics, thereby securing its long-term financial health and investor confidence, while simultaneously deploying strategic and compliant tax-optimisation channels, such as capital intensity, inventory intensity, and effective tax-rate management, to support post-tax profitability.</w:t>
      </w:r>
    </w:p>
    <w:p w14:paraId="57010F4C" w14:textId="77777777" w:rsidR="00EB2542" w:rsidRDefault="00EB2542" w:rsidP="00EB2542">
      <w:pPr>
        <w:spacing w:after="0"/>
        <w:jc w:val="both"/>
        <w:rPr>
          <w:rFonts w:ascii="Times New Roman" w:hAnsi="Times New Roman" w:cs="Times New Roman"/>
          <w:b/>
          <w:sz w:val="24"/>
          <w:szCs w:val="24"/>
        </w:rPr>
      </w:pPr>
    </w:p>
    <w:p w14:paraId="5EB4BF82" w14:textId="77777777" w:rsidR="00EB2542" w:rsidRPr="00EB2542" w:rsidRDefault="00EB2542" w:rsidP="00EB2542">
      <w:pPr>
        <w:spacing w:after="0"/>
        <w:jc w:val="both"/>
        <w:rPr>
          <w:rFonts w:ascii="Times New Roman" w:hAnsi="Times New Roman" w:cs="Times New Roman"/>
          <w:b/>
          <w:sz w:val="24"/>
          <w:szCs w:val="24"/>
        </w:rPr>
      </w:pPr>
      <w:r>
        <w:rPr>
          <w:rFonts w:ascii="Times New Roman" w:hAnsi="Times New Roman" w:cs="Times New Roman"/>
          <w:b/>
          <w:sz w:val="24"/>
          <w:szCs w:val="24"/>
          <w:highlight w:val="yellow"/>
        </w:rPr>
        <w:t>2.2 Corporate tax planning and financial stability</w:t>
      </w:r>
    </w:p>
    <w:p w14:paraId="5723C374" w14:textId="2C0D13C0" w:rsidR="00EB2542" w:rsidRPr="00EB2542" w:rsidRDefault="00EB2542" w:rsidP="00EB2542">
      <w:pPr>
        <w:spacing w:after="0"/>
        <w:jc w:val="both"/>
        <w:rPr>
          <w:rFonts w:ascii="Times New Roman" w:hAnsi="Times New Roman" w:cs="Times New Roman"/>
          <w:b/>
          <w:sz w:val="24"/>
          <w:szCs w:val="24"/>
        </w:rPr>
      </w:pPr>
      <w:r>
        <w:rPr>
          <w:rFonts w:ascii="Times New Roman" w:hAnsi="Times New Roman" w:cs="Times New Roman"/>
          <w:sz w:val="24"/>
          <w:szCs w:val="24"/>
          <w:highlight w:val="yellow"/>
        </w:rPr>
        <w:t xml:space="preserve">An extensive body of empirical literature has investigated the local determinants and implications of corporate tax management across various emerging markets. Studies by </w:t>
      </w:r>
      <w:r>
        <w:rPr>
          <w:rFonts w:ascii="Times New Roman" w:hAnsi="Times New Roman" w:cs="Times New Roman"/>
          <w:sz w:val="24"/>
          <w:szCs w:val="24"/>
          <w:highlight w:val="yellow"/>
        </w:rPr>
        <w:lastRenderedPageBreak/>
        <w:t xml:space="preserve">Darsani and </w:t>
      </w:r>
      <w:proofErr w:type="spellStart"/>
      <w:r>
        <w:rPr>
          <w:rFonts w:ascii="Times New Roman" w:hAnsi="Times New Roman" w:cs="Times New Roman"/>
          <w:sz w:val="24"/>
          <w:szCs w:val="24"/>
          <w:highlight w:val="yellow"/>
        </w:rPr>
        <w:t>Sukartha</w:t>
      </w:r>
      <w:proofErr w:type="spellEnd"/>
      <w:r>
        <w:rPr>
          <w:rFonts w:ascii="Times New Roman" w:hAnsi="Times New Roman" w:cs="Times New Roman"/>
          <w:sz w:val="24"/>
          <w:szCs w:val="24"/>
          <w:highlight w:val="yellow"/>
        </w:rPr>
        <w:t xml:space="preserve"> (2021), </w:t>
      </w:r>
      <w:proofErr w:type="spellStart"/>
      <w:r>
        <w:rPr>
          <w:rFonts w:ascii="Times New Roman" w:hAnsi="Times New Roman" w:cs="Times New Roman"/>
          <w:sz w:val="24"/>
          <w:szCs w:val="24"/>
          <w:highlight w:val="yellow"/>
        </w:rPr>
        <w:t>Widyastuti</w:t>
      </w:r>
      <w:proofErr w:type="spellEnd"/>
      <w:r>
        <w:rPr>
          <w:rFonts w:ascii="Times New Roman" w:hAnsi="Times New Roman" w:cs="Times New Roman"/>
          <w:sz w:val="24"/>
          <w:szCs w:val="24"/>
          <w:highlight w:val="yellow"/>
        </w:rPr>
        <w:t xml:space="preserve"> et al. (202</w:t>
      </w:r>
      <w:r w:rsidR="00571108">
        <w:rPr>
          <w:rFonts w:ascii="Times New Roman" w:hAnsi="Times New Roman" w:cs="Times New Roman"/>
          <w:sz w:val="24"/>
          <w:szCs w:val="24"/>
          <w:highlight w:val="yellow"/>
        </w:rPr>
        <w:t>2</w:t>
      </w:r>
      <w:r>
        <w:rPr>
          <w:rFonts w:ascii="Times New Roman" w:hAnsi="Times New Roman" w:cs="Times New Roman"/>
          <w:sz w:val="24"/>
          <w:szCs w:val="24"/>
          <w:highlight w:val="yellow"/>
        </w:rPr>
        <w:t xml:space="preserve">), and </w:t>
      </w:r>
      <w:proofErr w:type="spellStart"/>
      <w:r>
        <w:rPr>
          <w:rFonts w:ascii="Times New Roman" w:hAnsi="Times New Roman" w:cs="Times New Roman"/>
          <w:sz w:val="24"/>
          <w:szCs w:val="24"/>
          <w:highlight w:val="yellow"/>
        </w:rPr>
        <w:t>Hendayana</w:t>
      </w:r>
      <w:proofErr w:type="spellEnd"/>
      <w:r>
        <w:rPr>
          <w:rFonts w:ascii="Times New Roman" w:hAnsi="Times New Roman" w:cs="Times New Roman"/>
          <w:sz w:val="24"/>
          <w:szCs w:val="24"/>
          <w:highlight w:val="yellow"/>
        </w:rPr>
        <w:t xml:space="preserve"> et al. (2024) explored the operational drivers of tax avoidance and aggressiveness within the Indonesian corporate environment. Using multiple linear and panel regressions on listed mining and manufacturing entities, these researchers showed that, although internal firm attributes such as financial leverage and profitability frequently influence tax behaviour, capital intensity has divergent effects—exerting a significant positive effect in extractive sectors but showing limited statistical significance within broader manufacturing indices. Similarly, </w:t>
      </w:r>
      <w:proofErr w:type="spellStart"/>
      <w:r>
        <w:rPr>
          <w:rFonts w:ascii="Times New Roman" w:hAnsi="Times New Roman" w:cs="Times New Roman"/>
          <w:sz w:val="24"/>
          <w:szCs w:val="24"/>
          <w:highlight w:val="yellow"/>
        </w:rPr>
        <w:t>Maahury</w:t>
      </w:r>
      <w:proofErr w:type="spellEnd"/>
      <w:r>
        <w:rPr>
          <w:rFonts w:ascii="Times New Roman" w:hAnsi="Times New Roman" w:cs="Times New Roman"/>
          <w:sz w:val="24"/>
          <w:szCs w:val="24"/>
          <w:highlight w:val="yellow"/>
        </w:rPr>
        <w:t xml:space="preserve"> and </w:t>
      </w:r>
      <w:proofErr w:type="spellStart"/>
      <w:r>
        <w:rPr>
          <w:rFonts w:ascii="Times New Roman" w:hAnsi="Times New Roman" w:cs="Times New Roman"/>
          <w:sz w:val="24"/>
          <w:szCs w:val="24"/>
          <w:highlight w:val="yellow"/>
        </w:rPr>
        <w:t>Berliani</w:t>
      </w:r>
      <w:proofErr w:type="spellEnd"/>
      <w:r>
        <w:rPr>
          <w:rFonts w:ascii="Times New Roman" w:hAnsi="Times New Roman" w:cs="Times New Roman"/>
          <w:sz w:val="24"/>
          <w:szCs w:val="24"/>
          <w:highlight w:val="yellow"/>
        </w:rPr>
        <w:t xml:space="preserve"> (2025) and </w:t>
      </w:r>
      <w:proofErr w:type="spellStart"/>
      <w:r>
        <w:rPr>
          <w:rFonts w:ascii="Times New Roman" w:hAnsi="Times New Roman" w:cs="Times New Roman"/>
          <w:sz w:val="24"/>
          <w:szCs w:val="24"/>
          <w:highlight w:val="yellow"/>
        </w:rPr>
        <w:t>Lailiyah</w:t>
      </w:r>
      <w:proofErr w:type="spellEnd"/>
      <w:r>
        <w:rPr>
          <w:rFonts w:ascii="Times New Roman" w:hAnsi="Times New Roman" w:cs="Times New Roman"/>
          <w:sz w:val="24"/>
          <w:szCs w:val="24"/>
          <w:highlight w:val="yellow"/>
        </w:rPr>
        <w:t xml:space="preserve"> et al. (2024) confirmed that capital intensity significantly influences corporate reporting practices, including accounting conservatism and corporate social responsibility (CSR) disclosures, noting that capital-intensive operational structures naturally create distinct tax shields that alter overall reporting transparency.</w:t>
      </w:r>
    </w:p>
    <w:p w14:paraId="120E2231" w14:textId="77777777" w:rsidR="00EB2542" w:rsidRPr="00EB2542" w:rsidRDefault="00EB2542" w:rsidP="00EB2542">
      <w:pPr>
        <w:pStyle w:val="NormalWeb"/>
        <w:jc w:val="both"/>
      </w:pPr>
      <w:r>
        <w:rPr>
          <w:highlight w:val="yellow"/>
        </w:rPr>
        <w:t xml:space="preserve">Within the African corporate environment, research has historically focused on how fiscal-optimisation strategies influence market value and short-term earnings. In Nigeria, </w:t>
      </w:r>
      <w:proofErr w:type="spellStart"/>
      <w:r>
        <w:rPr>
          <w:highlight w:val="yellow"/>
        </w:rPr>
        <w:t>Omesi</w:t>
      </w:r>
      <w:proofErr w:type="spellEnd"/>
      <w:r>
        <w:rPr>
          <w:highlight w:val="yellow"/>
        </w:rPr>
        <w:t xml:space="preserve"> and Appah (2021) adopted an ex-post facto design to examine consumer-goods companies and found an insignificant negative relationship between baseline capital intensity, effective tax rates, and long-term firm value. Similarly, Tackie et al. (2022) examined the Ghanaian insurance market and identified a complex, non-linear relationship between tax-planning efficiency, measured through effective tax rates, and conventional accounting-performance indicators such as Return on Assets (ROA) and Return on Equity (ROE), while emphasising that strong internal corporate-governance mechanisms act as an important moderator of the positive outcomes of these tax structures.</w:t>
      </w:r>
    </w:p>
    <w:p w14:paraId="43427E9A" w14:textId="77777777" w:rsidR="00EB2542" w:rsidRPr="00EB2542" w:rsidRDefault="00EB2542" w:rsidP="00EB2542">
      <w:pPr>
        <w:pStyle w:val="NormalWeb"/>
        <w:jc w:val="both"/>
      </w:pPr>
      <w:r>
        <w:rPr>
          <w:highlight w:val="yellow"/>
        </w:rPr>
        <w:t xml:space="preserve">Despite these valuable contributions, a substantial threefold gap remains in the literature on systemic operational risk. Methodologically, prior studies (Putri et al., 2022; Renaldo &amp; </w:t>
      </w:r>
      <w:proofErr w:type="spellStart"/>
      <w:r>
        <w:rPr>
          <w:highlight w:val="yellow"/>
        </w:rPr>
        <w:t>Murwaningsari</w:t>
      </w:r>
      <w:proofErr w:type="spellEnd"/>
      <w:r>
        <w:rPr>
          <w:highlight w:val="yellow"/>
        </w:rPr>
        <w:t>, 2023) have overwhelmingly prioritised traditional performance metrics such as profitability or market value, while overlooking comprehensive, multidimensional constructs of financial stability. Consequently, the literature provides limited empirical insight into how strategic tax decisions relate to core balance-sheet resilience channels, particularly short-term liquidity buffers and asset-quality deterioration. Furthermore, researchers frequently treat tax behaviour as a single construct, omitting important asset-side tax-planning mechanisms such as inventory intensity, which directly influences a firm's working-capital position and the timing of tax liabilities.</w:t>
      </w:r>
    </w:p>
    <w:p w14:paraId="68FFBAC0" w14:textId="77777777" w:rsidR="00AA025C" w:rsidRDefault="00EB2542" w:rsidP="00AA025C">
      <w:pPr>
        <w:pStyle w:val="NormalWeb"/>
        <w:jc w:val="both"/>
      </w:pPr>
      <w:r>
        <w:rPr>
          <w:highlight w:val="yellow"/>
        </w:rPr>
        <w:t xml:space="preserve">From sectoral and contextual perspectives, most existing empirical evidence is concentrated in non-financial sectors, such as mining, chemical, and telecommunications industries, or generic corporate indices (Abubakar et al., 2024; </w:t>
      </w:r>
      <w:proofErr w:type="spellStart"/>
      <w:r>
        <w:rPr>
          <w:highlight w:val="yellow"/>
        </w:rPr>
        <w:t>Febrianto</w:t>
      </w:r>
      <w:proofErr w:type="spellEnd"/>
      <w:r>
        <w:rPr>
          <w:highlight w:val="yellow"/>
        </w:rPr>
        <w:t xml:space="preserve"> et al., 2024; Setiawati &amp; </w:t>
      </w:r>
      <w:proofErr w:type="spellStart"/>
      <w:r>
        <w:rPr>
          <w:highlight w:val="yellow"/>
        </w:rPr>
        <w:t>Tanggreini</w:t>
      </w:r>
      <w:proofErr w:type="spellEnd"/>
      <w:r>
        <w:rPr>
          <w:highlight w:val="yellow"/>
        </w:rPr>
        <w:t xml:space="preserve">, 2025; </w:t>
      </w:r>
      <w:proofErr w:type="spellStart"/>
      <w:r>
        <w:rPr>
          <w:highlight w:val="yellow"/>
        </w:rPr>
        <w:t>Syawalia</w:t>
      </w:r>
      <w:proofErr w:type="spellEnd"/>
      <w:r>
        <w:rPr>
          <w:highlight w:val="yellow"/>
        </w:rPr>
        <w:t xml:space="preserve">, 2025). These findings have limited generalisability to highly regulated financial intermediaries, whose capital-adequacy thresholds, risk profiles, and operational-liquidity requirements are structurally distinctive. Financial institutions operate under stringent, policy-driven capital constraints, within which aggressive tax manoeuvres may trigger unexpected regulatory penalties, severe compliance pressure, or substantial reputational damage rather than safe cash optimisation. This study addresses these empirical, methodological, and contextual gaps by focusing exclusively on listed deposit money banks in Nigeria. By evaluating a comprehensive, multidimensional tax-planning framework that integrates Capital Intensity, Inventory Intensity, and the Effective Tax Rate against three distinct banking-resilience proxies—the Non-Performing Loans (NPL) Ratio, Current Ratio, and Equity-to-Total-Assets Ratio—this research provides context-specific insight into the relationship between tax </w:t>
      </w:r>
      <w:r>
        <w:rPr>
          <w:highlight w:val="yellow"/>
        </w:rPr>
        <w:lastRenderedPageBreak/>
        <w:t>planning and financial stability during a period of unprecedented regulatory recapitalisation. Based on the empirical literature reviewed, the following hypotheses were formulated:</w:t>
      </w:r>
    </w:p>
    <w:p w14:paraId="35AC4BAA" w14:textId="77777777" w:rsidR="00AA025C" w:rsidRPr="00AA025C" w:rsidRDefault="00AA025C" w:rsidP="00AA025C">
      <w:pPr>
        <w:jc w:val="both"/>
        <w:rPr>
          <w:rFonts w:ascii="Times New Roman" w:hAnsi="Times New Roman" w:cs="Times New Roman"/>
          <w:sz w:val="24"/>
          <w:szCs w:val="24"/>
        </w:rPr>
      </w:pPr>
      <w:r>
        <w:rPr>
          <w:rFonts w:ascii="Times New Roman" w:hAnsi="Times New Roman" w:cs="Times New Roman"/>
          <w:b/>
          <w:i/>
          <w:sz w:val="24"/>
          <w:szCs w:val="24"/>
          <w:highlight w:val="yellow"/>
        </w:rPr>
        <w:t>H1: Capital Intensity has no significant effect on the financial stability of listed deposit money banks in Nigeria.</w:t>
      </w:r>
    </w:p>
    <w:p w14:paraId="2DDF9286" w14:textId="77777777" w:rsidR="00AA025C" w:rsidRPr="00AA025C" w:rsidRDefault="00AA025C" w:rsidP="00AA025C">
      <w:pPr>
        <w:jc w:val="both"/>
        <w:rPr>
          <w:rFonts w:ascii="Times New Roman" w:hAnsi="Times New Roman" w:cs="Times New Roman"/>
          <w:sz w:val="24"/>
          <w:szCs w:val="24"/>
        </w:rPr>
      </w:pPr>
      <w:r>
        <w:rPr>
          <w:rFonts w:ascii="Times New Roman" w:hAnsi="Times New Roman" w:cs="Times New Roman"/>
          <w:b/>
          <w:i/>
          <w:sz w:val="24"/>
          <w:szCs w:val="24"/>
          <w:highlight w:val="yellow"/>
        </w:rPr>
        <w:t>H2: Inventory Intensity has no significant effect on the financial stability of listed deposit money banks in Nigeria.</w:t>
      </w:r>
    </w:p>
    <w:p w14:paraId="7504E961" w14:textId="77777777" w:rsidR="00B531CD" w:rsidRDefault="00AA025C" w:rsidP="00AA025C">
      <w:pPr>
        <w:jc w:val="both"/>
        <w:rPr>
          <w:rFonts w:ascii="Times New Roman" w:hAnsi="Times New Roman" w:cs="Times New Roman"/>
          <w:sz w:val="24"/>
          <w:szCs w:val="24"/>
        </w:rPr>
      </w:pPr>
      <w:r>
        <w:rPr>
          <w:rFonts w:ascii="Times New Roman" w:hAnsi="Times New Roman" w:cs="Times New Roman"/>
          <w:b/>
          <w:i/>
          <w:sz w:val="24"/>
          <w:szCs w:val="24"/>
          <w:highlight w:val="yellow"/>
        </w:rPr>
        <w:t>H3: Effective Tax Rate has no significant effect on the financial stability of listed deposit money banks in Nigeria.</w:t>
      </w:r>
    </w:p>
    <w:p w14:paraId="587A321C" w14:textId="77777777" w:rsidR="002626AB" w:rsidRDefault="002626AB" w:rsidP="00B531CD">
      <w:pPr>
        <w:spacing w:line="360" w:lineRule="auto"/>
        <w:jc w:val="both"/>
        <w:rPr>
          <w:rFonts w:ascii="Times New Roman" w:hAnsi="Times New Roman" w:cs="Times New Roman"/>
          <w:b/>
          <w:bCs/>
          <w:sz w:val="24"/>
          <w:szCs w:val="24"/>
        </w:rPr>
      </w:pPr>
    </w:p>
    <w:p w14:paraId="62E15062" w14:textId="77777777" w:rsidR="002626AB" w:rsidRDefault="002626AB" w:rsidP="00B531CD">
      <w:pPr>
        <w:spacing w:line="360" w:lineRule="auto"/>
        <w:jc w:val="both"/>
        <w:rPr>
          <w:rFonts w:ascii="Times New Roman" w:hAnsi="Times New Roman" w:cs="Times New Roman"/>
          <w:b/>
          <w:bCs/>
          <w:sz w:val="24"/>
          <w:szCs w:val="24"/>
        </w:rPr>
      </w:pPr>
    </w:p>
    <w:p w14:paraId="78D5B53C" w14:textId="77777777" w:rsidR="002626AB" w:rsidRDefault="002626AB" w:rsidP="00B531CD">
      <w:pPr>
        <w:spacing w:line="360" w:lineRule="auto"/>
        <w:jc w:val="both"/>
        <w:rPr>
          <w:rFonts w:ascii="Times New Roman" w:hAnsi="Times New Roman" w:cs="Times New Roman"/>
          <w:b/>
          <w:bCs/>
          <w:sz w:val="24"/>
          <w:szCs w:val="24"/>
        </w:rPr>
      </w:pPr>
    </w:p>
    <w:p w14:paraId="3996C5BE" w14:textId="77777777" w:rsidR="002626AB" w:rsidRDefault="002626AB" w:rsidP="00B531CD">
      <w:pPr>
        <w:spacing w:line="360" w:lineRule="auto"/>
        <w:jc w:val="both"/>
        <w:rPr>
          <w:rFonts w:ascii="Times New Roman" w:hAnsi="Times New Roman" w:cs="Times New Roman"/>
          <w:b/>
          <w:bCs/>
          <w:sz w:val="24"/>
          <w:szCs w:val="24"/>
        </w:rPr>
      </w:pPr>
    </w:p>
    <w:p w14:paraId="1DF79DE8"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3117685B" wp14:editId="6A0B3755">
                <wp:simplePos x="0" y="0"/>
                <wp:positionH relativeFrom="column">
                  <wp:posOffset>85726</wp:posOffset>
                </wp:positionH>
                <wp:positionV relativeFrom="paragraph">
                  <wp:posOffset>93980</wp:posOffset>
                </wp:positionV>
                <wp:extent cx="2095500" cy="3810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2095500" cy="3810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B8E3B3" w14:textId="77777777" w:rsidR="007B3DCE" w:rsidRPr="00D056A1" w:rsidRDefault="007B3DCE" w:rsidP="00D056A1">
                            <w:pPr>
                              <w:jc w:val="both"/>
                              <w:rPr>
                                <w:sz w:val="24"/>
                                <w:szCs w:val="24"/>
                              </w:rPr>
                            </w:pPr>
                            <w:r w:rsidRPr="00D056A1">
                              <w:rPr>
                                <w:rFonts w:asciiTheme="majorBidi" w:hAnsiTheme="majorBidi" w:cstheme="majorBidi"/>
                                <w:b/>
                                <w:sz w:val="24"/>
                                <w:szCs w:val="24"/>
                              </w:rPr>
                              <w:t>Corporate Tax planning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3117685B" id="Rounded Rectangle 1" o:spid="_x0000_s1026" style="position:absolute;left:0;text-align:left;margin-left:6.75pt;margin-top:7.4pt;width:16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" fillcolor="white [3201]" strokecolor="black [3213]" strokeweight="1.5pt">
                <v:stroke joinstyle="miter"/>
                <v:textbox>
                  <w:txbxContent>
                    <w:p w14:paraId="6EB8E3B3" w14:textId="77777777" w:rsidR="007B3DCE" w:rsidRPr="00D056A1" w:rsidRDefault="007B3DCE" w:rsidP="00D056A1">
                      <w:pPr>
                        <w:jc w:val="both"/>
                        <w:rPr>
                          <w:sz w:val="24"/>
                          <w:szCs w:val="24"/>
                        </w:rPr>
                      </w:pPr>
                      <w:r w:rsidRPr="00D056A1">
                        <w:rPr>
                          <w:rFonts w:asciiTheme="majorBidi" w:hAnsiTheme="majorBidi" w:cstheme="majorBidi"/>
                          <w:b/>
                          <w:sz w:val="24"/>
                          <w:szCs w:val="24"/>
                        </w:rPr>
                        <w:t>Corporate Tax planning</w:t>
                      </w:r>
                    </w:p>
                  </w:txbxContent>
                </v:textbox>
              </v:roundrect>
            </w:pict>
          </mc:Fallback>
        </mc:AlternateContent>
      </w:r>
    </w:p>
    <w:p w14:paraId="3F7192BD" w14:textId="77777777" w:rsidR="00B531CD" w:rsidRDefault="00B531CD" w:rsidP="00B531CD">
      <w:pPr>
        <w:spacing w:after="0"/>
        <w:ind w:left="-5" w:right="52" w:firstLine="725"/>
        <w:rPr>
          <w:rFonts w:ascii="Times New Roman" w:hAnsi="Times New Roman" w:cs="Times New Roman"/>
          <w:sz w:val="24"/>
          <w:szCs w:val="24"/>
        </w:rPr>
      </w:pPr>
    </w:p>
    <w:p w14:paraId="0317451D"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5A6A5804" wp14:editId="3CBF867E">
                <wp:simplePos x="0" y="0"/>
                <wp:positionH relativeFrom="column">
                  <wp:posOffset>2943225</wp:posOffset>
                </wp:positionH>
                <wp:positionV relativeFrom="paragraph">
                  <wp:posOffset>115570</wp:posOffset>
                </wp:positionV>
                <wp:extent cx="2724150" cy="1714500"/>
                <wp:effectExtent l="0" t="0" r="19050" b="19050"/>
                <wp:wrapNone/>
                <wp:docPr id="2" name="Oval 2"/>
                <wp:cNvGraphicFramePr/>
                <a:graphic xmlns:a="http://schemas.openxmlformats.org/drawingml/2006/main">
                  <a:graphicData uri="http://schemas.microsoft.com/office/word/2010/wordprocessingShape">
                    <wps:wsp>
                      <wps:cNvSpPr/>
                      <wps:spPr>
                        <a:xfrm>
                          <a:off x="0" y="0"/>
                          <a:ext cx="2724150" cy="1714500"/>
                        </a:xfrm>
                        <a:prstGeom prst="ellipse">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A9D8E9" w14:textId="77777777" w:rsidR="007B3DCE" w:rsidRPr="00B531CD" w:rsidRDefault="007B3DCE" w:rsidP="00D056A1">
                            <w:pPr>
                              <w:spacing w:after="0"/>
                              <w:ind w:right="52"/>
                              <w:jc w:val="both"/>
                              <w:rPr>
                                <w:rFonts w:ascii="Times New Roman" w:hAnsi="Times New Roman" w:cs="Times New Roman"/>
                                <w:b/>
                                <w:sz w:val="24"/>
                                <w:szCs w:val="24"/>
                              </w:rPr>
                            </w:pPr>
                            <w:r>
                              <w:rPr>
                                <w:rFonts w:ascii="Times New Roman" w:hAnsi="Times New Roman" w:cs="Times New Roman"/>
                                <w:b/>
                                <w:sz w:val="24"/>
                                <w:szCs w:val="24"/>
                              </w:rPr>
                              <w:tab/>
                            </w:r>
                            <w:r w:rsidRPr="00B531CD">
                              <w:rPr>
                                <w:rFonts w:ascii="Times New Roman" w:hAnsi="Times New Roman" w:cs="Times New Roman"/>
                                <w:b/>
                                <w:sz w:val="24"/>
                                <w:szCs w:val="24"/>
                              </w:rPr>
                              <w:t>Financial Stability</w:t>
                            </w:r>
                          </w:p>
                          <w:p w14:paraId="73F32088"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Non-performing loan ratio</w:t>
                            </w:r>
                          </w:p>
                          <w:p w14:paraId="513402F5"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Current ratio</w:t>
                            </w:r>
                          </w:p>
                          <w:p w14:paraId="53624D17" w14:textId="77777777" w:rsidR="007B3DCE" w:rsidRPr="00B531CD"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Equity to total asset</w:t>
                            </w:r>
                            <w:r w:rsidRPr="00B531CD">
                              <w:rPr>
                                <w:sz w:val="28"/>
                                <w:szCs w:val="28"/>
                              </w:rPr>
                              <w:t xml:space="preserve"> </w:t>
                            </w:r>
                            <w:r w:rsidRPr="00B531CD">
                              <w:rPr>
                                <w:rFonts w:ascii="Times New Roman" w:hAnsi="Times New Roman" w:cs="Times New Roman"/>
                                <w:sz w:val="24"/>
                                <w:szCs w:val="24"/>
                              </w:rPr>
                              <w:t xml:space="preserve">ratio </w:t>
                            </w:r>
                          </w:p>
                          <w:p w14:paraId="7D344E42" w14:textId="77777777" w:rsidR="007B3DCE" w:rsidRPr="00B531CD" w:rsidRDefault="007B3DCE" w:rsidP="00D056A1">
                            <w:pPr>
                              <w:spacing w:after="0"/>
                              <w:ind w:right="52"/>
                              <w:jc w:val="both"/>
                              <w:rPr>
                                <w:rFonts w:ascii="Times New Roman" w:hAnsi="Times New Roman" w:cs="Times New Roman"/>
                                <w:sz w:val="24"/>
                                <w:szCs w:val="24"/>
                              </w:rPr>
                            </w:pPr>
                          </w:p>
                          <w:p w14:paraId="5AAB3130" w14:textId="77777777" w:rsidR="007B3DCE" w:rsidRDefault="007B3DCE" w:rsidP="00B531CD">
                            <w:pPr>
                              <w:spacing w:after="0"/>
                              <w:ind w:left="-5" w:right="52" w:firstLine="725"/>
                              <w:rPr>
                                <w:rFonts w:ascii="Times New Roman" w:hAnsi="Times New Roman" w:cs="Times New Roman"/>
                                <w:sz w:val="24"/>
                                <w:szCs w:val="24"/>
                              </w:rPr>
                            </w:pPr>
                          </w:p>
                          <w:p w14:paraId="748AD7F9" w14:textId="77777777" w:rsidR="007B3DCE" w:rsidRDefault="007B3DCE" w:rsidP="00B531C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oval w14:anchorId="5A6A5804" id="Oval 2" o:spid="_x0000_s1027" style="position:absolute;left:0;text-align:left;margin-left:231.75pt;margin-top:9.1pt;width:214.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" fillcolor="white [3201]" strokecolor="black [3213]" strokeweight="1.5pt">
                <v:stroke joinstyle="miter"/>
                <v:textbox>
                  <w:txbxContent>
                    <w:p w14:paraId="29A9D8E9" w14:textId="77777777" w:rsidR="007B3DCE" w:rsidRPr="00B531CD" w:rsidRDefault="007B3DCE" w:rsidP="00D056A1">
                      <w:pPr>
                        <w:spacing w:after="0"/>
                        <w:ind w:right="52"/>
                        <w:jc w:val="both"/>
                        <w:rPr>
                          <w:rFonts w:ascii="Times New Roman" w:hAnsi="Times New Roman" w:cs="Times New Roman"/>
                          <w:b/>
                          <w:sz w:val="24"/>
                          <w:szCs w:val="24"/>
                        </w:rPr>
                      </w:pPr>
                      <w:r>
                        <w:rPr>
                          <w:rFonts w:ascii="Times New Roman" w:hAnsi="Times New Roman" w:cs="Times New Roman"/>
                          <w:b/>
                          <w:sz w:val="24"/>
                          <w:szCs w:val="24"/>
                        </w:rPr>
                        <w:tab/>
                      </w:r>
                      <w:r w:rsidRPr="00B531CD">
                        <w:rPr>
                          <w:rFonts w:ascii="Times New Roman" w:hAnsi="Times New Roman" w:cs="Times New Roman"/>
                          <w:b/>
                          <w:sz w:val="24"/>
                          <w:szCs w:val="24"/>
                        </w:rPr>
                        <w:t>Financial Stability</w:t>
                      </w:r>
                    </w:p>
                    <w:p w14:paraId="73F32088"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Non-performing loan ratio</w:t>
                      </w:r>
                    </w:p>
                    <w:p w14:paraId="513402F5"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Current ratio</w:t>
                      </w:r>
                    </w:p>
                    <w:p w14:paraId="53624D17" w14:textId="77777777" w:rsidR="007B3DCE" w:rsidRPr="00B531CD"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Equity to total asset</w:t>
                      </w:r>
                      <w:r w:rsidRPr="00B531CD">
                        <w:rPr>
                          <w:sz w:val="28"/>
                          <w:szCs w:val="28"/>
                        </w:rPr>
                        <w:t xml:space="preserve"> </w:t>
                      </w:r>
                      <w:r w:rsidRPr="00B531CD">
                        <w:rPr>
                          <w:rFonts w:ascii="Times New Roman" w:hAnsi="Times New Roman" w:cs="Times New Roman"/>
                          <w:sz w:val="24"/>
                          <w:szCs w:val="24"/>
                        </w:rPr>
                        <w:t xml:space="preserve">ratio </w:t>
                      </w:r>
                    </w:p>
                    <w:p w14:paraId="7D344E42" w14:textId="77777777" w:rsidR="007B3DCE" w:rsidRPr="00B531CD" w:rsidRDefault="007B3DCE" w:rsidP="00D056A1">
                      <w:pPr>
                        <w:spacing w:after="0"/>
                        <w:ind w:right="52"/>
                        <w:jc w:val="both"/>
                        <w:rPr>
                          <w:rFonts w:ascii="Times New Roman" w:hAnsi="Times New Roman" w:cs="Times New Roman"/>
                          <w:sz w:val="24"/>
                          <w:szCs w:val="24"/>
                        </w:rPr>
                      </w:pPr>
                    </w:p>
                    <w:p w14:paraId="5AAB3130" w14:textId="77777777" w:rsidR="007B3DCE" w:rsidRDefault="007B3DCE" w:rsidP="00B531CD">
                      <w:pPr>
                        <w:spacing w:after="0"/>
                        <w:ind w:left="-5" w:right="52" w:firstLine="725"/>
                        <w:rPr>
                          <w:rFonts w:ascii="Times New Roman" w:hAnsi="Times New Roman" w:cs="Times New Roman"/>
                          <w:sz w:val="24"/>
                          <w:szCs w:val="24"/>
                        </w:rPr>
                      </w:pPr>
                    </w:p>
                    <w:p w14:paraId="748AD7F9" w14:textId="77777777" w:rsidR="007B3DCE" w:rsidRDefault="007B3DCE" w:rsidP="00B531CD">
                      <w:pPr>
                        <w:jc w:val="center"/>
                      </w:pPr>
                    </w:p>
                  </w:txbxContent>
                </v:textbox>
              </v:oval>
            </w:pict>
          </mc:Fallback>
        </mc:AlternateContent>
      </w:r>
    </w:p>
    <w:p w14:paraId="2EC324F4"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4B56B4A2" wp14:editId="585C9540">
                <wp:simplePos x="0" y="0"/>
                <wp:positionH relativeFrom="column">
                  <wp:posOffset>95250</wp:posOffset>
                </wp:positionH>
                <wp:positionV relativeFrom="paragraph">
                  <wp:posOffset>61595</wp:posOffset>
                </wp:positionV>
                <wp:extent cx="2009775" cy="41910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2009775" cy="4191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642035" w14:textId="77777777" w:rsidR="007B3DCE" w:rsidRDefault="007B3DCE" w:rsidP="00B531CD">
                            <w:pPr>
                              <w:rPr>
                                <w:rFonts w:ascii="Times New Roman" w:hAnsi="Times New Roman" w:cs="Times New Roman"/>
                                <w:sz w:val="24"/>
                                <w:szCs w:val="24"/>
                              </w:rPr>
                            </w:pPr>
                            <w:r w:rsidRPr="00AA025C">
                              <w:rPr>
                                <w:rFonts w:ascii="Times New Roman" w:hAnsi="Times New Roman" w:cs="Times New Roman"/>
                                <w:sz w:val="24"/>
                                <w:szCs w:val="24"/>
                              </w:rPr>
                              <w:t>Capital Intensity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B56B4A2" id="Rounded Rectangle 3" o:spid="_x0000_s1028" style="position:absolute;left:0;text-align:left;margin-left:7.5pt;margin-top:4.85pt;width:158.25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" fillcolor="white [3201]" strokecolor="black [3213]" strokeweight="1.5pt">
                <v:stroke joinstyle="miter"/>
                <v:textbox>
                  <w:txbxContent>
                    <w:p w14:paraId="5F642035" w14:textId="77777777" w:rsidR="007B3DCE" w:rsidRDefault="007B3DCE" w:rsidP="00B531CD">
                      <w:pPr>
                        <w:rPr>
                          <w:rFonts w:ascii="Times New Roman" w:hAnsi="Times New Roman" w:cs="Times New Roman"/>
                          <w:sz w:val="24"/>
                          <w:szCs w:val="24"/>
                        </w:rPr>
                      </w:pPr>
                      <w:r w:rsidRPr="00AA025C">
                        <w:rPr>
                          <w:rFonts w:ascii="Times New Roman" w:hAnsi="Times New Roman" w:cs="Times New Roman"/>
                          <w:sz w:val="24"/>
                          <w:szCs w:val="24"/>
                        </w:rPr>
                        <w:t>Capital Intensity</w:t>
                      </w:r>
                    </w:p>
                  </w:txbxContent>
                </v:textbox>
              </v:roundrect>
            </w:pict>
          </mc:Fallback>
        </mc:AlternateContent>
      </w:r>
    </w:p>
    <w:p w14:paraId="0F6D800F"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72D68F64" wp14:editId="2C47D2AF">
                <wp:simplePos x="0" y="0"/>
                <wp:positionH relativeFrom="column">
                  <wp:posOffset>2105025</wp:posOffset>
                </wp:positionH>
                <wp:positionV relativeFrom="paragraph">
                  <wp:posOffset>91440</wp:posOffset>
                </wp:positionV>
                <wp:extent cx="838200" cy="600075"/>
                <wp:effectExtent l="0" t="0" r="76200" b="47625"/>
                <wp:wrapNone/>
                <wp:docPr id="6" name="Straight Arrow Connector 6"/>
                <wp:cNvGraphicFramePr/>
                <a:graphic xmlns:a="http://schemas.openxmlformats.org/drawingml/2006/main">
                  <a:graphicData uri="http://schemas.microsoft.com/office/word/2010/wordprocessingShape">
                    <wps:wsp>
                      <wps:cNvCnPr/>
                      <wps:spPr>
                        <a:xfrm>
                          <a:off x="0" y="0"/>
                          <a:ext cx="838200" cy="6000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A7C5AD9" id="_x0000_t32" coordsize="21600,21600" o:spt="32" o:oned="t" path="m,l21600,21600e" filled="f">
                <v:path arrowok="t" fillok="f" o:connecttype="none"/>
                <o:lock v:ext="edit" shapetype="t"/>
              </v:shapetype>
              <v:shape id="Straight Arrow Connector 6" o:spid="_x0000_s1026" type="#_x0000_t32" style="position:absolute;margin-left:165.75pt;margin-top:7.2pt;width:66pt;height:47.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" strokecolor="black [3213]" strokeweight="1.5pt">
                <v:stroke endarrow="block" joinstyle="miter"/>
              </v:shape>
            </w:pict>
          </mc:Fallback>
        </mc:AlternateContent>
      </w:r>
    </w:p>
    <w:p w14:paraId="76D67AA4" w14:textId="77777777" w:rsidR="00B531CD" w:rsidRDefault="00B531CD" w:rsidP="00B531CD">
      <w:pPr>
        <w:spacing w:after="0"/>
        <w:ind w:left="-5" w:right="52" w:firstLine="725"/>
        <w:rPr>
          <w:rFonts w:ascii="Times New Roman" w:hAnsi="Times New Roman" w:cs="Times New Roman"/>
          <w:sz w:val="24"/>
          <w:szCs w:val="24"/>
        </w:rPr>
      </w:pPr>
    </w:p>
    <w:p w14:paraId="1D2BD274" w14:textId="77777777" w:rsidR="00B531CD" w:rsidRDefault="00B531CD" w:rsidP="00B531CD">
      <w:pPr>
        <w:spacing w:after="0" w:line="360" w:lineRule="auto"/>
        <w:ind w:firstLine="720"/>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1A975EFA" wp14:editId="3C235012">
                <wp:simplePos x="0" y="0"/>
                <wp:positionH relativeFrom="column">
                  <wp:posOffset>114300</wp:posOffset>
                </wp:positionH>
                <wp:positionV relativeFrom="paragraph">
                  <wp:posOffset>75565</wp:posOffset>
                </wp:positionV>
                <wp:extent cx="2019300" cy="55245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2019300" cy="55245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1CE7F8" w14:textId="77777777" w:rsidR="007B3DCE" w:rsidRPr="00B531CD" w:rsidRDefault="007B3DCE" w:rsidP="00B531CD">
                            <w:r w:rsidRPr="00B531CD">
                              <w:rPr>
                                <w:rFonts w:ascii="Times New Roman" w:hAnsi="Times New Roman" w:cs="Times New Roman"/>
                                <w:sz w:val="24"/>
                                <w:szCs w:val="24"/>
                              </w:rPr>
                              <w:t>Inventory Intensity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A975EFA" id="Rounded Rectangle 4" o:spid="_x0000_s1029" style="position:absolute;left:0;text-align:left;margin-left:9pt;margin-top:5.95pt;width:159pt;height:43.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" fillcolor="white [3201]" strokecolor="black [3213]" strokeweight="1.5pt">
                <v:stroke joinstyle="miter"/>
                <v:textbox>
                  <w:txbxContent>
                    <w:p w14:paraId="391CE7F8" w14:textId="77777777" w:rsidR="007B3DCE" w:rsidRPr="00B531CD" w:rsidRDefault="007B3DCE" w:rsidP="00B531CD">
                      <w:r w:rsidRPr="00B531CD">
                        <w:rPr>
                          <w:rFonts w:ascii="Times New Roman" w:hAnsi="Times New Roman" w:cs="Times New Roman"/>
                          <w:sz w:val="24"/>
                          <w:szCs w:val="24"/>
                        </w:rPr>
                        <w:t>Inventory Intensity</w:t>
                      </w:r>
                    </w:p>
                  </w:txbxContent>
                </v:textbox>
              </v:roundrect>
            </w:pict>
          </mc:Fallback>
        </mc:AlternateContent>
      </w:r>
    </w:p>
    <w:p w14:paraId="35355CC5" w14:textId="77777777" w:rsidR="00B531CD" w:rsidRDefault="00B531CD" w:rsidP="00B531CD">
      <w:pPr>
        <w:spacing w:after="0" w:line="360" w:lineRule="auto"/>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31C3A5AC" wp14:editId="39B776E0">
                <wp:simplePos x="0" y="0"/>
                <wp:positionH relativeFrom="column">
                  <wp:posOffset>2143125</wp:posOffset>
                </wp:positionH>
                <wp:positionV relativeFrom="paragraph">
                  <wp:posOffset>62230</wp:posOffset>
                </wp:positionV>
                <wp:extent cx="771525" cy="45720"/>
                <wp:effectExtent l="0" t="19050" r="47625" b="31115"/>
                <wp:wrapNone/>
                <wp:docPr id="8" name="Right Arrow 8"/>
                <wp:cNvGraphicFramePr/>
                <a:graphic xmlns:a="http://schemas.openxmlformats.org/drawingml/2006/main">
                  <a:graphicData uri="http://schemas.microsoft.com/office/word/2010/wordprocessingShape">
                    <wps:wsp>
                      <wps:cNvSpPr/>
                      <wps:spPr>
                        <a:xfrm>
                          <a:off x="0" y="0"/>
                          <a:ext cx="771525"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D7B32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168.75pt;margin-top:4.9pt;width:60.7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" adj="20960" fillcolor="black [3200]" strokecolor="black [1600]" strokeweight="1pt"/>
            </w:pict>
          </mc:Fallback>
        </mc:AlternateContent>
      </w:r>
      <w:r>
        <w:rPr>
          <w:rFonts w:ascii="Times New Roman" w:eastAsia="Times New Roman" w:hAnsi="Times New Roman" w:cs="Times New Roman"/>
          <w:bCs/>
          <w:noProof/>
          <w:sz w:val="24"/>
          <w:szCs w:val="24"/>
          <w:lang w:eastAsia="en-GB"/>
        </w:rPr>
        <mc:AlternateContent>
          <mc:Choice Requires="wps">
            <w:drawing>
              <wp:anchor distT="0" distB="0" distL="114300" distR="114300" simplePos="0" relativeHeight="251665408" behindDoc="0" locked="0" layoutInCell="1" allowOverlap="1" wp14:anchorId="4E583C7A" wp14:editId="2A14EAA4">
                <wp:simplePos x="0" y="0"/>
                <wp:positionH relativeFrom="column">
                  <wp:posOffset>2066925</wp:posOffset>
                </wp:positionH>
                <wp:positionV relativeFrom="paragraph">
                  <wp:posOffset>116840</wp:posOffset>
                </wp:positionV>
                <wp:extent cx="876300" cy="847725"/>
                <wp:effectExtent l="0" t="38100" r="57150" b="28575"/>
                <wp:wrapNone/>
                <wp:docPr id="7" name="Straight Arrow Connector 7"/>
                <wp:cNvGraphicFramePr/>
                <a:graphic xmlns:a="http://schemas.openxmlformats.org/drawingml/2006/main">
                  <a:graphicData uri="http://schemas.microsoft.com/office/word/2010/wordprocessingShape">
                    <wps:wsp>
                      <wps:cNvCnPr/>
                      <wps:spPr>
                        <a:xfrm flipV="1">
                          <a:off x="0" y="0"/>
                          <a:ext cx="876300" cy="8477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C8E3DD" id="Straight Arrow Connector 7" o:spid="_x0000_s1026" type="#_x0000_t32" style="position:absolute;margin-left:162.75pt;margin-top:9.2pt;width:69pt;height:66.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" strokecolor="black [3213]" strokeweight="1.5pt">
                <v:stroke endarrow="block" joinstyle="miter"/>
              </v:shape>
            </w:pict>
          </mc:Fallback>
        </mc:AlternateContent>
      </w:r>
    </w:p>
    <w:p w14:paraId="5B34C6FC"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12C28E16"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7F7A52A4" wp14:editId="12C15F35">
                <wp:simplePos x="0" y="0"/>
                <wp:positionH relativeFrom="column">
                  <wp:posOffset>104775</wp:posOffset>
                </wp:positionH>
                <wp:positionV relativeFrom="paragraph">
                  <wp:posOffset>182245</wp:posOffset>
                </wp:positionV>
                <wp:extent cx="1952625" cy="41910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1952625" cy="4191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ED854C" w14:textId="77777777" w:rsidR="007B3DCE" w:rsidRDefault="007B3DCE" w:rsidP="00B531CD">
                            <w:r w:rsidRPr="00AA025C">
                              <w:rPr>
                                <w:rFonts w:ascii="Times New Roman" w:hAnsi="Times New Roman" w:cs="Times New Roman"/>
                                <w:sz w:val="24"/>
                                <w:szCs w:val="24"/>
                              </w:rPr>
                              <w:t>Effect of Tax Rate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F7A52A4" id="Rounded Rectangle 5" o:spid="_x0000_s1030" style="position:absolute;left:0;text-align:left;margin-left:8.25pt;margin-top:14.35pt;width:153.75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" fillcolor="white [3201]" strokecolor="black [3213]" strokeweight="1.5pt">
                <v:stroke joinstyle="miter"/>
                <v:textbox>
                  <w:txbxContent>
                    <w:p w14:paraId="6EED854C" w14:textId="77777777" w:rsidR="007B3DCE" w:rsidRDefault="007B3DCE" w:rsidP="00B531CD">
                      <w:r w:rsidRPr="00AA025C">
                        <w:rPr>
                          <w:rFonts w:ascii="Times New Roman" w:hAnsi="Times New Roman" w:cs="Times New Roman"/>
                          <w:sz w:val="24"/>
                          <w:szCs w:val="24"/>
                        </w:rPr>
                        <w:t>Effect of Tax Rate</w:t>
                      </w:r>
                    </w:p>
                  </w:txbxContent>
                </v:textbox>
              </v:roundrect>
            </w:pict>
          </mc:Fallback>
        </mc:AlternateContent>
      </w:r>
    </w:p>
    <w:p w14:paraId="4CD1A1FB"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213FF8AC"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2E3393D6" w14:textId="77777777" w:rsidR="00B531CD" w:rsidRDefault="00C92507" w:rsidP="00B531CD">
      <w:pPr>
        <w:spacing w:after="0" w:line="360" w:lineRule="auto"/>
        <w:ind w:left="-5"/>
        <w:rPr>
          <w:rFonts w:ascii="Times New Roman" w:hAnsi="Times New Roman" w:cs="Times New Roman"/>
          <w:b/>
          <w:sz w:val="24"/>
          <w:szCs w:val="24"/>
        </w:rPr>
      </w:pPr>
      <w:r>
        <w:rPr>
          <w:rFonts w:ascii="Times New Roman" w:hAnsi="Times New Roman" w:cs="Times New Roman"/>
          <w:b/>
          <w:sz w:val="24"/>
          <w:szCs w:val="24"/>
        </w:rPr>
        <w:t>Source</w:t>
      </w:r>
      <w:r w:rsidR="00E4285F">
        <w:rPr>
          <w:rFonts w:ascii="Times New Roman" w:hAnsi="Times New Roman" w:cs="Times New Roman"/>
          <w:b/>
          <w:sz w:val="24"/>
          <w:szCs w:val="24"/>
        </w:rPr>
        <w:t xml:space="preserve">: </w:t>
      </w:r>
      <w:r w:rsidRPr="00C92507">
        <w:rPr>
          <w:rFonts w:ascii="Times New Roman" w:hAnsi="Times New Roman" w:cs="Times New Roman"/>
          <w:sz w:val="24"/>
          <w:szCs w:val="24"/>
        </w:rPr>
        <w:t>Author’s Conceptualization (2026</w:t>
      </w:r>
      <w:r w:rsidR="00B531CD" w:rsidRPr="00C92507">
        <w:rPr>
          <w:rFonts w:ascii="Times New Roman" w:hAnsi="Times New Roman" w:cs="Times New Roman"/>
          <w:sz w:val="24"/>
          <w:szCs w:val="24"/>
        </w:rPr>
        <w:t>)</w:t>
      </w:r>
      <w:r w:rsidR="00B531CD">
        <w:rPr>
          <w:rFonts w:ascii="Times New Roman" w:hAnsi="Times New Roman" w:cs="Times New Roman"/>
          <w:b/>
          <w:sz w:val="24"/>
          <w:szCs w:val="24"/>
        </w:rPr>
        <w:t xml:space="preserve"> </w:t>
      </w:r>
    </w:p>
    <w:p w14:paraId="0BBB38CF" w14:textId="77777777" w:rsidR="00C60EBF" w:rsidRPr="00B531CD" w:rsidRDefault="00C60EBF" w:rsidP="00C60EBF">
      <w:pPr>
        <w:spacing w:line="360" w:lineRule="auto"/>
        <w:jc w:val="both"/>
        <w:rPr>
          <w:rFonts w:ascii="Times New Roman" w:hAnsi="Times New Roman" w:cs="Times New Roman"/>
          <w:b/>
          <w:bCs/>
          <w:sz w:val="24"/>
          <w:szCs w:val="24"/>
        </w:rPr>
      </w:pPr>
      <w:r>
        <w:rPr>
          <w:rFonts w:ascii="Times New Roman" w:hAnsi="Times New Roman" w:cs="Times New Roman"/>
          <w:b/>
          <w:sz w:val="24"/>
          <w:szCs w:val="24"/>
        </w:rPr>
        <w:t>Fig 1-</w:t>
      </w:r>
      <w:r w:rsidRPr="00C60EBF">
        <w:rPr>
          <w:rFonts w:ascii="Times New Roman" w:hAnsi="Times New Roman" w:cs="Times New Roman"/>
          <w:b/>
          <w:bCs/>
          <w:sz w:val="24"/>
          <w:szCs w:val="24"/>
        </w:rPr>
        <w:t xml:space="preserve"> </w:t>
      </w:r>
      <w:r w:rsidRPr="009A657D">
        <w:rPr>
          <w:rFonts w:ascii="Times New Roman" w:hAnsi="Times New Roman" w:cs="Times New Roman"/>
          <w:b/>
          <w:bCs/>
          <w:sz w:val="24"/>
          <w:szCs w:val="24"/>
        </w:rPr>
        <w:t>Conceptual framework</w:t>
      </w:r>
    </w:p>
    <w:p w14:paraId="287F1C4A" w14:textId="77777777" w:rsidR="00C60EBF" w:rsidRDefault="00C60EBF" w:rsidP="00B531CD">
      <w:pPr>
        <w:spacing w:after="0" w:line="360" w:lineRule="auto"/>
        <w:ind w:left="-5"/>
        <w:rPr>
          <w:rFonts w:ascii="Times New Roman" w:hAnsi="Times New Roman" w:cs="Times New Roman"/>
          <w:b/>
          <w:sz w:val="24"/>
          <w:szCs w:val="24"/>
        </w:rPr>
      </w:pPr>
    </w:p>
    <w:p w14:paraId="2F6D1A7A" w14:textId="7CAAE456" w:rsidR="00914859" w:rsidRDefault="00914859" w:rsidP="0091485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F72055">
        <w:rPr>
          <w:rFonts w:ascii="Times New Roman" w:hAnsi="Times New Roman" w:cs="Times New Roman"/>
          <w:b/>
          <w:sz w:val="24"/>
          <w:szCs w:val="24"/>
        </w:rPr>
        <w:t>3</w:t>
      </w:r>
      <w:r>
        <w:rPr>
          <w:rFonts w:ascii="Times New Roman" w:hAnsi="Times New Roman" w:cs="Times New Roman"/>
          <w:b/>
          <w:sz w:val="24"/>
          <w:szCs w:val="24"/>
        </w:rPr>
        <w:t>.</w:t>
      </w:r>
      <w:r>
        <w:rPr>
          <w:rFonts w:ascii="Times New Roman" w:hAnsi="Times New Roman" w:cs="Times New Roman"/>
          <w:b/>
          <w:sz w:val="24"/>
          <w:szCs w:val="24"/>
        </w:rPr>
        <w:tab/>
        <w:t>Theoretical Review</w:t>
      </w:r>
    </w:p>
    <w:p w14:paraId="079D7AC3" w14:textId="73AA02E1" w:rsidR="00914859" w:rsidRDefault="00914859" w:rsidP="00914859">
      <w:pPr>
        <w:pStyle w:val="NormalWeb"/>
        <w:spacing w:before="0" w:beforeAutospacing="0" w:after="0" w:afterAutospacing="0" w:line="360" w:lineRule="auto"/>
        <w:rPr>
          <w:b/>
        </w:rPr>
      </w:pPr>
      <w:r w:rsidRPr="0010605C">
        <w:rPr>
          <w:b/>
        </w:rPr>
        <w:t>2.</w:t>
      </w:r>
      <w:r w:rsidR="00F72055">
        <w:rPr>
          <w:b/>
        </w:rPr>
        <w:t>3</w:t>
      </w:r>
      <w:r w:rsidRPr="0010605C">
        <w:rPr>
          <w:b/>
        </w:rPr>
        <w:t xml:space="preserve">.1 </w:t>
      </w:r>
      <w:r>
        <w:rPr>
          <w:b/>
          <w:bCs/>
        </w:rPr>
        <w:t>Trade-Off Theory of Capital Structure</w:t>
      </w:r>
    </w:p>
    <w:p w14:paraId="3F7B4668" w14:textId="77777777" w:rsidR="00914859" w:rsidRDefault="00914859" w:rsidP="00914859">
      <w:pPr>
        <w:pStyle w:val="NormalWeb"/>
        <w:spacing w:before="0" w:beforeAutospacing="0" w:after="0" w:afterAutospacing="0"/>
        <w:jc w:val="both"/>
      </w:pPr>
      <w:r>
        <w:rPr>
          <w:bCs/>
          <w:highlight w:val="yellow"/>
        </w:rPr>
        <w:t xml:space="preserve">The Trade-Off Theory of Capital Structure was proposed by Alan Kraus and Robert Litzenberger in 1973. The theory assumes that interest payments on debt are tax-deductible, that corporate bankruptcy and financial-distress costs increase as leverage rises, that managers act rationally to maximise shareholder wealth, and that firms actively maintain and adjust towards a target debt-to-equity ratio over time, at which the marginal benefit of debt equals its marginal cost. Despite its theoretical strengths, the theory has important limitations: it does not explain why highly profitable firms often maintain low debt levels rather than maximising tax </w:t>
      </w:r>
      <w:r>
        <w:rPr>
          <w:bCs/>
          <w:highlight w:val="yellow"/>
        </w:rPr>
        <w:lastRenderedPageBreak/>
        <w:t>shields; it overlooks the substantial information asymmetry and agency conflicts inherent in corporate governance; and it relies on a static framework that does not account for market-timing opportunities or the value of financial flexibility. Nevertheless, the theory is relevant to this study because it directly addresses the strategic tension in corporate tax planning, whereby Nigerian deposit money banks use asset-based tax shields, such as capital intensity and inventory intensity, and manage effective tax rates to optimise cash flows while balancing these tax benefits against escalating credit risk (Non-Performing Loans Ratio), short-term liquidity pressures (Current Ratio), and stringent regulatory-solvency requirements (Equity-to-Total-Assets Ratio) needed to maintain financial stability during the ongoing ₦500 billion CBN recapitalisation exercise.</w:t>
      </w:r>
    </w:p>
    <w:p w14:paraId="7748ED21" w14:textId="77777777" w:rsidR="0033677E" w:rsidRDefault="0033677E" w:rsidP="0033677E">
      <w:pPr>
        <w:spacing w:after="0" w:line="360" w:lineRule="auto"/>
        <w:jc w:val="both"/>
      </w:pPr>
      <w:r>
        <w:rPr>
          <w:rFonts w:ascii="Times New Roman" w:hAnsi="Times New Roman" w:cs="Times New Roman"/>
          <w:b/>
          <w:sz w:val="24"/>
          <w:szCs w:val="24"/>
        </w:rPr>
        <w:t>3.0</w:t>
      </w:r>
      <w:r>
        <w:rPr>
          <w:rFonts w:ascii="Times New Roman" w:hAnsi="Times New Roman" w:cs="Times New Roman"/>
          <w:b/>
          <w:sz w:val="24"/>
          <w:szCs w:val="24"/>
        </w:rPr>
        <w:tab/>
        <w:t>Research Method</w:t>
      </w:r>
      <w:r>
        <w:t xml:space="preserve"> </w:t>
      </w:r>
    </w:p>
    <w:p w14:paraId="43BDF3AA" w14:textId="1B760028" w:rsidR="00082587" w:rsidRDefault="0033677E" w:rsidP="00082587">
      <w:pPr>
        <w:spacing w:after="0"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This study adopts a combined ex-post facto and explanatory research design to evaluate retrospectively the cause-and-effect relationships among corporate tax planning, corporate restructuring, capital adequacy, and financial stability in Nigeria without manipulating the variables (</w:t>
      </w:r>
      <w:proofErr w:type="spellStart"/>
      <w:r>
        <w:rPr>
          <w:rFonts w:ascii="Times New Roman" w:hAnsi="Times New Roman" w:cs="Times New Roman"/>
          <w:sz w:val="24"/>
          <w:szCs w:val="24"/>
          <w:highlight w:val="yellow"/>
        </w:rPr>
        <w:t>Awotomilusi</w:t>
      </w:r>
      <w:proofErr w:type="spellEnd"/>
      <w:r>
        <w:rPr>
          <w:rFonts w:ascii="Times New Roman" w:hAnsi="Times New Roman" w:cs="Times New Roman"/>
          <w:sz w:val="24"/>
          <w:szCs w:val="24"/>
          <w:highlight w:val="yellow"/>
        </w:rPr>
        <w:t xml:space="preserve"> &amp; </w:t>
      </w:r>
      <w:proofErr w:type="spellStart"/>
      <w:r>
        <w:rPr>
          <w:rFonts w:ascii="Times New Roman" w:hAnsi="Times New Roman" w:cs="Times New Roman"/>
          <w:sz w:val="24"/>
          <w:szCs w:val="24"/>
          <w:highlight w:val="yellow"/>
        </w:rPr>
        <w:t>Ajoloko</w:t>
      </w:r>
      <w:proofErr w:type="spellEnd"/>
      <w:r>
        <w:rPr>
          <w:rFonts w:ascii="Times New Roman" w:hAnsi="Times New Roman" w:cs="Times New Roman"/>
          <w:sz w:val="24"/>
          <w:szCs w:val="24"/>
          <w:highlight w:val="yellow"/>
        </w:rPr>
        <w:t>, 202</w:t>
      </w:r>
      <w:r w:rsidR="008F5244">
        <w:rPr>
          <w:rFonts w:ascii="Times New Roman" w:hAnsi="Times New Roman" w:cs="Times New Roman"/>
          <w:sz w:val="24"/>
          <w:szCs w:val="24"/>
          <w:highlight w:val="yellow"/>
        </w:rPr>
        <w:t>2</w:t>
      </w:r>
      <w:r>
        <w:rPr>
          <w:rFonts w:ascii="Times New Roman" w:hAnsi="Times New Roman" w:cs="Times New Roman"/>
          <w:sz w:val="24"/>
          <w:szCs w:val="24"/>
          <w:highlight w:val="yellow"/>
        </w:rPr>
        <w:t>). A census sampling technique was used because of the highly consolidated and manageable nature of the financial sector. The study therefore minimises sampling bias by including the entire population of the 10 deposit money banks listed on the Nigerian Exchange Group (NGX), namely Fidelity, FCMB, Stanbic IBTC, GTCO, FBNH, Zenith, UBA, Access, Wema, and ETI. Reliable, standardised, and verifiable secondary data were collected over a 15-year period (2010–2024) from published annual reports, NGX filings, and CBN statistical bulletins. The period begins in 2010, marking the post-consolidation and regulatory-reform era following the 2009 banking crisis, and extends to 2024 to capture recent macroeconomic adjustments and post-COVID-19 recovery measures. This provides a robust, multi-year framework for assessing how strategic fiscal choices affect bank resilience.</w:t>
      </w:r>
    </w:p>
    <w:p w14:paraId="69399127" w14:textId="77777777" w:rsidR="00082587" w:rsidRDefault="00082587" w:rsidP="00082587">
      <w:pPr>
        <w:spacing w:after="0" w:line="240" w:lineRule="auto"/>
        <w:jc w:val="both"/>
        <w:rPr>
          <w:rFonts w:ascii="Times New Roman" w:eastAsia="Times New Roman" w:hAnsi="Times New Roman" w:cs="Times New Roman"/>
          <w:b/>
          <w:bCs/>
          <w:sz w:val="27"/>
          <w:szCs w:val="27"/>
          <w:lang w:eastAsia="en-GB"/>
        </w:rPr>
      </w:pPr>
    </w:p>
    <w:p w14:paraId="6082818C" w14:textId="77777777" w:rsidR="00082587" w:rsidRDefault="00082587" w:rsidP="00082587">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7"/>
          <w:szCs w:val="27"/>
          <w:highlight w:val="yellow"/>
          <w:lang w:eastAsia="en-GB"/>
        </w:rPr>
        <w:t>3.1 Model Specification</w:t>
      </w:r>
    </w:p>
    <w:p w14:paraId="09B0C5C8" w14:textId="77777777" w:rsidR="00082587" w:rsidRDefault="00082587" w:rsidP="00E50E62">
      <w:pPr>
        <w:spacing w:after="0" w:line="240" w:lineRule="auto"/>
        <w:jc w:val="both"/>
        <w:rPr>
          <w:rFonts w:ascii="Times New Roman" w:eastAsia="Times New Roman" w:hAnsi="Times New Roman" w:cs="Times New Roman"/>
          <w:sz w:val="24"/>
          <w:szCs w:val="24"/>
          <w:lang w:eastAsia="en-GB"/>
        </w:rPr>
      </w:pPr>
      <w:r>
        <w:rPr>
          <w:rFonts w:asciiTheme="majorBidi" w:eastAsia="Times New Roman" w:hAnsiTheme="majorBidi" w:cstheme="majorBidi"/>
          <w:sz w:val="24"/>
          <w:szCs w:val="24"/>
          <w:highlight w:val="yellow"/>
        </w:rPr>
        <w:t xml:space="preserve">The econometric model for the first objective of this study was adapted from Tackie et al. (2022), who examined the effect of tax planning on the performance of insurance companies in Ghana, considering the moderating role of corporate governance and controlling for variables such as firm size, firm age, claims ratio, and current ratio. Following the conceptual framework, the baseline model was modified to incorporate the multidimensional corporate tax-planning proxies of Capital Intensity (CPI), Inventory Intensity (IVI), and Effective Tax Rate (ETR), while decomposing Financial Stability into three distinct operational metrics: Non-Performing Loans Ratio (NPLR), Current Ratio (CR), and Equity-to-Total-Assets Ratio (ETAR). Thus, </w:t>
      </w:r>
      <w:proofErr w:type="spellStart"/>
      <w:r>
        <w:rPr>
          <w:rFonts w:asciiTheme="majorBidi" w:eastAsia="Times New Roman" w:hAnsiTheme="majorBidi" w:cstheme="majorBidi"/>
          <w:sz w:val="24"/>
          <w:szCs w:val="24"/>
          <w:highlight w:val="yellow"/>
        </w:rPr>
        <w:t>FSit</w:t>
      </w:r>
      <w:proofErr w:type="spellEnd"/>
      <w:r>
        <w:rPr>
          <w:rFonts w:asciiTheme="majorBidi" w:eastAsia="Times New Roman" w:hAnsiTheme="majorBidi" w:cstheme="majorBidi"/>
          <w:sz w:val="24"/>
          <w:szCs w:val="24"/>
          <w:highlight w:val="yellow"/>
        </w:rPr>
        <w:t>​=f(</w:t>
      </w:r>
      <w:proofErr w:type="spellStart"/>
      <w:proofErr w:type="gramStart"/>
      <w:r>
        <w:rPr>
          <w:rFonts w:asciiTheme="majorBidi" w:eastAsia="Times New Roman" w:hAnsiTheme="majorBidi" w:cstheme="majorBidi"/>
          <w:sz w:val="24"/>
          <w:szCs w:val="24"/>
          <w:highlight w:val="yellow"/>
        </w:rPr>
        <w:t>CPIit</w:t>
      </w:r>
      <w:proofErr w:type="spellEnd"/>
      <w:r>
        <w:rPr>
          <w:rFonts w:asciiTheme="majorBidi" w:eastAsia="Times New Roman" w:hAnsiTheme="majorBidi" w:cstheme="majorBidi"/>
          <w:sz w:val="24"/>
          <w:szCs w:val="24"/>
          <w:highlight w:val="yellow"/>
        </w:rPr>
        <w:t>​,</w:t>
      </w:r>
      <w:proofErr w:type="spellStart"/>
      <w:r>
        <w:rPr>
          <w:rFonts w:asciiTheme="majorBidi" w:eastAsia="Times New Roman" w:hAnsiTheme="majorBidi" w:cstheme="majorBidi"/>
          <w:sz w:val="24"/>
          <w:szCs w:val="24"/>
          <w:highlight w:val="yellow"/>
        </w:rPr>
        <w:t>IVIit</w:t>
      </w:r>
      <w:proofErr w:type="spellEnd"/>
      <w:r>
        <w:rPr>
          <w:rFonts w:asciiTheme="majorBidi" w:eastAsia="Times New Roman" w:hAnsiTheme="majorBidi" w:cstheme="majorBidi"/>
          <w:sz w:val="24"/>
          <w:szCs w:val="24"/>
          <w:highlight w:val="yellow"/>
        </w:rPr>
        <w:t>​</w:t>
      </w:r>
      <w:proofErr w:type="gramEnd"/>
      <w:r>
        <w:rPr>
          <w:rFonts w:asciiTheme="majorBidi" w:eastAsia="Times New Roman" w:hAnsiTheme="majorBidi" w:cstheme="majorBidi"/>
          <w:sz w:val="24"/>
          <w:szCs w:val="24"/>
          <w:highlight w:val="yellow"/>
        </w:rPr>
        <w:t>,</w:t>
      </w:r>
      <w:proofErr w:type="spellStart"/>
      <w:r>
        <w:rPr>
          <w:rFonts w:asciiTheme="majorBidi" w:eastAsia="Times New Roman" w:hAnsiTheme="majorBidi" w:cstheme="majorBidi"/>
          <w:sz w:val="24"/>
          <w:szCs w:val="24"/>
          <w:highlight w:val="yellow"/>
        </w:rPr>
        <w:t>ETRit</w:t>
      </w:r>
      <w:proofErr w:type="spellEnd"/>
      <w:r>
        <w:rPr>
          <w:rFonts w:asciiTheme="majorBidi" w:eastAsia="Times New Roman" w:hAnsiTheme="majorBidi" w:cstheme="majorBidi"/>
          <w:sz w:val="24"/>
          <w:szCs w:val="24"/>
          <w:highlight w:val="yellow"/>
        </w:rPr>
        <w:t>​), expressed through three distinct structural equations:</w:t>
      </w:r>
    </w:p>
    <w:p w14:paraId="5DA04F0A" w14:textId="77777777" w:rsidR="00E50E62"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NPLRit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6A05141D" w14:textId="77777777" w:rsidR="00082587" w:rsidRPr="00082587"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CRit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5FE18270" w14:textId="77777777" w:rsidR="00082587" w:rsidRPr="00082587"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ETARit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6955DDB9" w14:textId="77777777" w:rsidR="00E50E62" w:rsidRDefault="00082587" w:rsidP="00E50E62">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 xml:space="preserve">Where, for bank </w:t>
      </w:r>
      <w:proofErr w:type="spellStart"/>
      <w:r>
        <w:rPr>
          <w:rFonts w:ascii="Times New Roman" w:eastAsia="Times New Roman" w:hAnsi="Times New Roman" w:cs="Times New Roman"/>
          <w:sz w:val="24"/>
          <w:szCs w:val="24"/>
          <w:highlight w:val="yellow"/>
          <w:lang w:eastAsia="en-GB"/>
        </w:rPr>
        <w:t>i</w:t>
      </w:r>
      <w:proofErr w:type="spellEnd"/>
      <w:r>
        <w:rPr>
          <w:rFonts w:ascii="Times New Roman" w:eastAsia="Times New Roman" w:hAnsi="Times New Roman" w:cs="Times New Roman"/>
          <w:sz w:val="24"/>
          <w:szCs w:val="24"/>
          <w:highlight w:val="yellow"/>
          <w:lang w:eastAsia="en-GB"/>
        </w:rPr>
        <w:t xml:space="preserve"> at time t: NPLR = Non-Performing Loans Ratio; CR = Current Ratio; ETAR = Equity to Total Assets Ratio; CPI = Capital Intensity; IVI = Inventory Intensity; and ETR = Effective Tax Rate. β0 is the constant, β1–β3 are regression coefficients, and </w:t>
      </w:r>
      <w:proofErr w:type="spellStart"/>
      <w:r>
        <w:rPr>
          <w:rFonts w:ascii="Times New Roman" w:eastAsia="Times New Roman" w:hAnsi="Times New Roman" w:cs="Times New Roman"/>
          <w:sz w:val="24"/>
          <w:szCs w:val="24"/>
          <w:highlight w:val="yellow"/>
          <w:lang w:eastAsia="en-GB"/>
        </w:rPr>
        <w:t>εit</w:t>
      </w:r>
      <w:proofErr w:type="spellEnd"/>
      <w:r>
        <w:rPr>
          <w:rFonts w:ascii="Times New Roman" w:eastAsia="Times New Roman" w:hAnsi="Times New Roman" w:cs="Times New Roman"/>
          <w:sz w:val="24"/>
          <w:szCs w:val="24"/>
          <w:highlight w:val="yellow"/>
          <w:lang w:eastAsia="en-GB"/>
        </w:rPr>
        <w:t xml:space="preserve"> is the stochastic error term.</w:t>
      </w:r>
    </w:p>
    <w:p w14:paraId="1E27F6A6" w14:textId="77777777" w:rsidR="00F632EA" w:rsidRDefault="00082587" w:rsidP="00F632EA">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highlight w:val="yellow"/>
          <w:lang w:eastAsia="en-GB"/>
        </w:rPr>
        <w:t>A priori expectations: β1, β2, β3 &gt; 0, assuming a positive relationship between corporate tax-planning strategies and bank financial-stability metrics (except for NPLR, where a negative coefficient, β &lt; 0, would indicate that effective tax planning reduces non-performing loans, thereby improving stability).</w:t>
      </w:r>
    </w:p>
    <w:p w14:paraId="7E2DFC1E" w14:textId="77777777" w:rsidR="004C746E" w:rsidRDefault="004C746E" w:rsidP="004C746E">
      <w:pPr>
        <w:spacing w:after="0" w:line="240" w:lineRule="auto"/>
        <w:rPr>
          <w:rFonts w:asciiTheme="majorBidi" w:hAnsiTheme="majorBidi" w:cstheme="majorBidi"/>
          <w:b/>
          <w:bCs/>
          <w:sz w:val="24"/>
          <w:szCs w:val="24"/>
        </w:rPr>
      </w:pPr>
    </w:p>
    <w:p w14:paraId="452E057B" w14:textId="77777777" w:rsidR="00F632EA" w:rsidRPr="00F632EA" w:rsidRDefault="00F632EA" w:rsidP="00F632EA">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7"/>
          <w:szCs w:val="27"/>
          <w:lang w:eastAsia="en-GB"/>
        </w:rPr>
        <w:lastRenderedPageBreak/>
        <w:t>Table 1.</w:t>
      </w:r>
      <w:r>
        <w:rPr>
          <w:rFonts w:ascii="Times New Roman" w:eastAsia="Times New Roman" w:hAnsi="Times New Roman" w:cs="Times New Roman"/>
          <w:b/>
          <w:bCs/>
          <w:sz w:val="27"/>
          <w:szCs w:val="27"/>
          <w:lang w:eastAsia="en-GB"/>
        </w:rPr>
        <w:tab/>
      </w:r>
      <w:r w:rsidRPr="00F632EA">
        <w:rPr>
          <w:rFonts w:ascii="Times New Roman" w:eastAsia="Times New Roman" w:hAnsi="Times New Roman" w:cs="Times New Roman"/>
          <w:b/>
          <w:bCs/>
          <w:sz w:val="27"/>
          <w:szCs w:val="27"/>
          <w:lang w:eastAsia="en-GB"/>
        </w:rPr>
        <w:t xml:space="preserve"> Description and Measurements of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1577"/>
        <w:gridCol w:w="2152"/>
        <w:gridCol w:w="1993"/>
        <w:gridCol w:w="1611"/>
      </w:tblGrid>
      <w:tr w:rsidR="009A4EB5" w:rsidRPr="00F632EA" w14:paraId="43C4F233" w14:textId="77777777" w:rsidTr="00F632EA">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11951FD2"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20F2707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Role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0FD243E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Description</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1083BC41"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Measurement</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28D9BA1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Source</w:t>
            </w:r>
          </w:p>
        </w:tc>
      </w:tr>
      <w:tr w:rsidR="009A4EB5" w:rsidRPr="00F632EA" w14:paraId="6533C45E" w14:textId="77777777" w:rsidTr="00F632EA">
        <w:trPr>
          <w:tblCellSpacing w:w="15" w:type="dxa"/>
        </w:trPr>
        <w:tc>
          <w:tcPr>
            <w:tcW w:w="0" w:type="auto"/>
            <w:tcMar>
              <w:top w:w="120" w:type="dxa"/>
              <w:left w:w="180" w:type="dxa"/>
              <w:bottom w:w="120" w:type="dxa"/>
              <w:right w:w="180" w:type="dxa"/>
            </w:tcMar>
            <w:vAlign w:val="center"/>
            <w:hideMark/>
          </w:tcPr>
          <w:p w14:paraId="758C734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Non-Performing Loans Ratio (NPLR)</w:t>
            </w:r>
          </w:p>
        </w:tc>
        <w:tc>
          <w:tcPr>
            <w:tcW w:w="0" w:type="auto"/>
            <w:tcMar>
              <w:top w:w="120" w:type="dxa"/>
              <w:left w:w="180" w:type="dxa"/>
              <w:bottom w:w="120" w:type="dxa"/>
              <w:right w:w="180" w:type="dxa"/>
            </w:tcMar>
            <w:vAlign w:val="center"/>
            <w:hideMark/>
          </w:tcPr>
          <w:p w14:paraId="28305CF1"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626A48B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Indicates the proportion of loans in a bank’s portfolio that are in default or close to default, reflecting asset quality and credit risk.</w:t>
            </w:r>
          </w:p>
        </w:tc>
        <w:tc>
          <w:tcPr>
            <w:tcW w:w="0" w:type="auto"/>
            <w:tcMar>
              <w:top w:w="120" w:type="dxa"/>
              <w:left w:w="180" w:type="dxa"/>
              <w:bottom w:w="120" w:type="dxa"/>
              <w:right w:w="180" w:type="dxa"/>
            </w:tcMar>
            <w:vAlign w:val="center"/>
            <w:hideMark/>
          </w:tcPr>
          <w:p w14:paraId="2274730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Non-Performing Loans/Total Loans x 100</w:t>
            </w:r>
          </w:p>
        </w:tc>
        <w:tc>
          <w:tcPr>
            <w:tcW w:w="0" w:type="auto"/>
            <w:tcMar>
              <w:top w:w="120" w:type="dxa"/>
              <w:left w:w="180" w:type="dxa"/>
              <w:bottom w:w="120" w:type="dxa"/>
              <w:right w:w="180" w:type="dxa"/>
            </w:tcMar>
            <w:vAlign w:val="center"/>
            <w:hideMark/>
          </w:tcPr>
          <w:p w14:paraId="686E2950"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highlight w:val="yellow"/>
                <w:lang w:eastAsia="en-GB"/>
              </w:rPr>
              <w:t>Hastuti</w:t>
            </w:r>
            <w:proofErr w:type="spellEnd"/>
            <w:r>
              <w:rPr>
                <w:rFonts w:ascii="Times New Roman" w:eastAsia="Times New Roman" w:hAnsi="Times New Roman" w:cs="Times New Roman"/>
                <w:sz w:val="24"/>
                <w:szCs w:val="24"/>
                <w:highlight w:val="yellow"/>
                <w:lang w:eastAsia="en-GB"/>
              </w:rPr>
              <w:t xml:space="preserve"> et al. (2024); </w:t>
            </w:r>
            <w:proofErr w:type="spellStart"/>
            <w:r>
              <w:rPr>
                <w:rFonts w:ascii="Times New Roman" w:eastAsia="Times New Roman" w:hAnsi="Times New Roman" w:cs="Times New Roman"/>
                <w:sz w:val="24"/>
                <w:szCs w:val="24"/>
                <w:highlight w:val="yellow"/>
                <w:lang w:eastAsia="en-GB"/>
              </w:rPr>
              <w:t>Durguti</w:t>
            </w:r>
            <w:proofErr w:type="spellEnd"/>
            <w:r>
              <w:rPr>
                <w:rFonts w:ascii="Times New Roman" w:eastAsia="Times New Roman" w:hAnsi="Times New Roman" w:cs="Times New Roman"/>
                <w:sz w:val="24"/>
                <w:szCs w:val="24"/>
                <w:highlight w:val="yellow"/>
                <w:lang w:eastAsia="en-GB"/>
              </w:rPr>
              <w:t xml:space="preserve"> et al. (2025)</w:t>
            </w:r>
          </w:p>
        </w:tc>
      </w:tr>
      <w:tr w:rsidR="009A4EB5" w:rsidRPr="00F632EA" w14:paraId="1DB7E343" w14:textId="77777777" w:rsidTr="00F632EA">
        <w:trPr>
          <w:tblCellSpacing w:w="15" w:type="dxa"/>
        </w:trPr>
        <w:tc>
          <w:tcPr>
            <w:tcW w:w="0" w:type="auto"/>
            <w:tcMar>
              <w:top w:w="120" w:type="dxa"/>
              <w:left w:w="180" w:type="dxa"/>
              <w:bottom w:w="120" w:type="dxa"/>
              <w:right w:w="180" w:type="dxa"/>
            </w:tcMar>
            <w:vAlign w:val="center"/>
            <w:hideMark/>
          </w:tcPr>
          <w:p w14:paraId="0E012FF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Current Ratio (CR)</w:t>
            </w:r>
          </w:p>
        </w:tc>
        <w:tc>
          <w:tcPr>
            <w:tcW w:w="0" w:type="auto"/>
            <w:tcMar>
              <w:top w:w="120" w:type="dxa"/>
              <w:left w:w="180" w:type="dxa"/>
              <w:bottom w:w="120" w:type="dxa"/>
              <w:right w:w="180" w:type="dxa"/>
            </w:tcMar>
            <w:vAlign w:val="center"/>
            <w:hideMark/>
          </w:tcPr>
          <w:p w14:paraId="5E9A5DE3"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6310C60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Measures a bank’s liquidity position by assessing its ability to meet short-term obligations with short-term assets.</w:t>
            </w:r>
          </w:p>
        </w:tc>
        <w:tc>
          <w:tcPr>
            <w:tcW w:w="0" w:type="auto"/>
            <w:tcMar>
              <w:top w:w="120" w:type="dxa"/>
              <w:left w:w="180" w:type="dxa"/>
              <w:bottom w:w="120" w:type="dxa"/>
              <w:right w:w="180" w:type="dxa"/>
            </w:tcMar>
            <w:vAlign w:val="center"/>
            <w:hideMark/>
          </w:tcPr>
          <w:p w14:paraId="1589B7FD"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Current Assets/Current Liabilities</w:t>
            </w:r>
          </w:p>
        </w:tc>
        <w:tc>
          <w:tcPr>
            <w:tcW w:w="0" w:type="auto"/>
            <w:tcMar>
              <w:top w:w="120" w:type="dxa"/>
              <w:left w:w="180" w:type="dxa"/>
              <w:bottom w:w="120" w:type="dxa"/>
              <w:right w:w="180" w:type="dxa"/>
            </w:tcMar>
            <w:vAlign w:val="center"/>
            <w:hideMark/>
          </w:tcPr>
          <w:p w14:paraId="5F64164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Husna and Satria (2019); </w:t>
            </w:r>
            <w:proofErr w:type="spellStart"/>
            <w:r w:rsidRPr="00F632EA">
              <w:rPr>
                <w:rFonts w:ascii="Times New Roman" w:eastAsia="Times New Roman" w:hAnsi="Times New Roman" w:cs="Times New Roman"/>
                <w:sz w:val="24"/>
                <w:szCs w:val="24"/>
                <w:lang w:eastAsia="en-GB"/>
              </w:rPr>
              <w:t>Nuryani</w:t>
            </w:r>
            <w:proofErr w:type="spellEnd"/>
            <w:r w:rsidRPr="00F632EA">
              <w:rPr>
                <w:rFonts w:ascii="Times New Roman" w:eastAsia="Times New Roman" w:hAnsi="Times New Roman" w:cs="Times New Roman"/>
                <w:sz w:val="24"/>
                <w:szCs w:val="24"/>
                <w:lang w:eastAsia="en-GB"/>
              </w:rPr>
              <w:t xml:space="preserve"> and </w:t>
            </w:r>
            <w:proofErr w:type="spellStart"/>
            <w:r w:rsidRPr="00F632EA">
              <w:rPr>
                <w:rFonts w:ascii="Times New Roman" w:eastAsia="Times New Roman" w:hAnsi="Times New Roman" w:cs="Times New Roman"/>
                <w:sz w:val="24"/>
                <w:szCs w:val="24"/>
                <w:lang w:eastAsia="en-GB"/>
              </w:rPr>
              <w:t>Sunarsi</w:t>
            </w:r>
            <w:proofErr w:type="spellEnd"/>
            <w:r w:rsidRPr="00F632EA">
              <w:rPr>
                <w:rFonts w:ascii="Times New Roman" w:eastAsia="Times New Roman" w:hAnsi="Times New Roman" w:cs="Times New Roman"/>
                <w:sz w:val="24"/>
                <w:szCs w:val="24"/>
                <w:lang w:eastAsia="en-GB"/>
              </w:rPr>
              <w:t xml:space="preserve"> (2020)</w:t>
            </w:r>
          </w:p>
        </w:tc>
      </w:tr>
      <w:tr w:rsidR="009A4EB5" w:rsidRPr="00F632EA" w14:paraId="6775D0C1" w14:textId="77777777" w:rsidTr="00F632EA">
        <w:trPr>
          <w:tblCellSpacing w:w="15" w:type="dxa"/>
        </w:trPr>
        <w:tc>
          <w:tcPr>
            <w:tcW w:w="0" w:type="auto"/>
            <w:tcMar>
              <w:top w:w="120" w:type="dxa"/>
              <w:left w:w="180" w:type="dxa"/>
              <w:bottom w:w="120" w:type="dxa"/>
              <w:right w:w="180" w:type="dxa"/>
            </w:tcMar>
            <w:vAlign w:val="center"/>
            <w:hideMark/>
          </w:tcPr>
          <w:p w14:paraId="329634A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Equity to Total Assets Ratio (ETAR)</w:t>
            </w:r>
          </w:p>
        </w:tc>
        <w:tc>
          <w:tcPr>
            <w:tcW w:w="0" w:type="auto"/>
            <w:tcMar>
              <w:top w:w="120" w:type="dxa"/>
              <w:left w:w="180" w:type="dxa"/>
              <w:bottom w:w="120" w:type="dxa"/>
              <w:right w:w="180" w:type="dxa"/>
            </w:tcMar>
            <w:vAlign w:val="center"/>
            <w:hideMark/>
          </w:tcPr>
          <w:p w14:paraId="476F47D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13247E31"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Represents the proportion of total assets financed by shareholders’ equity, reflecting financial stability and capital strength.</w:t>
            </w:r>
          </w:p>
        </w:tc>
        <w:tc>
          <w:tcPr>
            <w:tcW w:w="0" w:type="auto"/>
            <w:tcMar>
              <w:top w:w="120" w:type="dxa"/>
              <w:left w:w="180" w:type="dxa"/>
              <w:bottom w:w="120" w:type="dxa"/>
              <w:right w:w="180" w:type="dxa"/>
            </w:tcMar>
            <w:vAlign w:val="center"/>
            <w:hideMark/>
          </w:tcPr>
          <w:p w14:paraId="7A09EB4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 Equity/Total Assets x 100</w:t>
            </w:r>
          </w:p>
        </w:tc>
        <w:tc>
          <w:tcPr>
            <w:tcW w:w="0" w:type="auto"/>
            <w:tcMar>
              <w:top w:w="120" w:type="dxa"/>
              <w:left w:w="180" w:type="dxa"/>
              <w:bottom w:w="120" w:type="dxa"/>
              <w:right w:w="180" w:type="dxa"/>
            </w:tcMar>
            <w:vAlign w:val="center"/>
            <w:hideMark/>
          </w:tcPr>
          <w:p w14:paraId="6993D59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proofErr w:type="spellStart"/>
            <w:r w:rsidRPr="00F632EA">
              <w:rPr>
                <w:rFonts w:ascii="Times New Roman" w:eastAsia="Times New Roman" w:hAnsi="Times New Roman" w:cs="Times New Roman"/>
                <w:sz w:val="24"/>
                <w:szCs w:val="24"/>
                <w:lang w:eastAsia="en-GB"/>
              </w:rPr>
              <w:t>Nuryani</w:t>
            </w:r>
            <w:proofErr w:type="spellEnd"/>
            <w:r w:rsidRPr="00F632EA">
              <w:rPr>
                <w:rFonts w:ascii="Times New Roman" w:eastAsia="Times New Roman" w:hAnsi="Times New Roman" w:cs="Times New Roman"/>
                <w:sz w:val="24"/>
                <w:szCs w:val="24"/>
                <w:lang w:eastAsia="en-GB"/>
              </w:rPr>
              <w:t xml:space="preserve"> and </w:t>
            </w:r>
            <w:proofErr w:type="spellStart"/>
            <w:r w:rsidRPr="00F632EA">
              <w:rPr>
                <w:rFonts w:ascii="Times New Roman" w:eastAsia="Times New Roman" w:hAnsi="Times New Roman" w:cs="Times New Roman"/>
                <w:sz w:val="24"/>
                <w:szCs w:val="24"/>
                <w:lang w:eastAsia="en-GB"/>
              </w:rPr>
              <w:t>Sunarsi</w:t>
            </w:r>
            <w:proofErr w:type="spellEnd"/>
            <w:r w:rsidRPr="00F632EA">
              <w:rPr>
                <w:rFonts w:ascii="Times New Roman" w:eastAsia="Times New Roman" w:hAnsi="Times New Roman" w:cs="Times New Roman"/>
                <w:sz w:val="24"/>
                <w:szCs w:val="24"/>
                <w:lang w:eastAsia="en-GB"/>
              </w:rPr>
              <w:t xml:space="preserve"> (2020); Sugumar (2023)</w:t>
            </w:r>
          </w:p>
        </w:tc>
      </w:tr>
      <w:tr w:rsidR="009A4EB5" w:rsidRPr="00F632EA" w14:paraId="527D65F3" w14:textId="77777777" w:rsidTr="00F632EA">
        <w:trPr>
          <w:tblCellSpacing w:w="15" w:type="dxa"/>
        </w:trPr>
        <w:tc>
          <w:tcPr>
            <w:tcW w:w="0" w:type="auto"/>
            <w:tcMar>
              <w:top w:w="120" w:type="dxa"/>
              <w:left w:w="180" w:type="dxa"/>
              <w:bottom w:w="120" w:type="dxa"/>
              <w:right w:w="180" w:type="dxa"/>
            </w:tcMar>
            <w:vAlign w:val="center"/>
            <w:hideMark/>
          </w:tcPr>
          <w:p w14:paraId="2DD6603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Capital Intensity (CPI)</w:t>
            </w:r>
          </w:p>
        </w:tc>
        <w:tc>
          <w:tcPr>
            <w:tcW w:w="0" w:type="auto"/>
            <w:tcMar>
              <w:top w:w="120" w:type="dxa"/>
              <w:left w:w="180" w:type="dxa"/>
              <w:bottom w:w="120" w:type="dxa"/>
              <w:right w:w="180" w:type="dxa"/>
            </w:tcMar>
            <w:vAlign w:val="center"/>
            <w:hideMark/>
          </w:tcPr>
          <w:p w14:paraId="1436119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Mar>
              <w:top w:w="120" w:type="dxa"/>
              <w:left w:w="180" w:type="dxa"/>
              <w:bottom w:w="120" w:type="dxa"/>
              <w:right w:w="180" w:type="dxa"/>
            </w:tcMar>
            <w:vAlign w:val="center"/>
            <w:hideMark/>
          </w:tcPr>
          <w:p w14:paraId="794DD87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Reflects the level of investment in fixed assets relative to total assets, indicating how capital is utilized in operations.</w:t>
            </w:r>
          </w:p>
        </w:tc>
        <w:tc>
          <w:tcPr>
            <w:tcW w:w="0" w:type="auto"/>
            <w:tcMar>
              <w:top w:w="120" w:type="dxa"/>
              <w:left w:w="180" w:type="dxa"/>
              <w:bottom w:w="120" w:type="dxa"/>
              <w:right w:w="180" w:type="dxa"/>
            </w:tcMar>
            <w:vAlign w:val="center"/>
            <w:hideMark/>
          </w:tcPr>
          <w:p w14:paraId="3A767525"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Net Fixed Assets/Total Assets x100</w:t>
            </w:r>
          </w:p>
        </w:tc>
        <w:tc>
          <w:tcPr>
            <w:tcW w:w="0" w:type="auto"/>
            <w:tcMar>
              <w:top w:w="120" w:type="dxa"/>
              <w:left w:w="180" w:type="dxa"/>
              <w:bottom w:w="120" w:type="dxa"/>
              <w:right w:w="180" w:type="dxa"/>
            </w:tcMar>
            <w:vAlign w:val="center"/>
            <w:hideMark/>
          </w:tcPr>
          <w:p w14:paraId="6D78E88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Darsani and </w:t>
            </w:r>
            <w:proofErr w:type="spellStart"/>
            <w:r w:rsidRPr="00F632EA">
              <w:rPr>
                <w:rFonts w:ascii="Times New Roman" w:eastAsia="Times New Roman" w:hAnsi="Times New Roman" w:cs="Times New Roman"/>
                <w:sz w:val="24"/>
                <w:szCs w:val="24"/>
                <w:lang w:eastAsia="en-GB"/>
              </w:rPr>
              <w:t>Sukartha</w:t>
            </w:r>
            <w:proofErr w:type="spellEnd"/>
            <w:r w:rsidRPr="00F632EA">
              <w:rPr>
                <w:rFonts w:ascii="Times New Roman" w:eastAsia="Times New Roman" w:hAnsi="Times New Roman" w:cs="Times New Roman"/>
                <w:sz w:val="24"/>
                <w:szCs w:val="24"/>
                <w:lang w:eastAsia="en-GB"/>
              </w:rPr>
              <w:t xml:space="preserve"> (2021); </w:t>
            </w:r>
            <w:proofErr w:type="spellStart"/>
            <w:r w:rsidRPr="00F632EA">
              <w:rPr>
                <w:rFonts w:ascii="Times New Roman" w:eastAsia="Times New Roman" w:hAnsi="Times New Roman" w:cs="Times New Roman"/>
                <w:sz w:val="24"/>
                <w:szCs w:val="24"/>
                <w:lang w:eastAsia="en-GB"/>
              </w:rPr>
              <w:t>Indarto</w:t>
            </w:r>
            <w:proofErr w:type="spellEnd"/>
            <w:r w:rsidRPr="00F632EA">
              <w:rPr>
                <w:rFonts w:ascii="Times New Roman" w:eastAsia="Times New Roman" w:hAnsi="Times New Roman" w:cs="Times New Roman"/>
                <w:sz w:val="24"/>
                <w:szCs w:val="24"/>
                <w:lang w:eastAsia="en-GB"/>
              </w:rPr>
              <w:t xml:space="preserve"> et al. (2025)</w:t>
            </w:r>
          </w:p>
        </w:tc>
      </w:tr>
      <w:tr w:rsidR="009A4EB5" w:rsidRPr="00F632EA" w14:paraId="0A07F6E6" w14:textId="77777777" w:rsidTr="00F632EA">
        <w:trPr>
          <w:tblCellSpacing w:w="15" w:type="dxa"/>
        </w:trPr>
        <w:tc>
          <w:tcPr>
            <w:tcW w:w="0" w:type="auto"/>
            <w:tcMar>
              <w:top w:w="120" w:type="dxa"/>
              <w:left w:w="180" w:type="dxa"/>
              <w:bottom w:w="120" w:type="dxa"/>
              <w:right w:w="180" w:type="dxa"/>
            </w:tcMar>
            <w:vAlign w:val="center"/>
            <w:hideMark/>
          </w:tcPr>
          <w:p w14:paraId="2FBCEC20"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lastRenderedPageBreak/>
              <w:t>Inventory Intensity (IVI)</w:t>
            </w:r>
          </w:p>
        </w:tc>
        <w:tc>
          <w:tcPr>
            <w:tcW w:w="0" w:type="auto"/>
            <w:tcMar>
              <w:top w:w="120" w:type="dxa"/>
              <w:left w:w="180" w:type="dxa"/>
              <w:bottom w:w="120" w:type="dxa"/>
              <w:right w:w="180" w:type="dxa"/>
            </w:tcMar>
            <w:vAlign w:val="center"/>
            <w:hideMark/>
          </w:tcPr>
          <w:p w14:paraId="7DBB611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Mar>
              <w:top w:w="120" w:type="dxa"/>
              <w:left w:w="180" w:type="dxa"/>
              <w:bottom w:w="120" w:type="dxa"/>
              <w:right w:w="180" w:type="dxa"/>
            </w:tcMar>
            <w:vAlign w:val="center"/>
            <w:hideMark/>
          </w:tcPr>
          <w:p w14:paraId="1888848D"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Represents the proportion of inventory relative to total assets, showing the extent to which a bank holds inventories as part of its asset structure.</w:t>
            </w:r>
          </w:p>
        </w:tc>
        <w:tc>
          <w:tcPr>
            <w:tcW w:w="0" w:type="auto"/>
            <w:tcMar>
              <w:top w:w="120" w:type="dxa"/>
              <w:left w:w="180" w:type="dxa"/>
              <w:bottom w:w="120" w:type="dxa"/>
              <w:right w:w="180" w:type="dxa"/>
            </w:tcMar>
            <w:vAlign w:val="center"/>
            <w:hideMark/>
          </w:tcPr>
          <w:p w14:paraId="4851DCEE"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 Inventory/Total Assets x 100</w:t>
            </w:r>
          </w:p>
        </w:tc>
        <w:tc>
          <w:tcPr>
            <w:tcW w:w="0" w:type="auto"/>
            <w:tcMar>
              <w:top w:w="120" w:type="dxa"/>
              <w:left w:w="180" w:type="dxa"/>
              <w:bottom w:w="120" w:type="dxa"/>
              <w:right w:w="180" w:type="dxa"/>
            </w:tcMar>
            <w:vAlign w:val="center"/>
            <w:hideMark/>
          </w:tcPr>
          <w:p w14:paraId="079569C9" w14:textId="12F05AA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Nisa (2025); Putra et al. (202</w:t>
            </w:r>
            <w:r w:rsidR="00571108">
              <w:rPr>
                <w:rFonts w:ascii="Times New Roman" w:eastAsia="Times New Roman" w:hAnsi="Times New Roman" w:cs="Times New Roman"/>
                <w:sz w:val="24"/>
                <w:szCs w:val="24"/>
                <w:lang w:eastAsia="en-GB"/>
              </w:rPr>
              <w:t>4</w:t>
            </w:r>
            <w:r w:rsidRPr="00F632EA">
              <w:rPr>
                <w:rFonts w:ascii="Times New Roman" w:eastAsia="Times New Roman" w:hAnsi="Times New Roman" w:cs="Times New Roman"/>
                <w:sz w:val="24"/>
                <w:szCs w:val="24"/>
                <w:lang w:eastAsia="en-GB"/>
              </w:rPr>
              <w:t>)</w:t>
            </w:r>
          </w:p>
        </w:tc>
      </w:tr>
      <w:tr w:rsidR="009A4EB5" w:rsidRPr="00F632EA" w14:paraId="1352B29E" w14:textId="77777777" w:rsidTr="009A4EB5">
        <w:trPr>
          <w:tblCellSpacing w:w="15" w:type="dxa"/>
        </w:trPr>
        <w:tc>
          <w:tcPr>
            <w:tcW w:w="0" w:type="auto"/>
            <w:tcBorders>
              <w:bottom w:val="single" w:sz="4" w:space="0" w:color="auto"/>
            </w:tcBorders>
            <w:tcMar>
              <w:top w:w="120" w:type="dxa"/>
              <w:left w:w="180" w:type="dxa"/>
              <w:bottom w:w="120" w:type="dxa"/>
              <w:right w:w="180" w:type="dxa"/>
            </w:tcMar>
            <w:vAlign w:val="center"/>
            <w:hideMark/>
          </w:tcPr>
          <w:p w14:paraId="6E9795D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Effective Tax Rate (ETR)</w:t>
            </w:r>
          </w:p>
        </w:tc>
        <w:tc>
          <w:tcPr>
            <w:tcW w:w="0" w:type="auto"/>
            <w:tcBorders>
              <w:bottom w:val="single" w:sz="4" w:space="0" w:color="auto"/>
            </w:tcBorders>
            <w:tcMar>
              <w:top w:w="120" w:type="dxa"/>
              <w:left w:w="180" w:type="dxa"/>
              <w:bottom w:w="120" w:type="dxa"/>
              <w:right w:w="180" w:type="dxa"/>
            </w:tcMar>
            <w:vAlign w:val="center"/>
            <w:hideMark/>
          </w:tcPr>
          <w:p w14:paraId="485C537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Borders>
              <w:bottom w:val="single" w:sz="4" w:space="0" w:color="auto"/>
            </w:tcBorders>
            <w:tcMar>
              <w:top w:w="120" w:type="dxa"/>
              <w:left w:w="180" w:type="dxa"/>
              <w:bottom w:w="120" w:type="dxa"/>
              <w:right w:w="180" w:type="dxa"/>
            </w:tcMar>
            <w:vAlign w:val="center"/>
            <w:hideMark/>
          </w:tcPr>
          <w:p w14:paraId="18FAC78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Indicates the average rate at which a bank’s pre-tax profits are taxed, representing the effectiveness of tax planning.</w:t>
            </w:r>
          </w:p>
        </w:tc>
        <w:tc>
          <w:tcPr>
            <w:tcW w:w="0" w:type="auto"/>
            <w:tcBorders>
              <w:bottom w:val="single" w:sz="4" w:space="0" w:color="auto"/>
            </w:tcBorders>
            <w:tcMar>
              <w:top w:w="120" w:type="dxa"/>
              <w:left w:w="180" w:type="dxa"/>
              <w:bottom w:w="120" w:type="dxa"/>
              <w:right w:w="180" w:type="dxa"/>
            </w:tcMar>
            <w:vAlign w:val="center"/>
            <w:hideMark/>
          </w:tcPr>
          <w:p w14:paraId="67C59B4C"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Tax Expense/Profit Before Tax x 100</w:t>
            </w:r>
          </w:p>
        </w:tc>
        <w:tc>
          <w:tcPr>
            <w:tcW w:w="0" w:type="auto"/>
            <w:tcBorders>
              <w:bottom w:val="single" w:sz="4" w:space="0" w:color="auto"/>
            </w:tcBorders>
            <w:tcMar>
              <w:top w:w="120" w:type="dxa"/>
              <w:left w:w="180" w:type="dxa"/>
              <w:bottom w:w="120" w:type="dxa"/>
              <w:right w:w="180" w:type="dxa"/>
            </w:tcMar>
            <w:vAlign w:val="center"/>
            <w:hideMark/>
          </w:tcPr>
          <w:p w14:paraId="22E3AC3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 xml:space="preserve">Setiawati and </w:t>
            </w:r>
            <w:proofErr w:type="spellStart"/>
            <w:r>
              <w:rPr>
                <w:rFonts w:ascii="Times New Roman" w:eastAsia="Times New Roman" w:hAnsi="Times New Roman" w:cs="Times New Roman"/>
                <w:sz w:val="24"/>
                <w:szCs w:val="24"/>
                <w:highlight w:val="yellow"/>
                <w:lang w:eastAsia="en-GB"/>
              </w:rPr>
              <w:t>Tanggreini</w:t>
            </w:r>
            <w:proofErr w:type="spellEnd"/>
            <w:r>
              <w:rPr>
                <w:rFonts w:ascii="Times New Roman" w:eastAsia="Times New Roman" w:hAnsi="Times New Roman" w:cs="Times New Roman"/>
                <w:sz w:val="24"/>
                <w:szCs w:val="24"/>
                <w:highlight w:val="yellow"/>
                <w:lang w:eastAsia="en-GB"/>
              </w:rPr>
              <w:t xml:space="preserve"> (2025)</w:t>
            </w:r>
          </w:p>
        </w:tc>
      </w:tr>
    </w:tbl>
    <w:p w14:paraId="669B1BCE" w14:textId="77777777" w:rsidR="00F632EA" w:rsidRPr="00082587" w:rsidRDefault="00F632EA" w:rsidP="00E50E62">
      <w:pPr>
        <w:spacing w:after="0" w:line="240" w:lineRule="auto"/>
        <w:jc w:val="both"/>
        <w:rPr>
          <w:rFonts w:ascii="Times New Roman" w:eastAsia="Times New Roman" w:hAnsi="Times New Roman" w:cs="Times New Roman"/>
          <w:sz w:val="24"/>
          <w:szCs w:val="24"/>
          <w:lang w:eastAsia="en-GB"/>
        </w:rPr>
      </w:pPr>
    </w:p>
    <w:p w14:paraId="6786A7D1" w14:textId="77777777" w:rsidR="004D7082" w:rsidRDefault="004D7082" w:rsidP="004D7082">
      <w:pPr>
        <w:spacing w:after="0" w:line="240" w:lineRule="auto"/>
        <w:rPr>
          <w:rFonts w:asciiTheme="majorBidi" w:hAnsiTheme="majorBidi" w:cstheme="majorBidi"/>
          <w:b/>
          <w:bCs/>
          <w:sz w:val="24"/>
          <w:szCs w:val="24"/>
        </w:rPr>
      </w:pPr>
      <w:r>
        <w:rPr>
          <w:rFonts w:ascii="Times New Roman" w:hAnsi="Times New Roman" w:cs="Times New Roman"/>
          <w:b/>
          <w:sz w:val="24"/>
          <w:szCs w:val="24"/>
          <w:highlight w:val="yellow"/>
        </w:rPr>
        <w:t>4.0 Descriptive Analysis</w:t>
      </w:r>
    </w:p>
    <w:p w14:paraId="33E0F20A" w14:textId="77777777" w:rsidR="00804982" w:rsidRPr="00401C4F" w:rsidRDefault="0024512B" w:rsidP="004D7082">
      <w:pPr>
        <w:spacing w:line="240" w:lineRule="auto"/>
        <w:jc w:val="both"/>
        <w:rPr>
          <w:rFonts w:ascii="Times New Roman" w:hAnsi="Times New Roman" w:cs="Times New Roman"/>
          <w:b/>
          <w:sz w:val="24"/>
          <w:szCs w:val="24"/>
        </w:rPr>
      </w:pPr>
      <w:r w:rsidRPr="00401C4F">
        <w:rPr>
          <w:rFonts w:ascii="Times New Roman" w:hAnsi="Times New Roman" w:cs="Times New Roman"/>
          <w:b/>
          <w:sz w:val="24"/>
          <w:szCs w:val="24"/>
        </w:rPr>
        <w:t>Table 2.</w:t>
      </w:r>
      <w:r w:rsidRPr="00401C4F">
        <w:rPr>
          <w:rFonts w:ascii="Times New Roman" w:hAnsi="Times New Roman" w:cs="Times New Roman"/>
          <w:b/>
          <w:sz w:val="24"/>
          <w:szCs w:val="24"/>
        </w:rPr>
        <w:tab/>
      </w:r>
      <w:r w:rsidR="004D7082" w:rsidRPr="00401C4F">
        <w:rPr>
          <w:rFonts w:ascii="Times New Roman" w:hAnsi="Times New Roman" w:cs="Times New Roman"/>
          <w:b/>
          <w:sz w:val="24"/>
          <w:szCs w:val="24"/>
        </w:rPr>
        <w:t xml:space="preserve"> Summary Descriptive Statistics of the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0F1E57" w:rsidRPr="00401C4F" w14:paraId="309C79C2" w14:textId="77777777" w:rsidTr="00401C4F">
        <w:tc>
          <w:tcPr>
            <w:tcW w:w="1803" w:type="dxa"/>
            <w:tcBorders>
              <w:top w:val="single" w:sz="4" w:space="0" w:color="auto"/>
              <w:bottom w:val="single" w:sz="4" w:space="0" w:color="auto"/>
            </w:tcBorders>
          </w:tcPr>
          <w:p w14:paraId="57B23FCD"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Variables</w:t>
            </w:r>
          </w:p>
        </w:tc>
        <w:tc>
          <w:tcPr>
            <w:tcW w:w="1803" w:type="dxa"/>
            <w:tcBorders>
              <w:top w:val="single" w:sz="4" w:space="0" w:color="auto"/>
              <w:bottom w:val="single" w:sz="4" w:space="0" w:color="auto"/>
            </w:tcBorders>
          </w:tcPr>
          <w:p w14:paraId="6C4670F7"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Means</w:t>
            </w:r>
          </w:p>
        </w:tc>
        <w:tc>
          <w:tcPr>
            <w:tcW w:w="1803" w:type="dxa"/>
            <w:tcBorders>
              <w:top w:val="single" w:sz="4" w:space="0" w:color="auto"/>
              <w:bottom w:val="single" w:sz="4" w:space="0" w:color="auto"/>
            </w:tcBorders>
          </w:tcPr>
          <w:p w14:paraId="6568973C"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Std. Dev.</w:t>
            </w:r>
          </w:p>
        </w:tc>
        <w:tc>
          <w:tcPr>
            <w:tcW w:w="1803" w:type="dxa"/>
            <w:tcBorders>
              <w:top w:val="single" w:sz="4" w:space="0" w:color="auto"/>
              <w:bottom w:val="single" w:sz="4" w:space="0" w:color="auto"/>
            </w:tcBorders>
          </w:tcPr>
          <w:p w14:paraId="787EBB06"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Min</w:t>
            </w:r>
          </w:p>
        </w:tc>
        <w:tc>
          <w:tcPr>
            <w:tcW w:w="1804" w:type="dxa"/>
            <w:tcBorders>
              <w:top w:val="single" w:sz="4" w:space="0" w:color="auto"/>
              <w:bottom w:val="single" w:sz="4" w:space="0" w:color="auto"/>
            </w:tcBorders>
          </w:tcPr>
          <w:p w14:paraId="30D9DA67"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Max</w:t>
            </w:r>
          </w:p>
        </w:tc>
      </w:tr>
      <w:tr w:rsidR="000F1E57" w:rsidRPr="00401C4F" w14:paraId="1637FEE2" w14:textId="77777777" w:rsidTr="00401C4F">
        <w:tc>
          <w:tcPr>
            <w:tcW w:w="1803" w:type="dxa"/>
            <w:tcBorders>
              <w:top w:val="single" w:sz="4" w:space="0" w:color="auto"/>
            </w:tcBorders>
            <w:vAlign w:val="center"/>
          </w:tcPr>
          <w:p w14:paraId="7DF7E73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NPLR</w:t>
            </w:r>
          </w:p>
        </w:tc>
        <w:tc>
          <w:tcPr>
            <w:tcW w:w="1803" w:type="dxa"/>
            <w:tcBorders>
              <w:top w:val="single" w:sz="4" w:space="0" w:color="auto"/>
            </w:tcBorders>
            <w:vAlign w:val="center"/>
          </w:tcPr>
          <w:p w14:paraId="2A6EC7E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5.883</w:t>
            </w:r>
          </w:p>
        </w:tc>
        <w:tc>
          <w:tcPr>
            <w:tcW w:w="1803" w:type="dxa"/>
            <w:tcBorders>
              <w:top w:val="single" w:sz="4" w:space="0" w:color="auto"/>
            </w:tcBorders>
            <w:vAlign w:val="center"/>
          </w:tcPr>
          <w:p w14:paraId="76F6EFE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5.758</w:t>
            </w:r>
          </w:p>
        </w:tc>
        <w:tc>
          <w:tcPr>
            <w:tcW w:w="1803" w:type="dxa"/>
            <w:tcBorders>
              <w:top w:val="single" w:sz="4" w:space="0" w:color="auto"/>
            </w:tcBorders>
            <w:vAlign w:val="center"/>
          </w:tcPr>
          <w:p w14:paraId="7A5E8A1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1.090</w:t>
            </w:r>
          </w:p>
        </w:tc>
        <w:tc>
          <w:tcPr>
            <w:tcW w:w="1804" w:type="dxa"/>
            <w:tcBorders>
              <w:top w:val="single" w:sz="4" w:space="0" w:color="auto"/>
            </w:tcBorders>
            <w:vAlign w:val="center"/>
          </w:tcPr>
          <w:p w14:paraId="17E3B8DF" w14:textId="77777777" w:rsidR="000F1E57" w:rsidRPr="00401C4F" w:rsidRDefault="000F1E57" w:rsidP="000F1E57">
            <w:pPr>
              <w:ind w:left="1427" w:right="-4940" w:hanging="1427"/>
              <w:rPr>
                <w:rFonts w:ascii="Times New Roman" w:hAnsi="Times New Roman" w:cs="Times New Roman"/>
                <w:sz w:val="24"/>
                <w:szCs w:val="24"/>
              </w:rPr>
            </w:pPr>
            <w:r w:rsidRPr="00401C4F">
              <w:rPr>
                <w:rFonts w:ascii="Times New Roman" w:hAnsi="Times New Roman" w:cs="Times New Roman"/>
                <w:sz w:val="24"/>
                <w:szCs w:val="24"/>
              </w:rPr>
              <w:t>52.970</w:t>
            </w:r>
          </w:p>
        </w:tc>
      </w:tr>
      <w:tr w:rsidR="000F1E57" w:rsidRPr="00401C4F" w14:paraId="56E10C07" w14:textId="77777777" w:rsidTr="00401C4F">
        <w:tc>
          <w:tcPr>
            <w:tcW w:w="1803" w:type="dxa"/>
            <w:vAlign w:val="center"/>
          </w:tcPr>
          <w:p w14:paraId="7D39DC9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CR</w:t>
            </w:r>
          </w:p>
        </w:tc>
        <w:tc>
          <w:tcPr>
            <w:tcW w:w="1803" w:type="dxa"/>
            <w:vAlign w:val="center"/>
          </w:tcPr>
          <w:p w14:paraId="2FD0B1C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1.391</w:t>
            </w:r>
          </w:p>
        </w:tc>
        <w:tc>
          <w:tcPr>
            <w:tcW w:w="1803" w:type="dxa"/>
            <w:vAlign w:val="center"/>
          </w:tcPr>
          <w:p w14:paraId="7440CAD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1.016</w:t>
            </w:r>
          </w:p>
        </w:tc>
        <w:tc>
          <w:tcPr>
            <w:tcW w:w="1803" w:type="dxa"/>
            <w:vAlign w:val="center"/>
          </w:tcPr>
          <w:p w14:paraId="74B1EEF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0.205</w:t>
            </w:r>
          </w:p>
        </w:tc>
        <w:tc>
          <w:tcPr>
            <w:tcW w:w="1804" w:type="dxa"/>
            <w:vAlign w:val="center"/>
          </w:tcPr>
          <w:p w14:paraId="6928A22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5.730</w:t>
            </w:r>
          </w:p>
        </w:tc>
      </w:tr>
      <w:tr w:rsidR="000F1E57" w:rsidRPr="00401C4F" w14:paraId="10334CA2" w14:textId="77777777" w:rsidTr="00401C4F">
        <w:tc>
          <w:tcPr>
            <w:tcW w:w="1803" w:type="dxa"/>
            <w:vAlign w:val="center"/>
          </w:tcPr>
          <w:p w14:paraId="1297574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ETAR</w:t>
            </w:r>
          </w:p>
        </w:tc>
        <w:tc>
          <w:tcPr>
            <w:tcW w:w="1803" w:type="dxa"/>
            <w:vAlign w:val="center"/>
          </w:tcPr>
          <w:p w14:paraId="52FC773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0.419</w:t>
            </w:r>
          </w:p>
        </w:tc>
        <w:tc>
          <w:tcPr>
            <w:tcW w:w="1803" w:type="dxa"/>
            <w:vAlign w:val="center"/>
          </w:tcPr>
          <w:p w14:paraId="3A756D5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0.220</w:t>
            </w:r>
          </w:p>
        </w:tc>
        <w:tc>
          <w:tcPr>
            <w:tcW w:w="1803" w:type="dxa"/>
            <w:vAlign w:val="center"/>
          </w:tcPr>
          <w:p w14:paraId="45EF801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0.028</w:t>
            </w:r>
          </w:p>
        </w:tc>
        <w:tc>
          <w:tcPr>
            <w:tcW w:w="1804" w:type="dxa"/>
            <w:vAlign w:val="center"/>
          </w:tcPr>
          <w:p w14:paraId="1011A6A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0.828</w:t>
            </w:r>
          </w:p>
        </w:tc>
      </w:tr>
      <w:tr w:rsidR="000F1E57" w:rsidRPr="00401C4F" w14:paraId="5EBBF108" w14:textId="77777777" w:rsidTr="00401C4F">
        <w:tc>
          <w:tcPr>
            <w:tcW w:w="1803" w:type="dxa"/>
            <w:vAlign w:val="center"/>
          </w:tcPr>
          <w:p w14:paraId="1B0F8EE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FR</w:t>
            </w:r>
          </w:p>
        </w:tc>
        <w:tc>
          <w:tcPr>
            <w:tcW w:w="1803" w:type="dxa"/>
            <w:vAlign w:val="center"/>
          </w:tcPr>
          <w:p w14:paraId="3EEA52F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3.264</w:t>
            </w:r>
          </w:p>
        </w:tc>
        <w:tc>
          <w:tcPr>
            <w:tcW w:w="1803" w:type="dxa"/>
            <w:vAlign w:val="center"/>
          </w:tcPr>
          <w:p w14:paraId="3E7EA5A7"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5.114</w:t>
            </w:r>
          </w:p>
        </w:tc>
        <w:tc>
          <w:tcPr>
            <w:tcW w:w="1803" w:type="dxa"/>
            <w:vAlign w:val="center"/>
          </w:tcPr>
          <w:p w14:paraId="1BA5C72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0.208</w:t>
            </w:r>
          </w:p>
        </w:tc>
        <w:tc>
          <w:tcPr>
            <w:tcW w:w="1804" w:type="dxa"/>
            <w:vAlign w:val="center"/>
          </w:tcPr>
          <w:p w14:paraId="41D68BB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35.020</w:t>
            </w:r>
          </w:p>
        </w:tc>
      </w:tr>
      <w:tr w:rsidR="000F1E57" w:rsidRPr="00401C4F" w14:paraId="1DCA112D" w14:textId="77777777" w:rsidTr="00401C4F">
        <w:tc>
          <w:tcPr>
            <w:tcW w:w="1803" w:type="dxa"/>
            <w:vAlign w:val="center"/>
          </w:tcPr>
          <w:p w14:paraId="6B1AA72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OR</w:t>
            </w:r>
          </w:p>
        </w:tc>
        <w:tc>
          <w:tcPr>
            <w:tcW w:w="1803" w:type="dxa"/>
            <w:vAlign w:val="center"/>
          </w:tcPr>
          <w:p w14:paraId="788B8EE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0.430</w:t>
            </w:r>
          </w:p>
        </w:tc>
        <w:tc>
          <w:tcPr>
            <w:tcW w:w="1803" w:type="dxa"/>
            <w:vAlign w:val="center"/>
          </w:tcPr>
          <w:p w14:paraId="1CF6515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0.270</w:t>
            </w:r>
          </w:p>
        </w:tc>
        <w:tc>
          <w:tcPr>
            <w:tcW w:w="1803" w:type="dxa"/>
            <w:vAlign w:val="center"/>
          </w:tcPr>
          <w:p w14:paraId="309B689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0.068</w:t>
            </w:r>
          </w:p>
        </w:tc>
        <w:tc>
          <w:tcPr>
            <w:tcW w:w="1804" w:type="dxa"/>
            <w:vAlign w:val="center"/>
          </w:tcPr>
          <w:p w14:paraId="55078D7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1.479</w:t>
            </w:r>
          </w:p>
        </w:tc>
      </w:tr>
      <w:tr w:rsidR="000F1E57" w:rsidRPr="00401C4F" w14:paraId="795FE738" w14:textId="77777777" w:rsidTr="00401C4F">
        <w:tc>
          <w:tcPr>
            <w:tcW w:w="1803" w:type="dxa"/>
            <w:vAlign w:val="center"/>
          </w:tcPr>
          <w:p w14:paraId="6C01BF1D"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MR</w:t>
            </w:r>
          </w:p>
        </w:tc>
        <w:tc>
          <w:tcPr>
            <w:tcW w:w="1803" w:type="dxa"/>
            <w:vAlign w:val="center"/>
          </w:tcPr>
          <w:p w14:paraId="1A0DBE9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56.868</w:t>
            </w:r>
          </w:p>
        </w:tc>
        <w:tc>
          <w:tcPr>
            <w:tcW w:w="1803" w:type="dxa"/>
            <w:vAlign w:val="center"/>
          </w:tcPr>
          <w:p w14:paraId="1C554E7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27.546</w:t>
            </w:r>
          </w:p>
        </w:tc>
        <w:tc>
          <w:tcPr>
            <w:tcW w:w="1803" w:type="dxa"/>
            <w:vAlign w:val="center"/>
          </w:tcPr>
          <w:p w14:paraId="0FB114FD"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10.000</w:t>
            </w:r>
          </w:p>
        </w:tc>
        <w:tc>
          <w:tcPr>
            <w:tcW w:w="1804" w:type="dxa"/>
            <w:vAlign w:val="center"/>
          </w:tcPr>
          <w:p w14:paraId="177EDFE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100.000</w:t>
            </w:r>
          </w:p>
        </w:tc>
      </w:tr>
      <w:tr w:rsidR="000F1E57" w:rsidRPr="00401C4F" w14:paraId="2819DCA3" w14:textId="77777777" w:rsidTr="00401C4F">
        <w:tc>
          <w:tcPr>
            <w:tcW w:w="1803" w:type="dxa"/>
            <w:vAlign w:val="center"/>
          </w:tcPr>
          <w:p w14:paraId="6F3654C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CPI</w:t>
            </w:r>
          </w:p>
        </w:tc>
        <w:tc>
          <w:tcPr>
            <w:tcW w:w="1803" w:type="dxa"/>
            <w:vAlign w:val="center"/>
          </w:tcPr>
          <w:p w14:paraId="125FB68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71.516</w:t>
            </w:r>
          </w:p>
        </w:tc>
        <w:tc>
          <w:tcPr>
            <w:tcW w:w="1803" w:type="dxa"/>
            <w:vAlign w:val="center"/>
          </w:tcPr>
          <w:p w14:paraId="7CEB321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15.186</w:t>
            </w:r>
          </w:p>
        </w:tc>
        <w:tc>
          <w:tcPr>
            <w:tcW w:w="1803" w:type="dxa"/>
            <w:vAlign w:val="center"/>
          </w:tcPr>
          <w:p w14:paraId="65ED614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16.755</w:t>
            </w:r>
          </w:p>
        </w:tc>
        <w:tc>
          <w:tcPr>
            <w:tcW w:w="1804" w:type="dxa"/>
            <w:vAlign w:val="center"/>
          </w:tcPr>
          <w:p w14:paraId="5EBA31E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94.142</w:t>
            </w:r>
          </w:p>
        </w:tc>
      </w:tr>
      <w:tr w:rsidR="000F1E57" w:rsidRPr="00401C4F" w14:paraId="3AB0D4B6" w14:textId="77777777" w:rsidTr="00401C4F">
        <w:tc>
          <w:tcPr>
            <w:tcW w:w="1803" w:type="dxa"/>
            <w:vAlign w:val="center"/>
          </w:tcPr>
          <w:p w14:paraId="0332320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IVI</w:t>
            </w:r>
          </w:p>
        </w:tc>
        <w:tc>
          <w:tcPr>
            <w:tcW w:w="1803" w:type="dxa"/>
            <w:vAlign w:val="center"/>
          </w:tcPr>
          <w:p w14:paraId="37B5339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28.484</w:t>
            </w:r>
          </w:p>
        </w:tc>
        <w:tc>
          <w:tcPr>
            <w:tcW w:w="1803" w:type="dxa"/>
            <w:vAlign w:val="center"/>
          </w:tcPr>
          <w:p w14:paraId="3D882E6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15.186</w:t>
            </w:r>
          </w:p>
        </w:tc>
        <w:tc>
          <w:tcPr>
            <w:tcW w:w="1803" w:type="dxa"/>
            <w:vAlign w:val="center"/>
          </w:tcPr>
          <w:p w14:paraId="2C68DF0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5.858</w:t>
            </w:r>
          </w:p>
        </w:tc>
        <w:tc>
          <w:tcPr>
            <w:tcW w:w="1804" w:type="dxa"/>
            <w:vAlign w:val="center"/>
          </w:tcPr>
          <w:p w14:paraId="4E41504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83.245</w:t>
            </w:r>
          </w:p>
        </w:tc>
      </w:tr>
      <w:tr w:rsidR="000F1E57" w:rsidRPr="00401C4F" w14:paraId="435AFFDE" w14:textId="77777777" w:rsidTr="00401C4F">
        <w:tc>
          <w:tcPr>
            <w:tcW w:w="1803" w:type="dxa"/>
            <w:vAlign w:val="center"/>
          </w:tcPr>
          <w:p w14:paraId="2CDD10B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ETR</w:t>
            </w:r>
          </w:p>
        </w:tc>
        <w:tc>
          <w:tcPr>
            <w:tcW w:w="1803" w:type="dxa"/>
            <w:vAlign w:val="center"/>
          </w:tcPr>
          <w:p w14:paraId="37D680E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8.892</w:t>
            </w:r>
          </w:p>
        </w:tc>
        <w:tc>
          <w:tcPr>
            <w:tcW w:w="1803" w:type="dxa"/>
            <w:vAlign w:val="center"/>
          </w:tcPr>
          <w:p w14:paraId="3B1C5B5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8.268</w:t>
            </w:r>
          </w:p>
        </w:tc>
        <w:tc>
          <w:tcPr>
            <w:tcW w:w="1803" w:type="dxa"/>
            <w:vAlign w:val="center"/>
          </w:tcPr>
          <w:p w14:paraId="49E8D34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0.510</w:t>
            </w:r>
          </w:p>
        </w:tc>
        <w:tc>
          <w:tcPr>
            <w:tcW w:w="1804" w:type="dxa"/>
            <w:vAlign w:val="center"/>
          </w:tcPr>
          <w:p w14:paraId="03FE06E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46.249</w:t>
            </w:r>
          </w:p>
        </w:tc>
      </w:tr>
      <w:tr w:rsidR="000F1E57" w:rsidRPr="00401C4F" w14:paraId="76CAE22A" w14:textId="77777777" w:rsidTr="00401C4F">
        <w:tc>
          <w:tcPr>
            <w:tcW w:w="1803" w:type="dxa"/>
            <w:tcBorders>
              <w:bottom w:val="single" w:sz="4" w:space="0" w:color="auto"/>
            </w:tcBorders>
            <w:vAlign w:val="center"/>
          </w:tcPr>
          <w:p w14:paraId="1516B37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CAR</w:t>
            </w:r>
          </w:p>
        </w:tc>
        <w:tc>
          <w:tcPr>
            <w:tcW w:w="1803" w:type="dxa"/>
            <w:tcBorders>
              <w:bottom w:val="single" w:sz="4" w:space="0" w:color="auto"/>
            </w:tcBorders>
            <w:vAlign w:val="center"/>
          </w:tcPr>
          <w:p w14:paraId="22F02245"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19.403</w:t>
            </w:r>
          </w:p>
        </w:tc>
        <w:tc>
          <w:tcPr>
            <w:tcW w:w="1803" w:type="dxa"/>
            <w:tcBorders>
              <w:bottom w:val="single" w:sz="4" w:space="0" w:color="auto"/>
            </w:tcBorders>
            <w:vAlign w:val="center"/>
          </w:tcPr>
          <w:p w14:paraId="715F677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6.823</w:t>
            </w:r>
          </w:p>
        </w:tc>
        <w:tc>
          <w:tcPr>
            <w:tcW w:w="1803" w:type="dxa"/>
            <w:tcBorders>
              <w:bottom w:val="single" w:sz="4" w:space="0" w:color="auto"/>
            </w:tcBorders>
            <w:vAlign w:val="center"/>
          </w:tcPr>
          <w:p w14:paraId="7411151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-16.000</w:t>
            </w:r>
          </w:p>
        </w:tc>
        <w:tc>
          <w:tcPr>
            <w:tcW w:w="1804" w:type="dxa"/>
            <w:tcBorders>
              <w:bottom w:val="single" w:sz="4" w:space="0" w:color="auto"/>
            </w:tcBorders>
            <w:vAlign w:val="center"/>
          </w:tcPr>
          <w:p w14:paraId="4E643ED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48.830</w:t>
            </w:r>
          </w:p>
        </w:tc>
      </w:tr>
    </w:tbl>
    <w:p w14:paraId="60536A54" w14:textId="77777777" w:rsidR="000F1E57" w:rsidRPr="00401C4F" w:rsidRDefault="000F1E57" w:rsidP="000F1E57">
      <w:pPr>
        <w:pStyle w:val="NormalWeb"/>
        <w:spacing w:before="0" w:beforeAutospacing="0" w:after="0" w:afterAutospacing="0"/>
      </w:pPr>
      <w:r w:rsidRPr="00401C4F">
        <w:rPr>
          <w:b/>
          <w:iCs/>
        </w:rPr>
        <w:t>Source:</w:t>
      </w:r>
      <w:r w:rsidRPr="00401C4F">
        <w:rPr>
          <w:iCs/>
        </w:rPr>
        <w:t xml:space="preserve"> Author’s Computation (2026) </w:t>
      </w:r>
    </w:p>
    <w:p w14:paraId="7B230921" w14:textId="77777777" w:rsidR="00401C4F" w:rsidRDefault="00401C4F" w:rsidP="000F1E57">
      <w:pPr>
        <w:pStyle w:val="NormalWeb"/>
        <w:spacing w:before="0" w:beforeAutospacing="0" w:after="0" w:afterAutospacing="0"/>
        <w:jc w:val="both"/>
        <w:rPr>
          <w:bCs/>
        </w:rPr>
      </w:pPr>
    </w:p>
    <w:p w14:paraId="0A22376B" w14:textId="77777777" w:rsidR="004D7082" w:rsidRDefault="004D7082" w:rsidP="000F1E57">
      <w:pPr>
        <w:pStyle w:val="NormalWeb"/>
        <w:spacing w:before="0" w:beforeAutospacing="0" w:after="0" w:afterAutospacing="0"/>
        <w:jc w:val="both"/>
      </w:pPr>
      <w:r w:rsidRPr="004D7082">
        <w:rPr>
          <w:bCs/>
        </w:rPr>
        <w:t>Financial Stability (Dependent):</w:t>
      </w:r>
      <w:r w:rsidRPr="004D7082">
        <w:t xml:space="preserve"> </w:t>
      </w:r>
      <w:r w:rsidRPr="004D7082">
        <w:rPr>
          <w:rStyle w:val="HTMLCode"/>
          <w:rFonts w:ascii="Times New Roman" w:hAnsi="Times New Roman" w:cs="Times New Roman"/>
          <w:sz w:val="24"/>
          <w:szCs w:val="24"/>
        </w:rPr>
        <w:t>NPLR</w:t>
      </w:r>
      <w:r w:rsidRPr="004D7082">
        <w:t xml:space="preserve"> = Non-Performing Loans Ratio; </w:t>
      </w:r>
      <w:r w:rsidRPr="004D7082">
        <w:rPr>
          <w:rStyle w:val="HTMLCode"/>
          <w:rFonts w:ascii="Times New Roman" w:hAnsi="Times New Roman" w:cs="Times New Roman"/>
          <w:sz w:val="24"/>
          <w:szCs w:val="24"/>
        </w:rPr>
        <w:t>CR</w:t>
      </w:r>
      <w:r w:rsidRPr="004D7082">
        <w:t xml:space="preserve"> = Current Ratio; </w:t>
      </w:r>
      <w:r w:rsidRPr="004D7082">
        <w:rPr>
          <w:rStyle w:val="HTMLCode"/>
          <w:rFonts w:ascii="Times New Roman" w:hAnsi="Times New Roman" w:cs="Times New Roman"/>
          <w:sz w:val="24"/>
          <w:szCs w:val="24"/>
        </w:rPr>
        <w:t>ETAR</w:t>
      </w:r>
      <w:r w:rsidRPr="004D7082">
        <w:t xml:space="preserve"> = Equity to Total Assets Ratio. </w:t>
      </w:r>
      <w:r w:rsidRPr="004D7082">
        <w:rPr>
          <w:bCs/>
        </w:rPr>
        <w:t>Restructuring (Independent):</w:t>
      </w:r>
      <w:r w:rsidRPr="004D7082">
        <w:t xml:space="preserve"> </w:t>
      </w:r>
      <w:r w:rsidRPr="004D7082">
        <w:rPr>
          <w:rStyle w:val="HTMLCode"/>
          <w:rFonts w:ascii="Times New Roman" w:hAnsi="Times New Roman" w:cs="Times New Roman"/>
          <w:sz w:val="24"/>
          <w:szCs w:val="24"/>
        </w:rPr>
        <w:t>FR</w:t>
      </w:r>
      <w:r w:rsidRPr="004D7082">
        <w:t xml:space="preserve"> = Financial Restructuring; </w:t>
      </w:r>
      <w:r w:rsidRPr="004D7082">
        <w:rPr>
          <w:rStyle w:val="HTMLCode"/>
          <w:rFonts w:ascii="Times New Roman" w:hAnsi="Times New Roman" w:cs="Times New Roman"/>
          <w:sz w:val="24"/>
          <w:szCs w:val="24"/>
        </w:rPr>
        <w:t>OR</w:t>
      </w:r>
      <w:r w:rsidRPr="004D7082">
        <w:t xml:space="preserve"> = Operational Restructuring; </w:t>
      </w:r>
      <w:r w:rsidRPr="004D7082">
        <w:rPr>
          <w:rStyle w:val="HTMLCode"/>
          <w:rFonts w:ascii="Times New Roman" w:hAnsi="Times New Roman" w:cs="Times New Roman"/>
          <w:sz w:val="24"/>
          <w:szCs w:val="24"/>
        </w:rPr>
        <w:t>MR</w:t>
      </w:r>
      <w:r w:rsidRPr="004D7082">
        <w:t xml:space="preserve"> = Managerial Restructuring. </w:t>
      </w:r>
      <w:r w:rsidRPr="004D7082">
        <w:rPr>
          <w:bCs/>
        </w:rPr>
        <w:t>Corporate Tax Planning (Independent):</w:t>
      </w:r>
      <w:r w:rsidRPr="004D7082">
        <w:t xml:space="preserve"> </w:t>
      </w:r>
      <w:r w:rsidRPr="004D7082">
        <w:rPr>
          <w:rStyle w:val="HTMLCode"/>
          <w:rFonts w:ascii="Times New Roman" w:hAnsi="Times New Roman" w:cs="Times New Roman"/>
          <w:sz w:val="24"/>
          <w:szCs w:val="24"/>
        </w:rPr>
        <w:t>CPI</w:t>
      </w:r>
      <w:r w:rsidRPr="004D7082">
        <w:t xml:space="preserve"> = Capital Intensity; </w:t>
      </w:r>
      <w:r w:rsidRPr="004D7082">
        <w:rPr>
          <w:rStyle w:val="HTMLCode"/>
          <w:rFonts w:ascii="Times New Roman" w:hAnsi="Times New Roman" w:cs="Times New Roman"/>
          <w:sz w:val="24"/>
          <w:szCs w:val="24"/>
        </w:rPr>
        <w:t>IVI</w:t>
      </w:r>
      <w:r w:rsidRPr="004D7082">
        <w:t xml:space="preserve"> = Inventory Intensity; </w:t>
      </w:r>
      <w:r w:rsidRPr="004D7082">
        <w:rPr>
          <w:rStyle w:val="HTMLCode"/>
          <w:rFonts w:ascii="Times New Roman" w:hAnsi="Times New Roman" w:cs="Times New Roman"/>
          <w:sz w:val="24"/>
          <w:szCs w:val="24"/>
        </w:rPr>
        <w:t>ETR</w:t>
      </w:r>
      <w:r w:rsidRPr="004D7082">
        <w:t xml:space="preserve"> = Effective Tax Rate. </w:t>
      </w:r>
      <w:r w:rsidRPr="004D7082">
        <w:rPr>
          <w:bCs/>
        </w:rPr>
        <w:t>Moderating Variable:</w:t>
      </w:r>
      <w:r w:rsidRPr="004D7082">
        <w:t xml:space="preserve"> </w:t>
      </w:r>
      <w:r w:rsidRPr="004D7082">
        <w:rPr>
          <w:rStyle w:val="HTMLCode"/>
          <w:rFonts w:ascii="Times New Roman" w:hAnsi="Times New Roman" w:cs="Times New Roman"/>
          <w:sz w:val="24"/>
          <w:szCs w:val="24"/>
        </w:rPr>
        <w:t>CAR</w:t>
      </w:r>
      <w:r w:rsidRPr="004D7082">
        <w:t xml:space="preserve"> = Capital Adequacy Ratio.</w:t>
      </w:r>
    </w:p>
    <w:p w14:paraId="5DB4C43C" w14:textId="77777777" w:rsidR="00030706" w:rsidRDefault="00030706" w:rsidP="00005908">
      <w:pPr>
        <w:pStyle w:val="Heading3"/>
        <w:spacing w:before="0" w:beforeAutospacing="0" w:after="0" w:afterAutospacing="0"/>
        <w:jc w:val="both"/>
        <w:rPr>
          <w:sz w:val="24"/>
          <w:szCs w:val="24"/>
        </w:rPr>
      </w:pPr>
    </w:p>
    <w:p w14:paraId="7AD90CC2" w14:textId="77777777" w:rsidR="00030706" w:rsidRDefault="00030706" w:rsidP="00005908">
      <w:pPr>
        <w:pStyle w:val="Heading3"/>
        <w:spacing w:before="0" w:beforeAutospacing="0" w:after="0" w:afterAutospacing="0"/>
        <w:jc w:val="both"/>
        <w:rPr>
          <w:sz w:val="24"/>
          <w:szCs w:val="24"/>
        </w:rPr>
      </w:pPr>
    </w:p>
    <w:p w14:paraId="73CB5BF2" w14:textId="77777777" w:rsidR="00030706" w:rsidRDefault="00030706" w:rsidP="00005908">
      <w:pPr>
        <w:pStyle w:val="Heading3"/>
        <w:spacing w:before="0" w:beforeAutospacing="0" w:after="0" w:afterAutospacing="0"/>
        <w:jc w:val="both"/>
        <w:rPr>
          <w:sz w:val="24"/>
          <w:szCs w:val="24"/>
        </w:rPr>
      </w:pPr>
    </w:p>
    <w:p w14:paraId="5B933B4A" w14:textId="77777777" w:rsidR="00030706" w:rsidRDefault="00030706" w:rsidP="00005908">
      <w:pPr>
        <w:pStyle w:val="Heading3"/>
        <w:spacing w:before="0" w:beforeAutospacing="0" w:after="0" w:afterAutospacing="0"/>
        <w:jc w:val="both"/>
        <w:rPr>
          <w:sz w:val="24"/>
          <w:szCs w:val="24"/>
        </w:rPr>
      </w:pPr>
    </w:p>
    <w:p w14:paraId="3A5660C6" w14:textId="77777777" w:rsidR="00030706" w:rsidRDefault="00030706" w:rsidP="00005908">
      <w:pPr>
        <w:pStyle w:val="Heading3"/>
        <w:spacing w:before="0" w:beforeAutospacing="0" w:after="0" w:afterAutospacing="0"/>
        <w:jc w:val="both"/>
        <w:rPr>
          <w:sz w:val="24"/>
          <w:szCs w:val="24"/>
        </w:rPr>
      </w:pPr>
    </w:p>
    <w:p w14:paraId="1ECB4C12" w14:textId="77777777" w:rsidR="00030706" w:rsidRDefault="00030706" w:rsidP="00005908">
      <w:pPr>
        <w:pStyle w:val="Heading3"/>
        <w:spacing w:before="0" w:beforeAutospacing="0" w:after="0" w:afterAutospacing="0"/>
        <w:jc w:val="both"/>
        <w:rPr>
          <w:sz w:val="24"/>
          <w:szCs w:val="24"/>
        </w:rPr>
      </w:pPr>
    </w:p>
    <w:p w14:paraId="78321498" w14:textId="77777777" w:rsidR="00030706" w:rsidRDefault="00030706" w:rsidP="00005908">
      <w:pPr>
        <w:pStyle w:val="Heading3"/>
        <w:spacing w:before="0" w:beforeAutospacing="0" w:after="0" w:afterAutospacing="0"/>
        <w:jc w:val="both"/>
        <w:rPr>
          <w:sz w:val="24"/>
          <w:szCs w:val="24"/>
        </w:rPr>
      </w:pPr>
    </w:p>
    <w:p w14:paraId="344D050E" w14:textId="77777777" w:rsidR="00030706" w:rsidRDefault="00030706" w:rsidP="00005908">
      <w:pPr>
        <w:pStyle w:val="Heading3"/>
        <w:spacing w:before="0" w:beforeAutospacing="0" w:after="0" w:afterAutospacing="0"/>
        <w:jc w:val="both"/>
        <w:rPr>
          <w:sz w:val="24"/>
          <w:szCs w:val="24"/>
        </w:rPr>
      </w:pPr>
    </w:p>
    <w:p w14:paraId="09C7AB0D" w14:textId="77777777" w:rsidR="00030706" w:rsidRDefault="00030706" w:rsidP="00005908">
      <w:pPr>
        <w:pStyle w:val="Heading3"/>
        <w:spacing w:before="0" w:beforeAutospacing="0" w:after="0" w:afterAutospacing="0"/>
        <w:jc w:val="both"/>
        <w:rPr>
          <w:sz w:val="24"/>
          <w:szCs w:val="24"/>
        </w:rPr>
      </w:pPr>
    </w:p>
    <w:p w14:paraId="4BF9D7B5" w14:textId="77777777" w:rsidR="00030706" w:rsidRDefault="00030706" w:rsidP="00005908">
      <w:pPr>
        <w:pStyle w:val="Heading3"/>
        <w:spacing w:before="0" w:beforeAutospacing="0" w:after="0" w:afterAutospacing="0"/>
        <w:jc w:val="both"/>
        <w:rPr>
          <w:sz w:val="24"/>
          <w:szCs w:val="24"/>
        </w:rPr>
      </w:pPr>
    </w:p>
    <w:p w14:paraId="4AD50741" w14:textId="77777777" w:rsidR="00030706" w:rsidRDefault="00030706" w:rsidP="00005908">
      <w:pPr>
        <w:pStyle w:val="Heading3"/>
        <w:spacing w:before="0" w:beforeAutospacing="0" w:after="0" w:afterAutospacing="0"/>
        <w:jc w:val="both"/>
        <w:rPr>
          <w:sz w:val="24"/>
          <w:szCs w:val="24"/>
        </w:rPr>
      </w:pPr>
    </w:p>
    <w:p w14:paraId="698433E9" w14:textId="77777777" w:rsidR="00030706" w:rsidRDefault="00030706" w:rsidP="00005908">
      <w:pPr>
        <w:pStyle w:val="Heading3"/>
        <w:spacing w:before="0" w:beforeAutospacing="0" w:after="0" w:afterAutospacing="0"/>
        <w:jc w:val="both"/>
        <w:rPr>
          <w:sz w:val="24"/>
          <w:szCs w:val="24"/>
        </w:rPr>
      </w:pPr>
    </w:p>
    <w:p w14:paraId="0FC84FAF" w14:textId="77777777" w:rsidR="00030706" w:rsidRDefault="00030706" w:rsidP="00005908">
      <w:pPr>
        <w:pStyle w:val="Heading3"/>
        <w:spacing w:before="0" w:beforeAutospacing="0" w:after="0" w:afterAutospacing="0"/>
        <w:jc w:val="both"/>
        <w:rPr>
          <w:sz w:val="24"/>
          <w:szCs w:val="24"/>
        </w:rPr>
      </w:pPr>
    </w:p>
    <w:p w14:paraId="12A59E7B" w14:textId="77777777" w:rsidR="00030706" w:rsidRDefault="00030706" w:rsidP="00005908">
      <w:pPr>
        <w:pStyle w:val="Heading3"/>
        <w:spacing w:before="0" w:beforeAutospacing="0" w:after="0" w:afterAutospacing="0"/>
        <w:jc w:val="both"/>
        <w:rPr>
          <w:sz w:val="24"/>
          <w:szCs w:val="24"/>
        </w:rPr>
      </w:pPr>
    </w:p>
    <w:p w14:paraId="76BD871B" w14:textId="77777777" w:rsidR="004C746E" w:rsidRPr="00030706" w:rsidRDefault="002626AB" w:rsidP="00030706">
      <w:pPr>
        <w:pStyle w:val="Heading3"/>
        <w:spacing w:before="0" w:beforeAutospacing="0" w:after="0" w:afterAutospacing="0"/>
        <w:jc w:val="both"/>
        <w:rPr>
          <w:sz w:val="24"/>
          <w:szCs w:val="24"/>
        </w:rPr>
      </w:pPr>
      <w:r>
        <w:rPr>
          <w:sz w:val="24"/>
          <w:szCs w:val="24"/>
          <w:highlight w:val="yellow"/>
        </w:rPr>
        <w:t>4.1 Unit Root Tests for Stationarity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1599"/>
        <w:gridCol w:w="1408"/>
        <w:gridCol w:w="1379"/>
        <w:gridCol w:w="1809"/>
        <w:gridCol w:w="1663"/>
      </w:tblGrid>
      <w:tr w:rsidR="004C746E" w14:paraId="1F258AEC" w14:textId="77777777" w:rsidTr="004C746E">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5FF52060" w14:textId="77777777" w:rsidR="004C746E" w:rsidRDefault="004C746E">
            <w:pPr>
              <w:spacing w:after="480"/>
            </w:pPr>
            <w:r>
              <w:rPr>
                <w:rStyle w:val="Strong"/>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59E7EF98" w14:textId="77777777" w:rsidR="004C746E" w:rsidRDefault="004C746E">
            <w:pPr>
              <w:spacing w:after="480"/>
            </w:pPr>
            <w:r>
              <w:rPr>
                <w:rStyle w:val="Strong"/>
              </w:rPr>
              <w:t>Inverse Chi-Squared (P)</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31DF8990" w14:textId="77777777" w:rsidR="004C746E" w:rsidRDefault="004C746E">
            <w:pPr>
              <w:spacing w:after="480"/>
            </w:pPr>
            <w:r>
              <w:rPr>
                <w:rStyle w:val="Strong"/>
              </w:rPr>
              <w:t>Inverse Normal (Z)</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67AD3001" w14:textId="77777777" w:rsidR="004C746E" w:rsidRDefault="004C746E">
            <w:pPr>
              <w:spacing w:after="480"/>
            </w:pPr>
            <w:r>
              <w:rPr>
                <w:rStyle w:val="Strong"/>
              </w:rPr>
              <w:t>Inverse Logit (L</w:t>
            </w:r>
            <w:r>
              <w:rPr>
                <w:rStyle w:val="Strong"/>
                <w:rFonts w:ascii="Cambria Math" w:hAnsi="Cambria Math" w:cs="Cambria Math"/>
              </w:rPr>
              <w:t>∗</w:t>
            </w:r>
            <w:r>
              <w:rPr>
                <w:rStyle w:val="Strong"/>
              </w:rPr>
              <w:t>)</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7A177645" w14:textId="77777777" w:rsidR="004C746E" w:rsidRDefault="004C746E">
            <w:pPr>
              <w:spacing w:after="480"/>
            </w:pPr>
            <w:r>
              <w:rPr>
                <w:rStyle w:val="Strong"/>
              </w:rPr>
              <w:t>Modified Inv. Chi-Squared (Pm​)</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71212216" w14:textId="77777777" w:rsidR="004C746E" w:rsidRDefault="004C746E">
            <w:pPr>
              <w:spacing w:after="480"/>
            </w:pPr>
            <w:r>
              <w:rPr>
                <w:rStyle w:val="Strong"/>
              </w:rPr>
              <w:t>Order of Integration</w:t>
            </w:r>
          </w:p>
        </w:tc>
      </w:tr>
      <w:tr w:rsidR="004C746E" w14:paraId="4BE9A052" w14:textId="77777777" w:rsidTr="004C746E">
        <w:trPr>
          <w:tblCellSpacing w:w="15" w:type="dxa"/>
        </w:trPr>
        <w:tc>
          <w:tcPr>
            <w:tcW w:w="0" w:type="auto"/>
            <w:tcMar>
              <w:top w:w="120" w:type="dxa"/>
              <w:left w:w="180" w:type="dxa"/>
              <w:bottom w:w="120" w:type="dxa"/>
              <w:right w:w="180" w:type="dxa"/>
            </w:tcMar>
            <w:vAlign w:val="center"/>
            <w:hideMark/>
          </w:tcPr>
          <w:p w14:paraId="7E4F4CFB" w14:textId="77777777" w:rsidR="004C746E" w:rsidRDefault="004C746E">
            <w:pPr>
              <w:spacing w:after="480"/>
            </w:pPr>
            <w:r>
              <w:rPr>
                <w:b/>
                <w:bCs/>
              </w:rPr>
              <w:t>NPLR</w:t>
            </w:r>
          </w:p>
        </w:tc>
        <w:tc>
          <w:tcPr>
            <w:tcW w:w="0" w:type="auto"/>
            <w:tcMar>
              <w:top w:w="120" w:type="dxa"/>
              <w:left w:w="180" w:type="dxa"/>
              <w:bottom w:w="120" w:type="dxa"/>
              <w:right w:w="180" w:type="dxa"/>
            </w:tcMar>
            <w:vAlign w:val="center"/>
            <w:hideMark/>
          </w:tcPr>
          <w:p w14:paraId="434943CD" w14:textId="77777777" w:rsidR="004C746E" w:rsidRDefault="004C746E">
            <w:pPr>
              <w:spacing w:after="480"/>
            </w:pPr>
            <w:r>
              <w:t>72.6543 (0.0000)</w:t>
            </w:r>
          </w:p>
        </w:tc>
        <w:tc>
          <w:tcPr>
            <w:tcW w:w="0" w:type="auto"/>
            <w:tcMar>
              <w:top w:w="120" w:type="dxa"/>
              <w:left w:w="180" w:type="dxa"/>
              <w:bottom w:w="120" w:type="dxa"/>
              <w:right w:w="180" w:type="dxa"/>
            </w:tcMar>
            <w:vAlign w:val="center"/>
            <w:hideMark/>
          </w:tcPr>
          <w:p w14:paraId="6CBAEACF" w14:textId="77777777" w:rsidR="004C746E" w:rsidRDefault="004C746E">
            <w:pPr>
              <w:spacing w:after="480"/>
            </w:pPr>
            <w:r>
              <w:t>-4.6397 (0.0000)</w:t>
            </w:r>
          </w:p>
        </w:tc>
        <w:tc>
          <w:tcPr>
            <w:tcW w:w="0" w:type="auto"/>
            <w:tcMar>
              <w:top w:w="120" w:type="dxa"/>
              <w:left w:w="180" w:type="dxa"/>
              <w:bottom w:w="120" w:type="dxa"/>
              <w:right w:w="180" w:type="dxa"/>
            </w:tcMar>
            <w:vAlign w:val="center"/>
            <w:hideMark/>
          </w:tcPr>
          <w:p w14:paraId="59CEF126" w14:textId="77777777" w:rsidR="004C746E" w:rsidRDefault="004C746E">
            <w:pPr>
              <w:spacing w:after="480"/>
            </w:pPr>
            <w:r>
              <w:t>-4.7047 (0.0000)</w:t>
            </w:r>
          </w:p>
        </w:tc>
        <w:tc>
          <w:tcPr>
            <w:tcW w:w="0" w:type="auto"/>
            <w:tcMar>
              <w:top w:w="120" w:type="dxa"/>
              <w:left w:w="180" w:type="dxa"/>
              <w:bottom w:w="120" w:type="dxa"/>
              <w:right w:w="180" w:type="dxa"/>
            </w:tcMar>
            <w:vAlign w:val="center"/>
            <w:hideMark/>
          </w:tcPr>
          <w:p w14:paraId="730612A6" w14:textId="77777777" w:rsidR="004C746E" w:rsidRDefault="004C746E">
            <w:pPr>
              <w:spacing w:after="480"/>
            </w:pPr>
            <w:r>
              <w:t>5.5066 (0.0000)</w:t>
            </w:r>
          </w:p>
        </w:tc>
        <w:tc>
          <w:tcPr>
            <w:tcW w:w="0" w:type="auto"/>
            <w:tcMar>
              <w:top w:w="120" w:type="dxa"/>
              <w:left w:w="180" w:type="dxa"/>
              <w:bottom w:w="120" w:type="dxa"/>
              <w:right w:w="180" w:type="dxa"/>
            </w:tcMar>
            <w:vAlign w:val="center"/>
            <w:hideMark/>
          </w:tcPr>
          <w:p w14:paraId="4B064DF5" w14:textId="77777777" w:rsidR="004C746E" w:rsidRDefault="004C746E">
            <w:pPr>
              <w:spacing w:after="480"/>
            </w:pPr>
            <w:proofErr w:type="gramStart"/>
            <w:r>
              <w:rPr>
                <w:b/>
                <w:bCs/>
              </w:rPr>
              <w:t>I(</w:t>
            </w:r>
            <w:proofErr w:type="gramEnd"/>
            <w:r>
              <w:rPr>
                <w:b/>
                <w:bCs/>
              </w:rPr>
              <w:t>1)</w:t>
            </w:r>
          </w:p>
        </w:tc>
      </w:tr>
      <w:tr w:rsidR="004C746E" w14:paraId="2000C90F" w14:textId="77777777" w:rsidTr="004C746E">
        <w:trPr>
          <w:tblCellSpacing w:w="15" w:type="dxa"/>
        </w:trPr>
        <w:tc>
          <w:tcPr>
            <w:tcW w:w="0" w:type="auto"/>
            <w:tcMar>
              <w:top w:w="120" w:type="dxa"/>
              <w:left w:w="180" w:type="dxa"/>
              <w:bottom w:w="120" w:type="dxa"/>
              <w:right w:w="180" w:type="dxa"/>
            </w:tcMar>
            <w:vAlign w:val="center"/>
            <w:hideMark/>
          </w:tcPr>
          <w:p w14:paraId="5CB84E57" w14:textId="77777777" w:rsidR="004C746E" w:rsidRDefault="004C746E">
            <w:pPr>
              <w:spacing w:after="480"/>
            </w:pPr>
            <w:r>
              <w:rPr>
                <w:b/>
                <w:bCs/>
              </w:rPr>
              <w:t>CR</w:t>
            </w:r>
          </w:p>
        </w:tc>
        <w:tc>
          <w:tcPr>
            <w:tcW w:w="0" w:type="auto"/>
            <w:tcMar>
              <w:top w:w="120" w:type="dxa"/>
              <w:left w:w="180" w:type="dxa"/>
              <w:bottom w:w="120" w:type="dxa"/>
              <w:right w:w="180" w:type="dxa"/>
            </w:tcMar>
            <w:vAlign w:val="center"/>
            <w:hideMark/>
          </w:tcPr>
          <w:p w14:paraId="25A256AB" w14:textId="77777777" w:rsidR="004C746E" w:rsidRDefault="004C746E">
            <w:pPr>
              <w:spacing w:after="480"/>
            </w:pPr>
            <w:r>
              <w:t>64.0140 (0.0000)</w:t>
            </w:r>
          </w:p>
        </w:tc>
        <w:tc>
          <w:tcPr>
            <w:tcW w:w="0" w:type="auto"/>
            <w:tcMar>
              <w:top w:w="120" w:type="dxa"/>
              <w:left w:w="180" w:type="dxa"/>
              <w:bottom w:w="120" w:type="dxa"/>
              <w:right w:w="180" w:type="dxa"/>
            </w:tcMar>
            <w:vAlign w:val="center"/>
            <w:hideMark/>
          </w:tcPr>
          <w:p w14:paraId="5FE3A9A6" w14:textId="77777777" w:rsidR="004C746E" w:rsidRDefault="004C746E">
            <w:pPr>
              <w:spacing w:after="480"/>
            </w:pPr>
            <w:r>
              <w:t>-3.4550 (0.0000)</w:t>
            </w:r>
          </w:p>
        </w:tc>
        <w:tc>
          <w:tcPr>
            <w:tcW w:w="0" w:type="auto"/>
            <w:tcMar>
              <w:top w:w="120" w:type="dxa"/>
              <w:left w:w="180" w:type="dxa"/>
              <w:bottom w:w="120" w:type="dxa"/>
              <w:right w:w="180" w:type="dxa"/>
            </w:tcMar>
            <w:vAlign w:val="center"/>
            <w:hideMark/>
          </w:tcPr>
          <w:p w14:paraId="3BF022BE" w14:textId="77777777" w:rsidR="004C746E" w:rsidRDefault="004C746E">
            <w:pPr>
              <w:spacing w:after="480"/>
            </w:pPr>
            <w:r>
              <w:t>-3.7570 (0.0000)</w:t>
            </w:r>
          </w:p>
        </w:tc>
        <w:tc>
          <w:tcPr>
            <w:tcW w:w="0" w:type="auto"/>
            <w:tcMar>
              <w:top w:w="120" w:type="dxa"/>
              <w:left w:w="180" w:type="dxa"/>
              <w:bottom w:w="120" w:type="dxa"/>
              <w:right w:w="180" w:type="dxa"/>
            </w:tcMar>
            <w:vAlign w:val="center"/>
            <w:hideMark/>
          </w:tcPr>
          <w:p w14:paraId="067199E9" w14:textId="77777777" w:rsidR="004C746E" w:rsidRDefault="004C746E">
            <w:pPr>
              <w:spacing w:after="480"/>
            </w:pPr>
            <w:r>
              <w:t>4.3910 (0.0000)</w:t>
            </w:r>
          </w:p>
        </w:tc>
        <w:tc>
          <w:tcPr>
            <w:tcW w:w="0" w:type="auto"/>
            <w:tcMar>
              <w:top w:w="120" w:type="dxa"/>
              <w:left w:w="180" w:type="dxa"/>
              <w:bottom w:w="120" w:type="dxa"/>
              <w:right w:w="180" w:type="dxa"/>
            </w:tcMar>
            <w:vAlign w:val="center"/>
            <w:hideMark/>
          </w:tcPr>
          <w:p w14:paraId="4F2A2CAD" w14:textId="77777777" w:rsidR="004C746E" w:rsidRDefault="004C746E">
            <w:pPr>
              <w:spacing w:after="480"/>
            </w:pPr>
            <w:proofErr w:type="gramStart"/>
            <w:r>
              <w:rPr>
                <w:b/>
                <w:bCs/>
              </w:rPr>
              <w:t>I(</w:t>
            </w:r>
            <w:proofErr w:type="gramEnd"/>
            <w:r>
              <w:rPr>
                <w:b/>
                <w:bCs/>
              </w:rPr>
              <w:t>0)</w:t>
            </w:r>
          </w:p>
        </w:tc>
      </w:tr>
      <w:tr w:rsidR="004C746E" w14:paraId="2A4BC02E" w14:textId="77777777" w:rsidTr="004C746E">
        <w:trPr>
          <w:tblCellSpacing w:w="15" w:type="dxa"/>
        </w:trPr>
        <w:tc>
          <w:tcPr>
            <w:tcW w:w="0" w:type="auto"/>
            <w:tcMar>
              <w:top w:w="120" w:type="dxa"/>
              <w:left w:w="180" w:type="dxa"/>
              <w:bottom w:w="120" w:type="dxa"/>
              <w:right w:w="180" w:type="dxa"/>
            </w:tcMar>
            <w:vAlign w:val="center"/>
            <w:hideMark/>
          </w:tcPr>
          <w:p w14:paraId="592E009E" w14:textId="77777777" w:rsidR="004C746E" w:rsidRDefault="004C746E">
            <w:pPr>
              <w:spacing w:after="480"/>
            </w:pPr>
            <w:r>
              <w:rPr>
                <w:b/>
                <w:bCs/>
              </w:rPr>
              <w:t>ETAR</w:t>
            </w:r>
          </w:p>
        </w:tc>
        <w:tc>
          <w:tcPr>
            <w:tcW w:w="0" w:type="auto"/>
            <w:tcMar>
              <w:top w:w="120" w:type="dxa"/>
              <w:left w:w="180" w:type="dxa"/>
              <w:bottom w:w="120" w:type="dxa"/>
              <w:right w:w="180" w:type="dxa"/>
            </w:tcMar>
            <w:vAlign w:val="center"/>
            <w:hideMark/>
          </w:tcPr>
          <w:p w14:paraId="54DA81C4" w14:textId="77777777" w:rsidR="004C746E" w:rsidRDefault="004C746E">
            <w:pPr>
              <w:spacing w:after="480"/>
            </w:pPr>
            <w:r>
              <w:t>89.5970 (0.0000)</w:t>
            </w:r>
          </w:p>
        </w:tc>
        <w:tc>
          <w:tcPr>
            <w:tcW w:w="0" w:type="auto"/>
            <w:tcMar>
              <w:top w:w="120" w:type="dxa"/>
              <w:left w:w="180" w:type="dxa"/>
              <w:bottom w:w="120" w:type="dxa"/>
              <w:right w:w="180" w:type="dxa"/>
            </w:tcMar>
            <w:vAlign w:val="center"/>
            <w:hideMark/>
          </w:tcPr>
          <w:p w14:paraId="5DB12A45" w14:textId="77777777" w:rsidR="004C746E" w:rsidRDefault="004C746E">
            <w:pPr>
              <w:spacing w:after="480"/>
            </w:pPr>
            <w:r>
              <w:t>-3.1720 (0.0010)</w:t>
            </w:r>
          </w:p>
        </w:tc>
        <w:tc>
          <w:tcPr>
            <w:tcW w:w="0" w:type="auto"/>
            <w:tcMar>
              <w:top w:w="120" w:type="dxa"/>
              <w:left w:w="180" w:type="dxa"/>
              <w:bottom w:w="120" w:type="dxa"/>
              <w:right w:w="180" w:type="dxa"/>
            </w:tcMar>
            <w:vAlign w:val="center"/>
            <w:hideMark/>
          </w:tcPr>
          <w:p w14:paraId="70AF92BF" w14:textId="77777777" w:rsidR="004C746E" w:rsidRDefault="004C746E">
            <w:pPr>
              <w:spacing w:after="480"/>
            </w:pPr>
            <w:r>
              <w:t>-5.3490 (0.0000)</w:t>
            </w:r>
          </w:p>
        </w:tc>
        <w:tc>
          <w:tcPr>
            <w:tcW w:w="0" w:type="auto"/>
            <w:tcMar>
              <w:top w:w="120" w:type="dxa"/>
              <w:left w:w="180" w:type="dxa"/>
              <w:bottom w:w="120" w:type="dxa"/>
              <w:right w:w="180" w:type="dxa"/>
            </w:tcMar>
            <w:vAlign w:val="center"/>
            <w:hideMark/>
          </w:tcPr>
          <w:p w14:paraId="1A9DA8FE" w14:textId="77777777" w:rsidR="004C746E" w:rsidRDefault="004C746E">
            <w:pPr>
              <w:spacing w:after="480"/>
            </w:pPr>
            <w:r>
              <w:t>7.6940 (0.0000)</w:t>
            </w:r>
          </w:p>
        </w:tc>
        <w:tc>
          <w:tcPr>
            <w:tcW w:w="0" w:type="auto"/>
            <w:tcMar>
              <w:top w:w="120" w:type="dxa"/>
              <w:left w:w="180" w:type="dxa"/>
              <w:bottom w:w="120" w:type="dxa"/>
              <w:right w:w="180" w:type="dxa"/>
            </w:tcMar>
            <w:vAlign w:val="center"/>
            <w:hideMark/>
          </w:tcPr>
          <w:p w14:paraId="2D68D8A3" w14:textId="77777777" w:rsidR="004C746E" w:rsidRDefault="004C746E">
            <w:pPr>
              <w:spacing w:after="480"/>
            </w:pPr>
            <w:proofErr w:type="gramStart"/>
            <w:r>
              <w:rPr>
                <w:b/>
                <w:bCs/>
              </w:rPr>
              <w:t>I(</w:t>
            </w:r>
            <w:proofErr w:type="gramEnd"/>
            <w:r>
              <w:rPr>
                <w:b/>
                <w:bCs/>
              </w:rPr>
              <w:t>0)</w:t>
            </w:r>
          </w:p>
        </w:tc>
      </w:tr>
      <w:tr w:rsidR="004C746E" w14:paraId="5D074D66" w14:textId="77777777" w:rsidTr="004C746E">
        <w:trPr>
          <w:tblCellSpacing w:w="15" w:type="dxa"/>
        </w:trPr>
        <w:tc>
          <w:tcPr>
            <w:tcW w:w="0" w:type="auto"/>
            <w:tcMar>
              <w:top w:w="120" w:type="dxa"/>
              <w:left w:w="180" w:type="dxa"/>
              <w:bottom w:w="120" w:type="dxa"/>
              <w:right w:w="180" w:type="dxa"/>
            </w:tcMar>
            <w:vAlign w:val="center"/>
            <w:hideMark/>
          </w:tcPr>
          <w:p w14:paraId="37186BD2" w14:textId="77777777" w:rsidR="004C746E" w:rsidRDefault="004C746E">
            <w:pPr>
              <w:spacing w:after="480"/>
            </w:pPr>
            <w:r>
              <w:rPr>
                <w:b/>
                <w:bCs/>
              </w:rPr>
              <w:t>FR</w:t>
            </w:r>
          </w:p>
        </w:tc>
        <w:tc>
          <w:tcPr>
            <w:tcW w:w="0" w:type="auto"/>
            <w:tcMar>
              <w:top w:w="120" w:type="dxa"/>
              <w:left w:w="180" w:type="dxa"/>
              <w:bottom w:w="120" w:type="dxa"/>
              <w:right w:w="180" w:type="dxa"/>
            </w:tcMar>
            <w:vAlign w:val="center"/>
            <w:hideMark/>
          </w:tcPr>
          <w:p w14:paraId="3EED193A" w14:textId="77777777" w:rsidR="004C746E" w:rsidRDefault="004C746E">
            <w:pPr>
              <w:spacing w:after="480"/>
            </w:pPr>
            <w:r>
              <w:t>183.8280 (0.0000)</w:t>
            </w:r>
          </w:p>
        </w:tc>
        <w:tc>
          <w:tcPr>
            <w:tcW w:w="0" w:type="auto"/>
            <w:tcMar>
              <w:top w:w="120" w:type="dxa"/>
              <w:left w:w="180" w:type="dxa"/>
              <w:bottom w:w="120" w:type="dxa"/>
              <w:right w:w="180" w:type="dxa"/>
            </w:tcMar>
            <w:vAlign w:val="center"/>
            <w:hideMark/>
          </w:tcPr>
          <w:p w14:paraId="28ED99EB" w14:textId="77777777" w:rsidR="004C746E" w:rsidRDefault="004C746E">
            <w:pPr>
              <w:spacing w:after="480"/>
            </w:pPr>
            <w:r>
              <w:t>-6.3790 (0.0000)</w:t>
            </w:r>
          </w:p>
        </w:tc>
        <w:tc>
          <w:tcPr>
            <w:tcW w:w="0" w:type="auto"/>
            <w:tcMar>
              <w:top w:w="120" w:type="dxa"/>
              <w:left w:w="180" w:type="dxa"/>
              <w:bottom w:w="120" w:type="dxa"/>
              <w:right w:w="180" w:type="dxa"/>
            </w:tcMar>
            <w:vAlign w:val="center"/>
            <w:hideMark/>
          </w:tcPr>
          <w:p w14:paraId="3E3689AA" w14:textId="77777777" w:rsidR="004C746E" w:rsidRDefault="004C746E">
            <w:pPr>
              <w:spacing w:after="480"/>
            </w:pPr>
            <w:r>
              <w:t>-12.0890 (0.0000)</w:t>
            </w:r>
          </w:p>
        </w:tc>
        <w:tc>
          <w:tcPr>
            <w:tcW w:w="0" w:type="auto"/>
            <w:tcMar>
              <w:top w:w="120" w:type="dxa"/>
              <w:left w:w="180" w:type="dxa"/>
              <w:bottom w:w="120" w:type="dxa"/>
              <w:right w:w="180" w:type="dxa"/>
            </w:tcMar>
            <w:vAlign w:val="center"/>
            <w:hideMark/>
          </w:tcPr>
          <w:p w14:paraId="4D4C0890" w14:textId="77777777" w:rsidR="004C746E" w:rsidRDefault="004C746E">
            <w:pPr>
              <w:spacing w:after="480"/>
            </w:pPr>
            <w:r>
              <w:t>19.8590 (0.0000)</w:t>
            </w:r>
          </w:p>
        </w:tc>
        <w:tc>
          <w:tcPr>
            <w:tcW w:w="0" w:type="auto"/>
            <w:tcMar>
              <w:top w:w="120" w:type="dxa"/>
              <w:left w:w="180" w:type="dxa"/>
              <w:bottom w:w="120" w:type="dxa"/>
              <w:right w:w="180" w:type="dxa"/>
            </w:tcMar>
            <w:vAlign w:val="center"/>
            <w:hideMark/>
          </w:tcPr>
          <w:p w14:paraId="78F152ED" w14:textId="77777777" w:rsidR="004C746E" w:rsidRDefault="004C746E">
            <w:pPr>
              <w:spacing w:after="480"/>
            </w:pPr>
            <w:proofErr w:type="gramStart"/>
            <w:r>
              <w:rPr>
                <w:b/>
                <w:bCs/>
              </w:rPr>
              <w:t>I(</w:t>
            </w:r>
            <w:proofErr w:type="gramEnd"/>
            <w:r>
              <w:rPr>
                <w:b/>
                <w:bCs/>
              </w:rPr>
              <w:t>1)</w:t>
            </w:r>
          </w:p>
        </w:tc>
      </w:tr>
      <w:tr w:rsidR="004C746E" w14:paraId="3BCDB08A" w14:textId="77777777" w:rsidTr="004C746E">
        <w:trPr>
          <w:tblCellSpacing w:w="15" w:type="dxa"/>
        </w:trPr>
        <w:tc>
          <w:tcPr>
            <w:tcW w:w="0" w:type="auto"/>
            <w:tcMar>
              <w:top w:w="120" w:type="dxa"/>
              <w:left w:w="180" w:type="dxa"/>
              <w:bottom w:w="120" w:type="dxa"/>
              <w:right w:w="180" w:type="dxa"/>
            </w:tcMar>
            <w:vAlign w:val="center"/>
            <w:hideMark/>
          </w:tcPr>
          <w:p w14:paraId="7C313345" w14:textId="77777777" w:rsidR="004C746E" w:rsidRDefault="004C746E">
            <w:pPr>
              <w:spacing w:after="480"/>
            </w:pPr>
            <w:r>
              <w:rPr>
                <w:b/>
                <w:bCs/>
              </w:rPr>
              <w:t>OR</w:t>
            </w:r>
          </w:p>
        </w:tc>
        <w:tc>
          <w:tcPr>
            <w:tcW w:w="0" w:type="auto"/>
            <w:tcMar>
              <w:top w:w="120" w:type="dxa"/>
              <w:left w:w="180" w:type="dxa"/>
              <w:bottom w:w="120" w:type="dxa"/>
              <w:right w:w="180" w:type="dxa"/>
            </w:tcMar>
            <w:vAlign w:val="center"/>
            <w:hideMark/>
          </w:tcPr>
          <w:p w14:paraId="0688C984" w14:textId="77777777" w:rsidR="004C746E" w:rsidRDefault="004C746E">
            <w:pPr>
              <w:spacing w:after="480"/>
            </w:pPr>
            <w:r>
              <w:t>63.1380 (0.0000)</w:t>
            </w:r>
          </w:p>
        </w:tc>
        <w:tc>
          <w:tcPr>
            <w:tcW w:w="0" w:type="auto"/>
            <w:tcMar>
              <w:top w:w="120" w:type="dxa"/>
              <w:left w:w="180" w:type="dxa"/>
              <w:bottom w:w="120" w:type="dxa"/>
              <w:right w:w="180" w:type="dxa"/>
            </w:tcMar>
            <w:vAlign w:val="center"/>
            <w:hideMark/>
          </w:tcPr>
          <w:p w14:paraId="48A792B6" w14:textId="77777777" w:rsidR="004C746E" w:rsidRDefault="004C746E">
            <w:pPr>
              <w:spacing w:after="480"/>
            </w:pPr>
            <w:r>
              <w:t>-3.7220 (0.0000)</w:t>
            </w:r>
          </w:p>
        </w:tc>
        <w:tc>
          <w:tcPr>
            <w:tcW w:w="0" w:type="auto"/>
            <w:tcMar>
              <w:top w:w="120" w:type="dxa"/>
              <w:left w:w="180" w:type="dxa"/>
              <w:bottom w:w="120" w:type="dxa"/>
              <w:right w:w="180" w:type="dxa"/>
            </w:tcMar>
            <w:vAlign w:val="center"/>
            <w:hideMark/>
          </w:tcPr>
          <w:p w14:paraId="5FB42E13" w14:textId="77777777" w:rsidR="004C746E" w:rsidRDefault="004C746E">
            <w:pPr>
              <w:spacing w:after="480"/>
            </w:pPr>
            <w:r>
              <w:t>-3.8360 (0.0000)</w:t>
            </w:r>
          </w:p>
        </w:tc>
        <w:tc>
          <w:tcPr>
            <w:tcW w:w="0" w:type="auto"/>
            <w:tcMar>
              <w:top w:w="120" w:type="dxa"/>
              <w:left w:w="180" w:type="dxa"/>
              <w:bottom w:w="120" w:type="dxa"/>
              <w:right w:w="180" w:type="dxa"/>
            </w:tcMar>
            <w:vAlign w:val="center"/>
            <w:hideMark/>
          </w:tcPr>
          <w:p w14:paraId="1E588691" w14:textId="77777777" w:rsidR="004C746E" w:rsidRDefault="004C746E">
            <w:pPr>
              <w:spacing w:after="480"/>
            </w:pPr>
            <w:r>
              <w:t>4.2780 (0.0000)</w:t>
            </w:r>
          </w:p>
        </w:tc>
        <w:tc>
          <w:tcPr>
            <w:tcW w:w="0" w:type="auto"/>
            <w:tcMar>
              <w:top w:w="120" w:type="dxa"/>
              <w:left w:w="180" w:type="dxa"/>
              <w:bottom w:w="120" w:type="dxa"/>
              <w:right w:w="180" w:type="dxa"/>
            </w:tcMar>
            <w:vAlign w:val="center"/>
            <w:hideMark/>
          </w:tcPr>
          <w:p w14:paraId="452F1F39" w14:textId="77777777" w:rsidR="004C746E" w:rsidRDefault="004C746E">
            <w:pPr>
              <w:spacing w:after="480"/>
            </w:pPr>
            <w:proofErr w:type="gramStart"/>
            <w:r>
              <w:rPr>
                <w:b/>
                <w:bCs/>
              </w:rPr>
              <w:t>I(</w:t>
            </w:r>
            <w:proofErr w:type="gramEnd"/>
            <w:r>
              <w:rPr>
                <w:b/>
                <w:bCs/>
              </w:rPr>
              <w:t>0)</w:t>
            </w:r>
          </w:p>
        </w:tc>
      </w:tr>
      <w:tr w:rsidR="004C746E" w14:paraId="19DC2EAA" w14:textId="77777777" w:rsidTr="004C746E">
        <w:trPr>
          <w:tblCellSpacing w:w="15" w:type="dxa"/>
        </w:trPr>
        <w:tc>
          <w:tcPr>
            <w:tcW w:w="0" w:type="auto"/>
            <w:tcMar>
              <w:top w:w="120" w:type="dxa"/>
              <w:left w:w="180" w:type="dxa"/>
              <w:bottom w:w="120" w:type="dxa"/>
              <w:right w:w="180" w:type="dxa"/>
            </w:tcMar>
            <w:vAlign w:val="center"/>
            <w:hideMark/>
          </w:tcPr>
          <w:p w14:paraId="5CFA6803" w14:textId="77777777" w:rsidR="004C746E" w:rsidRDefault="004C746E">
            <w:pPr>
              <w:spacing w:after="480"/>
            </w:pPr>
            <w:r>
              <w:rPr>
                <w:b/>
                <w:bCs/>
              </w:rPr>
              <w:t>MR</w:t>
            </w:r>
          </w:p>
        </w:tc>
        <w:tc>
          <w:tcPr>
            <w:tcW w:w="0" w:type="auto"/>
            <w:tcMar>
              <w:top w:w="120" w:type="dxa"/>
              <w:left w:w="180" w:type="dxa"/>
              <w:bottom w:w="120" w:type="dxa"/>
              <w:right w:w="180" w:type="dxa"/>
            </w:tcMar>
            <w:vAlign w:val="center"/>
            <w:hideMark/>
          </w:tcPr>
          <w:p w14:paraId="0D7518AE" w14:textId="77777777" w:rsidR="004C746E" w:rsidRDefault="004C746E">
            <w:pPr>
              <w:spacing w:after="480"/>
            </w:pPr>
            <w:r>
              <w:t>108.2100 (0.0000)</w:t>
            </w:r>
          </w:p>
        </w:tc>
        <w:tc>
          <w:tcPr>
            <w:tcW w:w="0" w:type="auto"/>
            <w:tcMar>
              <w:top w:w="120" w:type="dxa"/>
              <w:left w:w="180" w:type="dxa"/>
              <w:bottom w:w="120" w:type="dxa"/>
              <w:right w:w="180" w:type="dxa"/>
            </w:tcMar>
            <w:vAlign w:val="center"/>
            <w:hideMark/>
          </w:tcPr>
          <w:p w14:paraId="604079AA" w14:textId="77777777" w:rsidR="004C746E" w:rsidRDefault="004C746E">
            <w:pPr>
              <w:spacing w:after="480"/>
            </w:pPr>
            <w:r>
              <w:t>-5.1280 (0.0000)</w:t>
            </w:r>
          </w:p>
        </w:tc>
        <w:tc>
          <w:tcPr>
            <w:tcW w:w="0" w:type="auto"/>
            <w:tcMar>
              <w:top w:w="120" w:type="dxa"/>
              <w:left w:w="180" w:type="dxa"/>
              <w:bottom w:w="120" w:type="dxa"/>
              <w:right w:w="180" w:type="dxa"/>
            </w:tcMar>
            <w:vAlign w:val="center"/>
            <w:hideMark/>
          </w:tcPr>
          <w:p w14:paraId="24886047" w14:textId="77777777" w:rsidR="004C746E" w:rsidRDefault="004C746E">
            <w:pPr>
              <w:spacing w:after="480"/>
            </w:pPr>
            <w:r>
              <w:t>-6.9540 (0.0000)</w:t>
            </w:r>
          </w:p>
        </w:tc>
        <w:tc>
          <w:tcPr>
            <w:tcW w:w="0" w:type="auto"/>
            <w:tcMar>
              <w:top w:w="120" w:type="dxa"/>
              <w:left w:w="180" w:type="dxa"/>
              <w:bottom w:w="120" w:type="dxa"/>
              <w:right w:w="180" w:type="dxa"/>
            </w:tcMar>
            <w:vAlign w:val="center"/>
            <w:hideMark/>
          </w:tcPr>
          <w:p w14:paraId="1EE23E64" w14:textId="77777777" w:rsidR="004C746E" w:rsidRDefault="004C746E">
            <w:pPr>
              <w:spacing w:after="480"/>
            </w:pPr>
            <w:r>
              <w:t>10.0970 (0.0000)</w:t>
            </w:r>
          </w:p>
        </w:tc>
        <w:tc>
          <w:tcPr>
            <w:tcW w:w="0" w:type="auto"/>
            <w:tcMar>
              <w:top w:w="120" w:type="dxa"/>
              <w:left w:w="180" w:type="dxa"/>
              <w:bottom w:w="120" w:type="dxa"/>
              <w:right w:w="180" w:type="dxa"/>
            </w:tcMar>
            <w:vAlign w:val="center"/>
            <w:hideMark/>
          </w:tcPr>
          <w:p w14:paraId="68803773" w14:textId="77777777" w:rsidR="004C746E" w:rsidRDefault="004C746E">
            <w:pPr>
              <w:spacing w:after="480"/>
            </w:pPr>
            <w:proofErr w:type="gramStart"/>
            <w:r>
              <w:rPr>
                <w:b/>
                <w:bCs/>
              </w:rPr>
              <w:t>I(</w:t>
            </w:r>
            <w:proofErr w:type="gramEnd"/>
            <w:r>
              <w:rPr>
                <w:b/>
                <w:bCs/>
              </w:rPr>
              <w:t>0)</w:t>
            </w:r>
          </w:p>
        </w:tc>
      </w:tr>
      <w:tr w:rsidR="004C746E" w14:paraId="12AC2A89" w14:textId="77777777" w:rsidTr="004C746E">
        <w:trPr>
          <w:tblCellSpacing w:w="15" w:type="dxa"/>
        </w:trPr>
        <w:tc>
          <w:tcPr>
            <w:tcW w:w="0" w:type="auto"/>
            <w:tcMar>
              <w:top w:w="120" w:type="dxa"/>
              <w:left w:w="180" w:type="dxa"/>
              <w:bottom w:w="120" w:type="dxa"/>
              <w:right w:w="180" w:type="dxa"/>
            </w:tcMar>
            <w:vAlign w:val="center"/>
            <w:hideMark/>
          </w:tcPr>
          <w:p w14:paraId="2EF6FB36" w14:textId="77777777" w:rsidR="004C746E" w:rsidRDefault="004C746E">
            <w:pPr>
              <w:spacing w:after="480"/>
            </w:pPr>
            <w:r>
              <w:rPr>
                <w:b/>
                <w:bCs/>
              </w:rPr>
              <w:lastRenderedPageBreak/>
              <w:t>CPI</w:t>
            </w:r>
          </w:p>
        </w:tc>
        <w:tc>
          <w:tcPr>
            <w:tcW w:w="0" w:type="auto"/>
            <w:tcMar>
              <w:top w:w="120" w:type="dxa"/>
              <w:left w:w="180" w:type="dxa"/>
              <w:bottom w:w="120" w:type="dxa"/>
              <w:right w:w="180" w:type="dxa"/>
            </w:tcMar>
            <w:vAlign w:val="center"/>
            <w:hideMark/>
          </w:tcPr>
          <w:p w14:paraId="54101D15" w14:textId="77777777" w:rsidR="004C746E" w:rsidRDefault="004C746E">
            <w:pPr>
              <w:spacing w:after="480"/>
            </w:pPr>
            <w:r>
              <w:t>65.3380 (0.0000)</w:t>
            </w:r>
          </w:p>
        </w:tc>
        <w:tc>
          <w:tcPr>
            <w:tcW w:w="0" w:type="auto"/>
            <w:tcMar>
              <w:top w:w="120" w:type="dxa"/>
              <w:left w:w="180" w:type="dxa"/>
              <w:bottom w:w="120" w:type="dxa"/>
              <w:right w:w="180" w:type="dxa"/>
            </w:tcMar>
            <w:vAlign w:val="center"/>
            <w:hideMark/>
          </w:tcPr>
          <w:p w14:paraId="0938A000" w14:textId="77777777" w:rsidR="004C746E" w:rsidRDefault="004C746E">
            <w:pPr>
              <w:spacing w:after="480"/>
            </w:pPr>
            <w:r>
              <w:t>-2.5060 (0.0060)</w:t>
            </w:r>
          </w:p>
        </w:tc>
        <w:tc>
          <w:tcPr>
            <w:tcW w:w="0" w:type="auto"/>
            <w:tcMar>
              <w:top w:w="120" w:type="dxa"/>
              <w:left w:w="180" w:type="dxa"/>
              <w:bottom w:w="120" w:type="dxa"/>
              <w:right w:w="180" w:type="dxa"/>
            </w:tcMar>
            <w:vAlign w:val="center"/>
            <w:hideMark/>
          </w:tcPr>
          <w:p w14:paraId="5C5ECCA8" w14:textId="77777777" w:rsidR="004C746E" w:rsidRDefault="004C746E">
            <w:pPr>
              <w:spacing w:after="480"/>
            </w:pPr>
            <w:r>
              <w:t>-2.8520 (0.0030)</w:t>
            </w:r>
          </w:p>
        </w:tc>
        <w:tc>
          <w:tcPr>
            <w:tcW w:w="0" w:type="auto"/>
            <w:tcMar>
              <w:top w:w="120" w:type="dxa"/>
              <w:left w:w="180" w:type="dxa"/>
              <w:bottom w:w="120" w:type="dxa"/>
              <w:right w:w="180" w:type="dxa"/>
            </w:tcMar>
            <w:vAlign w:val="center"/>
            <w:hideMark/>
          </w:tcPr>
          <w:p w14:paraId="3BDE2CC3" w14:textId="77777777" w:rsidR="004C746E" w:rsidRDefault="004C746E">
            <w:pPr>
              <w:spacing w:after="480"/>
            </w:pPr>
            <w:r>
              <w:t>4.5620 (0.0000)</w:t>
            </w:r>
          </w:p>
        </w:tc>
        <w:tc>
          <w:tcPr>
            <w:tcW w:w="0" w:type="auto"/>
            <w:tcMar>
              <w:top w:w="120" w:type="dxa"/>
              <w:left w:w="180" w:type="dxa"/>
              <w:bottom w:w="120" w:type="dxa"/>
              <w:right w:w="180" w:type="dxa"/>
            </w:tcMar>
            <w:vAlign w:val="center"/>
            <w:hideMark/>
          </w:tcPr>
          <w:p w14:paraId="5568059D" w14:textId="77777777" w:rsidR="004C746E" w:rsidRDefault="004C746E">
            <w:pPr>
              <w:spacing w:after="480"/>
            </w:pPr>
            <w:proofErr w:type="gramStart"/>
            <w:r>
              <w:rPr>
                <w:b/>
                <w:bCs/>
              </w:rPr>
              <w:t>I(</w:t>
            </w:r>
            <w:proofErr w:type="gramEnd"/>
            <w:r>
              <w:rPr>
                <w:b/>
                <w:bCs/>
              </w:rPr>
              <w:t>0)</w:t>
            </w:r>
          </w:p>
        </w:tc>
      </w:tr>
      <w:tr w:rsidR="004C746E" w14:paraId="236159E4" w14:textId="77777777" w:rsidTr="004C746E">
        <w:trPr>
          <w:tblCellSpacing w:w="15" w:type="dxa"/>
        </w:trPr>
        <w:tc>
          <w:tcPr>
            <w:tcW w:w="0" w:type="auto"/>
            <w:tcMar>
              <w:top w:w="120" w:type="dxa"/>
              <w:left w:w="180" w:type="dxa"/>
              <w:bottom w:w="120" w:type="dxa"/>
              <w:right w:w="180" w:type="dxa"/>
            </w:tcMar>
            <w:vAlign w:val="center"/>
            <w:hideMark/>
          </w:tcPr>
          <w:p w14:paraId="71E87CB8" w14:textId="77777777" w:rsidR="004C746E" w:rsidRDefault="004C746E">
            <w:pPr>
              <w:spacing w:after="480"/>
            </w:pPr>
            <w:r>
              <w:rPr>
                <w:b/>
                <w:bCs/>
              </w:rPr>
              <w:t>IVI</w:t>
            </w:r>
          </w:p>
        </w:tc>
        <w:tc>
          <w:tcPr>
            <w:tcW w:w="0" w:type="auto"/>
            <w:tcMar>
              <w:top w:w="120" w:type="dxa"/>
              <w:left w:w="180" w:type="dxa"/>
              <w:bottom w:w="120" w:type="dxa"/>
              <w:right w:w="180" w:type="dxa"/>
            </w:tcMar>
            <w:vAlign w:val="center"/>
            <w:hideMark/>
          </w:tcPr>
          <w:p w14:paraId="7F058C76" w14:textId="77777777" w:rsidR="004C746E" w:rsidRDefault="004C746E">
            <w:pPr>
              <w:spacing w:after="480"/>
            </w:pPr>
            <w:r>
              <w:t>65.3380 (0.0000)</w:t>
            </w:r>
          </w:p>
        </w:tc>
        <w:tc>
          <w:tcPr>
            <w:tcW w:w="0" w:type="auto"/>
            <w:tcMar>
              <w:top w:w="120" w:type="dxa"/>
              <w:left w:w="180" w:type="dxa"/>
              <w:bottom w:w="120" w:type="dxa"/>
              <w:right w:w="180" w:type="dxa"/>
            </w:tcMar>
            <w:vAlign w:val="center"/>
            <w:hideMark/>
          </w:tcPr>
          <w:p w14:paraId="12EA812F" w14:textId="77777777" w:rsidR="004C746E" w:rsidRDefault="004C746E">
            <w:pPr>
              <w:spacing w:after="480"/>
            </w:pPr>
            <w:r>
              <w:t>-2.5060 (0.0060)</w:t>
            </w:r>
          </w:p>
        </w:tc>
        <w:tc>
          <w:tcPr>
            <w:tcW w:w="0" w:type="auto"/>
            <w:tcMar>
              <w:top w:w="120" w:type="dxa"/>
              <w:left w:w="180" w:type="dxa"/>
              <w:bottom w:w="120" w:type="dxa"/>
              <w:right w:w="180" w:type="dxa"/>
            </w:tcMar>
            <w:vAlign w:val="center"/>
            <w:hideMark/>
          </w:tcPr>
          <w:p w14:paraId="496A945B" w14:textId="77777777" w:rsidR="004C746E" w:rsidRDefault="004C746E">
            <w:pPr>
              <w:spacing w:after="480"/>
            </w:pPr>
            <w:r>
              <w:t>-2.8520 (0.0030)</w:t>
            </w:r>
          </w:p>
        </w:tc>
        <w:tc>
          <w:tcPr>
            <w:tcW w:w="0" w:type="auto"/>
            <w:tcMar>
              <w:top w:w="120" w:type="dxa"/>
              <w:left w:w="180" w:type="dxa"/>
              <w:bottom w:w="120" w:type="dxa"/>
              <w:right w:w="180" w:type="dxa"/>
            </w:tcMar>
            <w:vAlign w:val="center"/>
            <w:hideMark/>
          </w:tcPr>
          <w:p w14:paraId="18CA4E50" w14:textId="77777777" w:rsidR="004C746E" w:rsidRDefault="004C746E">
            <w:pPr>
              <w:spacing w:after="480"/>
            </w:pPr>
            <w:r>
              <w:t>4.5620 (0.0000)</w:t>
            </w:r>
          </w:p>
        </w:tc>
        <w:tc>
          <w:tcPr>
            <w:tcW w:w="0" w:type="auto"/>
            <w:tcMar>
              <w:top w:w="120" w:type="dxa"/>
              <w:left w:w="180" w:type="dxa"/>
              <w:bottom w:w="120" w:type="dxa"/>
              <w:right w:w="180" w:type="dxa"/>
            </w:tcMar>
            <w:vAlign w:val="center"/>
            <w:hideMark/>
          </w:tcPr>
          <w:p w14:paraId="242B1214" w14:textId="77777777" w:rsidR="004C746E" w:rsidRDefault="004C746E">
            <w:pPr>
              <w:spacing w:after="480"/>
            </w:pPr>
            <w:proofErr w:type="gramStart"/>
            <w:r>
              <w:rPr>
                <w:b/>
                <w:bCs/>
              </w:rPr>
              <w:t>I(</w:t>
            </w:r>
            <w:proofErr w:type="gramEnd"/>
            <w:r>
              <w:rPr>
                <w:b/>
                <w:bCs/>
              </w:rPr>
              <w:t>0)</w:t>
            </w:r>
          </w:p>
        </w:tc>
      </w:tr>
      <w:tr w:rsidR="004C746E" w14:paraId="1010280C" w14:textId="77777777" w:rsidTr="004C746E">
        <w:trPr>
          <w:tblCellSpacing w:w="15" w:type="dxa"/>
        </w:trPr>
        <w:tc>
          <w:tcPr>
            <w:tcW w:w="0" w:type="auto"/>
            <w:tcMar>
              <w:top w:w="120" w:type="dxa"/>
              <w:left w:w="180" w:type="dxa"/>
              <w:bottom w:w="120" w:type="dxa"/>
              <w:right w:w="180" w:type="dxa"/>
            </w:tcMar>
            <w:vAlign w:val="center"/>
            <w:hideMark/>
          </w:tcPr>
          <w:p w14:paraId="68C24463" w14:textId="77777777" w:rsidR="004C746E" w:rsidRDefault="004C746E">
            <w:pPr>
              <w:spacing w:after="480"/>
            </w:pPr>
            <w:r>
              <w:rPr>
                <w:b/>
                <w:bCs/>
              </w:rPr>
              <w:t>ETR</w:t>
            </w:r>
          </w:p>
        </w:tc>
        <w:tc>
          <w:tcPr>
            <w:tcW w:w="0" w:type="auto"/>
            <w:tcMar>
              <w:top w:w="120" w:type="dxa"/>
              <w:left w:w="180" w:type="dxa"/>
              <w:bottom w:w="120" w:type="dxa"/>
              <w:right w:w="180" w:type="dxa"/>
            </w:tcMar>
            <w:vAlign w:val="center"/>
            <w:hideMark/>
          </w:tcPr>
          <w:p w14:paraId="7FC66B85" w14:textId="77777777" w:rsidR="004C746E" w:rsidRDefault="004C746E">
            <w:pPr>
              <w:spacing w:after="480"/>
            </w:pPr>
            <w:r>
              <w:t>94.6240 (0.0000)</w:t>
            </w:r>
          </w:p>
        </w:tc>
        <w:tc>
          <w:tcPr>
            <w:tcW w:w="0" w:type="auto"/>
            <w:tcMar>
              <w:top w:w="120" w:type="dxa"/>
              <w:left w:w="180" w:type="dxa"/>
              <w:bottom w:w="120" w:type="dxa"/>
              <w:right w:w="180" w:type="dxa"/>
            </w:tcMar>
            <w:vAlign w:val="center"/>
            <w:hideMark/>
          </w:tcPr>
          <w:p w14:paraId="7A17BA2F" w14:textId="77777777" w:rsidR="004C746E" w:rsidRDefault="004C746E">
            <w:pPr>
              <w:spacing w:after="480"/>
            </w:pPr>
            <w:r>
              <w:t>-4.5690 (0.0000)</w:t>
            </w:r>
          </w:p>
        </w:tc>
        <w:tc>
          <w:tcPr>
            <w:tcW w:w="0" w:type="auto"/>
            <w:tcMar>
              <w:top w:w="120" w:type="dxa"/>
              <w:left w:w="180" w:type="dxa"/>
              <w:bottom w:w="120" w:type="dxa"/>
              <w:right w:w="180" w:type="dxa"/>
            </w:tcMar>
            <w:vAlign w:val="center"/>
            <w:hideMark/>
          </w:tcPr>
          <w:p w14:paraId="7B4E9A6D" w14:textId="77777777" w:rsidR="004C746E" w:rsidRDefault="004C746E">
            <w:pPr>
              <w:spacing w:after="480"/>
            </w:pPr>
            <w:r>
              <w:t>-5.4210 (0.0000)</w:t>
            </w:r>
          </w:p>
        </w:tc>
        <w:tc>
          <w:tcPr>
            <w:tcW w:w="0" w:type="auto"/>
            <w:tcMar>
              <w:top w:w="120" w:type="dxa"/>
              <w:left w:w="180" w:type="dxa"/>
              <w:bottom w:w="120" w:type="dxa"/>
              <w:right w:w="180" w:type="dxa"/>
            </w:tcMar>
            <w:vAlign w:val="center"/>
            <w:hideMark/>
          </w:tcPr>
          <w:p w14:paraId="11874375" w14:textId="77777777" w:rsidR="004C746E" w:rsidRDefault="004C746E">
            <w:pPr>
              <w:spacing w:after="480"/>
            </w:pPr>
            <w:r>
              <w:t>8.3430 (0.0000)</w:t>
            </w:r>
          </w:p>
        </w:tc>
        <w:tc>
          <w:tcPr>
            <w:tcW w:w="0" w:type="auto"/>
            <w:tcMar>
              <w:top w:w="120" w:type="dxa"/>
              <w:left w:w="180" w:type="dxa"/>
              <w:bottom w:w="120" w:type="dxa"/>
              <w:right w:w="180" w:type="dxa"/>
            </w:tcMar>
            <w:vAlign w:val="center"/>
            <w:hideMark/>
          </w:tcPr>
          <w:p w14:paraId="0D339CB9" w14:textId="77777777" w:rsidR="004C746E" w:rsidRDefault="004C746E">
            <w:pPr>
              <w:spacing w:after="480"/>
            </w:pPr>
            <w:proofErr w:type="gramStart"/>
            <w:r>
              <w:rPr>
                <w:b/>
                <w:bCs/>
              </w:rPr>
              <w:t>I(</w:t>
            </w:r>
            <w:proofErr w:type="gramEnd"/>
            <w:r>
              <w:rPr>
                <w:b/>
                <w:bCs/>
              </w:rPr>
              <w:t>0)</w:t>
            </w:r>
          </w:p>
        </w:tc>
      </w:tr>
      <w:tr w:rsidR="004C746E" w14:paraId="2039FE34" w14:textId="77777777" w:rsidTr="004C746E">
        <w:trPr>
          <w:tblCellSpacing w:w="15" w:type="dxa"/>
        </w:trPr>
        <w:tc>
          <w:tcPr>
            <w:tcW w:w="0" w:type="auto"/>
            <w:tcBorders>
              <w:bottom w:val="single" w:sz="4" w:space="0" w:color="auto"/>
            </w:tcBorders>
            <w:tcMar>
              <w:top w:w="120" w:type="dxa"/>
              <w:left w:w="180" w:type="dxa"/>
              <w:bottom w:w="120" w:type="dxa"/>
              <w:right w:w="180" w:type="dxa"/>
            </w:tcMar>
            <w:vAlign w:val="center"/>
            <w:hideMark/>
          </w:tcPr>
          <w:p w14:paraId="56DD08BC" w14:textId="77777777" w:rsidR="004C746E" w:rsidRDefault="004C746E">
            <w:pPr>
              <w:spacing w:after="480"/>
            </w:pPr>
            <w:r>
              <w:rPr>
                <w:b/>
                <w:bCs/>
              </w:rPr>
              <w:t>CAR</w:t>
            </w:r>
          </w:p>
        </w:tc>
        <w:tc>
          <w:tcPr>
            <w:tcW w:w="0" w:type="auto"/>
            <w:tcBorders>
              <w:bottom w:val="single" w:sz="4" w:space="0" w:color="auto"/>
            </w:tcBorders>
            <w:tcMar>
              <w:top w:w="120" w:type="dxa"/>
              <w:left w:w="180" w:type="dxa"/>
              <w:bottom w:w="120" w:type="dxa"/>
              <w:right w:w="180" w:type="dxa"/>
            </w:tcMar>
            <w:vAlign w:val="center"/>
            <w:hideMark/>
          </w:tcPr>
          <w:p w14:paraId="78A4ECDC" w14:textId="77777777" w:rsidR="004C746E" w:rsidRDefault="004C746E">
            <w:pPr>
              <w:spacing w:after="480"/>
            </w:pPr>
            <w:r>
              <w:t>64.3150 (0.0000)</w:t>
            </w:r>
          </w:p>
        </w:tc>
        <w:tc>
          <w:tcPr>
            <w:tcW w:w="0" w:type="auto"/>
            <w:tcBorders>
              <w:bottom w:val="single" w:sz="4" w:space="0" w:color="auto"/>
            </w:tcBorders>
            <w:tcMar>
              <w:top w:w="120" w:type="dxa"/>
              <w:left w:w="180" w:type="dxa"/>
              <w:bottom w:w="120" w:type="dxa"/>
              <w:right w:w="180" w:type="dxa"/>
            </w:tcMar>
            <w:vAlign w:val="center"/>
            <w:hideMark/>
          </w:tcPr>
          <w:p w14:paraId="6A1FA895" w14:textId="77777777" w:rsidR="004C746E" w:rsidRDefault="004C746E">
            <w:pPr>
              <w:spacing w:after="480"/>
            </w:pPr>
            <w:r>
              <w:t>-3.5000 (0.0000)</w:t>
            </w:r>
          </w:p>
        </w:tc>
        <w:tc>
          <w:tcPr>
            <w:tcW w:w="0" w:type="auto"/>
            <w:tcBorders>
              <w:bottom w:val="single" w:sz="4" w:space="0" w:color="auto"/>
            </w:tcBorders>
            <w:tcMar>
              <w:top w:w="120" w:type="dxa"/>
              <w:left w:w="180" w:type="dxa"/>
              <w:bottom w:w="120" w:type="dxa"/>
              <w:right w:w="180" w:type="dxa"/>
            </w:tcMar>
            <w:vAlign w:val="center"/>
            <w:hideMark/>
          </w:tcPr>
          <w:p w14:paraId="5B935549" w14:textId="77777777" w:rsidR="004C746E" w:rsidRDefault="004C746E">
            <w:pPr>
              <w:spacing w:after="480"/>
            </w:pPr>
            <w:r>
              <w:t>-3.6320 (0.0000)</w:t>
            </w:r>
          </w:p>
        </w:tc>
        <w:tc>
          <w:tcPr>
            <w:tcW w:w="0" w:type="auto"/>
            <w:tcBorders>
              <w:bottom w:val="single" w:sz="4" w:space="0" w:color="auto"/>
            </w:tcBorders>
            <w:tcMar>
              <w:top w:w="120" w:type="dxa"/>
              <w:left w:w="180" w:type="dxa"/>
              <w:bottom w:w="120" w:type="dxa"/>
              <w:right w:w="180" w:type="dxa"/>
            </w:tcMar>
            <w:vAlign w:val="center"/>
            <w:hideMark/>
          </w:tcPr>
          <w:p w14:paraId="3E3BC6B5" w14:textId="77777777" w:rsidR="004C746E" w:rsidRDefault="004C746E">
            <w:pPr>
              <w:spacing w:after="480"/>
            </w:pPr>
            <w:r>
              <w:t>4.4300 (0.0000)</w:t>
            </w:r>
          </w:p>
        </w:tc>
        <w:tc>
          <w:tcPr>
            <w:tcW w:w="0" w:type="auto"/>
            <w:tcBorders>
              <w:bottom w:val="single" w:sz="4" w:space="0" w:color="auto"/>
            </w:tcBorders>
            <w:tcMar>
              <w:top w:w="120" w:type="dxa"/>
              <w:left w:w="180" w:type="dxa"/>
              <w:bottom w:w="120" w:type="dxa"/>
              <w:right w:w="180" w:type="dxa"/>
            </w:tcMar>
            <w:vAlign w:val="center"/>
            <w:hideMark/>
          </w:tcPr>
          <w:p w14:paraId="1642EAE5" w14:textId="77777777" w:rsidR="004C746E" w:rsidRDefault="004C746E">
            <w:pPr>
              <w:spacing w:after="480"/>
            </w:pPr>
            <w:proofErr w:type="gramStart"/>
            <w:r>
              <w:rPr>
                <w:b/>
                <w:bCs/>
              </w:rPr>
              <w:t>I(</w:t>
            </w:r>
            <w:proofErr w:type="gramEnd"/>
            <w:r>
              <w:rPr>
                <w:b/>
                <w:bCs/>
              </w:rPr>
              <w:t>0)</w:t>
            </w:r>
          </w:p>
        </w:tc>
      </w:tr>
    </w:tbl>
    <w:p w14:paraId="6BD9CE68" w14:textId="77777777" w:rsidR="004C746E" w:rsidRDefault="004C746E" w:rsidP="004C746E">
      <w:pPr>
        <w:pStyle w:val="NormalWeb"/>
        <w:rPr>
          <w:iCs/>
        </w:rPr>
      </w:pPr>
      <w:r w:rsidRPr="004C746E">
        <w:rPr>
          <w:b/>
          <w:i/>
          <w:iCs/>
        </w:rPr>
        <w:t>Source:</w:t>
      </w:r>
      <w:r>
        <w:rPr>
          <w:i/>
          <w:iCs/>
        </w:rPr>
        <w:t xml:space="preserve"> </w:t>
      </w:r>
      <w:r w:rsidRPr="004C746E">
        <w:rPr>
          <w:iCs/>
        </w:rPr>
        <w:t>Author’s Computation (2026).</w:t>
      </w:r>
    </w:p>
    <w:p w14:paraId="1DD04A7E" w14:textId="77777777" w:rsidR="00E3738A" w:rsidRDefault="00E3738A" w:rsidP="004C746E">
      <w:pPr>
        <w:pStyle w:val="NormalWeb"/>
      </w:pPr>
      <w:r>
        <w:t>Table 3-</w:t>
      </w:r>
      <w:r w:rsidR="00C4269E">
        <w:t xml:space="preserve"> </w:t>
      </w:r>
      <w:r w:rsidR="00C4269E" w:rsidRPr="00005908">
        <w:t>Unit Root Tests</w:t>
      </w:r>
      <w:r w:rsidR="00C4269E">
        <w:t xml:space="preserve"> </w:t>
      </w:r>
    </w:p>
    <w:p w14:paraId="5AC68E07" w14:textId="77777777" w:rsidR="0024512B" w:rsidRPr="0024512B" w:rsidRDefault="002626AB" w:rsidP="0024512B">
      <w:pPr>
        <w:pStyle w:val="Heading3"/>
        <w:jc w:val="both"/>
        <w:rPr>
          <w:sz w:val="24"/>
          <w:szCs w:val="24"/>
        </w:rPr>
      </w:pPr>
      <w:r>
        <w:rPr>
          <w:sz w:val="24"/>
          <w:szCs w:val="24"/>
          <w:highlight w:val="yellow"/>
        </w:rPr>
        <w:t>4.1.1 Discussion of Unit Root Results</w:t>
      </w:r>
    </w:p>
    <w:p w14:paraId="0E437C9C" w14:textId="77777777" w:rsidR="004C746E" w:rsidRDefault="004C746E" w:rsidP="0024512B">
      <w:pPr>
        <w:pStyle w:val="Heading3"/>
        <w:jc w:val="both"/>
        <w:rPr>
          <w:b w:val="0"/>
          <w:sz w:val="24"/>
          <w:szCs w:val="24"/>
        </w:rPr>
      </w:pPr>
      <w:r>
        <w:rPr>
          <w:b w:val="0"/>
          <w:sz w:val="24"/>
          <w:szCs w:val="24"/>
          <w:highlight w:val="yellow"/>
        </w:rPr>
        <w:t xml:space="preserve">The empirical results of the Fisher-type ADF panel unit-root tests demonstrate a mixed order of integration among the variables. The null hypothesis of a unit root (non-stationarity) is strongly rejected at level, </w:t>
      </w:r>
      <w:proofErr w:type="gramStart"/>
      <w:r>
        <w:rPr>
          <w:rStyle w:val="math-inline"/>
          <w:b w:val="0"/>
          <w:sz w:val="24"/>
          <w:szCs w:val="24"/>
          <w:highlight w:val="yellow"/>
        </w:rPr>
        <w:t>I(</w:t>
      </w:r>
      <w:proofErr w:type="gramEnd"/>
      <w:r>
        <w:rPr>
          <w:rStyle w:val="math-inline"/>
          <w:b w:val="0"/>
          <w:sz w:val="24"/>
          <w:szCs w:val="24"/>
          <w:highlight w:val="yellow"/>
        </w:rPr>
        <w:t>0)</w:t>
      </w:r>
      <w:r>
        <w:rPr>
          <w:b w:val="0"/>
          <w:sz w:val="24"/>
          <w:szCs w:val="24"/>
          <w:highlight w:val="yellow"/>
        </w:rPr>
        <w:t>, for most series. Specifically, the Current Ratio (</w:t>
      </w:r>
      <w:r>
        <w:rPr>
          <w:rStyle w:val="math-inline"/>
          <w:b w:val="0"/>
          <w:sz w:val="24"/>
          <w:szCs w:val="24"/>
          <w:highlight w:val="yellow"/>
        </w:rPr>
        <w:t>CR</w:t>
      </w:r>
      <w:r>
        <w:rPr>
          <w:b w:val="0"/>
          <w:sz w:val="24"/>
          <w:szCs w:val="24"/>
          <w:highlight w:val="yellow"/>
        </w:rPr>
        <w:t>), Equity-to-Total-Assets Ratio (</w:t>
      </w:r>
      <w:r>
        <w:rPr>
          <w:rStyle w:val="math-inline"/>
          <w:b w:val="0"/>
          <w:sz w:val="24"/>
          <w:szCs w:val="24"/>
          <w:highlight w:val="yellow"/>
        </w:rPr>
        <w:t>ETAR</w:t>
      </w:r>
      <w:r>
        <w:rPr>
          <w:b w:val="0"/>
          <w:sz w:val="24"/>
          <w:szCs w:val="24"/>
          <w:highlight w:val="yellow"/>
        </w:rPr>
        <w:t>), Operational Restructuring (</w:t>
      </w:r>
      <w:r>
        <w:rPr>
          <w:rStyle w:val="math-inline"/>
          <w:b w:val="0"/>
          <w:sz w:val="24"/>
          <w:szCs w:val="24"/>
          <w:highlight w:val="yellow"/>
        </w:rPr>
        <w:t>OR</w:t>
      </w:r>
      <w:r>
        <w:rPr>
          <w:b w:val="0"/>
          <w:sz w:val="24"/>
          <w:szCs w:val="24"/>
          <w:highlight w:val="yellow"/>
        </w:rPr>
        <w:t>), Managerial Restructuring (</w:t>
      </w:r>
      <w:r>
        <w:rPr>
          <w:rStyle w:val="math-inline"/>
          <w:b w:val="0"/>
          <w:sz w:val="24"/>
          <w:szCs w:val="24"/>
          <w:highlight w:val="yellow"/>
        </w:rPr>
        <w:t>MR</w:t>
      </w:r>
      <w:r>
        <w:rPr>
          <w:b w:val="0"/>
          <w:sz w:val="24"/>
          <w:szCs w:val="24"/>
          <w:highlight w:val="yellow"/>
        </w:rPr>
        <w:t>), Capital Intensity (</w:t>
      </w:r>
      <w:r>
        <w:rPr>
          <w:rStyle w:val="math-inline"/>
          <w:b w:val="0"/>
          <w:sz w:val="24"/>
          <w:szCs w:val="24"/>
          <w:highlight w:val="yellow"/>
        </w:rPr>
        <w:t>CPI</w:t>
      </w:r>
      <w:r>
        <w:rPr>
          <w:b w:val="0"/>
          <w:sz w:val="24"/>
          <w:szCs w:val="24"/>
          <w:highlight w:val="yellow"/>
        </w:rPr>
        <w:t>), Inventory Intensity (</w:t>
      </w:r>
      <w:r>
        <w:rPr>
          <w:rStyle w:val="math-inline"/>
          <w:b w:val="0"/>
          <w:sz w:val="24"/>
          <w:szCs w:val="24"/>
          <w:highlight w:val="yellow"/>
        </w:rPr>
        <w:t>IVI</w:t>
      </w:r>
      <w:r>
        <w:rPr>
          <w:b w:val="0"/>
          <w:sz w:val="24"/>
          <w:szCs w:val="24"/>
          <w:highlight w:val="yellow"/>
        </w:rPr>
        <w:t>), Effective Tax Rate (</w:t>
      </w:r>
      <w:r>
        <w:rPr>
          <w:rStyle w:val="math-inline"/>
          <w:b w:val="0"/>
          <w:sz w:val="24"/>
          <w:szCs w:val="24"/>
          <w:highlight w:val="yellow"/>
        </w:rPr>
        <w:t>ETR</w:t>
      </w:r>
      <w:r>
        <w:rPr>
          <w:b w:val="0"/>
          <w:sz w:val="24"/>
          <w:szCs w:val="24"/>
          <w:highlight w:val="yellow"/>
        </w:rPr>
        <w:t>), and Capital Adequacy Ratio (</w:t>
      </w:r>
      <w:r>
        <w:rPr>
          <w:rStyle w:val="math-inline"/>
          <w:b w:val="0"/>
          <w:sz w:val="24"/>
          <w:szCs w:val="24"/>
          <w:highlight w:val="yellow"/>
        </w:rPr>
        <w:t>CAR</w:t>
      </w:r>
      <w:r>
        <w:rPr>
          <w:b w:val="0"/>
          <w:sz w:val="24"/>
          <w:szCs w:val="24"/>
          <w:highlight w:val="yellow"/>
        </w:rPr>
        <w:t>) are stationary in level form. This result is supported by all four test statistics—Inverse Chi-Squared (</w:t>
      </w:r>
      <w:r>
        <w:rPr>
          <w:rStyle w:val="math-inline"/>
          <w:b w:val="0"/>
          <w:sz w:val="24"/>
          <w:szCs w:val="24"/>
          <w:highlight w:val="yellow"/>
        </w:rPr>
        <w:t>P</w:t>
      </w:r>
      <w:r>
        <w:rPr>
          <w:b w:val="0"/>
          <w:sz w:val="24"/>
          <w:szCs w:val="24"/>
          <w:highlight w:val="yellow"/>
        </w:rPr>
        <w:t>), Inverse Normal (</w:t>
      </w:r>
      <w:r>
        <w:rPr>
          <w:rStyle w:val="math-inline"/>
          <w:b w:val="0"/>
          <w:sz w:val="24"/>
          <w:szCs w:val="24"/>
          <w:highlight w:val="yellow"/>
        </w:rPr>
        <w:t>Z</w:t>
      </w:r>
      <w:r>
        <w:rPr>
          <w:b w:val="0"/>
          <w:sz w:val="24"/>
          <w:szCs w:val="24"/>
          <w:highlight w:val="yellow"/>
        </w:rPr>
        <w:t>), Inverse Logit (</w:t>
      </w:r>
      <w:r>
        <w:rPr>
          <w:rStyle w:val="math-inline"/>
          <w:b w:val="0"/>
          <w:sz w:val="24"/>
          <w:szCs w:val="24"/>
          <w:highlight w:val="yellow"/>
        </w:rPr>
        <w:t>L*</w:t>
      </w:r>
      <w:r>
        <w:rPr>
          <w:b w:val="0"/>
          <w:sz w:val="24"/>
          <w:szCs w:val="24"/>
          <w:highlight w:val="yellow"/>
        </w:rPr>
        <w:t>), and Modified Inverse Chi-Squared (</w:t>
      </w:r>
      <w:r>
        <w:rPr>
          <w:rStyle w:val="math-inline"/>
          <w:b w:val="0"/>
          <w:sz w:val="24"/>
          <w:szCs w:val="24"/>
          <w:highlight w:val="yellow"/>
        </w:rPr>
        <w:t>Pm</w:t>
      </w:r>
      <w:r>
        <w:rPr>
          <w:b w:val="0"/>
          <w:sz w:val="24"/>
          <w:szCs w:val="24"/>
          <w:highlight w:val="yellow"/>
        </w:rPr>
        <w:t xml:space="preserve">)—which are statistically significant at the </w:t>
      </w:r>
      <w:r>
        <w:rPr>
          <w:rStyle w:val="math-inline"/>
          <w:b w:val="0"/>
          <w:sz w:val="24"/>
          <w:szCs w:val="24"/>
          <w:highlight w:val="yellow"/>
        </w:rPr>
        <w:t>1%</w:t>
      </w:r>
      <w:r>
        <w:rPr>
          <w:b w:val="0"/>
          <w:sz w:val="24"/>
          <w:szCs w:val="24"/>
          <w:highlight w:val="yellow"/>
        </w:rPr>
        <w:t xml:space="preserve"> level (</w:t>
      </w:r>
      <w:r>
        <w:rPr>
          <w:rStyle w:val="math-inline"/>
          <w:b w:val="0"/>
          <w:sz w:val="24"/>
          <w:szCs w:val="24"/>
          <w:highlight w:val="yellow"/>
        </w:rPr>
        <w:t>p &lt; 0.01</w:t>
      </w:r>
      <w:r>
        <w:rPr>
          <w:b w:val="0"/>
          <w:sz w:val="24"/>
          <w:szCs w:val="24"/>
          <w:highlight w:val="yellow"/>
        </w:rPr>
        <w:t>). Conversely, the Non-Performing Loans Ratio (</w:t>
      </w:r>
      <w:r>
        <w:rPr>
          <w:rStyle w:val="math-inline"/>
          <w:b w:val="0"/>
          <w:sz w:val="24"/>
          <w:szCs w:val="24"/>
          <w:highlight w:val="yellow"/>
        </w:rPr>
        <w:t>NPLR</w:t>
      </w:r>
      <w:r>
        <w:rPr>
          <w:b w:val="0"/>
          <w:sz w:val="24"/>
          <w:szCs w:val="24"/>
          <w:highlight w:val="yellow"/>
        </w:rPr>
        <w:t>) and Financial Restructuring (</w:t>
      </w:r>
      <w:r>
        <w:rPr>
          <w:rStyle w:val="math-inline"/>
          <w:b w:val="0"/>
          <w:sz w:val="24"/>
          <w:szCs w:val="24"/>
          <w:highlight w:val="yellow"/>
        </w:rPr>
        <w:t>FR</w:t>
      </w:r>
      <w:r>
        <w:rPr>
          <w:b w:val="0"/>
          <w:sz w:val="24"/>
          <w:szCs w:val="24"/>
          <w:highlight w:val="yellow"/>
        </w:rPr>
        <w:t xml:space="preserve">) fail to reject the null hypothesis at level and are therefore non-stationary. However, after first differencing, both series reject the unit-root null hypothesis at the </w:t>
      </w:r>
      <w:r>
        <w:rPr>
          <w:rStyle w:val="math-inline"/>
          <w:b w:val="0"/>
          <w:sz w:val="24"/>
          <w:szCs w:val="24"/>
          <w:highlight w:val="yellow"/>
        </w:rPr>
        <w:t>1%</w:t>
      </w:r>
      <w:r>
        <w:rPr>
          <w:b w:val="0"/>
          <w:sz w:val="24"/>
          <w:szCs w:val="24"/>
          <w:highlight w:val="yellow"/>
        </w:rPr>
        <w:t xml:space="preserve"> significance level, confirming that they are integrated of order one, </w:t>
      </w:r>
      <w:proofErr w:type="gramStart"/>
      <w:r>
        <w:rPr>
          <w:rStyle w:val="math-inline"/>
          <w:b w:val="0"/>
          <w:sz w:val="24"/>
          <w:szCs w:val="24"/>
          <w:highlight w:val="yellow"/>
        </w:rPr>
        <w:t>I(</w:t>
      </w:r>
      <w:proofErr w:type="gramEnd"/>
      <w:r>
        <w:rPr>
          <w:rStyle w:val="math-inline"/>
          <w:b w:val="0"/>
          <w:sz w:val="24"/>
          <w:szCs w:val="24"/>
          <w:highlight w:val="yellow"/>
        </w:rPr>
        <w:t>1)</w:t>
      </w:r>
      <w:r>
        <w:rPr>
          <w:b w:val="0"/>
          <w:sz w:val="24"/>
          <w:szCs w:val="24"/>
          <w:highlight w:val="yellow"/>
        </w:rPr>
        <w:t xml:space="preserve">. The mixed integration structure, comprising </w:t>
      </w:r>
      <w:proofErr w:type="gramStart"/>
      <w:r>
        <w:rPr>
          <w:rStyle w:val="math-inline"/>
          <w:b w:val="0"/>
          <w:sz w:val="24"/>
          <w:szCs w:val="24"/>
          <w:highlight w:val="yellow"/>
        </w:rPr>
        <w:t>I(</w:t>
      </w:r>
      <w:proofErr w:type="gramEnd"/>
      <w:r>
        <w:rPr>
          <w:rStyle w:val="math-inline"/>
          <w:b w:val="0"/>
          <w:sz w:val="24"/>
          <w:szCs w:val="24"/>
          <w:highlight w:val="yellow"/>
        </w:rPr>
        <w:t>0)</w:t>
      </w:r>
      <w:r>
        <w:rPr>
          <w:b w:val="0"/>
          <w:sz w:val="24"/>
          <w:szCs w:val="24"/>
          <w:highlight w:val="yellow"/>
        </w:rPr>
        <w:t xml:space="preserve"> and </w:t>
      </w:r>
      <w:proofErr w:type="gramStart"/>
      <w:r>
        <w:rPr>
          <w:rStyle w:val="math-inline"/>
          <w:b w:val="0"/>
          <w:sz w:val="24"/>
          <w:szCs w:val="24"/>
          <w:highlight w:val="yellow"/>
        </w:rPr>
        <w:t>I(</w:t>
      </w:r>
      <w:proofErr w:type="gramEnd"/>
      <w:r>
        <w:rPr>
          <w:rStyle w:val="math-inline"/>
          <w:b w:val="0"/>
          <w:sz w:val="24"/>
          <w:szCs w:val="24"/>
          <w:highlight w:val="yellow"/>
        </w:rPr>
        <w:t>1)</w:t>
      </w:r>
      <w:r>
        <w:rPr>
          <w:b w:val="0"/>
          <w:sz w:val="24"/>
          <w:szCs w:val="24"/>
          <w:highlight w:val="yellow"/>
        </w:rPr>
        <w:t xml:space="preserve"> variables with no </w:t>
      </w:r>
      <w:proofErr w:type="gramStart"/>
      <w:r>
        <w:rPr>
          <w:rStyle w:val="math-inline"/>
          <w:b w:val="0"/>
          <w:sz w:val="24"/>
          <w:szCs w:val="24"/>
          <w:highlight w:val="yellow"/>
        </w:rPr>
        <w:t>I(</w:t>
      </w:r>
      <w:proofErr w:type="gramEnd"/>
      <w:r>
        <w:rPr>
          <w:rStyle w:val="math-inline"/>
          <w:b w:val="0"/>
          <w:sz w:val="24"/>
          <w:szCs w:val="24"/>
          <w:highlight w:val="yellow"/>
        </w:rPr>
        <w:t>2)</w:t>
      </w:r>
      <w:r>
        <w:rPr>
          <w:b w:val="0"/>
          <w:sz w:val="24"/>
          <w:szCs w:val="24"/>
          <w:highlight w:val="yellow"/>
        </w:rPr>
        <w:t xml:space="preserve"> series, provides an econometric justification for adopting an Autoregressive Distributed Lag (ARDL) bounds-testing approach or a dynamic-panel framework rather than a traditional cointegration method such as Johansen’s procedure, which requires all variables to be integrated of the same order.</w:t>
      </w:r>
    </w:p>
    <w:p w14:paraId="4E102CE3" w14:textId="77777777" w:rsidR="006C0EF4" w:rsidRPr="00352CE6" w:rsidRDefault="006C0EF4" w:rsidP="002C7EFB">
      <w:pPr>
        <w:spacing w:after="0" w:line="360" w:lineRule="auto"/>
        <w:jc w:val="both"/>
        <w:rPr>
          <w:rFonts w:asciiTheme="majorBidi" w:eastAsia="Calibri" w:hAnsiTheme="majorBidi" w:cstheme="majorBidi"/>
          <w:b/>
          <w:sz w:val="24"/>
          <w:szCs w:val="24"/>
        </w:rPr>
      </w:pPr>
      <w:r>
        <w:rPr>
          <w:rFonts w:asciiTheme="majorBidi" w:eastAsia="Calibri" w:hAnsiTheme="majorBidi" w:cstheme="majorBidi"/>
          <w:b/>
          <w:sz w:val="24"/>
          <w:szCs w:val="24"/>
        </w:rPr>
        <w:lastRenderedPageBreak/>
        <w:t xml:space="preserve">Table </w:t>
      </w:r>
      <w:r w:rsidR="00E3738A">
        <w:rPr>
          <w:rFonts w:asciiTheme="majorBidi" w:eastAsia="Calibri" w:hAnsiTheme="majorBidi" w:cstheme="majorBidi"/>
          <w:b/>
          <w:sz w:val="24"/>
          <w:szCs w:val="24"/>
        </w:rPr>
        <w:t>4-</w:t>
      </w:r>
      <w:r w:rsidRPr="00352CE6">
        <w:rPr>
          <w:rFonts w:asciiTheme="majorBidi" w:eastAsia="Calibri" w:hAnsiTheme="majorBidi" w:cstheme="majorBidi"/>
          <w:b/>
          <w:sz w:val="24"/>
          <w:szCs w:val="24"/>
        </w:rPr>
        <w:t xml:space="preserve"> Estimates of the Models on the Effect of Corporate Tax Planning on Financial Stability (FS)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6"/>
        <w:gridCol w:w="766"/>
        <w:gridCol w:w="681"/>
        <w:gridCol w:w="881"/>
        <w:gridCol w:w="785"/>
        <w:gridCol w:w="681"/>
        <w:gridCol w:w="908"/>
        <w:gridCol w:w="756"/>
        <w:gridCol w:w="832"/>
        <w:gridCol w:w="910"/>
      </w:tblGrid>
      <w:tr w:rsidR="006C0EF4" w:rsidRPr="00352CE6" w14:paraId="26C3A4F9" w14:textId="77777777" w:rsidTr="007B3DCE">
        <w:tc>
          <w:tcPr>
            <w:tcW w:w="1008" w:type="pct"/>
            <w:vMerge w:val="restart"/>
            <w:tcBorders>
              <w:left w:val="single" w:sz="4" w:space="0" w:color="FFFFFF"/>
              <w:right w:val="single" w:sz="4" w:space="0" w:color="FFFFFF"/>
            </w:tcBorders>
          </w:tcPr>
          <w:p w14:paraId="5D96CD7D"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Variables</w:t>
            </w:r>
          </w:p>
        </w:tc>
        <w:tc>
          <w:tcPr>
            <w:tcW w:w="1287" w:type="pct"/>
            <w:gridSpan w:val="3"/>
            <w:tcBorders>
              <w:left w:val="single" w:sz="4" w:space="0" w:color="FFFFFF"/>
            </w:tcBorders>
          </w:tcPr>
          <w:p w14:paraId="7D562A1E"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NPLR</w:t>
            </w:r>
          </w:p>
          <w:p w14:paraId="6D9ACECF"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Random Effects (R)</w:t>
            </w:r>
          </w:p>
        </w:tc>
        <w:tc>
          <w:tcPr>
            <w:tcW w:w="1318" w:type="pct"/>
            <w:gridSpan w:val="3"/>
          </w:tcPr>
          <w:p w14:paraId="66FCDC99"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CR</w:t>
            </w:r>
          </w:p>
          <w:p w14:paraId="0DA7CE19"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Pooled OLS (R)</w:t>
            </w:r>
          </w:p>
        </w:tc>
        <w:tc>
          <w:tcPr>
            <w:tcW w:w="1387" w:type="pct"/>
            <w:gridSpan w:val="3"/>
            <w:tcBorders>
              <w:right w:val="single" w:sz="4" w:space="0" w:color="FFFFFF"/>
            </w:tcBorders>
          </w:tcPr>
          <w:p w14:paraId="799A59DD"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ETAR</w:t>
            </w:r>
          </w:p>
          <w:p w14:paraId="317669BF"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Pooled OLS</w:t>
            </w:r>
          </w:p>
        </w:tc>
      </w:tr>
      <w:tr w:rsidR="006C0EF4" w:rsidRPr="00352CE6" w14:paraId="2AD4764A" w14:textId="77777777" w:rsidTr="007B3DCE">
        <w:tc>
          <w:tcPr>
            <w:tcW w:w="1008" w:type="pct"/>
            <w:vMerge/>
            <w:tcBorders>
              <w:left w:val="single" w:sz="4" w:space="0" w:color="FFFFFF"/>
              <w:right w:val="single" w:sz="4" w:space="0" w:color="FFFFFF"/>
            </w:tcBorders>
          </w:tcPr>
          <w:p w14:paraId="3A9C9D1A" w14:textId="77777777" w:rsidR="006C0EF4" w:rsidRPr="00352CE6" w:rsidRDefault="006C0EF4" w:rsidP="007B3DCE">
            <w:pPr>
              <w:spacing w:after="0" w:line="240" w:lineRule="auto"/>
              <w:jc w:val="both"/>
              <w:rPr>
                <w:rFonts w:asciiTheme="majorBidi" w:eastAsia="Calibri" w:hAnsiTheme="majorBidi" w:cstheme="majorBidi"/>
                <w:sz w:val="20"/>
                <w:szCs w:val="20"/>
              </w:rPr>
            </w:pPr>
          </w:p>
        </w:tc>
        <w:tc>
          <w:tcPr>
            <w:tcW w:w="420" w:type="pct"/>
            <w:tcBorders>
              <w:left w:val="single" w:sz="4" w:space="0" w:color="FFFFFF"/>
              <w:right w:val="single" w:sz="4" w:space="0" w:color="FFFFFF"/>
            </w:tcBorders>
          </w:tcPr>
          <w:p w14:paraId="2543D493"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378" w:type="pct"/>
            <w:tcBorders>
              <w:left w:val="single" w:sz="4" w:space="0" w:color="FFFFFF"/>
              <w:right w:val="single" w:sz="4" w:space="0" w:color="FFFFFF"/>
            </w:tcBorders>
          </w:tcPr>
          <w:p w14:paraId="363ED4FC"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489" w:type="pct"/>
            <w:tcBorders>
              <w:left w:val="single" w:sz="4" w:space="0" w:color="FFFFFF"/>
            </w:tcBorders>
          </w:tcPr>
          <w:p w14:paraId="237D8943"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c>
          <w:tcPr>
            <w:tcW w:w="436" w:type="pct"/>
            <w:tcBorders>
              <w:right w:val="single" w:sz="4" w:space="0" w:color="FFFFFF"/>
            </w:tcBorders>
          </w:tcPr>
          <w:p w14:paraId="22078E48"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378" w:type="pct"/>
            <w:tcBorders>
              <w:left w:val="single" w:sz="4" w:space="0" w:color="FFFFFF"/>
              <w:right w:val="single" w:sz="4" w:space="0" w:color="FFFFFF"/>
            </w:tcBorders>
          </w:tcPr>
          <w:p w14:paraId="16EA29D0"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504" w:type="pct"/>
            <w:tcBorders>
              <w:left w:val="single" w:sz="4" w:space="0" w:color="FFFFFF"/>
            </w:tcBorders>
          </w:tcPr>
          <w:p w14:paraId="3052D93F"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c>
          <w:tcPr>
            <w:tcW w:w="420" w:type="pct"/>
            <w:tcBorders>
              <w:right w:val="single" w:sz="4" w:space="0" w:color="FFFFFF"/>
            </w:tcBorders>
          </w:tcPr>
          <w:p w14:paraId="756500B4"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462" w:type="pct"/>
            <w:tcBorders>
              <w:left w:val="single" w:sz="4" w:space="0" w:color="FFFFFF"/>
              <w:right w:val="single" w:sz="4" w:space="0" w:color="FFFFFF"/>
            </w:tcBorders>
          </w:tcPr>
          <w:p w14:paraId="3ED8E9C9"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504" w:type="pct"/>
            <w:tcBorders>
              <w:left w:val="single" w:sz="4" w:space="0" w:color="FFFFFF"/>
              <w:right w:val="single" w:sz="4" w:space="0" w:color="FFFFFF"/>
            </w:tcBorders>
          </w:tcPr>
          <w:p w14:paraId="228D892E"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r>
      <w:tr w:rsidR="006C0EF4" w:rsidRPr="00352CE6" w14:paraId="5D24C7C9" w14:textId="77777777" w:rsidTr="007B3DCE">
        <w:tc>
          <w:tcPr>
            <w:tcW w:w="1008" w:type="pct"/>
            <w:tcBorders>
              <w:left w:val="single" w:sz="4" w:space="0" w:color="FFFFFF"/>
              <w:bottom w:val="single" w:sz="4" w:space="0" w:color="FFFFFF"/>
              <w:right w:val="single" w:sz="4" w:space="0" w:color="FFFFFF"/>
            </w:tcBorders>
          </w:tcPr>
          <w:p w14:paraId="33CAC0C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CPI</w:t>
            </w:r>
          </w:p>
        </w:tc>
        <w:tc>
          <w:tcPr>
            <w:tcW w:w="420" w:type="pct"/>
            <w:tcBorders>
              <w:left w:val="single" w:sz="4" w:space="0" w:color="FFFFFF"/>
              <w:bottom w:val="single" w:sz="4" w:space="0" w:color="FFFFFF"/>
              <w:right w:val="single" w:sz="4" w:space="0" w:color="FFFFFF"/>
            </w:tcBorders>
          </w:tcPr>
          <w:p w14:paraId="0452B8F0"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-0.061</w:t>
            </w:r>
          </w:p>
        </w:tc>
        <w:tc>
          <w:tcPr>
            <w:tcW w:w="378" w:type="pct"/>
            <w:tcBorders>
              <w:left w:val="single" w:sz="4" w:space="0" w:color="FFFFFF"/>
              <w:bottom w:val="single" w:sz="4" w:space="0" w:color="FFFFFF"/>
              <w:right w:val="single" w:sz="4" w:space="0" w:color="FFFFFF"/>
            </w:tcBorders>
          </w:tcPr>
          <w:p w14:paraId="748D817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-1.29</w:t>
            </w:r>
          </w:p>
        </w:tc>
        <w:tc>
          <w:tcPr>
            <w:tcW w:w="489" w:type="pct"/>
            <w:tcBorders>
              <w:left w:val="single" w:sz="4" w:space="0" w:color="FFFFFF"/>
              <w:bottom w:val="single" w:sz="4" w:space="0" w:color="FFFFFF"/>
            </w:tcBorders>
          </w:tcPr>
          <w:p w14:paraId="73AC877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0.195</w:t>
            </w:r>
          </w:p>
        </w:tc>
        <w:tc>
          <w:tcPr>
            <w:tcW w:w="436" w:type="pct"/>
            <w:tcBorders>
              <w:bottom w:val="single" w:sz="4" w:space="0" w:color="FFFFFF"/>
              <w:right w:val="single" w:sz="4" w:space="0" w:color="FFFFFF"/>
            </w:tcBorders>
          </w:tcPr>
          <w:p w14:paraId="3CD70840"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-0.033</w:t>
            </w:r>
          </w:p>
        </w:tc>
        <w:tc>
          <w:tcPr>
            <w:tcW w:w="378" w:type="pct"/>
            <w:tcBorders>
              <w:left w:val="single" w:sz="4" w:space="0" w:color="FFFFFF"/>
              <w:bottom w:val="single" w:sz="4" w:space="0" w:color="FFFFFF"/>
              <w:right w:val="single" w:sz="4" w:space="0" w:color="FFFFFF"/>
            </w:tcBorders>
          </w:tcPr>
          <w:p w14:paraId="2064557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-5.62</w:t>
            </w:r>
          </w:p>
        </w:tc>
        <w:tc>
          <w:tcPr>
            <w:tcW w:w="504" w:type="pct"/>
            <w:tcBorders>
              <w:left w:val="single" w:sz="4" w:space="0" w:color="FFFFFF"/>
              <w:bottom w:val="single" w:sz="4" w:space="0" w:color="FFFFFF"/>
            </w:tcBorders>
          </w:tcPr>
          <w:p w14:paraId="44309F3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bottom w:val="single" w:sz="4" w:space="0" w:color="FFFFFF"/>
              <w:right w:val="single" w:sz="4" w:space="0" w:color="FFFFFF"/>
            </w:tcBorders>
          </w:tcPr>
          <w:p w14:paraId="1859A02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0.002</w:t>
            </w:r>
          </w:p>
        </w:tc>
        <w:tc>
          <w:tcPr>
            <w:tcW w:w="462" w:type="pct"/>
            <w:tcBorders>
              <w:left w:val="single" w:sz="4" w:space="0" w:color="FFFFFF"/>
              <w:bottom w:val="single" w:sz="4" w:space="0" w:color="FFFFFF"/>
              <w:right w:val="single" w:sz="4" w:space="0" w:color="FFFFFF"/>
            </w:tcBorders>
          </w:tcPr>
          <w:p w14:paraId="4162E751"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2.33</w:t>
            </w:r>
          </w:p>
        </w:tc>
        <w:tc>
          <w:tcPr>
            <w:tcW w:w="504" w:type="pct"/>
            <w:tcBorders>
              <w:left w:val="single" w:sz="4" w:space="0" w:color="FFFFFF"/>
              <w:bottom w:val="single" w:sz="4" w:space="0" w:color="FFFFFF"/>
              <w:right w:val="single" w:sz="4" w:space="0" w:color="FFFFFF"/>
            </w:tcBorders>
          </w:tcPr>
          <w:p w14:paraId="0A50E9C4"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0.038</w:t>
            </w:r>
          </w:p>
        </w:tc>
      </w:tr>
      <w:tr w:rsidR="006C0EF4" w:rsidRPr="00352CE6" w14:paraId="6D0174B6"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6711641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ETR</w:t>
            </w:r>
          </w:p>
        </w:tc>
        <w:tc>
          <w:tcPr>
            <w:tcW w:w="420" w:type="pct"/>
            <w:tcBorders>
              <w:top w:val="single" w:sz="4" w:space="0" w:color="FFFFFF"/>
              <w:left w:val="single" w:sz="4" w:space="0" w:color="FFFFFF"/>
              <w:bottom w:val="single" w:sz="4" w:space="0" w:color="FFFFFF"/>
              <w:right w:val="single" w:sz="4" w:space="0" w:color="FFFFFF"/>
            </w:tcBorders>
          </w:tcPr>
          <w:p w14:paraId="213928F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0.017</w:t>
            </w:r>
          </w:p>
        </w:tc>
        <w:tc>
          <w:tcPr>
            <w:tcW w:w="378" w:type="pct"/>
            <w:tcBorders>
              <w:top w:val="single" w:sz="4" w:space="0" w:color="FFFFFF"/>
              <w:left w:val="single" w:sz="4" w:space="0" w:color="FFFFFF"/>
              <w:bottom w:val="single" w:sz="4" w:space="0" w:color="FFFFFF"/>
              <w:right w:val="single" w:sz="4" w:space="0" w:color="FFFFFF"/>
            </w:tcBorders>
          </w:tcPr>
          <w:p w14:paraId="28E61D98"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0.38</w:t>
            </w:r>
          </w:p>
        </w:tc>
        <w:tc>
          <w:tcPr>
            <w:tcW w:w="489" w:type="pct"/>
            <w:tcBorders>
              <w:top w:val="single" w:sz="4" w:space="0" w:color="FFFFFF"/>
              <w:left w:val="single" w:sz="4" w:space="0" w:color="FFFFFF"/>
              <w:bottom w:val="single" w:sz="4" w:space="0" w:color="FFFFFF"/>
            </w:tcBorders>
          </w:tcPr>
          <w:p w14:paraId="1F0A261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0.705</w:t>
            </w:r>
          </w:p>
        </w:tc>
        <w:tc>
          <w:tcPr>
            <w:tcW w:w="436" w:type="pct"/>
            <w:tcBorders>
              <w:top w:val="single" w:sz="4" w:space="0" w:color="FFFFFF"/>
              <w:bottom w:val="single" w:sz="4" w:space="0" w:color="FFFFFF"/>
              <w:right w:val="single" w:sz="4" w:space="0" w:color="FFFFFF"/>
            </w:tcBorders>
          </w:tcPr>
          <w:p w14:paraId="6363F9F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0.002</w:t>
            </w:r>
          </w:p>
        </w:tc>
        <w:tc>
          <w:tcPr>
            <w:tcW w:w="378" w:type="pct"/>
            <w:tcBorders>
              <w:top w:val="single" w:sz="4" w:space="0" w:color="FFFFFF"/>
              <w:left w:val="single" w:sz="4" w:space="0" w:color="FFFFFF"/>
              <w:bottom w:val="single" w:sz="4" w:space="0" w:color="FFFFFF"/>
              <w:right w:val="single" w:sz="4" w:space="0" w:color="FFFFFF"/>
            </w:tcBorders>
          </w:tcPr>
          <w:p w14:paraId="0D79B97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0.15</w:t>
            </w:r>
          </w:p>
        </w:tc>
        <w:tc>
          <w:tcPr>
            <w:tcW w:w="504" w:type="pct"/>
            <w:tcBorders>
              <w:top w:val="single" w:sz="4" w:space="0" w:color="FFFFFF"/>
              <w:left w:val="single" w:sz="4" w:space="0" w:color="FFFFFF"/>
              <w:bottom w:val="single" w:sz="4" w:space="0" w:color="FFFFFF"/>
            </w:tcBorders>
          </w:tcPr>
          <w:p w14:paraId="11CC2B2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0.884</w:t>
            </w:r>
          </w:p>
        </w:tc>
        <w:tc>
          <w:tcPr>
            <w:tcW w:w="420" w:type="pct"/>
            <w:tcBorders>
              <w:top w:val="single" w:sz="4" w:space="0" w:color="FFFFFF"/>
              <w:bottom w:val="single" w:sz="4" w:space="0" w:color="FFFFFF"/>
              <w:right w:val="single" w:sz="4" w:space="0" w:color="FFFFFF"/>
            </w:tcBorders>
          </w:tcPr>
          <w:p w14:paraId="60A0176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0.001</w:t>
            </w:r>
          </w:p>
        </w:tc>
        <w:tc>
          <w:tcPr>
            <w:tcW w:w="462" w:type="pct"/>
            <w:tcBorders>
              <w:top w:val="single" w:sz="4" w:space="0" w:color="FFFFFF"/>
              <w:left w:val="single" w:sz="4" w:space="0" w:color="FFFFFF"/>
              <w:bottom w:val="single" w:sz="4" w:space="0" w:color="FFFFFF"/>
              <w:right w:val="single" w:sz="4" w:space="0" w:color="FFFFFF"/>
            </w:tcBorders>
          </w:tcPr>
          <w:p w14:paraId="78AE0ED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0.37</w:t>
            </w:r>
          </w:p>
        </w:tc>
        <w:tc>
          <w:tcPr>
            <w:tcW w:w="504" w:type="pct"/>
            <w:tcBorders>
              <w:top w:val="single" w:sz="4" w:space="0" w:color="FFFFFF"/>
              <w:left w:val="single" w:sz="4" w:space="0" w:color="FFFFFF"/>
              <w:bottom w:val="single" w:sz="4" w:space="0" w:color="FFFFFF"/>
              <w:right w:val="single" w:sz="4" w:space="0" w:color="FFFFFF"/>
            </w:tcBorders>
          </w:tcPr>
          <w:p w14:paraId="487C8B8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0.709</w:t>
            </w:r>
          </w:p>
        </w:tc>
      </w:tr>
      <w:tr w:rsidR="006C0EF4" w:rsidRPr="00352CE6" w14:paraId="650376AF" w14:textId="77777777" w:rsidTr="007B3DCE">
        <w:tc>
          <w:tcPr>
            <w:tcW w:w="1008" w:type="pct"/>
            <w:tcBorders>
              <w:top w:val="single" w:sz="4" w:space="0" w:color="FFFFFF"/>
              <w:left w:val="single" w:sz="4" w:space="0" w:color="FFFFFF"/>
              <w:bottom w:val="single" w:sz="4" w:space="0" w:color="auto"/>
              <w:right w:val="single" w:sz="4" w:space="0" w:color="FFFFFF"/>
            </w:tcBorders>
          </w:tcPr>
          <w:p w14:paraId="6BE74C92"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Constant</w:t>
            </w:r>
          </w:p>
        </w:tc>
        <w:tc>
          <w:tcPr>
            <w:tcW w:w="420" w:type="pct"/>
            <w:tcBorders>
              <w:top w:val="single" w:sz="4" w:space="0" w:color="FFFFFF"/>
              <w:left w:val="single" w:sz="4" w:space="0" w:color="FFFFFF"/>
              <w:bottom w:val="single" w:sz="4" w:space="0" w:color="auto"/>
              <w:right w:val="single" w:sz="4" w:space="0" w:color="FFFFFF"/>
            </w:tcBorders>
          </w:tcPr>
          <w:p w14:paraId="237170F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10.059</w:t>
            </w:r>
          </w:p>
        </w:tc>
        <w:tc>
          <w:tcPr>
            <w:tcW w:w="378" w:type="pct"/>
            <w:tcBorders>
              <w:top w:val="single" w:sz="4" w:space="0" w:color="FFFFFF"/>
              <w:left w:val="single" w:sz="4" w:space="0" w:color="FFFFFF"/>
              <w:bottom w:val="single" w:sz="4" w:space="0" w:color="auto"/>
              <w:right w:val="single" w:sz="4" w:space="0" w:color="FFFFFF"/>
            </w:tcBorders>
          </w:tcPr>
          <w:p w14:paraId="52071A7B"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2.68</w:t>
            </w:r>
          </w:p>
        </w:tc>
        <w:tc>
          <w:tcPr>
            <w:tcW w:w="489" w:type="pct"/>
            <w:tcBorders>
              <w:top w:val="single" w:sz="4" w:space="0" w:color="FFFFFF"/>
              <w:left w:val="single" w:sz="4" w:space="0" w:color="FFFFFF"/>
              <w:bottom w:val="single" w:sz="4" w:space="0" w:color="auto"/>
            </w:tcBorders>
          </w:tcPr>
          <w:p w14:paraId="758FB25A"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0.007</w:t>
            </w:r>
          </w:p>
        </w:tc>
        <w:tc>
          <w:tcPr>
            <w:tcW w:w="436" w:type="pct"/>
            <w:tcBorders>
              <w:top w:val="single" w:sz="4" w:space="0" w:color="FFFFFF"/>
              <w:bottom w:val="single" w:sz="4" w:space="0" w:color="auto"/>
              <w:right w:val="single" w:sz="4" w:space="0" w:color="FFFFFF"/>
            </w:tcBorders>
          </w:tcPr>
          <w:p w14:paraId="24BA267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3.767</w:t>
            </w:r>
          </w:p>
        </w:tc>
        <w:tc>
          <w:tcPr>
            <w:tcW w:w="378" w:type="pct"/>
            <w:tcBorders>
              <w:top w:val="single" w:sz="4" w:space="0" w:color="FFFFFF"/>
              <w:left w:val="single" w:sz="4" w:space="0" w:color="FFFFFF"/>
              <w:bottom w:val="single" w:sz="4" w:space="0" w:color="auto"/>
              <w:right w:val="single" w:sz="4" w:space="0" w:color="FFFFFF"/>
            </w:tcBorders>
          </w:tcPr>
          <w:p w14:paraId="1461D81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7.76</w:t>
            </w:r>
          </w:p>
        </w:tc>
        <w:tc>
          <w:tcPr>
            <w:tcW w:w="504" w:type="pct"/>
            <w:tcBorders>
              <w:top w:val="single" w:sz="4" w:space="0" w:color="FFFFFF"/>
              <w:left w:val="single" w:sz="4" w:space="0" w:color="FFFFFF"/>
              <w:bottom w:val="single" w:sz="4" w:space="0" w:color="auto"/>
            </w:tcBorders>
          </w:tcPr>
          <w:p w14:paraId="08AB49FD"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auto"/>
              <w:right w:val="single" w:sz="4" w:space="0" w:color="FFFFFF"/>
            </w:tcBorders>
          </w:tcPr>
          <w:p w14:paraId="2E4236C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0.248</w:t>
            </w:r>
          </w:p>
        </w:tc>
        <w:tc>
          <w:tcPr>
            <w:tcW w:w="462" w:type="pct"/>
            <w:tcBorders>
              <w:top w:val="single" w:sz="4" w:space="0" w:color="FFFFFF"/>
              <w:left w:val="single" w:sz="4" w:space="0" w:color="FFFFFF"/>
              <w:bottom w:val="single" w:sz="4" w:space="0" w:color="auto"/>
              <w:right w:val="single" w:sz="4" w:space="0" w:color="FFFFFF"/>
            </w:tcBorders>
          </w:tcPr>
          <w:p w14:paraId="3D3BDE7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2.80</w:t>
            </w:r>
          </w:p>
        </w:tc>
        <w:tc>
          <w:tcPr>
            <w:tcW w:w="504" w:type="pct"/>
            <w:tcBorders>
              <w:top w:val="single" w:sz="4" w:space="0" w:color="FFFFFF"/>
              <w:left w:val="single" w:sz="4" w:space="0" w:color="FFFFFF"/>
              <w:bottom w:val="single" w:sz="4" w:space="0" w:color="auto"/>
              <w:right w:val="single" w:sz="4" w:space="0" w:color="FFFFFF"/>
            </w:tcBorders>
          </w:tcPr>
          <w:p w14:paraId="3CD225DD"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0.006</w:t>
            </w:r>
          </w:p>
        </w:tc>
      </w:tr>
      <w:tr w:rsidR="006C0EF4" w:rsidRPr="00352CE6" w14:paraId="15B1BD5E" w14:textId="77777777" w:rsidTr="007B3DCE">
        <w:tc>
          <w:tcPr>
            <w:tcW w:w="1008" w:type="pct"/>
            <w:tcBorders>
              <w:top w:val="single" w:sz="4" w:space="0" w:color="auto"/>
              <w:left w:val="single" w:sz="4" w:space="0" w:color="FFFFFF"/>
              <w:bottom w:val="single" w:sz="4" w:space="0" w:color="FFFFFF"/>
              <w:right w:val="single" w:sz="4" w:space="0" w:color="FFFFFF"/>
            </w:tcBorders>
          </w:tcPr>
          <w:p w14:paraId="50ED0AE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R-squared</w:t>
            </w:r>
          </w:p>
        </w:tc>
        <w:tc>
          <w:tcPr>
            <w:tcW w:w="420" w:type="pct"/>
            <w:tcBorders>
              <w:top w:val="single" w:sz="4" w:space="0" w:color="auto"/>
              <w:left w:val="single" w:sz="4" w:space="0" w:color="FFFFFF"/>
              <w:bottom w:val="single" w:sz="4" w:space="0" w:color="FFFFFF"/>
              <w:right w:val="single" w:sz="4" w:space="0" w:color="FFFFFF"/>
            </w:tcBorders>
          </w:tcPr>
          <w:p w14:paraId="30C7953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0.032</w:t>
            </w:r>
          </w:p>
        </w:tc>
        <w:tc>
          <w:tcPr>
            <w:tcW w:w="378" w:type="pct"/>
            <w:tcBorders>
              <w:top w:val="single" w:sz="4" w:space="0" w:color="auto"/>
              <w:left w:val="single" w:sz="4" w:space="0" w:color="FFFFFF"/>
              <w:bottom w:val="single" w:sz="4" w:space="0" w:color="FFFFFF"/>
              <w:right w:val="single" w:sz="4" w:space="0" w:color="FFFFFF"/>
            </w:tcBorders>
          </w:tcPr>
          <w:p w14:paraId="73B3FDE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auto"/>
              <w:left w:val="single" w:sz="4" w:space="0" w:color="FFFFFF"/>
              <w:bottom w:val="single" w:sz="4" w:space="0" w:color="FFFFFF"/>
            </w:tcBorders>
          </w:tcPr>
          <w:p w14:paraId="5B21479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36" w:type="pct"/>
            <w:tcBorders>
              <w:top w:val="single" w:sz="4" w:space="0" w:color="auto"/>
              <w:bottom w:val="single" w:sz="4" w:space="0" w:color="FFFFFF"/>
              <w:right w:val="single" w:sz="4" w:space="0" w:color="FFFFFF"/>
            </w:tcBorders>
          </w:tcPr>
          <w:p w14:paraId="26C515B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0.250</w:t>
            </w:r>
          </w:p>
        </w:tc>
        <w:tc>
          <w:tcPr>
            <w:tcW w:w="378" w:type="pct"/>
            <w:tcBorders>
              <w:top w:val="single" w:sz="4" w:space="0" w:color="auto"/>
              <w:left w:val="single" w:sz="4" w:space="0" w:color="FFFFFF"/>
              <w:bottom w:val="single" w:sz="4" w:space="0" w:color="FFFFFF"/>
              <w:right w:val="single" w:sz="4" w:space="0" w:color="FFFFFF"/>
            </w:tcBorders>
          </w:tcPr>
          <w:p w14:paraId="71DE285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auto"/>
              <w:left w:val="single" w:sz="4" w:space="0" w:color="FFFFFF"/>
              <w:bottom w:val="single" w:sz="4" w:space="0" w:color="FFFFFF"/>
            </w:tcBorders>
          </w:tcPr>
          <w:p w14:paraId="72BDF01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20" w:type="pct"/>
            <w:tcBorders>
              <w:top w:val="single" w:sz="4" w:space="0" w:color="auto"/>
              <w:bottom w:val="single" w:sz="4" w:space="0" w:color="FFFFFF"/>
              <w:right w:val="single" w:sz="4" w:space="0" w:color="FFFFFF"/>
            </w:tcBorders>
          </w:tcPr>
          <w:p w14:paraId="7BB15B0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0.354</w:t>
            </w:r>
          </w:p>
        </w:tc>
        <w:tc>
          <w:tcPr>
            <w:tcW w:w="462" w:type="pct"/>
            <w:tcBorders>
              <w:top w:val="single" w:sz="4" w:space="0" w:color="auto"/>
              <w:left w:val="single" w:sz="4" w:space="0" w:color="FFFFFF"/>
              <w:bottom w:val="single" w:sz="4" w:space="0" w:color="FFFFFF"/>
              <w:right w:val="single" w:sz="4" w:space="0" w:color="FFFFFF"/>
            </w:tcBorders>
          </w:tcPr>
          <w:p w14:paraId="5DFE1B4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auto"/>
              <w:left w:val="single" w:sz="4" w:space="0" w:color="FFFFFF"/>
              <w:bottom w:val="single" w:sz="4" w:space="0" w:color="FFFFFF"/>
              <w:right w:val="single" w:sz="4" w:space="0" w:color="FFFFFF"/>
            </w:tcBorders>
          </w:tcPr>
          <w:p w14:paraId="786A00E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r>
      <w:tr w:rsidR="006C0EF4" w:rsidRPr="00352CE6" w14:paraId="4AC51069"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5EBA870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Wald Chi-squared</w:t>
            </w:r>
          </w:p>
        </w:tc>
        <w:tc>
          <w:tcPr>
            <w:tcW w:w="420" w:type="pct"/>
            <w:tcBorders>
              <w:top w:val="single" w:sz="4" w:space="0" w:color="FFFFFF"/>
              <w:left w:val="single" w:sz="4" w:space="0" w:color="FFFFFF"/>
              <w:bottom w:val="single" w:sz="4" w:space="0" w:color="FFFFFF"/>
              <w:right w:val="single" w:sz="4" w:space="0" w:color="FFFFFF"/>
            </w:tcBorders>
          </w:tcPr>
          <w:p w14:paraId="34DA129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4.42</w:t>
            </w:r>
          </w:p>
        </w:tc>
        <w:tc>
          <w:tcPr>
            <w:tcW w:w="378" w:type="pct"/>
            <w:tcBorders>
              <w:top w:val="single" w:sz="4" w:space="0" w:color="FFFFFF"/>
              <w:left w:val="single" w:sz="4" w:space="0" w:color="FFFFFF"/>
              <w:bottom w:val="single" w:sz="4" w:space="0" w:color="FFFFFF"/>
              <w:right w:val="single" w:sz="4" w:space="0" w:color="FFFFFF"/>
            </w:tcBorders>
          </w:tcPr>
          <w:p w14:paraId="2D092EC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5453AFE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36" w:type="pct"/>
            <w:tcBorders>
              <w:top w:val="single" w:sz="4" w:space="0" w:color="FFFFFF"/>
              <w:bottom w:val="single" w:sz="4" w:space="0" w:color="FFFFFF"/>
              <w:right w:val="single" w:sz="4" w:space="0" w:color="FFFFFF"/>
            </w:tcBorders>
          </w:tcPr>
          <w:p w14:paraId="298F17B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24.46</w:t>
            </w:r>
          </w:p>
        </w:tc>
        <w:tc>
          <w:tcPr>
            <w:tcW w:w="378" w:type="pct"/>
            <w:tcBorders>
              <w:top w:val="single" w:sz="4" w:space="0" w:color="FFFFFF"/>
              <w:left w:val="single" w:sz="4" w:space="0" w:color="FFFFFF"/>
              <w:bottom w:val="single" w:sz="4" w:space="0" w:color="FFFFFF"/>
              <w:right w:val="single" w:sz="4" w:space="0" w:color="FFFFFF"/>
            </w:tcBorders>
          </w:tcPr>
          <w:p w14:paraId="718CA9AE"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C5663E2"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FFFFFF"/>
              <w:right w:val="single" w:sz="4" w:space="0" w:color="FFFFFF"/>
            </w:tcBorders>
          </w:tcPr>
          <w:p w14:paraId="5942AFB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11.95</w:t>
            </w:r>
          </w:p>
        </w:tc>
        <w:tc>
          <w:tcPr>
            <w:tcW w:w="462" w:type="pct"/>
            <w:tcBorders>
              <w:top w:val="single" w:sz="4" w:space="0" w:color="FFFFFF"/>
              <w:left w:val="single" w:sz="4" w:space="0" w:color="FFFFFF"/>
              <w:bottom w:val="single" w:sz="4" w:space="0" w:color="FFFFFF"/>
              <w:right w:val="single" w:sz="4" w:space="0" w:color="FFFFFF"/>
            </w:tcBorders>
          </w:tcPr>
          <w:p w14:paraId="6E5AE3E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2FE6F80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r>
      <w:tr w:rsidR="006C0EF4" w:rsidRPr="00352CE6" w14:paraId="6F64E5DE"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05136204"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Autocorrelation test</w:t>
            </w:r>
          </w:p>
        </w:tc>
        <w:tc>
          <w:tcPr>
            <w:tcW w:w="420" w:type="pct"/>
            <w:tcBorders>
              <w:top w:val="single" w:sz="4" w:space="0" w:color="FFFFFF"/>
              <w:left w:val="single" w:sz="4" w:space="0" w:color="FFFFFF"/>
              <w:bottom w:val="single" w:sz="4" w:space="0" w:color="FFFFFF"/>
              <w:right w:val="single" w:sz="4" w:space="0" w:color="FFFFFF"/>
            </w:tcBorders>
          </w:tcPr>
          <w:p w14:paraId="53A3ED12"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3.060</w:t>
            </w:r>
          </w:p>
        </w:tc>
        <w:tc>
          <w:tcPr>
            <w:tcW w:w="378" w:type="pct"/>
            <w:tcBorders>
              <w:top w:val="single" w:sz="4" w:space="0" w:color="FFFFFF"/>
              <w:left w:val="single" w:sz="4" w:space="0" w:color="FFFFFF"/>
              <w:bottom w:val="single" w:sz="4" w:space="0" w:color="FFFFFF"/>
              <w:right w:val="single" w:sz="4" w:space="0" w:color="FFFFFF"/>
            </w:tcBorders>
          </w:tcPr>
          <w:p w14:paraId="52CABF8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47227EC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0.102</w:t>
            </w:r>
          </w:p>
        </w:tc>
        <w:tc>
          <w:tcPr>
            <w:tcW w:w="436" w:type="pct"/>
            <w:tcBorders>
              <w:top w:val="single" w:sz="4" w:space="0" w:color="FFFFFF"/>
              <w:bottom w:val="single" w:sz="4" w:space="0" w:color="FFFFFF"/>
              <w:right w:val="single" w:sz="4" w:space="0" w:color="FFFFFF"/>
            </w:tcBorders>
          </w:tcPr>
          <w:p w14:paraId="11665EE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0.207</w:t>
            </w:r>
          </w:p>
        </w:tc>
        <w:tc>
          <w:tcPr>
            <w:tcW w:w="378" w:type="pct"/>
            <w:tcBorders>
              <w:top w:val="single" w:sz="4" w:space="0" w:color="FFFFFF"/>
              <w:left w:val="single" w:sz="4" w:space="0" w:color="FFFFFF"/>
              <w:bottom w:val="single" w:sz="4" w:space="0" w:color="FFFFFF"/>
              <w:right w:val="single" w:sz="4" w:space="0" w:color="FFFFFF"/>
            </w:tcBorders>
          </w:tcPr>
          <w:p w14:paraId="1F52954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E34F5A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0.656</w:t>
            </w:r>
          </w:p>
        </w:tc>
        <w:tc>
          <w:tcPr>
            <w:tcW w:w="420" w:type="pct"/>
            <w:tcBorders>
              <w:top w:val="single" w:sz="4" w:space="0" w:color="FFFFFF"/>
              <w:bottom w:val="single" w:sz="4" w:space="0" w:color="FFFFFF"/>
              <w:right w:val="single" w:sz="4" w:space="0" w:color="FFFFFF"/>
            </w:tcBorders>
          </w:tcPr>
          <w:p w14:paraId="10C1822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1.783</w:t>
            </w:r>
          </w:p>
        </w:tc>
        <w:tc>
          <w:tcPr>
            <w:tcW w:w="462" w:type="pct"/>
            <w:tcBorders>
              <w:top w:val="single" w:sz="4" w:space="0" w:color="FFFFFF"/>
              <w:left w:val="single" w:sz="4" w:space="0" w:color="FFFFFF"/>
              <w:bottom w:val="single" w:sz="4" w:space="0" w:color="FFFFFF"/>
              <w:right w:val="single" w:sz="4" w:space="0" w:color="FFFFFF"/>
            </w:tcBorders>
          </w:tcPr>
          <w:p w14:paraId="6AAAF49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3B776B8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0.203</w:t>
            </w:r>
          </w:p>
        </w:tc>
      </w:tr>
      <w:tr w:rsidR="006C0EF4" w:rsidRPr="00352CE6" w14:paraId="3BAD0B08"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0CD36EF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Heteroskedasticity test</w:t>
            </w:r>
          </w:p>
        </w:tc>
        <w:tc>
          <w:tcPr>
            <w:tcW w:w="420" w:type="pct"/>
            <w:tcBorders>
              <w:top w:val="single" w:sz="4" w:space="0" w:color="FFFFFF"/>
              <w:left w:val="single" w:sz="4" w:space="0" w:color="FFFFFF"/>
              <w:bottom w:val="single" w:sz="4" w:space="0" w:color="FFFFFF"/>
              <w:right w:val="single" w:sz="4" w:space="0" w:color="FFFFFF"/>
            </w:tcBorders>
          </w:tcPr>
          <w:p w14:paraId="265489D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88.90</w:t>
            </w:r>
          </w:p>
        </w:tc>
        <w:tc>
          <w:tcPr>
            <w:tcW w:w="378" w:type="pct"/>
            <w:tcBorders>
              <w:top w:val="single" w:sz="4" w:space="0" w:color="FFFFFF"/>
              <w:left w:val="single" w:sz="4" w:space="0" w:color="FFFFFF"/>
              <w:bottom w:val="single" w:sz="4" w:space="0" w:color="FFFFFF"/>
              <w:right w:val="single" w:sz="4" w:space="0" w:color="FFFFFF"/>
            </w:tcBorders>
          </w:tcPr>
          <w:p w14:paraId="1438D8F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63E8701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36" w:type="pct"/>
            <w:tcBorders>
              <w:top w:val="single" w:sz="4" w:space="0" w:color="FFFFFF"/>
              <w:bottom w:val="single" w:sz="4" w:space="0" w:color="FFFFFF"/>
              <w:right w:val="single" w:sz="4" w:space="0" w:color="FFFFFF"/>
            </w:tcBorders>
          </w:tcPr>
          <w:p w14:paraId="672125E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17.33</w:t>
            </w:r>
          </w:p>
        </w:tc>
        <w:tc>
          <w:tcPr>
            <w:tcW w:w="378" w:type="pct"/>
            <w:tcBorders>
              <w:top w:val="single" w:sz="4" w:space="0" w:color="FFFFFF"/>
              <w:left w:val="single" w:sz="4" w:space="0" w:color="FFFFFF"/>
              <w:bottom w:val="single" w:sz="4" w:space="0" w:color="FFFFFF"/>
              <w:right w:val="single" w:sz="4" w:space="0" w:color="FFFFFF"/>
            </w:tcBorders>
          </w:tcPr>
          <w:p w14:paraId="7DB8F3C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B6DDF3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FFFFFF"/>
              <w:right w:val="single" w:sz="4" w:space="0" w:color="FFFFFF"/>
            </w:tcBorders>
          </w:tcPr>
          <w:p w14:paraId="0119B9A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0.53</w:t>
            </w:r>
          </w:p>
        </w:tc>
        <w:tc>
          <w:tcPr>
            <w:tcW w:w="462" w:type="pct"/>
            <w:tcBorders>
              <w:top w:val="single" w:sz="4" w:space="0" w:color="FFFFFF"/>
              <w:left w:val="single" w:sz="4" w:space="0" w:color="FFFFFF"/>
              <w:bottom w:val="single" w:sz="4" w:space="0" w:color="FFFFFF"/>
              <w:right w:val="single" w:sz="4" w:space="0" w:color="FFFFFF"/>
            </w:tcBorders>
          </w:tcPr>
          <w:p w14:paraId="52F4A9CA"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0F228DF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0.467</w:t>
            </w:r>
          </w:p>
        </w:tc>
      </w:tr>
      <w:tr w:rsidR="006C0EF4" w:rsidRPr="00352CE6" w14:paraId="33DE75B7" w14:textId="77777777" w:rsidTr="007B3DCE">
        <w:tc>
          <w:tcPr>
            <w:tcW w:w="1008" w:type="pct"/>
            <w:tcBorders>
              <w:top w:val="single" w:sz="4" w:space="0" w:color="FFFFFF"/>
              <w:left w:val="single" w:sz="4" w:space="0" w:color="FFFFFF"/>
              <w:right w:val="single" w:sz="4" w:space="0" w:color="FFFFFF"/>
            </w:tcBorders>
          </w:tcPr>
          <w:p w14:paraId="788D04A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Observations</w:t>
            </w:r>
          </w:p>
        </w:tc>
        <w:tc>
          <w:tcPr>
            <w:tcW w:w="420" w:type="pct"/>
            <w:tcBorders>
              <w:top w:val="single" w:sz="4" w:space="0" w:color="FFFFFF"/>
              <w:left w:val="single" w:sz="4" w:space="0" w:color="FFFFFF"/>
              <w:right w:val="single" w:sz="4" w:space="0" w:color="FFFFFF"/>
            </w:tcBorders>
          </w:tcPr>
          <w:p w14:paraId="54F75C58"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378" w:type="pct"/>
            <w:tcBorders>
              <w:top w:val="single" w:sz="4" w:space="0" w:color="FFFFFF"/>
              <w:left w:val="single" w:sz="4" w:space="0" w:color="FFFFFF"/>
              <w:right w:val="single" w:sz="4" w:space="0" w:color="FFFFFF"/>
            </w:tcBorders>
          </w:tcPr>
          <w:p w14:paraId="309E7D4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489" w:type="pct"/>
            <w:tcBorders>
              <w:top w:val="single" w:sz="4" w:space="0" w:color="FFFFFF"/>
              <w:left w:val="single" w:sz="4" w:space="0" w:color="FFFFFF"/>
            </w:tcBorders>
          </w:tcPr>
          <w:p w14:paraId="4B39CAF0"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36" w:type="pct"/>
            <w:tcBorders>
              <w:top w:val="single" w:sz="4" w:space="0" w:color="FFFFFF"/>
              <w:right w:val="single" w:sz="4" w:space="0" w:color="FFFFFF"/>
            </w:tcBorders>
          </w:tcPr>
          <w:p w14:paraId="032B3C79"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378" w:type="pct"/>
            <w:tcBorders>
              <w:top w:val="single" w:sz="4" w:space="0" w:color="FFFFFF"/>
              <w:left w:val="single" w:sz="4" w:space="0" w:color="FFFFFF"/>
              <w:right w:val="single" w:sz="4" w:space="0" w:color="FFFFFF"/>
            </w:tcBorders>
          </w:tcPr>
          <w:p w14:paraId="2CBB94E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504" w:type="pct"/>
            <w:tcBorders>
              <w:top w:val="single" w:sz="4" w:space="0" w:color="FFFFFF"/>
              <w:left w:val="single" w:sz="4" w:space="0" w:color="FFFFFF"/>
            </w:tcBorders>
          </w:tcPr>
          <w:p w14:paraId="334CE699"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20" w:type="pct"/>
            <w:tcBorders>
              <w:top w:val="single" w:sz="4" w:space="0" w:color="FFFFFF"/>
              <w:right w:val="single" w:sz="4" w:space="0" w:color="FFFFFF"/>
            </w:tcBorders>
          </w:tcPr>
          <w:p w14:paraId="2837434A"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62" w:type="pct"/>
            <w:tcBorders>
              <w:top w:val="single" w:sz="4" w:space="0" w:color="FFFFFF"/>
              <w:left w:val="single" w:sz="4" w:space="0" w:color="FFFFFF"/>
              <w:right w:val="single" w:sz="4" w:space="0" w:color="FFFFFF"/>
            </w:tcBorders>
          </w:tcPr>
          <w:p w14:paraId="6B1D413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504" w:type="pct"/>
            <w:tcBorders>
              <w:top w:val="single" w:sz="4" w:space="0" w:color="FFFFFF"/>
              <w:left w:val="single" w:sz="4" w:space="0" w:color="FFFFFF"/>
              <w:right w:val="single" w:sz="4" w:space="0" w:color="FFFFFF"/>
            </w:tcBorders>
          </w:tcPr>
          <w:p w14:paraId="5C5B4121"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r>
    </w:tbl>
    <w:p w14:paraId="7856C871" w14:textId="77777777" w:rsidR="006C0EF4" w:rsidRPr="00352CE6" w:rsidRDefault="006C0EF4" w:rsidP="006C0EF4">
      <w:pPr>
        <w:spacing w:line="240" w:lineRule="auto"/>
        <w:jc w:val="both"/>
        <w:rPr>
          <w:rFonts w:asciiTheme="majorBidi" w:eastAsia="Calibri" w:hAnsiTheme="majorBidi" w:cstheme="majorBidi"/>
          <w:sz w:val="24"/>
          <w:szCs w:val="24"/>
        </w:rPr>
      </w:pPr>
      <w:r w:rsidRPr="00352CE6">
        <w:rPr>
          <w:rFonts w:asciiTheme="majorBidi" w:eastAsia="Calibri" w:hAnsiTheme="majorBidi" w:cstheme="majorBidi"/>
          <w:b/>
          <w:sz w:val="24"/>
          <w:szCs w:val="24"/>
        </w:rPr>
        <w:t>Sour</w:t>
      </w:r>
      <w:r w:rsidR="002C7EFB">
        <w:rPr>
          <w:rFonts w:asciiTheme="majorBidi" w:eastAsia="Calibri" w:hAnsiTheme="majorBidi" w:cstheme="majorBidi"/>
          <w:b/>
          <w:sz w:val="24"/>
          <w:szCs w:val="24"/>
        </w:rPr>
        <w:t>ce, Author’s Computation (2024)</w:t>
      </w:r>
    </w:p>
    <w:p w14:paraId="34548486" w14:textId="77777777" w:rsidR="002C7EFB" w:rsidRPr="002C7EFB" w:rsidRDefault="002C7EFB" w:rsidP="002C7EFB">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The model estimates presented in Table 4 use z-statistics and p-values to assess statistical significance, applying a p &lt; 0.05 decision rule for rejecting the null hypothesis. The diagnostic tests indicate that the corporate tax-planning variables explain approximately 3.2%, 25.0%, and 35.4% of the variation (R²) in the Non-Performing Loans Ratio (NPLR), Current Ratio (CR), and Equity-to-Total-Assets Ratio (ETAR) models, respectively. Overall model fit is indicated by the reported Wald chi-squared statistics (p = 0.000) across the three models. In addition, the Wooldridge test results (p &gt; 0.05) indicate that the models are free from autocorrelation. Although the ETAR model satisfies the Breusch-Pagan null hypothesis of homoscedasticity (p = 0.467), the NPLR and CR models exhibit heteroscedasticity (p = 0.000). Robust standard errors were therefore used to improve the reliability of the subsequent estimates.</w:t>
      </w:r>
    </w:p>
    <w:p w14:paraId="296CCAB1" w14:textId="77777777" w:rsidR="007B3DCE" w:rsidRPr="00500483" w:rsidRDefault="002626AB" w:rsidP="007B3DCE">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4.2</w:t>
      </w:r>
      <w:r w:rsidR="007B3DCE">
        <w:rPr>
          <w:rFonts w:ascii="Times New Roman" w:eastAsia="Calibri" w:hAnsi="Times New Roman" w:cs="Times New Roman"/>
          <w:b/>
          <w:sz w:val="24"/>
          <w:szCs w:val="24"/>
        </w:rPr>
        <w:tab/>
      </w:r>
      <w:r w:rsidR="007B3DCE" w:rsidRPr="00500483">
        <w:rPr>
          <w:rFonts w:ascii="Times New Roman" w:eastAsia="Calibri" w:hAnsi="Times New Roman" w:cs="Times New Roman"/>
          <w:b/>
          <w:sz w:val="24"/>
          <w:szCs w:val="24"/>
        </w:rPr>
        <w:t>Discussion of findings</w:t>
      </w:r>
    </w:p>
    <w:p w14:paraId="4DA8C31D" w14:textId="77777777" w:rsidR="007B3DCE" w:rsidRPr="00352CE6" w:rsidRDefault="00B8743F"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The discussion is based on the pooled OLS model with the Equity-to-Total-Assets Ratio as the proxy for financial stability because it achieved the highest R-squared value among the three proxies. The model's high Wald chi-squared value indicates that the overall model is statistically significant and has an acceptable fit, leading to the rejection of the null hypothesis H01, which states that corporate tax planning has no significant effect on the financial stability of listed deposit money banks in Nigeria.</w:t>
      </w:r>
    </w:p>
    <w:p w14:paraId="5E520F11" w14:textId="77777777" w:rsidR="007B3DCE" w:rsidRPr="00352CE6" w:rsidRDefault="007B3DCE"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The results establish that Capital Intensity has a positive effect on the financial stability of listed deposit money banks in Nigeria, as indicated by a p-value below the specified significance level. This implies that an increase in Capital Intensity is associated with an increase in the financial stability of listed deposit money banks in Nigeria. The relationship suggests that a greater proportion of fixed assets relative to total assets may enhance financial resilience and the capacity to absorb potential losses. This may be explained by the use of capital-intensive investments to generate depreciation allowances that reduce taxable income, thereby retaining after-tax earnings and profits that can subsequently be reinvested to strengthen bank stability.</w:t>
      </w:r>
    </w:p>
    <w:p w14:paraId="0D18EFB9" w14:textId="77777777" w:rsidR="007B3DCE" w:rsidRPr="00352CE6" w:rsidRDefault="007B3DCE"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 xml:space="preserve">Furthermore, banks with high capital intensity may signal a stronger commitment to operations and a long-term investment orientation to regulators, investors, and depositors, which may attract equity financing and enhance financial stability. Capital-intensive banks may also possess larger tangible-asset bases that can serve as collateral, helping them raise additional </w:t>
      </w:r>
      <w:r>
        <w:rPr>
          <w:rFonts w:asciiTheme="majorBidi" w:eastAsia="Calibri" w:hAnsiTheme="majorBidi" w:cstheme="majorBidi"/>
          <w:sz w:val="24"/>
          <w:szCs w:val="24"/>
          <w:highlight w:val="yellow"/>
        </w:rPr>
        <w:lastRenderedPageBreak/>
        <w:t>funds and reducing their exposure to financial distress. The positive effect of capital intensity on financial stability therefore highlights the value of strategic asset investment as a tax-planning instrument for strengthening the financial stability of deposit money banks, particularly within Nigeria's volatile regulatory and macroeconomic environment.</w:t>
      </w:r>
    </w:p>
    <w:p w14:paraId="10B138F1" w14:textId="77777777" w:rsidR="007B3DCE" w:rsidRPr="00352CE6" w:rsidRDefault="007B3DCE"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highlight w:val="yellow"/>
        </w:rPr>
        <w:t xml:space="preserve">This finding may be explained by the Trade-Off Theory of Capital Structure advanced by Kraus and Litzenberger (1973), which suggests that banks with greater capital intensity optimally balance the tax benefits of their assets against the financial risks they may face. This balance may result in a stronger and more stable financial position that supports depositor confidence and long-term solvency. The findings are comparable with those of </w:t>
      </w:r>
      <w:proofErr w:type="spellStart"/>
      <w:r>
        <w:rPr>
          <w:rFonts w:asciiTheme="majorBidi" w:eastAsia="Calibri" w:hAnsiTheme="majorBidi" w:cstheme="majorBidi"/>
          <w:sz w:val="24"/>
          <w:szCs w:val="24"/>
          <w:highlight w:val="yellow"/>
        </w:rPr>
        <w:t>Hendayana</w:t>
      </w:r>
      <w:proofErr w:type="spellEnd"/>
      <w:r>
        <w:rPr>
          <w:rFonts w:asciiTheme="majorBidi" w:eastAsia="Calibri" w:hAnsiTheme="majorBidi" w:cstheme="majorBidi"/>
          <w:sz w:val="24"/>
          <w:szCs w:val="24"/>
          <w:highlight w:val="yellow"/>
        </w:rPr>
        <w:t xml:space="preserve"> et al. (2024), Darsani and </w:t>
      </w:r>
      <w:proofErr w:type="spellStart"/>
      <w:r>
        <w:rPr>
          <w:rFonts w:asciiTheme="majorBidi" w:eastAsia="Calibri" w:hAnsiTheme="majorBidi" w:cstheme="majorBidi"/>
          <w:sz w:val="24"/>
          <w:szCs w:val="24"/>
          <w:highlight w:val="yellow"/>
        </w:rPr>
        <w:t>Sukartha</w:t>
      </w:r>
      <w:proofErr w:type="spellEnd"/>
      <w:r>
        <w:rPr>
          <w:rFonts w:asciiTheme="majorBidi" w:eastAsia="Calibri" w:hAnsiTheme="majorBidi" w:cstheme="majorBidi"/>
          <w:sz w:val="24"/>
          <w:szCs w:val="24"/>
          <w:highlight w:val="yellow"/>
        </w:rPr>
        <w:t xml:space="preserve"> (2021), and Abubakar et al. (2024), who found that capital intensity is significantly related to indicators of firms' financial strength. The present study therefore supports the effect of capital intensity on the financial stability of listed deposit money banks in Nigeria.</w:t>
      </w:r>
    </w:p>
    <w:p w14:paraId="79E239E2" w14:textId="77777777" w:rsidR="008047CC" w:rsidRPr="009B5A05" w:rsidRDefault="007B3DCE" w:rsidP="008047CC">
      <w:pPr>
        <w:spacing w:before="100" w:beforeAutospacing="1" w:after="100" w:afterAutospacing="1" w:line="240" w:lineRule="auto"/>
        <w:outlineLvl w:val="2"/>
        <w:rPr>
          <w:rFonts w:ascii="Times New Roman" w:eastAsia="Times New Roman" w:hAnsi="Times New Roman" w:cs="Times New Roman"/>
          <w:b/>
          <w:bCs/>
          <w:sz w:val="27"/>
          <w:szCs w:val="27"/>
          <w:lang w:val="en-IN" w:eastAsia="en-IN"/>
        </w:rPr>
      </w:pPr>
      <w:r>
        <w:rPr>
          <w:rFonts w:ascii="Times New Roman" w:hAnsi="Times New Roman" w:cs="Times New Roman"/>
          <w:b/>
          <w:sz w:val="24"/>
          <w:szCs w:val="24"/>
          <w:highlight w:val="yellow"/>
        </w:rPr>
        <w:t>5.0 Conclusions</w:t>
      </w:r>
    </w:p>
    <w:p w14:paraId="76D3861D" w14:textId="77777777" w:rsidR="008047CC" w:rsidRPr="009B5A05" w:rsidRDefault="008047CC" w:rsidP="008047CC">
      <w:pPr>
        <w:spacing w:before="100" w:beforeAutospacing="1" w:after="100" w:afterAutospacing="1" w:line="240" w:lineRule="auto"/>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highlight w:val="yellow"/>
          <w:lang w:val="en-IN" w:eastAsia="en-IN"/>
        </w:rPr>
        <w:t>The study concludes that corporate tax planning has a limited but relevant relationship with the financial stability of listed deposit money banks in Nigeria. The empirical results indicate that capital intensity is the principal tax-planning variable with statistically significant effects in the reported models. Its negative relationship with the Current Ratio suggests that greater investment in fixed assets may reduce short-term liquidity, whereas its positive relationship with the Equity-to-Total-Assets Ratio indicates a possible contribution to capital strength and long-term solvency. The Effective Tax Rate did not have a statistically significant effect on the examined proxies of financial stability. These findings imply that tax-planning decisions should not be regarded as automatic instruments for improving bank stability. Instead, they should be aligned with liquidity management, capital-adequacy planning, and sound risk-control practices. Deposit money banks should therefore pursue tax efficiency within transparent, compliant, and prudentially responsible limits to avoid weakening financial resilience.</w:t>
      </w:r>
    </w:p>
    <w:p w14:paraId="2BCCFFD8" w14:textId="77777777" w:rsidR="00DC4111" w:rsidRPr="00DC4111" w:rsidRDefault="00DC4111" w:rsidP="008047CC">
      <w:pPr>
        <w:jc w:val="both"/>
        <w:rPr>
          <w:rFonts w:ascii="Times New Roman" w:eastAsia="Times New Roman" w:hAnsi="Times New Roman" w:cs="Times New Roman"/>
          <w:sz w:val="24"/>
          <w:szCs w:val="24"/>
          <w:lang w:eastAsia="en-GB"/>
        </w:rPr>
      </w:pPr>
    </w:p>
    <w:p w14:paraId="727FDE4D" w14:textId="77777777" w:rsidR="004C0E97" w:rsidRDefault="004C0E97" w:rsidP="004C0E97">
      <w:pPr>
        <w:rPr>
          <w:rFonts w:ascii="Times New Roman" w:hAnsi="Times New Roman" w:cs="Times New Roman"/>
          <w:b/>
          <w:sz w:val="24"/>
          <w:szCs w:val="24"/>
        </w:rPr>
      </w:pPr>
      <w:r>
        <w:rPr>
          <w:rFonts w:ascii="Times New Roman" w:hAnsi="Times New Roman" w:cs="Times New Roman"/>
          <w:b/>
          <w:sz w:val="24"/>
          <w:szCs w:val="24"/>
          <w:highlight w:val="yellow"/>
        </w:rPr>
        <w:t>5.1 Recommendation</w:t>
      </w:r>
    </w:p>
    <w:p w14:paraId="2E803233" w14:textId="77777777" w:rsidR="004C0E97" w:rsidRDefault="004C0E97" w:rsidP="004C0E97">
      <w:pPr>
        <w:jc w:val="both"/>
        <w:rPr>
          <w:rFonts w:ascii="Times New Roman" w:hAnsi="Times New Roman" w:cs="Times New Roman"/>
          <w:sz w:val="24"/>
          <w:szCs w:val="24"/>
        </w:rPr>
      </w:pPr>
      <w:r w:rsidRPr="004C0E97">
        <w:rPr>
          <w:rFonts w:ascii="Times New Roman" w:hAnsi="Times New Roman" w:cs="Times New Roman"/>
          <w:sz w:val="24"/>
          <w:szCs w:val="24"/>
        </w:rPr>
        <w:t>Based on the objective of examining the effect of corporate tax planning on the financial stability of listed deposit money banks in Nigeria, the following policy and managerial recommendations are proposed:</w:t>
      </w:r>
    </w:p>
    <w:p w14:paraId="07129CAE" w14:textId="77777777" w:rsidR="004C0E97" w:rsidRPr="004C0E97" w:rsidRDefault="00D76CD2" w:rsidP="004C0E97">
      <w:pPr>
        <w:jc w:val="both"/>
        <w:rPr>
          <w:rFonts w:ascii="Times New Roman" w:hAnsi="Times New Roman" w:cs="Times New Roman"/>
          <w:sz w:val="24"/>
          <w:szCs w:val="24"/>
        </w:rPr>
      </w:pPr>
      <w:r>
        <w:rPr>
          <w:rFonts w:ascii="Times New Roman" w:hAnsi="Times New Roman" w:cs="Times New Roman"/>
          <w:bCs/>
          <w:sz w:val="24"/>
          <w:szCs w:val="24"/>
          <w:highlight w:val="yellow"/>
        </w:rPr>
        <w:t>1. Bank executives should strategically manage corporate tax-planning instruments, such as Capital Intensity and Inventory Intensity, to maximise tax savings without excessively eroding the bank's tax base. Because a lower Effective Tax Rate releases operational cash flow, these savings should be directed towards high-quality liquid assets to improve the bank's Current Ratio and overall liquidity position.</w:t>
      </w:r>
    </w:p>
    <w:p w14:paraId="701183FE" w14:textId="77777777" w:rsidR="004C0E97" w:rsidRPr="004C0E97" w:rsidRDefault="00D76CD2" w:rsidP="004C0E97">
      <w:pPr>
        <w:jc w:val="both"/>
        <w:rPr>
          <w:rFonts w:ascii="Times New Roman" w:hAnsi="Times New Roman" w:cs="Times New Roman"/>
          <w:sz w:val="24"/>
          <w:szCs w:val="24"/>
        </w:rPr>
      </w:pPr>
      <w:r>
        <w:rPr>
          <w:rFonts w:ascii="Times New Roman" w:hAnsi="Times New Roman" w:cs="Times New Roman"/>
          <w:bCs/>
          <w:sz w:val="24"/>
          <w:szCs w:val="24"/>
          <w:highlight w:val="yellow"/>
        </w:rPr>
        <w:t>2. Given that the Non-Performing Loans Ratio directly threatens stability and is subject to substantial volatility, banks should use tax-planning savings to strengthen their Capital Adequacy Ratio. Management should consistently maintain capital buffers comfortably above the minimum regulatory thresholds established by the CBN to absorb sudden deterioration in asset quality.</w:t>
      </w:r>
    </w:p>
    <w:p w14:paraId="6B019DBC" w14:textId="77777777" w:rsidR="002626AB" w:rsidRDefault="00D76CD2" w:rsidP="002626AB">
      <w:pPr>
        <w:jc w:val="both"/>
        <w:rPr>
          <w:rFonts w:ascii="Times New Roman" w:hAnsi="Times New Roman" w:cs="Times New Roman"/>
          <w:sz w:val="24"/>
          <w:szCs w:val="24"/>
        </w:rPr>
      </w:pPr>
      <w:r>
        <w:rPr>
          <w:rFonts w:ascii="Times New Roman" w:hAnsi="Times New Roman" w:cs="Times New Roman"/>
          <w:bCs/>
          <w:sz w:val="24"/>
          <w:szCs w:val="24"/>
          <w:highlight w:val="yellow"/>
        </w:rPr>
        <w:lastRenderedPageBreak/>
        <w:t>3. Because Financial Restructuring is a long-term dynamic process, adjustments to a bank's debt-to-equity profile should be carefully synchronised with credit-risk management. Decisions concerning financial, operational, and managerial restructuring should be designed to optimise operating costs and limit the accumulation of non-performing loans, thereby protecting and strengthening shareholders' equity buffers.</w:t>
      </w:r>
    </w:p>
    <w:p w14:paraId="380D15E1" w14:textId="77777777" w:rsidR="008047CC" w:rsidRDefault="008047CC" w:rsidP="002626AB">
      <w:pPr>
        <w:jc w:val="both"/>
        <w:rPr>
          <w:rFonts w:ascii="Times New Roman" w:hAnsi="Times New Roman" w:cs="Times New Roman"/>
          <w:sz w:val="24"/>
          <w:szCs w:val="24"/>
        </w:rPr>
      </w:pPr>
    </w:p>
    <w:p w14:paraId="690D37D2" w14:textId="77777777" w:rsidR="008047CC" w:rsidRPr="009B5A05" w:rsidRDefault="008047CC" w:rsidP="008047CC">
      <w:pPr>
        <w:spacing w:before="100" w:beforeAutospacing="1" w:after="100" w:afterAutospacing="1" w:line="240" w:lineRule="auto"/>
        <w:outlineLvl w:val="2"/>
        <w:rPr>
          <w:rFonts w:ascii="Times New Roman" w:eastAsia="Times New Roman" w:hAnsi="Times New Roman" w:cs="Times New Roman"/>
          <w:b/>
          <w:bCs/>
          <w:sz w:val="27"/>
          <w:szCs w:val="27"/>
          <w:lang w:val="en-IN" w:eastAsia="en-IN"/>
        </w:rPr>
      </w:pPr>
      <w:r w:rsidRPr="009B5A05">
        <w:rPr>
          <w:rFonts w:ascii="Times New Roman" w:eastAsia="Times New Roman" w:hAnsi="Times New Roman" w:cs="Times New Roman"/>
          <w:b/>
          <w:bCs/>
          <w:sz w:val="27"/>
          <w:szCs w:val="27"/>
          <w:lang w:val="en-IN" w:eastAsia="en-IN"/>
        </w:rPr>
        <w:t>Limitations</w:t>
      </w:r>
    </w:p>
    <w:p w14:paraId="3B236063" w14:textId="77777777" w:rsidR="008047CC" w:rsidRPr="009B5A05" w:rsidRDefault="008047CC" w:rsidP="008047CC">
      <w:pPr>
        <w:spacing w:before="100" w:beforeAutospacing="1" w:after="100" w:afterAutospacing="1" w:line="240" w:lineRule="auto"/>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highlight w:val="yellow"/>
          <w:lang w:val="en-IN" w:eastAsia="en-IN"/>
        </w:rPr>
        <w:t>This study is limited to 10 listed deposit money banks in Nigeria and covers the period 2010–2024. The findings may therefore not be generalised to unlisted banks, non-bank financial institutions, or banks operating in other jurisdictions. The study relied on secondary data from published reports and regulatory sources, which may be affected by differences in disclosure practices across banks. Financial stability was measured using selected accounting-based indicators, namely the Non-Performing Loans Ratio, Current Ratio, and Equity-to-Total-Assets Ratio. Other market-based or macroeconomic measures of stability were not included. Future studies may extend the model by incorporating broader regulatory, governance, and macroeconomic variables.</w:t>
      </w:r>
    </w:p>
    <w:p w14:paraId="57357B6C" w14:textId="77777777" w:rsidR="008047CC" w:rsidRDefault="008047CC" w:rsidP="008047CC"/>
    <w:p w14:paraId="39CCC6AF" w14:textId="77777777" w:rsidR="008047CC" w:rsidRPr="000839CE" w:rsidRDefault="008047CC" w:rsidP="008047CC">
      <w:pPr>
        <w:spacing w:after="0" w:line="240" w:lineRule="auto"/>
        <w:rPr>
          <w:rFonts w:ascii="Times New Roman" w:hAnsi="Times New Roman" w:cs="Times New Roman"/>
          <w:b/>
        </w:rPr>
      </w:pPr>
      <w:bookmarkStart w:id="0" w:name="_Hlk232755622"/>
      <w:r w:rsidRPr="000839CE">
        <w:rPr>
          <w:rFonts w:ascii="Times New Roman" w:hAnsi="Times New Roman" w:cs="Times New Roman"/>
          <w:b/>
        </w:rPr>
        <w:t>Declaration of AI Use</w:t>
      </w:r>
    </w:p>
    <w:p w14:paraId="7FEF095A" w14:textId="77777777" w:rsidR="008047CC" w:rsidRPr="000839CE" w:rsidRDefault="008047CC" w:rsidP="008047CC">
      <w:pPr>
        <w:spacing w:after="0" w:line="240" w:lineRule="auto"/>
        <w:rPr>
          <w:rFonts w:ascii="Times New Roman" w:hAnsi="Times New Roman" w:cs="Times New Roman"/>
        </w:rPr>
      </w:pPr>
    </w:p>
    <w:p w14:paraId="1046C379" w14:textId="77777777" w:rsidR="008047CC" w:rsidRPr="000839CE" w:rsidRDefault="008047CC" w:rsidP="008047CC">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bookmarkEnd w:id="0"/>
    <w:p w14:paraId="05C5C384" w14:textId="77777777" w:rsidR="008047CC" w:rsidRDefault="008047CC" w:rsidP="002626AB">
      <w:pPr>
        <w:jc w:val="both"/>
        <w:rPr>
          <w:rFonts w:ascii="Times New Roman" w:hAnsi="Times New Roman" w:cs="Times New Roman"/>
          <w:sz w:val="24"/>
          <w:szCs w:val="24"/>
        </w:rPr>
      </w:pPr>
    </w:p>
    <w:p w14:paraId="0EEA482B" w14:textId="77777777" w:rsidR="00A32E4E" w:rsidRPr="002626AB" w:rsidRDefault="00A32E4E" w:rsidP="002626AB">
      <w:pPr>
        <w:spacing w:after="0" w:line="240" w:lineRule="auto"/>
        <w:jc w:val="center"/>
        <w:rPr>
          <w:rFonts w:ascii="Times New Roman" w:hAnsi="Times New Roman" w:cs="Times New Roman"/>
          <w:sz w:val="24"/>
          <w:szCs w:val="24"/>
        </w:rPr>
      </w:pPr>
      <w:r w:rsidRPr="00A32E4E">
        <w:rPr>
          <w:rFonts w:ascii="Times New Roman" w:hAnsi="Times New Roman" w:cs="Times New Roman"/>
          <w:b/>
          <w:sz w:val="24"/>
          <w:szCs w:val="24"/>
        </w:rPr>
        <w:t>References</w:t>
      </w:r>
    </w:p>
    <w:p w14:paraId="49291604" w14:textId="77777777" w:rsidR="008F5244" w:rsidRPr="008F5244" w:rsidRDefault="008F5244" w:rsidP="008F5244">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Abubakar, A. H., Ahmed, A. A. K., Ab Rahim, R., &amp; Ahmed, Z. N. (2024). Profitability, inventory intensity and corporate tax avoidance in Nigeria: The moderating effect of institutional ownership. </w:t>
      </w:r>
      <w:r w:rsidRPr="008F5244">
        <w:rPr>
          <w:rFonts w:ascii="Times New Roman" w:eastAsia="Times New Roman" w:hAnsi="Times New Roman" w:cs="Times New Roman"/>
          <w:i/>
          <w:iCs/>
          <w:sz w:val="24"/>
          <w:szCs w:val="24"/>
          <w:lang w:val="en-US"/>
        </w:rPr>
        <w:t>Capital Markets Review, 32</w:t>
      </w:r>
      <w:r w:rsidRPr="008F5244">
        <w:rPr>
          <w:rFonts w:ascii="Times New Roman" w:eastAsia="Times New Roman" w:hAnsi="Times New Roman" w:cs="Times New Roman"/>
          <w:sz w:val="24"/>
          <w:szCs w:val="24"/>
          <w:lang w:val="en-US"/>
        </w:rPr>
        <w:t xml:space="preserve">(2), 69–83. </w:t>
      </w:r>
      <w:hyperlink r:id="rId7" w:history="1">
        <w:r w:rsidRPr="008F5244">
          <w:rPr>
            <w:rFonts w:ascii="Times New Roman" w:eastAsia="Times New Roman" w:hAnsi="Times New Roman" w:cs="Times New Roman"/>
            <w:color w:val="0000FF"/>
            <w:sz w:val="24"/>
            <w:szCs w:val="24"/>
            <w:u w:val="single"/>
            <w:lang w:val="en-US"/>
          </w:rPr>
          <w:t>https://doi.org/10.66674/qd9acc08</w:t>
        </w:r>
      </w:hyperlink>
    </w:p>
    <w:p w14:paraId="483E8140" w14:textId="77777777" w:rsidR="008F5244" w:rsidRPr="008F5244" w:rsidRDefault="008F5244" w:rsidP="008F5244">
      <w:pPr>
        <w:numPr>
          <w:ilvl w:val="0"/>
          <w:numId w:val="7"/>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Adam, B. M., Sarpong-</w:t>
      </w:r>
      <w:proofErr w:type="spellStart"/>
      <w:r w:rsidRPr="008F5244">
        <w:rPr>
          <w:rFonts w:ascii="Times New Roman" w:eastAsia="Times New Roman" w:hAnsi="Times New Roman" w:cs="Times New Roman"/>
          <w:sz w:val="24"/>
          <w:szCs w:val="24"/>
          <w:lang w:val="en-US"/>
        </w:rPr>
        <w:t>Kumankoma</w:t>
      </w:r>
      <w:proofErr w:type="spellEnd"/>
      <w:r w:rsidRPr="008F5244">
        <w:rPr>
          <w:rFonts w:ascii="Times New Roman" w:eastAsia="Times New Roman" w:hAnsi="Times New Roman" w:cs="Times New Roman"/>
          <w:sz w:val="24"/>
          <w:szCs w:val="24"/>
          <w:lang w:val="en-US"/>
        </w:rPr>
        <w:t xml:space="preserve">, E., &amp; Fiador, V. (2024). Economic freedom, corruption and bank stability: Evidence from sub-Saharan Africa. </w:t>
      </w:r>
      <w:r w:rsidRPr="008F5244">
        <w:rPr>
          <w:rFonts w:ascii="Times New Roman" w:eastAsia="Times New Roman" w:hAnsi="Times New Roman" w:cs="Times New Roman"/>
          <w:i/>
          <w:iCs/>
          <w:sz w:val="24"/>
          <w:szCs w:val="24"/>
          <w:lang w:val="en-US"/>
        </w:rPr>
        <w:t>Journal of Financial Crime, 31</w:t>
      </w:r>
      <w:r w:rsidRPr="008F5244">
        <w:rPr>
          <w:rFonts w:ascii="Times New Roman" w:eastAsia="Times New Roman" w:hAnsi="Times New Roman" w:cs="Times New Roman"/>
          <w:sz w:val="24"/>
          <w:szCs w:val="24"/>
          <w:lang w:val="en-US"/>
        </w:rPr>
        <w:t xml:space="preserve">(4), 781–794. </w:t>
      </w:r>
      <w:hyperlink r:id="rId8" w:history="1">
        <w:r w:rsidRPr="008F5244">
          <w:rPr>
            <w:rFonts w:ascii="Times New Roman" w:eastAsia="Times New Roman" w:hAnsi="Times New Roman" w:cs="Times New Roman"/>
            <w:color w:val="0000FF"/>
            <w:sz w:val="24"/>
            <w:szCs w:val="24"/>
            <w:u w:val="single"/>
            <w:lang w:val="en-US"/>
          </w:rPr>
          <w:t>https://doi.org/10.1108/JFC-04-2023-0087</w:t>
        </w:r>
      </w:hyperlink>
    </w:p>
    <w:p w14:paraId="670AFA78" w14:textId="6B39BDF0" w:rsidR="008F5244" w:rsidRPr="008F5244" w:rsidRDefault="008F5244" w:rsidP="008F5244">
      <w:pPr>
        <w:numPr>
          <w:ilvl w:val="0"/>
          <w:numId w:val="7"/>
        </w:numPr>
        <w:spacing w:before="100" w:beforeAutospacing="1" w:after="100" w:afterAutospacing="1" w:line="240" w:lineRule="auto"/>
        <w:rPr>
          <w:rFonts w:ascii="Times New Roman" w:eastAsia="Times New Roman" w:hAnsi="Times New Roman" w:cs="Times New Roman"/>
          <w:b/>
          <w:bCs/>
          <w:sz w:val="24"/>
          <w:szCs w:val="24"/>
          <w:lang w:val="en-US"/>
        </w:rPr>
      </w:pPr>
      <w:r w:rsidRPr="008F5244">
        <w:rPr>
          <w:rFonts w:ascii="Times New Roman" w:eastAsia="Times New Roman" w:hAnsi="Times New Roman" w:cs="Times New Roman"/>
          <w:sz w:val="24"/>
          <w:szCs w:val="24"/>
          <w:lang w:val="en-US"/>
        </w:rPr>
        <w:t xml:space="preserve">Umeh, V. C., </w:t>
      </w:r>
      <w:proofErr w:type="spellStart"/>
      <w:r w:rsidRPr="008F5244">
        <w:rPr>
          <w:rFonts w:ascii="Times New Roman" w:eastAsia="Times New Roman" w:hAnsi="Times New Roman" w:cs="Times New Roman"/>
          <w:sz w:val="24"/>
          <w:szCs w:val="24"/>
          <w:lang w:val="en-US"/>
        </w:rPr>
        <w:t>Okegbe</w:t>
      </w:r>
      <w:proofErr w:type="spellEnd"/>
      <w:r w:rsidRPr="008F5244">
        <w:rPr>
          <w:rFonts w:ascii="Times New Roman" w:eastAsia="Times New Roman" w:hAnsi="Times New Roman" w:cs="Times New Roman"/>
          <w:sz w:val="24"/>
          <w:szCs w:val="24"/>
          <w:lang w:val="en-US"/>
        </w:rPr>
        <w:t xml:space="preserve">, T. O., &amp; </w:t>
      </w:r>
      <w:proofErr w:type="spellStart"/>
      <w:r w:rsidRPr="008F5244">
        <w:rPr>
          <w:rFonts w:ascii="Times New Roman" w:eastAsia="Times New Roman" w:hAnsi="Times New Roman" w:cs="Times New Roman"/>
          <w:sz w:val="24"/>
          <w:szCs w:val="24"/>
          <w:lang w:val="en-US"/>
        </w:rPr>
        <w:t>Ezejiofor</w:t>
      </w:r>
      <w:proofErr w:type="spellEnd"/>
      <w:r w:rsidRPr="008F5244">
        <w:rPr>
          <w:rFonts w:ascii="Times New Roman" w:eastAsia="Times New Roman" w:hAnsi="Times New Roman" w:cs="Times New Roman"/>
          <w:sz w:val="24"/>
          <w:szCs w:val="24"/>
          <w:lang w:val="en-US"/>
        </w:rPr>
        <w:t xml:space="preserve">, R. A. (2020). Effect of tax planning on firm value of quoted consumer goods manufacturing firms in Nigeria. </w:t>
      </w:r>
      <w:r w:rsidRPr="008F5244">
        <w:rPr>
          <w:rFonts w:ascii="Times New Roman" w:eastAsia="Times New Roman" w:hAnsi="Times New Roman" w:cs="Times New Roman"/>
          <w:i/>
          <w:iCs/>
          <w:sz w:val="24"/>
          <w:szCs w:val="24"/>
          <w:lang w:val="en-US"/>
        </w:rPr>
        <w:t>International Journal of Finance and Banking Research, 6</w:t>
      </w:r>
      <w:r w:rsidRPr="008F5244">
        <w:rPr>
          <w:rFonts w:ascii="Times New Roman" w:eastAsia="Times New Roman" w:hAnsi="Times New Roman" w:cs="Times New Roman"/>
          <w:sz w:val="24"/>
          <w:szCs w:val="24"/>
          <w:lang w:val="en-US"/>
        </w:rPr>
        <w:t xml:space="preserve">(1), 1–10. </w:t>
      </w:r>
      <w:hyperlink r:id="rId9" w:history="1">
        <w:r w:rsidRPr="008F5244">
          <w:rPr>
            <w:rFonts w:ascii="Times New Roman" w:eastAsia="Times New Roman" w:hAnsi="Times New Roman" w:cs="Times New Roman"/>
            <w:color w:val="0000FF"/>
            <w:sz w:val="24"/>
            <w:szCs w:val="24"/>
            <w:u w:val="single"/>
            <w:lang w:val="en-US"/>
          </w:rPr>
          <w:t>https://doi.org/10.11648/j.ijfbr.20200601.11</w:t>
        </w:r>
      </w:hyperlink>
    </w:p>
    <w:p w14:paraId="15972B87" w14:textId="4C54D12F" w:rsidR="008F5244" w:rsidRPr="008F5244" w:rsidRDefault="008F5244" w:rsidP="008F5244">
      <w:pPr>
        <w:numPr>
          <w:ilvl w:val="0"/>
          <w:numId w:val="8"/>
        </w:numPr>
        <w:spacing w:before="100" w:beforeAutospacing="1" w:after="100" w:afterAutospacing="1" w:line="240" w:lineRule="auto"/>
        <w:rPr>
          <w:rFonts w:ascii="Times New Roman" w:eastAsia="Times New Roman" w:hAnsi="Times New Roman" w:cs="Times New Roman"/>
          <w:b/>
          <w:bCs/>
          <w:sz w:val="24"/>
          <w:szCs w:val="24"/>
          <w:lang w:val="en-US"/>
        </w:rPr>
      </w:pPr>
      <w:proofErr w:type="spellStart"/>
      <w:r w:rsidRPr="008F5244">
        <w:rPr>
          <w:rFonts w:ascii="Times New Roman" w:eastAsia="Times New Roman" w:hAnsi="Times New Roman" w:cs="Times New Roman"/>
          <w:sz w:val="24"/>
          <w:szCs w:val="24"/>
          <w:lang w:val="en-US"/>
        </w:rPr>
        <w:t>Bougacha</w:t>
      </w:r>
      <w:proofErr w:type="spellEnd"/>
      <w:r w:rsidRPr="008F5244">
        <w:rPr>
          <w:rFonts w:ascii="Times New Roman" w:eastAsia="Times New Roman" w:hAnsi="Times New Roman" w:cs="Times New Roman"/>
          <w:sz w:val="24"/>
          <w:szCs w:val="24"/>
          <w:lang w:val="en-US"/>
        </w:rPr>
        <w:t xml:space="preserve">, F., &amp; </w:t>
      </w:r>
      <w:proofErr w:type="spellStart"/>
      <w:r w:rsidRPr="008F5244">
        <w:rPr>
          <w:rFonts w:ascii="Times New Roman" w:eastAsia="Times New Roman" w:hAnsi="Times New Roman" w:cs="Times New Roman"/>
          <w:sz w:val="24"/>
          <w:szCs w:val="24"/>
          <w:lang w:val="en-US"/>
        </w:rPr>
        <w:t>Guedrib</w:t>
      </w:r>
      <w:proofErr w:type="spellEnd"/>
      <w:r w:rsidRPr="008F5244">
        <w:rPr>
          <w:rFonts w:ascii="Times New Roman" w:eastAsia="Times New Roman" w:hAnsi="Times New Roman" w:cs="Times New Roman"/>
          <w:sz w:val="24"/>
          <w:szCs w:val="24"/>
          <w:lang w:val="en-US"/>
        </w:rPr>
        <w:t xml:space="preserve">, M. (2024). Corporate tax avoidance and firm risk: What role does firm performance play? </w:t>
      </w:r>
      <w:r w:rsidRPr="008F5244">
        <w:rPr>
          <w:rFonts w:ascii="Times New Roman" w:eastAsia="Times New Roman" w:hAnsi="Times New Roman" w:cs="Times New Roman"/>
          <w:i/>
          <w:iCs/>
          <w:sz w:val="24"/>
          <w:szCs w:val="24"/>
          <w:lang w:val="en-US"/>
        </w:rPr>
        <w:t>Journal of Accounting and Management Information Systems, 23</w:t>
      </w:r>
      <w:r w:rsidRPr="008F5244">
        <w:rPr>
          <w:rFonts w:ascii="Times New Roman" w:eastAsia="Times New Roman" w:hAnsi="Times New Roman" w:cs="Times New Roman"/>
          <w:sz w:val="24"/>
          <w:szCs w:val="24"/>
          <w:lang w:val="en-US"/>
        </w:rPr>
        <w:t xml:space="preserve">(2), 381–411. </w:t>
      </w:r>
      <w:hyperlink r:id="rId10" w:history="1">
        <w:r w:rsidRPr="008F5244">
          <w:rPr>
            <w:rFonts w:ascii="Times New Roman" w:eastAsia="Times New Roman" w:hAnsi="Times New Roman" w:cs="Times New Roman"/>
            <w:color w:val="0000FF"/>
            <w:sz w:val="24"/>
            <w:szCs w:val="24"/>
            <w:u w:val="single"/>
            <w:lang w:val="en-US"/>
          </w:rPr>
          <w:t>https://doi.org/10.24818/jamis.2024.02005</w:t>
        </w:r>
      </w:hyperlink>
    </w:p>
    <w:p w14:paraId="636D9682" w14:textId="77777777" w:rsidR="008F5244" w:rsidRPr="008F5244" w:rsidRDefault="008F5244" w:rsidP="008F5244">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lastRenderedPageBreak/>
        <w:t xml:space="preserve">Adeosun, O. T., </w:t>
      </w:r>
      <w:proofErr w:type="spellStart"/>
      <w:r w:rsidRPr="008F5244">
        <w:rPr>
          <w:rFonts w:ascii="Times New Roman" w:eastAsia="Times New Roman" w:hAnsi="Times New Roman" w:cs="Times New Roman"/>
          <w:sz w:val="24"/>
          <w:szCs w:val="24"/>
          <w:lang w:val="en-US"/>
        </w:rPr>
        <w:t>Igbekoyi</w:t>
      </w:r>
      <w:proofErr w:type="spellEnd"/>
      <w:r w:rsidRPr="008F5244">
        <w:rPr>
          <w:rFonts w:ascii="Times New Roman" w:eastAsia="Times New Roman" w:hAnsi="Times New Roman" w:cs="Times New Roman"/>
          <w:sz w:val="24"/>
          <w:szCs w:val="24"/>
          <w:lang w:val="en-US"/>
        </w:rPr>
        <w:t xml:space="preserve">, O. E., </w:t>
      </w:r>
      <w:proofErr w:type="spellStart"/>
      <w:r w:rsidRPr="008F5244">
        <w:rPr>
          <w:rFonts w:ascii="Times New Roman" w:eastAsia="Times New Roman" w:hAnsi="Times New Roman" w:cs="Times New Roman"/>
          <w:sz w:val="24"/>
          <w:szCs w:val="24"/>
          <w:lang w:val="en-US"/>
        </w:rPr>
        <w:t>Akinadewo</w:t>
      </w:r>
      <w:proofErr w:type="spellEnd"/>
      <w:r w:rsidRPr="008F5244">
        <w:rPr>
          <w:rFonts w:ascii="Times New Roman" w:eastAsia="Times New Roman" w:hAnsi="Times New Roman" w:cs="Times New Roman"/>
          <w:sz w:val="24"/>
          <w:szCs w:val="24"/>
          <w:lang w:val="en-US"/>
        </w:rPr>
        <w:t xml:space="preserve">, I. S., Adebowale, O. J., &amp; Adeyemo, F. H. (2025). How does risk management influence financial sustainability of listed deposit money banks in Nigeria? </w:t>
      </w:r>
      <w:r w:rsidRPr="008F5244">
        <w:rPr>
          <w:rFonts w:ascii="Times New Roman" w:eastAsia="Times New Roman" w:hAnsi="Times New Roman" w:cs="Times New Roman"/>
          <w:i/>
          <w:iCs/>
          <w:sz w:val="24"/>
          <w:szCs w:val="24"/>
          <w:lang w:val="en-US"/>
        </w:rPr>
        <w:t>African Journal of Business and Economic Development, 4</w:t>
      </w:r>
      <w:r w:rsidRPr="008F5244">
        <w:rPr>
          <w:rFonts w:ascii="Times New Roman" w:eastAsia="Times New Roman" w:hAnsi="Times New Roman" w:cs="Times New Roman"/>
          <w:sz w:val="24"/>
          <w:szCs w:val="24"/>
          <w:lang w:val="en-US"/>
        </w:rPr>
        <w:t xml:space="preserve">(5), 25–44. </w:t>
      </w:r>
      <w:hyperlink r:id="rId11" w:history="1">
        <w:r w:rsidRPr="008F5244">
          <w:rPr>
            <w:rFonts w:ascii="Times New Roman" w:eastAsia="Times New Roman" w:hAnsi="Times New Roman" w:cs="Times New Roman"/>
            <w:color w:val="0000FF"/>
            <w:sz w:val="24"/>
            <w:szCs w:val="24"/>
            <w:u w:val="single"/>
            <w:lang w:val="en-US"/>
          </w:rPr>
          <w:t>https://doi.org/10.5281/zenodo.14742659</w:t>
        </w:r>
      </w:hyperlink>
    </w:p>
    <w:p w14:paraId="7E33E977" w14:textId="77777777" w:rsidR="008F5244" w:rsidRPr="008F5244" w:rsidRDefault="008F5244" w:rsidP="008F5244">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Akingbade, P. B. (2025). Banking system stability and economic growth in Nigeria. </w:t>
      </w:r>
      <w:r w:rsidRPr="008F5244">
        <w:rPr>
          <w:rFonts w:ascii="Times New Roman" w:eastAsia="Times New Roman" w:hAnsi="Times New Roman" w:cs="Times New Roman"/>
          <w:i/>
          <w:iCs/>
          <w:sz w:val="24"/>
          <w:szCs w:val="24"/>
          <w:lang w:val="en-US"/>
        </w:rPr>
        <w:t>African Banking and Finance Review Journal, 20</w:t>
      </w:r>
      <w:r w:rsidRPr="008F5244">
        <w:rPr>
          <w:rFonts w:ascii="Times New Roman" w:eastAsia="Times New Roman" w:hAnsi="Times New Roman" w:cs="Times New Roman"/>
          <w:sz w:val="24"/>
          <w:szCs w:val="24"/>
          <w:lang w:val="en-US"/>
        </w:rPr>
        <w:t xml:space="preserve">(6), 1–21. </w:t>
      </w:r>
      <w:hyperlink r:id="rId12" w:history="1">
        <w:r w:rsidRPr="008F5244">
          <w:rPr>
            <w:rFonts w:ascii="Times New Roman" w:eastAsia="Times New Roman" w:hAnsi="Times New Roman" w:cs="Times New Roman"/>
            <w:color w:val="0000FF"/>
            <w:sz w:val="24"/>
            <w:szCs w:val="24"/>
            <w:u w:val="single"/>
            <w:lang w:val="en-US"/>
          </w:rPr>
          <w:t>https://www.abfrjournal.com/index.php/abfr/article/view/343</w:t>
        </w:r>
      </w:hyperlink>
    </w:p>
    <w:p w14:paraId="28907E2E" w14:textId="77777777" w:rsidR="008F5244" w:rsidRPr="008F5244" w:rsidRDefault="008F5244" w:rsidP="008F5244">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Ali-Momoh, B. O., </w:t>
      </w:r>
      <w:proofErr w:type="spellStart"/>
      <w:r w:rsidRPr="008F5244">
        <w:rPr>
          <w:rFonts w:ascii="Times New Roman" w:eastAsia="Times New Roman" w:hAnsi="Times New Roman" w:cs="Times New Roman"/>
          <w:sz w:val="24"/>
          <w:szCs w:val="24"/>
          <w:lang w:val="en-US"/>
        </w:rPr>
        <w:t>Fajuyagbe</w:t>
      </w:r>
      <w:proofErr w:type="spellEnd"/>
      <w:r w:rsidRPr="008F5244">
        <w:rPr>
          <w:rFonts w:ascii="Times New Roman" w:eastAsia="Times New Roman" w:hAnsi="Times New Roman" w:cs="Times New Roman"/>
          <w:sz w:val="24"/>
          <w:szCs w:val="24"/>
          <w:lang w:val="en-US"/>
        </w:rPr>
        <w:t>, B. S., Deji-</w:t>
      </w:r>
      <w:proofErr w:type="spellStart"/>
      <w:r w:rsidRPr="008F5244">
        <w:rPr>
          <w:rFonts w:ascii="Times New Roman" w:eastAsia="Times New Roman" w:hAnsi="Times New Roman" w:cs="Times New Roman"/>
          <w:sz w:val="24"/>
          <w:szCs w:val="24"/>
          <w:lang w:val="en-US"/>
        </w:rPr>
        <w:t>Oyeleye</w:t>
      </w:r>
      <w:proofErr w:type="spellEnd"/>
      <w:r w:rsidRPr="008F5244">
        <w:rPr>
          <w:rFonts w:ascii="Times New Roman" w:eastAsia="Times New Roman" w:hAnsi="Times New Roman" w:cs="Times New Roman"/>
          <w:sz w:val="24"/>
          <w:szCs w:val="24"/>
          <w:lang w:val="en-US"/>
        </w:rPr>
        <w:t xml:space="preserve">, B. O., </w:t>
      </w:r>
      <w:proofErr w:type="spellStart"/>
      <w:r w:rsidRPr="008F5244">
        <w:rPr>
          <w:rFonts w:ascii="Times New Roman" w:eastAsia="Times New Roman" w:hAnsi="Times New Roman" w:cs="Times New Roman"/>
          <w:sz w:val="24"/>
          <w:szCs w:val="24"/>
          <w:lang w:val="en-US"/>
        </w:rPr>
        <w:t>Aduwo</w:t>
      </w:r>
      <w:proofErr w:type="spellEnd"/>
      <w:r w:rsidRPr="008F5244">
        <w:rPr>
          <w:rFonts w:ascii="Times New Roman" w:eastAsia="Times New Roman" w:hAnsi="Times New Roman" w:cs="Times New Roman"/>
          <w:sz w:val="24"/>
          <w:szCs w:val="24"/>
          <w:lang w:val="en-US"/>
        </w:rPr>
        <w:t xml:space="preserve">, A. E., &amp; Suleiman, T. M. (2024). Corporate practice and financial stability of listed deposit money banks in Nigeria. </w:t>
      </w:r>
      <w:r w:rsidRPr="008F5244">
        <w:rPr>
          <w:rFonts w:ascii="Times New Roman" w:eastAsia="Times New Roman" w:hAnsi="Times New Roman" w:cs="Times New Roman"/>
          <w:i/>
          <w:iCs/>
          <w:sz w:val="24"/>
          <w:szCs w:val="24"/>
          <w:lang w:val="en-US"/>
        </w:rPr>
        <w:t xml:space="preserve">Acta Universitatis </w:t>
      </w:r>
      <w:proofErr w:type="spellStart"/>
      <w:r w:rsidRPr="008F5244">
        <w:rPr>
          <w:rFonts w:ascii="Times New Roman" w:eastAsia="Times New Roman" w:hAnsi="Times New Roman" w:cs="Times New Roman"/>
          <w:i/>
          <w:iCs/>
          <w:sz w:val="24"/>
          <w:szCs w:val="24"/>
          <w:lang w:val="en-US"/>
        </w:rPr>
        <w:t>Danubius</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Œconomica</w:t>
      </w:r>
      <w:proofErr w:type="spellEnd"/>
      <w:r w:rsidRPr="008F5244">
        <w:rPr>
          <w:rFonts w:ascii="Times New Roman" w:eastAsia="Times New Roman" w:hAnsi="Times New Roman" w:cs="Times New Roman"/>
          <w:i/>
          <w:iCs/>
          <w:sz w:val="24"/>
          <w:szCs w:val="24"/>
          <w:lang w:val="en-US"/>
        </w:rPr>
        <w:t>, 20</w:t>
      </w:r>
      <w:r w:rsidRPr="008F5244">
        <w:rPr>
          <w:rFonts w:ascii="Times New Roman" w:eastAsia="Times New Roman" w:hAnsi="Times New Roman" w:cs="Times New Roman"/>
          <w:sz w:val="24"/>
          <w:szCs w:val="24"/>
          <w:lang w:val="en-US"/>
        </w:rPr>
        <w:t xml:space="preserve">(3), 217–230. </w:t>
      </w:r>
      <w:hyperlink r:id="rId13" w:history="1">
        <w:r w:rsidRPr="008F5244">
          <w:rPr>
            <w:rFonts w:ascii="Times New Roman" w:eastAsia="Times New Roman" w:hAnsi="Times New Roman" w:cs="Times New Roman"/>
            <w:color w:val="0000FF"/>
            <w:sz w:val="24"/>
            <w:szCs w:val="24"/>
            <w:u w:val="single"/>
            <w:lang w:val="en-US"/>
          </w:rPr>
          <w:t>https://dj.univ-danubius.ro/index.php/AUDOE/article/view/2841</w:t>
        </w:r>
      </w:hyperlink>
    </w:p>
    <w:p w14:paraId="4A457F9B" w14:textId="77777777" w:rsidR="008F5244" w:rsidRPr="008F5244" w:rsidRDefault="008F5244" w:rsidP="008F5244">
      <w:pPr>
        <w:numPr>
          <w:ilvl w:val="0"/>
          <w:numId w:val="9"/>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Awotomilusi</w:t>
      </w:r>
      <w:proofErr w:type="spellEnd"/>
      <w:r w:rsidRPr="008F5244">
        <w:rPr>
          <w:rFonts w:ascii="Times New Roman" w:eastAsia="Times New Roman" w:hAnsi="Times New Roman" w:cs="Times New Roman"/>
          <w:sz w:val="24"/>
          <w:szCs w:val="24"/>
          <w:lang w:val="en-US"/>
        </w:rPr>
        <w:t xml:space="preserve">, N. S., &amp; </w:t>
      </w:r>
      <w:proofErr w:type="spellStart"/>
      <w:r w:rsidRPr="008F5244">
        <w:rPr>
          <w:rFonts w:ascii="Times New Roman" w:eastAsia="Times New Roman" w:hAnsi="Times New Roman" w:cs="Times New Roman"/>
          <w:sz w:val="24"/>
          <w:szCs w:val="24"/>
          <w:lang w:val="en-US"/>
        </w:rPr>
        <w:t>Ajoloko</w:t>
      </w:r>
      <w:proofErr w:type="spellEnd"/>
      <w:r w:rsidRPr="008F5244">
        <w:rPr>
          <w:rFonts w:ascii="Times New Roman" w:eastAsia="Times New Roman" w:hAnsi="Times New Roman" w:cs="Times New Roman"/>
          <w:sz w:val="24"/>
          <w:szCs w:val="24"/>
          <w:lang w:val="en-US"/>
        </w:rPr>
        <w:t xml:space="preserve">, O. M. (2022). Corporate governance and performance of Nigerian deposit money banks. </w:t>
      </w:r>
      <w:r w:rsidRPr="008F5244">
        <w:rPr>
          <w:rFonts w:ascii="Times New Roman" w:eastAsia="Times New Roman" w:hAnsi="Times New Roman" w:cs="Times New Roman"/>
          <w:i/>
          <w:iCs/>
          <w:sz w:val="24"/>
          <w:szCs w:val="24"/>
          <w:lang w:val="en-US"/>
        </w:rPr>
        <w:t>Multidisciplinary Journal of Management Sciences, 4</w:t>
      </w:r>
      <w:r w:rsidRPr="008F5244">
        <w:rPr>
          <w:rFonts w:ascii="Times New Roman" w:eastAsia="Times New Roman" w:hAnsi="Times New Roman" w:cs="Times New Roman"/>
          <w:sz w:val="24"/>
          <w:szCs w:val="24"/>
          <w:lang w:val="en-US"/>
        </w:rPr>
        <w:t xml:space="preserve">(2), 26–38. </w:t>
      </w:r>
      <w:hyperlink r:id="rId14" w:history="1">
        <w:r w:rsidRPr="008F5244">
          <w:rPr>
            <w:rFonts w:ascii="Times New Roman" w:eastAsia="Times New Roman" w:hAnsi="Times New Roman" w:cs="Times New Roman"/>
            <w:color w:val="0000FF"/>
            <w:sz w:val="24"/>
            <w:szCs w:val="24"/>
            <w:u w:val="single"/>
            <w:lang w:val="en-US"/>
          </w:rPr>
          <w:t>https://www.afarng.org/wp-content/uploads/2022/12/MJMS-Vol.-4-Issue-2-June-2022.pdf</w:t>
        </w:r>
      </w:hyperlink>
    </w:p>
    <w:p w14:paraId="31516BCC"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Barrett, J. (2023, March 13). Silicon Valley Bank: Why did it collapse and is this the start of a banking crisis? </w:t>
      </w:r>
      <w:r w:rsidRPr="008F5244">
        <w:rPr>
          <w:rFonts w:ascii="Times New Roman" w:eastAsia="Times New Roman" w:hAnsi="Times New Roman" w:cs="Times New Roman"/>
          <w:i/>
          <w:iCs/>
          <w:sz w:val="24"/>
          <w:szCs w:val="24"/>
          <w:lang w:val="en-US"/>
        </w:rPr>
        <w:t>The Guardian</w:t>
      </w:r>
      <w:r w:rsidRPr="008F5244">
        <w:rPr>
          <w:rFonts w:ascii="Times New Roman" w:eastAsia="Times New Roman" w:hAnsi="Times New Roman" w:cs="Times New Roman"/>
          <w:sz w:val="24"/>
          <w:szCs w:val="24"/>
          <w:lang w:val="en-US"/>
        </w:rPr>
        <w:t xml:space="preserve">. </w:t>
      </w:r>
      <w:hyperlink r:id="rId15" w:history="1">
        <w:r w:rsidRPr="008F5244">
          <w:rPr>
            <w:rFonts w:ascii="Times New Roman" w:eastAsia="Times New Roman" w:hAnsi="Times New Roman" w:cs="Times New Roman"/>
            <w:color w:val="0000FF"/>
            <w:sz w:val="24"/>
            <w:szCs w:val="24"/>
            <w:u w:val="single"/>
            <w:lang w:val="en-US"/>
          </w:rPr>
          <w:t>https://www.theguardian.com/business/2023/mar/13/silicon-valley-bank-why-did-it-collapse-and-is-this-the-start-of-a-banking-crisis</w:t>
        </w:r>
      </w:hyperlink>
    </w:p>
    <w:p w14:paraId="1BA14CF9"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Benkraiem</w:t>
      </w:r>
      <w:proofErr w:type="spellEnd"/>
      <w:r w:rsidRPr="008F5244">
        <w:rPr>
          <w:rFonts w:ascii="Times New Roman" w:eastAsia="Times New Roman" w:hAnsi="Times New Roman" w:cs="Times New Roman"/>
          <w:sz w:val="24"/>
          <w:szCs w:val="24"/>
          <w:lang w:val="en-US"/>
        </w:rPr>
        <w:t xml:space="preserve">, R., </w:t>
      </w:r>
      <w:proofErr w:type="spellStart"/>
      <w:r w:rsidRPr="008F5244">
        <w:rPr>
          <w:rFonts w:ascii="Times New Roman" w:eastAsia="Times New Roman" w:hAnsi="Times New Roman" w:cs="Times New Roman"/>
          <w:sz w:val="24"/>
          <w:szCs w:val="24"/>
          <w:lang w:val="en-US"/>
        </w:rPr>
        <w:t>Gaaya</w:t>
      </w:r>
      <w:proofErr w:type="spellEnd"/>
      <w:r w:rsidRPr="008F5244">
        <w:rPr>
          <w:rFonts w:ascii="Times New Roman" w:eastAsia="Times New Roman" w:hAnsi="Times New Roman" w:cs="Times New Roman"/>
          <w:sz w:val="24"/>
          <w:szCs w:val="24"/>
          <w:lang w:val="en-US"/>
        </w:rPr>
        <w:t xml:space="preserve">, S., Lakhal, F., &amp; Kilic, M. (2025). Access to finance and corporate tax avoidance: International evidence. </w:t>
      </w:r>
      <w:r w:rsidRPr="008F5244">
        <w:rPr>
          <w:rFonts w:ascii="Times New Roman" w:eastAsia="Times New Roman" w:hAnsi="Times New Roman" w:cs="Times New Roman"/>
          <w:i/>
          <w:iCs/>
          <w:sz w:val="24"/>
          <w:szCs w:val="24"/>
          <w:lang w:val="en-US"/>
        </w:rPr>
        <w:t>Journal of International Accounting, Auditing and Taxation, 58</w:t>
      </w:r>
      <w:r w:rsidRPr="008F5244">
        <w:rPr>
          <w:rFonts w:ascii="Times New Roman" w:eastAsia="Times New Roman" w:hAnsi="Times New Roman" w:cs="Times New Roman"/>
          <w:sz w:val="24"/>
          <w:szCs w:val="24"/>
          <w:lang w:val="en-US"/>
        </w:rPr>
        <w:t xml:space="preserve">, 100668. </w:t>
      </w:r>
      <w:hyperlink r:id="rId16" w:history="1">
        <w:r w:rsidRPr="008F5244">
          <w:rPr>
            <w:rFonts w:ascii="Times New Roman" w:eastAsia="Times New Roman" w:hAnsi="Times New Roman" w:cs="Times New Roman"/>
            <w:color w:val="0000FF"/>
            <w:sz w:val="24"/>
            <w:szCs w:val="24"/>
            <w:u w:val="single"/>
            <w:lang w:val="en-US"/>
          </w:rPr>
          <w:t>https://doi.org/10.1016/j.intaccaudtax.2024.100668</w:t>
        </w:r>
      </w:hyperlink>
    </w:p>
    <w:p w14:paraId="1612BA76"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Central Bank of Nigeria. (2024). </w:t>
      </w:r>
      <w:r w:rsidRPr="008F5244">
        <w:rPr>
          <w:rFonts w:ascii="Times New Roman" w:eastAsia="Times New Roman" w:hAnsi="Times New Roman" w:cs="Times New Roman"/>
          <w:i/>
          <w:iCs/>
          <w:sz w:val="24"/>
          <w:szCs w:val="24"/>
          <w:lang w:val="en-US"/>
        </w:rPr>
        <w:t xml:space="preserve">Banking sector recapitalization </w:t>
      </w:r>
      <w:proofErr w:type="spellStart"/>
      <w:r w:rsidRPr="008F5244">
        <w:rPr>
          <w:rFonts w:ascii="Times New Roman" w:eastAsia="Times New Roman" w:hAnsi="Times New Roman" w:cs="Times New Roman"/>
          <w:i/>
          <w:iCs/>
          <w:sz w:val="24"/>
          <w:szCs w:val="24"/>
          <w:lang w:val="en-US"/>
        </w:rPr>
        <w:t>programme</w:t>
      </w:r>
      <w:proofErr w:type="spellEnd"/>
      <w:r w:rsidRPr="008F5244">
        <w:rPr>
          <w:rFonts w:ascii="Times New Roman" w:eastAsia="Times New Roman" w:hAnsi="Times New Roman" w:cs="Times New Roman"/>
          <w:i/>
          <w:iCs/>
          <w:sz w:val="24"/>
          <w:szCs w:val="24"/>
          <w:lang w:val="en-US"/>
        </w:rPr>
        <w:t xml:space="preserve"> 2024: Frequently asked questions</w:t>
      </w:r>
      <w:r w:rsidRPr="008F5244">
        <w:rPr>
          <w:rFonts w:ascii="Times New Roman" w:eastAsia="Times New Roman" w:hAnsi="Times New Roman" w:cs="Times New Roman"/>
          <w:sz w:val="24"/>
          <w:szCs w:val="24"/>
          <w:lang w:val="en-US"/>
        </w:rPr>
        <w:t xml:space="preserve">. </w:t>
      </w:r>
      <w:hyperlink r:id="rId17" w:history="1">
        <w:r w:rsidRPr="008F5244">
          <w:rPr>
            <w:rFonts w:ascii="Times New Roman" w:eastAsia="Times New Roman" w:hAnsi="Times New Roman" w:cs="Times New Roman"/>
            <w:color w:val="0000FF"/>
            <w:sz w:val="24"/>
            <w:szCs w:val="24"/>
            <w:u w:val="single"/>
            <w:lang w:val="en-US"/>
          </w:rPr>
          <w:t>https://www.cbn.gov.ng/FAQS/</w:t>
        </w:r>
      </w:hyperlink>
    </w:p>
    <w:p w14:paraId="6787F7B6"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Central Bank of Nigeria. (2025). </w:t>
      </w:r>
      <w:r w:rsidRPr="008F5244">
        <w:rPr>
          <w:rFonts w:ascii="Times New Roman" w:eastAsia="Times New Roman" w:hAnsi="Times New Roman" w:cs="Times New Roman"/>
          <w:i/>
          <w:iCs/>
          <w:sz w:val="24"/>
          <w:szCs w:val="24"/>
          <w:lang w:val="en-US"/>
        </w:rPr>
        <w:t>CBN sanctions nine banks for inadequate cash dispensation through automated teller machines</w:t>
      </w:r>
      <w:r w:rsidRPr="008F5244">
        <w:rPr>
          <w:rFonts w:ascii="Times New Roman" w:eastAsia="Times New Roman" w:hAnsi="Times New Roman" w:cs="Times New Roman"/>
          <w:sz w:val="24"/>
          <w:szCs w:val="24"/>
          <w:lang w:val="en-US"/>
        </w:rPr>
        <w:t xml:space="preserve"> [Press release]. </w:t>
      </w:r>
      <w:hyperlink r:id="rId18" w:history="1">
        <w:r w:rsidRPr="008F5244">
          <w:rPr>
            <w:rFonts w:ascii="Times New Roman" w:eastAsia="Times New Roman" w:hAnsi="Times New Roman" w:cs="Times New Roman"/>
            <w:color w:val="0000FF"/>
            <w:sz w:val="24"/>
            <w:szCs w:val="24"/>
            <w:u w:val="single"/>
            <w:lang w:val="en-US"/>
          </w:rPr>
          <w:t>https://www.cbn.gov.ng/Documents/PressReleases.html</w:t>
        </w:r>
      </w:hyperlink>
    </w:p>
    <w:p w14:paraId="6636FFD2"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Darsani, P. A., &amp; </w:t>
      </w:r>
      <w:proofErr w:type="spellStart"/>
      <w:r w:rsidRPr="008F5244">
        <w:rPr>
          <w:rFonts w:ascii="Times New Roman" w:eastAsia="Times New Roman" w:hAnsi="Times New Roman" w:cs="Times New Roman"/>
          <w:sz w:val="24"/>
          <w:szCs w:val="24"/>
          <w:lang w:val="en-US"/>
        </w:rPr>
        <w:t>Sukartha</w:t>
      </w:r>
      <w:proofErr w:type="spellEnd"/>
      <w:r w:rsidRPr="008F5244">
        <w:rPr>
          <w:rFonts w:ascii="Times New Roman" w:eastAsia="Times New Roman" w:hAnsi="Times New Roman" w:cs="Times New Roman"/>
          <w:sz w:val="24"/>
          <w:szCs w:val="24"/>
          <w:lang w:val="en-US"/>
        </w:rPr>
        <w:t xml:space="preserve">, I. M. (2021). The effect of institutional ownership, profitability, leverage and capital intensity ratio on tax avoidance. </w:t>
      </w:r>
      <w:r w:rsidRPr="008F5244">
        <w:rPr>
          <w:rFonts w:ascii="Times New Roman" w:eastAsia="Times New Roman" w:hAnsi="Times New Roman" w:cs="Times New Roman"/>
          <w:i/>
          <w:iCs/>
          <w:sz w:val="24"/>
          <w:szCs w:val="24"/>
          <w:lang w:val="en-US"/>
        </w:rPr>
        <w:t>American Journal of Humanities and Social Sciences Research, 5</w:t>
      </w:r>
      <w:r w:rsidRPr="008F5244">
        <w:rPr>
          <w:rFonts w:ascii="Times New Roman" w:eastAsia="Times New Roman" w:hAnsi="Times New Roman" w:cs="Times New Roman"/>
          <w:sz w:val="24"/>
          <w:szCs w:val="24"/>
          <w:lang w:val="en-US"/>
        </w:rPr>
        <w:t xml:space="preserve">(1), 13–22. </w:t>
      </w:r>
      <w:hyperlink r:id="rId19" w:history="1">
        <w:r w:rsidRPr="008F5244">
          <w:rPr>
            <w:rFonts w:ascii="Times New Roman" w:eastAsia="Times New Roman" w:hAnsi="Times New Roman" w:cs="Times New Roman"/>
            <w:color w:val="0000FF"/>
            <w:sz w:val="24"/>
            <w:szCs w:val="24"/>
            <w:u w:val="single"/>
            <w:lang w:val="en-US"/>
          </w:rPr>
          <w:t>https://www.ajhssr.com/the-effect-of-institutional-ownership-profitability-leverage-and-capital-intensity-ratio-on-tax-avoidance/</w:t>
        </w:r>
      </w:hyperlink>
    </w:p>
    <w:p w14:paraId="6700FB0C"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Dinh, L. Q., Oanh, T. T. K., &amp; Ha, N. T. H. (2025). Financial stability and sustainable development: Perspectives from fiscal and monetary policy. </w:t>
      </w:r>
      <w:r w:rsidRPr="008F5244">
        <w:rPr>
          <w:rFonts w:ascii="Times New Roman" w:eastAsia="Times New Roman" w:hAnsi="Times New Roman" w:cs="Times New Roman"/>
          <w:i/>
          <w:iCs/>
          <w:sz w:val="24"/>
          <w:szCs w:val="24"/>
          <w:lang w:val="en-US"/>
        </w:rPr>
        <w:t>International Journal of Finance &amp; Economics, 30</w:t>
      </w:r>
      <w:r w:rsidRPr="008F5244">
        <w:rPr>
          <w:rFonts w:ascii="Times New Roman" w:eastAsia="Times New Roman" w:hAnsi="Times New Roman" w:cs="Times New Roman"/>
          <w:sz w:val="24"/>
          <w:szCs w:val="24"/>
          <w:lang w:val="en-US"/>
        </w:rPr>
        <w:t xml:space="preserve">(2), 1724–1741. </w:t>
      </w:r>
      <w:hyperlink r:id="rId20" w:history="1">
        <w:r w:rsidRPr="008F5244">
          <w:rPr>
            <w:rFonts w:ascii="Times New Roman" w:eastAsia="Times New Roman" w:hAnsi="Times New Roman" w:cs="Times New Roman"/>
            <w:color w:val="0000FF"/>
            <w:sz w:val="24"/>
            <w:szCs w:val="24"/>
            <w:u w:val="single"/>
            <w:lang w:val="en-US"/>
          </w:rPr>
          <w:t>https://doi.org/10.1002/ijfe.2981</w:t>
        </w:r>
      </w:hyperlink>
    </w:p>
    <w:p w14:paraId="2BABDA72"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Durguti</w:t>
      </w:r>
      <w:proofErr w:type="spellEnd"/>
      <w:r w:rsidRPr="008F5244">
        <w:rPr>
          <w:rFonts w:ascii="Times New Roman" w:eastAsia="Times New Roman" w:hAnsi="Times New Roman" w:cs="Times New Roman"/>
          <w:sz w:val="24"/>
          <w:szCs w:val="24"/>
          <w:lang w:val="en-US"/>
        </w:rPr>
        <w:t xml:space="preserve">, E. A., Meka, E., </w:t>
      </w:r>
      <w:proofErr w:type="spellStart"/>
      <w:r w:rsidRPr="008F5244">
        <w:rPr>
          <w:rFonts w:ascii="Times New Roman" w:eastAsia="Times New Roman" w:hAnsi="Times New Roman" w:cs="Times New Roman"/>
          <w:sz w:val="24"/>
          <w:szCs w:val="24"/>
          <w:lang w:val="en-US"/>
        </w:rPr>
        <w:t>Idrrisu</w:t>
      </w:r>
      <w:proofErr w:type="spellEnd"/>
      <w:r w:rsidRPr="008F5244">
        <w:rPr>
          <w:rFonts w:ascii="Times New Roman" w:eastAsia="Times New Roman" w:hAnsi="Times New Roman" w:cs="Times New Roman"/>
          <w:sz w:val="24"/>
          <w:szCs w:val="24"/>
          <w:lang w:val="en-US"/>
        </w:rPr>
        <w:t xml:space="preserve">, K., &amp; Spahiu, M. J. (2025). Banking stability under governance factors in SEE: Examining capital adequacy, lending rates, and governance quality using Z-score. </w:t>
      </w:r>
      <w:proofErr w:type="spellStart"/>
      <w:r w:rsidRPr="008F5244">
        <w:rPr>
          <w:rFonts w:ascii="Times New Roman" w:eastAsia="Times New Roman" w:hAnsi="Times New Roman" w:cs="Times New Roman"/>
          <w:i/>
          <w:iCs/>
          <w:sz w:val="24"/>
          <w:szCs w:val="24"/>
          <w:lang w:val="en-US"/>
        </w:rPr>
        <w:t>Ekonomika</w:t>
      </w:r>
      <w:proofErr w:type="spellEnd"/>
      <w:r w:rsidRPr="008F5244">
        <w:rPr>
          <w:rFonts w:ascii="Times New Roman" w:eastAsia="Times New Roman" w:hAnsi="Times New Roman" w:cs="Times New Roman"/>
          <w:i/>
          <w:iCs/>
          <w:sz w:val="24"/>
          <w:szCs w:val="24"/>
          <w:lang w:val="en-US"/>
        </w:rPr>
        <w:t>, 104</w:t>
      </w:r>
      <w:r w:rsidRPr="008F5244">
        <w:rPr>
          <w:rFonts w:ascii="Times New Roman" w:eastAsia="Times New Roman" w:hAnsi="Times New Roman" w:cs="Times New Roman"/>
          <w:sz w:val="24"/>
          <w:szCs w:val="24"/>
          <w:lang w:val="en-US"/>
        </w:rPr>
        <w:t xml:space="preserve">(3), 124–141. </w:t>
      </w:r>
      <w:hyperlink r:id="rId21" w:history="1">
        <w:r w:rsidRPr="008F5244">
          <w:rPr>
            <w:rFonts w:ascii="Times New Roman" w:eastAsia="Times New Roman" w:hAnsi="Times New Roman" w:cs="Times New Roman"/>
            <w:color w:val="0000FF"/>
            <w:sz w:val="24"/>
            <w:szCs w:val="24"/>
            <w:u w:val="single"/>
            <w:lang w:val="en-US"/>
          </w:rPr>
          <w:t>https://doi.org/10.15388/Ekon.2025.104.3.7</w:t>
        </w:r>
      </w:hyperlink>
    </w:p>
    <w:p w14:paraId="7AE80E25"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Ekadjaja</w:t>
      </w:r>
      <w:proofErr w:type="spellEnd"/>
      <w:r w:rsidRPr="008F5244">
        <w:rPr>
          <w:rFonts w:ascii="Times New Roman" w:eastAsia="Times New Roman" w:hAnsi="Times New Roman" w:cs="Times New Roman"/>
          <w:sz w:val="24"/>
          <w:szCs w:val="24"/>
          <w:lang w:val="en-US"/>
        </w:rPr>
        <w:t xml:space="preserve">, M., Siswanto, H. P., Ekadjaja, A., &amp; Rorlen, R. (2021). The effects of capital adequacy, credit risk, and liquidity risk on banks’ financial distress in Indonesia. In </w:t>
      </w:r>
      <w:r w:rsidRPr="008F5244">
        <w:rPr>
          <w:rFonts w:ascii="Times New Roman" w:eastAsia="Times New Roman" w:hAnsi="Times New Roman" w:cs="Times New Roman"/>
          <w:i/>
          <w:iCs/>
          <w:sz w:val="24"/>
          <w:szCs w:val="24"/>
          <w:lang w:val="en-US"/>
        </w:rPr>
        <w:t>Proceedings of the Ninth International Conference on Entrepreneurship and Business Management (ICEBM 2020)</w:t>
      </w:r>
      <w:r w:rsidRPr="008F5244">
        <w:rPr>
          <w:rFonts w:ascii="Times New Roman" w:eastAsia="Times New Roman" w:hAnsi="Times New Roman" w:cs="Times New Roman"/>
          <w:sz w:val="24"/>
          <w:szCs w:val="24"/>
          <w:lang w:val="en-US"/>
        </w:rPr>
        <w:t xml:space="preserve"> (pp. 393–399). Atlantis Press. </w:t>
      </w:r>
      <w:hyperlink r:id="rId22" w:history="1">
        <w:r w:rsidRPr="008F5244">
          <w:rPr>
            <w:rFonts w:ascii="Times New Roman" w:eastAsia="Times New Roman" w:hAnsi="Times New Roman" w:cs="Times New Roman"/>
            <w:color w:val="0000FF"/>
            <w:sz w:val="24"/>
            <w:szCs w:val="24"/>
            <w:u w:val="single"/>
            <w:lang w:val="en-US"/>
          </w:rPr>
          <w:t>https://doi.org/10.2991/aebmr.k.210507.059</w:t>
        </w:r>
      </w:hyperlink>
    </w:p>
    <w:p w14:paraId="33738D44"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Erhijakpor</w:t>
      </w:r>
      <w:proofErr w:type="spellEnd"/>
      <w:r w:rsidRPr="008F5244">
        <w:rPr>
          <w:rFonts w:ascii="Times New Roman" w:eastAsia="Times New Roman" w:hAnsi="Times New Roman" w:cs="Times New Roman"/>
          <w:sz w:val="24"/>
          <w:szCs w:val="24"/>
          <w:lang w:val="en-US"/>
        </w:rPr>
        <w:t xml:space="preserve">, A. E., &amp; </w:t>
      </w:r>
      <w:proofErr w:type="spellStart"/>
      <w:r w:rsidRPr="008F5244">
        <w:rPr>
          <w:rFonts w:ascii="Times New Roman" w:eastAsia="Times New Roman" w:hAnsi="Times New Roman" w:cs="Times New Roman"/>
          <w:sz w:val="24"/>
          <w:szCs w:val="24"/>
          <w:lang w:val="en-US"/>
        </w:rPr>
        <w:t>Eyamu</w:t>
      </w:r>
      <w:proofErr w:type="spellEnd"/>
      <w:r w:rsidRPr="008F5244">
        <w:rPr>
          <w:rFonts w:ascii="Times New Roman" w:eastAsia="Times New Roman" w:hAnsi="Times New Roman" w:cs="Times New Roman"/>
          <w:sz w:val="24"/>
          <w:szCs w:val="24"/>
          <w:lang w:val="en-US"/>
        </w:rPr>
        <w:t xml:space="preserve">, F. O. (2025). Financial institutions’ regulation, banking sector competitiveness and stability of the banking sector in Nigeria. </w:t>
      </w:r>
      <w:r w:rsidRPr="008F5244">
        <w:rPr>
          <w:rFonts w:ascii="Times New Roman" w:eastAsia="Times New Roman" w:hAnsi="Times New Roman" w:cs="Times New Roman"/>
          <w:i/>
          <w:iCs/>
          <w:sz w:val="24"/>
          <w:szCs w:val="24"/>
          <w:lang w:val="en-US"/>
        </w:rPr>
        <w:t>Journal of Accounting, Finance, and FinTech Advancements, 1</w:t>
      </w:r>
      <w:r w:rsidRPr="008F5244">
        <w:rPr>
          <w:rFonts w:ascii="Times New Roman" w:eastAsia="Times New Roman" w:hAnsi="Times New Roman" w:cs="Times New Roman"/>
          <w:sz w:val="24"/>
          <w:szCs w:val="24"/>
          <w:lang w:val="en-US"/>
        </w:rPr>
        <w:t xml:space="preserve">(1), 1–12. </w:t>
      </w:r>
      <w:hyperlink r:id="rId23" w:history="1">
        <w:r w:rsidRPr="008F5244">
          <w:rPr>
            <w:rFonts w:ascii="Times New Roman" w:eastAsia="Times New Roman" w:hAnsi="Times New Roman" w:cs="Times New Roman"/>
            <w:color w:val="0000FF"/>
            <w:sz w:val="24"/>
            <w:szCs w:val="24"/>
            <w:u w:val="single"/>
            <w:lang w:val="en-US"/>
          </w:rPr>
          <w:t>https://ojs.proaksara.com/index.php/jaffa/article/view/7</w:t>
        </w:r>
      </w:hyperlink>
    </w:p>
    <w:p w14:paraId="72FF2BDD"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lastRenderedPageBreak/>
        <w:t>Febrianto</w:t>
      </w:r>
      <w:proofErr w:type="spellEnd"/>
      <w:r w:rsidRPr="008F5244">
        <w:rPr>
          <w:rFonts w:ascii="Times New Roman" w:eastAsia="Times New Roman" w:hAnsi="Times New Roman" w:cs="Times New Roman"/>
          <w:sz w:val="24"/>
          <w:szCs w:val="24"/>
          <w:lang w:val="en-US"/>
        </w:rPr>
        <w:t xml:space="preserve">, K. J., Diana, N., &amp; </w:t>
      </w:r>
      <w:proofErr w:type="spellStart"/>
      <w:r w:rsidRPr="008F5244">
        <w:rPr>
          <w:rFonts w:ascii="Times New Roman" w:eastAsia="Times New Roman" w:hAnsi="Times New Roman" w:cs="Times New Roman"/>
          <w:sz w:val="24"/>
          <w:szCs w:val="24"/>
          <w:lang w:val="en-US"/>
        </w:rPr>
        <w:t>Fakhriyyah</w:t>
      </w:r>
      <w:proofErr w:type="spellEnd"/>
      <w:r w:rsidRPr="008F5244">
        <w:rPr>
          <w:rFonts w:ascii="Times New Roman" w:eastAsia="Times New Roman" w:hAnsi="Times New Roman" w:cs="Times New Roman"/>
          <w:sz w:val="24"/>
          <w:szCs w:val="24"/>
          <w:lang w:val="en-US"/>
        </w:rPr>
        <w:t xml:space="preserve">, D. D. (2024). The effect of leverage and liquidity on tax avoidance with inventory intensity as a moderating variable. </w:t>
      </w:r>
      <w:r w:rsidRPr="008F5244">
        <w:rPr>
          <w:rFonts w:ascii="Times New Roman" w:eastAsia="Times New Roman" w:hAnsi="Times New Roman" w:cs="Times New Roman"/>
          <w:i/>
          <w:iCs/>
          <w:sz w:val="24"/>
          <w:szCs w:val="24"/>
          <w:lang w:val="en-US"/>
        </w:rPr>
        <w:t>e-</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Ilmiah</w:t>
      </w:r>
      <w:proofErr w:type="spellEnd"/>
      <w:r w:rsidRPr="008F5244">
        <w:rPr>
          <w:rFonts w:ascii="Times New Roman" w:eastAsia="Times New Roman" w:hAnsi="Times New Roman" w:cs="Times New Roman"/>
          <w:i/>
          <w:iCs/>
          <w:sz w:val="24"/>
          <w:szCs w:val="24"/>
          <w:lang w:val="en-US"/>
        </w:rPr>
        <w:t xml:space="preserve"> Riset Akuntansi, 13</w:t>
      </w:r>
      <w:r w:rsidRPr="008F5244">
        <w:rPr>
          <w:rFonts w:ascii="Times New Roman" w:eastAsia="Times New Roman" w:hAnsi="Times New Roman" w:cs="Times New Roman"/>
          <w:sz w:val="24"/>
          <w:szCs w:val="24"/>
          <w:lang w:val="en-US"/>
        </w:rPr>
        <w:t xml:space="preserve">(1), 434–444. </w:t>
      </w:r>
      <w:hyperlink r:id="rId24" w:history="1">
        <w:r w:rsidRPr="008F5244">
          <w:rPr>
            <w:rFonts w:ascii="Times New Roman" w:eastAsia="Times New Roman" w:hAnsi="Times New Roman" w:cs="Times New Roman"/>
            <w:color w:val="0000FF"/>
            <w:sz w:val="24"/>
            <w:szCs w:val="24"/>
            <w:u w:val="single"/>
            <w:lang w:val="en-US"/>
          </w:rPr>
          <w:t>https://jim.unisma.ac.id/index.php/jra/article/view/24424</w:t>
        </w:r>
      </w:hyperlink>
    </w:p>
    <w:p w14:paraId="4242A609"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Solanke, F. T., </w:t>
      </w:r>
      <w:proofErr w:type="spellStart"/>
      <w:r w:rsidRPr="008F5244">
        <w:rPr>
          <w:rFonts w:ascii="Times New Roman" w:eastAsia="Times New Roman" w:hAnsi="Times New Roman" w:cs="Times New Roman"/>
          <w:sz w:val="24"/>
          <w:szCs w:val="24"/>
          <w:lang w:val="en-US"/>
        </w:rPr>
        <w:t>Aniobi</w:t>
      </w:r>
      <w:proofErr w:type="spellEnd"/>
      <w:r w:rsidRPr="008F5244">
        <w:rPr>
          <w:rFonts w:ascii="Times New Roman" w:eastAsia="Times New Roman" w:hAnsi="Times New Roman" w:cs="Times New Roman"/>
          <w:sz w:val="24"/>
          <w:szCs w:val="24"/>
          <w:lang w:val="en-US"/>
        </w:rPr>
        <w:t xml:space="preserve">, S. C., Olugbamiye, D. O., Nweze, G. N., Lawal, A. M., &amp; Owoeye, T. O. (2023). Effect of the audit committee on the performance of deposit money banks in Nigeria. </w:t>
      </w:r>
      <w:r w:rsidRPr="008F5244">
        <w:rPr>
          <w:rFonts w:ascii="Times New Roman" w:eastAsia="Times New Roman" w:hAnsi="Times New Roman" w:cs="Times New Roman"/>
          <w:i/>
          <w:iCs/>
          <w:sz w:val="24"/>
          <w:szCs w:val="24"/>
          <w:lang w:val="en-US"/>
        </w:rPr>
        <w:t>FUOYE Journal of Public Administration and Management, 1</w:t>
      </w:r>
      <w:r w:rsidRPr="008F5244">
        <w:rPr>
          <w:rFonts w:ascii="Times New Roman" w:eastAsia="Times New Roman" w:hAnsi="Times New Roman" w:cs="Times New Roman"/>
          <w:sz w:val="24"/>
          <w:szCs w:val="24"/>
          <w:lang w:val="en-US"/>
        </w:rPr>
        <w:t xml:space="preserve">(1), 51–60. </w:t>
      </w:r>
      <w:hyperlink r:id="rId25" w:history="1">
        <w:r w:rsidRPr="008F5244">
          <w:rPr>
            <w:rFonts w:ascii="Times New Roman" w:eastAsia="Times New Roman" w:hAnsi="Times New Roman" w:cs="Times New Roman"/>
            <w:color w:val="0000FF"/>
            <w:sz w:val="24"/>
            <w:szCs w:val="24"/>
            <w:u w:val="single"/>
            <w:lang w:val="en-US"/>
          </w:rPr>
          <w:t>https://fjpam.fuoye.edu.ng/index.php/fjpam/article/view/50</w:t>
        </w:r>
      </w:hyperlink>
    </w:p>
    <w:p w14:paraId="11E87EB7"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Hastuti</w:t>
      </w:r>
      <w:proofErr w:type="spellEnd"/>
      <w:r w:rsidRPr="008F5244">
        <w:rPr>
          <w:rFonts w:ascii="Times New Roman" w:eastAsia="Times New Roman" w:hAnsi="Times New Roman" w:cs="Times New Roman"/>
          <w:sz w:val="24"/>
          <w:szCs w:val="24"/>
          <w:lang w:val="en-US"/>
        </w:rPr>
        <w:t xml:space="preserve">, I. N., Wibowo, R. E., &amp; </w:t>
      </w:r>
      <w:proofErr w:type="spellStart"/>
      <w:r w:rsidRPr="008F5244">
        <w:rPr>
          <w:rFonts w:ascii="Times New Roman" w:eastAsia="Times New Roman" w:hAnsi="Times New Roman" w:cs="Times New Roman"/>
          <w:sz w:val="24"/>
          <w:szCs w:val="24"/>
          <w:lang w:val="en-US"/>
        </w:rPr>
        <w:t>Nurcahyono</w:t>
      </w:r>
      <w:proofErr w:type="spellEnd"/>
      <w:r w:rsidRPr="008F5244">
        <w:rPr>
          <w:rFonts w:ascii="Times New Roman" w:eastAsia="Times New Roman" w:hAnsi="Times New Roman" w:cs="Times New Roman"/>
          <w:sz w:val="24"/>
          <w:szCs w:val="24"/>
          <w:lang w:val="en-US"/>
        </w:rPr>
        <w:t xml:space="preserve">, N. (2024). The effect of capital adequacy ratio, non-performing loan and debt equity ratio on financial performance. </w:t>
      </w:r>
      <w:r w:rsidRPr="008F5244">
        <w:rPr>
          <w:rFonts w:ascii="Times New Roman" w:eastAsia="Times New Roman" w:hAnsi="Times New Roman" w:cs="Times New Roman"/>
          <w:i/>
          <w:iCs/>
          <w:sz w:val="24"/>
          <w:szCs w:val="24"/>
          <w:lang w:val="en-US"/>
        </w:rPr>
        <w:t>Economics and Business International Conference Proceeding, 1</w:t>
      </w:r>
      <w:r w:rsidRPr="008F5244">
        <w:rPr>
          <w:rFonts w:ascii="Times New Roman" w:eastAsia="Times New Roman" w:hAnsi="Times New Roman" w:cs="Times New Roman"/>
          <w:sz w:val="24"/>
          <w:szCs w:val="24"/>
          <w:lang w:val="en-US"/>
        </w:rPr>
        <w:t xml:space="preserve">(1), 13–24. </w:t>
      </w:r>
      <w:hyperlink r:id="rId26" w:history="1">
        <w:r w:rsidRPr="008F5244">
          <w:rPr>
            <w:rFonts w:ascii="Times New Roman" w:eastAsia="Times New Roman" w:hAnsi="Times New Roman" w:cs="Times New Roman"/>
            <w:color w:val="0000FF"/>
            <w:sz w:val="24"/>
            <w:szCs w:val="24"/>
            <w:u w:val="single"/>
            <w:lang w:val="en-US"/>
          </w:rPr>
          <w:t>https://jurnalnew.unimus.ac.id/index.php/EBiC/article/download/377/230/2421</w:t>
        </w:r>
      </w:hyperlink>
    </w:p>
    <w:p w14:paraId="1F51E4FC"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Hendayana</w:t>
      </w:r>
      <w:proofErr w:type="spellEnd"/>
      <w:r w:rsidRPr="008F5244">
        <w:rPr>
          <w:rFonts w:ascii="Times New Roman" w:eastAsia="Times New Roman" w:hAnsi="Times New Roman" w:cs="Times New Roman"/>
          <w:sz w:val="24"/>
          <w:szCs w:val="24"/>
          <w:lang w:val="en-US"/>
        </w:rPr>
        <w:t xml:space="preserve">, Y., Ramdhany, M. A., </w:t>
      </w:r>
      <w:proofErr w:type="spellStart"/>
      <w:r w:rsidRPr="008F5244">
        <w:rPr>
          <w:rFonts w:ascii="Times New Roman" w:eastAsia="Times New Roman" w:hAnsi="Times New Roman" w:cs="Times New Roman"/>
          <w:sz w:val="24"/>
          <w:szCs w:val="24"/>
          <w:lang w:val="en-US"/>
        </w:rPr>
        <w:t>Pranowo</w:t>
      </w:r>
      <w:proofErr w:type="spellEnd"/>
      <w:r w:rsidRPr="008F5244">
        <w:rPr>
          <w:rFonts w:ascii="Times New Roman" w:eastAsia="Times New Roman" w:hAnsi="Times New Roman" w:cs="Times New Roman"/>
          <w:sz w:val="24"/>
          <w:szCs w:val="24"/>
          <w:lang w:val="en-US"/>
        </w:rPr>
        <w:t xml:space="preserve">, A. S., </w:t>
      </w:r>
      <w:proofErr w:type="spellStart"/>
      <w:r w:rsidRPr="008F5244">
        <w:rPr>
          <w:rFonts w:ascii="Times New Roman" w:eastAsia="Times New Roman" w:hAnsi="Times New Roman" w:cs="Times New Roman"/>
          <w:sz w:val="24"/>
          <w:szCs w:val="24"/>
          <w:lang w:val="en-US"/>
        </w:rPr>
        <w:t>Rachmat</w:t>
      </w:r>
      <w:proofErr w:type="spellEnd"/>
      <w:r w:rsidRPr="008F5244">
        <w:rPr>
          <w:rFonts w:ascii="Times New Roman" w:eastAsia="Times New Roman" w:hAnsi="Times New Roman" w:cs="Times New Roman"/>
          <w:sz w:val="24"/>
          <w:szCs w:val="24"/>
          <w:lang w:val="en-US"/>
        </w:rPr>
        <w:t xml:space="preserve">, R. A. H., &amp; </w:t>
      </w:r>
      <w:proofErr w:type="spellStart"/>
      <w:r w:rsidRPr="008F5244">
        <w:rPr>
          <w:rFonts w:ascii="Times New Roman" w:eastAsia="Times New Roman" w:hAnsi="Times New Roman" w:cs="Times New Roman"/>
          <w:sz w:val="24"/>
          <w:szCs w:val="24"/>
          <w:lang w:val="en-US"/>
        </w:rPr>
        <w:t>Herdiana</w:t>
      </w:r>
      <w:proofErr w:type="spellEnd"/>
      <w:r w:rsidRPr="008F5244">
        <w:rPr>
          <w:rFonts w:ascii="Times New Roman" w:eastAsia="Times New Roman" w:hAnsi="Times New Roman" w:cs="Times New Roman"/>
          <w:sz w:val="24"/>
          <w:szCs w:val="24"/>
          <w:lang w:val="en-US"/>
        </w:rPr>
        <w:t xml:space="preserve">, E. (2024). Exploring the impact of profitability, leverage and capital intensity on tax avoidance, moderated by firm size in LQ45 companies. </w:t>
      </w:r>
      <w:r w:rsidRPr="008F5244">
        <w:rPr>
          <w:rFonts w:ascii="Times New Roman" w:eastAsia="Times New Roman" w:hAnsi="Times New Roman" w:cs="Times New Roman"/>
          <w:i/>
          <w:iCs/>
          <w:sz w:val="24"/>
          <w:szCs w:val="24"/>
          <w:lang w:val="en-US"/>
        </w:rPr>
        <w:t>Cogent Business &amp; Management, 11</w:t>
      </w:r>
      <w:r w:rsidRPr="008F5244">
        <w:rPr>
          <w:rFonts w:ascii="Times New Roman" w:eastAsia="Times New Roman" w:hAnsi="Times New Roman" w:cs="Times New Roman"/>
          <w:sz w:val="24"/>
          <w:szCs w:val="24"/>
          <w:lang w:val="en-US"/>
        </w:rPr>
        <w:t xml:space="preserve">(1), 2371062. </w:t>
      </w:r>
      <w:hyperlink r:id="rId27" w:history="1">
        <w:r w:rsidRPr="008F5244">
          <w:rPr>
            <w:rFonts w:ascii="Times New Roman" w:eastAsia="Times New Roman" w:hAnsi="Times New Roman" w:cs="Times New Roman"/>
            <w:color w:val="0000FF"/>
            <w:sz w:val="24"/>
            <w:szCs w:val="24"/>
            <w:u w:val="single"/>
            <w:lang w:val="en-US"/>
          </w:rPr>
          <w:t>https://doi.org/10.1080/23311975.2024.2371062</w:t>
        </w:r>
      </w:hyperlink>
    </w:p>
    <w:p w14:paraId="23CA5B5C"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Ho, T. N., Nguyen, D., Le, T., Nguyen, H. T., &amp; Tran, S. (2025). Does board gender diversity affect bank financial stability? Evidence from a transitional economy. </w:t>
      </w:r>
      <w:r w:rsidRPr="008F5244">
        <w:rPr>
          <w:rFonts w:ascii="Times New Roman" w:eastAsia="Times New Roman" w:hAnsi="Times New Roman" w:cs="Times New Roman"/>
          <w:i/>
          <w:iCs/>
          <w:sz w:val="24"/>
          <w:szCs w:val="24"/>
          <w:lang w:val="en-US"/>
        </w:rPr>
        <w:t>Gender in Management: An International Journal, 40</w:t>
      </w:r>
      <w:r w:rsidRPr="008F5244">
        <w:rPr>
          <w:rFonts w:ascii="Times New Roman" w:eastAsia="Times New Roman" w:hAnsi="Times New Roman" w:cs="Times New Roman"/>
          <w:sz w:val="24"/>
          <w:szCs w:val="24"/>
          <w:lang w:val="en-US"/>
        </w:rPr>
        <w:t xml:space="preserve">(1), 64–90. </w:t>
      </w:r>
      <w:hyperlink r:id="rId28" w:history="1">
        <w:r w:rsidRPr="008F5244">
          <w:rPr>
            <w:rFonts w:ascii="Times New Roman" w:eastAsia="Times New Roman" w:hAnsi="Times New Roman" w:cs="Times New Roman"/>
            <w:color w:val="0000FF"/>
            <w:sz w:val="24"/>
            <w:szCs w:val="24"/>
            <w:u w:val="single"/>
            <w:lang w:val="en-US"/>
          </w:rPr>
          <w:t>https://doi.org/10.1108/GM-03-2023-0094</w:t>
        </w:r>
      </w:hyperlink>
    </w:p>
    <w:p w14:paraId="251F9AA9"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Husna, A., &amp; Satria, I. (2019). Effects of return on asset, debt to asset ratio, current ratio, firm size, and dividend payout ratio on firm value. </w:t>
      </w:r>
      <w:r w:rsidRPr="008F5244">
        <w:rPr>
          <w:rFonts w:ascii="Times New Roman" w:eastAsia="Times New Roman" w:hAnsi="Times New Roman" w:cs="Times New Roman"/>
          <w:i/>
          <w:iCs/>
          <w:sz w:val="24"/>
          <w:szCs w:val="24"/>
          <w:lang w:val="en-US"/>
        </w:rPr>
        <w:t>International Journal of Economics and Financial Issues, 9</w:t>
      </w:r>
      <w:r w:rsidRPr="008F5244">
        <w:rPr>
          <w:rFonts w:ascii="Times New Roman" w:eastAsia="Times New Roman" w:hAnsi="Times New Roman" w:cs="Times New Roman"/>
          <w:sz w:val="24"/>
          <w:szCs w:val="24"/>
          <w:lang w:val="en-US"/>
        </w:rPr>
        <w:t xml:space="preserve">(5), 50–54. </w:t>
      </w:r>
      <w:hyperlink r:id="rId29" w:history="1">
        <w:r w:rsidRPr="008F5244">
          <w:rPr>
            <w:rFonts w:ascii="Times New Roman" w:eastAsia="Times New Roman" w:hAnsi="Times New Roman" w:cs="Times New Roman"/>
            <w:color w:val="0000FF"/>
            <w:sz w:val="24"/>
            <w:szCs w:val="24"/>
            <w:u w:val="single"/>
            <w:lang w:val="en-US"/>
          </w:rPr>
          <w:t>https://doi.org/10.32479/ijefi.8595</w:t>
        </w:r>
      </w:hyperlink>
    </w:p>
    <w:p w14:paraId="487D0EC0"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Iddrisu, K. (2025). Foreign bank presence, financial stability, and income inequality: Empirical evidence from some selected countries in Africa. </w:t>
      </w:r>
      <w:r w:rsidRPr="008F5244">
        <w:rPr>
          <w:rFonts w:ascii="Times New Roman" w:eastAsia="Times New Roman" w:hAnsi="Times New Roman" w:cs="Times New Roman"/>
          <w:i/>
          <w:iCs/>
          <w:sz w:val="24"/>
          <w:szCs w:val="24"/>
          <w:lang w:val="en-US"/>
        </w:rPr>
        <w:t>Journal of the Knowledge Economy, 16</w:t>
      </w:r>
      <w:r w:rsidRPr="008F5244">
        <w:rPr>
          <w:rFonts w:ascii="Times New Roman" w:eastAsia="Times New Roman" w:hAnsi="Times New Roman" w:cs="Times New Roman"/>
          <w:sz w:val="24"/>
          <w:szCs w:val="24"/>
          <w:lang w:val="en-US"/>
        </w:rPr>
        <w:t xml:space="preserve">(4), 14032–14056. </w:t>
      </w:r>
      <w:hyperlink r:id="rId30" w:history="1">
        <w:r w:rsidRPr="008F5244">
          <w:rPr>
            <w:rFonts w:ascii="Times New Roman" w:eastAsia="Times New Roman" w:hAnsi="Times New Roman" w:cs="Times New Roman"/>
            <w:color w:val="0000FF"/>
            <w:sz w:val="24"/>
            <w:szCs w:val="24"/>
            <w:u w:val="single"/>
            <w:lang w:val="en-US"/>
          </w:rPr>
          <w:t>https://doi.org/10.1007/s13132-024-02412-y</w:t>
        </w:r>
      </w:hyperlink>
    </w:p>
    <w:p w14:paraId="00ABAEED"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Indarto</w:t>
      </w:r>
      <w:proofErr w:type="spellEnd"/>
      <w:r w:rsidRPr="008F5244">
        <w:rPr>
          <w:rFonts w:ascii="Times New Roman" w:eastAsia="Times New Roman" w:hAnsi="Times New Roman" w:cs="Times New Roman"/>
          <w:sz w:val="24"/>
          <w:szCs w:val="24"/>
          <w:lang w:val="en-US"/>
        </w:rPr>
        <w:t xml:space="preserve">, S. P. I., Yuni, S., Fransiska, C., &amp; </w:t>
      </w:r>
      <w:proofErr w:type="spellStart"/>
      <w:r w:rsidRPr="008F5244">
        <w:rPr>
          <w:rFonts w:ascii="Times New Roman" w:eastAsia="Times New Roman" w:hAnsi="Times New Roman" w:cs="Times New Roman"/>
          <w:sz w:val="24"/>
          <w:szCs w:val="24"/>
          <w:lang w:val="en-US"/>
        </w:rPr>
        <w:t>Andrenossa</w:t>
      </w:r>
      <w:proofErr w:type="spellEnd"/>
      <w:r w:rsidRPr="008F5244">
        <w:rPr>
          <w:rFonts w:ascii="Times New Roman" w:eastAsia="Times New Roman" w:hAnsi="Times New Roman" w:cs="Times New Roman"/>
          <w:sz w:val="24"/>
          <w:szCs w:val="24"/>
          <w:lang w:val="en-US"/>
        </w:rPr>
        <w:t xml:space="preserve">, G. (2025). The influence of capital intensity and inventory intensity on tax aggressiveness with independent commissioners as a moderating variable: Empirical study on mining companies listed on the IDX for the period 2020–2023. </w:t>
      </w:r>
      <w:r w:rsidRPr="008F5244">
        <w:rPr>
          <w:rFonts w:ascii="Times New Roman" w:eastAsia="Times New Roman" w:hAnsi="Times New Roman" w:cs="Times New Roman"/>
          <w:i/>
          <w:iCs/>
          <w:sz w:val="24"/>
          <w:szCs w:val="24"/>
          <w:lang w:val="en-US"/>
        </w:rPr>
        <w:t>Sustainability Accounting Journal, 2</w:t>
      </w:r>
      <w:r w:rsidRPr="008F5244">
        <w:rPr>
          <w:rFonts w:ascii="Times New Roman" w:eastAsia="Times New Roman" w:hAnsi="Times New Roman" w:cs="Times New Roman"/>
          <w:sz w:val="24"/>
          <w:szCs w:val="24"/>
          <w:lang w:val="en-US"/>
        </w:rPr>
        <w:t xml:space="preserve">(1), 1–13. </w:t>
      </w:r>
      <w:hyperlink r:id="rId31" w:history="1">
        <w:r w:rsidRPr="008F5244">
          <w:rPr>
            <w:rFonts w:ascii="Times New Roman" w:eastAsia="Times New Roman" w:hAnsi="Times New Roman" w:cs="Times New Roman"/>
            <w:color w:val="0000FF"/>
            <w:sz w:val="24"/>
            <w:szCs w:val="24"/>
            <w:u w:val="single"/>
            <w:lang w:val="en-US"/>
          </w:rPr>
          <w:t>https://e-journal.upr.ac.id/index.php/SAJ/article/view/19527</w:t>
        </w:r>
      </w:hyperlink>
    </w:p>
    <w:p w14:paraId="55625F09"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Irawati, W., Kurniasih, L., &amp; </w:t>
      </w:r>
      <w:proofErr w:type="spellStart"/>
      <w:r w:rsidRPr="008F5244">
        <w:rPr>
          <w:rFonts w:ascii="Times New Roman" w:eastAsia="Times New Roman" w:hAnsi="Times New Roman" w:cs="Times New Roman"/>
          <w:sz w:val="24"/>
          <w:szCs w:val="24"/>
          <w:lang w:val="en-US"/>
        </w:rPr>
        <w:t>Barli</w:t>
      </w:r>
      <w:proofErr w:type="spellEnd"/>
      <w:r w:rsidRPr="008F5244">
        <w:rPr>
          <w:rFonts w:ascii="Times New Roman" w:eastAsia="Times New Roman" w:hAnsi="Times New Roman" w:cs="Times New Roman"/>
          <w:sz w:val="24"/>
          <w:szCs w:val="24"/>
          <w:lang w:val="en-US"/>
        </w:rPr>
        <w:t xml:space="preserve">, H. (2025). Sales growth, profitability, inventory intensity and capital structure on tax aggressiveness in the energy sector in Indonesia. </w:t>
      </w:r>
      <w:r w:rsidRPr="008F5244">
        <w:rPr>
          <w:rFonts w:ascii="Times New Roman" w:eastAsia="Times New Roman" w:hAnsi="Times New Roman" w:cs="Times New Roman"/>
          <w:i/>
          <w:iCs/>
          <w:sz w:val="24"/>
          <w:szCs w:val="24"/>
          <w:lang w:val="en-US"/>
        </w:rPr>
        <w:t>KEUNIS, 13</w:t>
      </w:r>
      <w:r w:rsidRPr="008F5244">
        <w:rPr>
          <w:rFonts w:ascii="Times New Roman" w:eastAsia="Times New Roman" w:hAnsi="Times New Roman" w:cs="Times New Roman"/>
          <w:sz w:val="24"/>
          <w:szCs w:val="24"/>
          <w:lang w:val="en-US"/>
        </w:rPr>
        <w:t xml:space="preserve">(1), 44–54. </w:t>
      </w:r>
      <w:hyperlink r:id="rId32" w:history="1">
        <w:r w:rsidRPr="008F5244">
          <w:rPr>
            <w:rFonts w:ascii="Times New Roman" w:eastAsia="Times New Roman" w:hAnsi="Times New Roman" w:cs="Times New Roman"/>
            <w:color w:val="0000FF"/>
            <w:sz w:val="24"/>
            <w:szCs w:val="24"/>
            <w:u w:val="single"/>
            <w:lang w:val="en-US"/>
          </w:rPr>
          <w:t>https://doi.org/10.32497/keunis.v13i1.5790</w:t>
        </w:r>
      </w:hyperlink>
    </w:p>
    <w:p w14:paraId="39E4CB2A"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Kraus, A., &amp; Litzenberger, R. H. (1973). A state-preference model of optimal financial leverage. </w:t>
      </w:r>
      <w:r w:rsidRPr="008F5244">
        <w:rPr>
          <w:rFonts w:ascii="Times New Roman" w:eastAsia="Times New Roman" w:hAnsi="Times New Roman" w:cs="Times New Roman"/>
          <w:i/>
          <w:iCs/>
          <w:sz w:val="24"/>
          <w:szCs w:val="24"/>
          <w:lang w:val="en-US"/>
        </w:rPr>
        <w:t>The Journal of Finance, 28</w:t>
      </w:r>
      <w:r w:rsidRPr="008F5244">
        <w:rPr>
          <w:rFonts w:ascii="Times New Roman" w:eastAsia="Times New Roman" w:hAnsi="Times New Roman" w:cs="Times New Roman"/>
          <w:sz w:val="24"/>
          <w:szCs w:val="24"/>
          <w:lang w:val="en-US"/>
        </w:rPr>
        <w:t xml:space="preserve">(4), 911–922. </w:t>
      </w:r>
      <w:hyperlink r:id="rId33" w:history="1">
        <w:r w:rsidRPr="008F5244">
          <w:rPr>
            <w:rFonts w:ascii="Times New Roman" w:eastAsia="Times New Roman" w:hAnsi="Times New Roman" w:cs="Times New Roman"/>
            <w:color w:val="0000FF"/>
            <w:sz w:val="24"/>
            <w:szCs w:val="24"/>
            <w:u w:val="single"/>
            <w:lang w:val="en-US"/>
          </w:rPr>
          <w:t>https://doi.org/10.1111/j.1540-6261.1973.tb01415.x</w:t>
        </w:r>
      </w:hyperlink>
    </w:p>
    <w:p w14:paraId="1952E8F8"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Lailiyah</w:t>
      </w:r>
      <w:proofErr w:type="spellEnd"/>
      <w:r w:rsidRPr="008F5244">
        <w:rPr>
          <w:rFonts w:ascii="Times New Roman" w:eastAsia="Times New Roman" w:hAnsi="Times New Roman" w:cs="Times New Roman"/>
          <w:sz w:val="24"/>
          <w:szCs w:val="24"/>
          <w:lang w:val="en-US"/>
        </w:rPr>
        <w:t xml:space="preserve">, C. Z., </w:t>
      </w:r>
      <w:proofErr w:type="spellStart"/>
      <w:r w:rsidRPr="008F5244">
        <w:rPr>
          <w:rFonts w:ascii="Times New Roman" w:eastAsia="Times New Roman" w:hAnsi="Times New Roman" w:cs="Times New Roman"/>
          <w:sz w:val="24"/>
          <w:szCs w:val="24"/>
          <w:lang w:val="en-US"/>
        </w:rPr>
        <w:t>Massela</w:t>
      </w:r>
      <w:proofErr w:type="spellEnd"/>
      <w:r w:rsidRPr="008F5244">
        <w:rPr>
          <w:rFonts w:ascii="Times New Roman" w:eastAsia="Times New Roman" w:hAnsi="Times New Roman" w:cs="Times New Roman"/>
          <w:sz w:val="24"/>
          <w:szCs w:val="24"/>
          <w:lang w:val="en-US"/>
        </w:rPr>
        <w:t xml:space="preserve">, A., Yulianto, A., &amp; Khalid, A. A. (2024). Impact of corporate social responsibility, profitability, leverage, and capital intensity on tax aggressiveness: The moderating role of firm size in the Indonesian manufacturing sector. </w:t>
      </w:r>
      <w:r w:rsidRPr="008F5244">
        <w:rPr>
          <w:rFonts w:ascii="Times New Roman" w:eastAsia="Times New Roman" w:hAnsi="Times New Roman" w:cs="Times New Roman"/>
          <w:i/>
          <w:iCs/>
          <w:sz w:val="24"/>
          <w:szCs w:val="24"/>
          <w:lang w:val="en-US"/>
        </w:rPr>
        <w:t>Journal of Accounting, Finance and Auditing Studies, 10</w:t>
      </w:r>
      <w:r w:rsidRPr="008F5244">
        <w:rPr>
          <w:rFonts w:ascii="Times New Roman" w:eastAsia="Times New Roman" w:hAnsi="Times New Roman" w:cs="Times New Roman"/>
          <w:sz w:val="24"/>
          <w:szCs w:val="24"/>
          <w:lang w:val="en-US"/>
        </w:rPr>
        <w:t xml:space="preserve">(2), 51–64. </w:t>
      </w:r>
      <w:hyperlink r:id="rId34" w:history="1">
        <w:r w:rsidRPr="008F5244">
          <w:rPr>
            <w:rFonts w:ascii="Times New Roman" w:eastAsia="Times New Roman" w:hAnsi="Times New Roman" w:cs="Times New Roman"/>
            <w:color w:val="0000FF"/>
            <w:sz w:val="24"/>
            <w:szCs w:val="24"/>
            <w:u w:val="single"/>
            <w:lang w:val="en-US"/>
          </w:rPr>
          <w:t>https://doi.org/10.56578/jafas100201</w:t>
        </w:r>
      </w:hyperlink>
    </w:p>
    <w:p w14:paraId="1CC03C5A"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Lusmeida</w:t>
      </w:r>
      <w:proofErr w:type="spellEnd"/>
      <w:r w:rsidRPr="008F5244">
        <w:rPr>
          <w:rFonts w:ascii="Times New Roman" w:eastAsia="Times New Roman" w:hAnsi="Times New Roman" w:cs="Times New Roman"/>
          <w:sz w:val="24"/>
          <w:szCs w:val="24"/>
          <w:lang w:val="en-US"/>
        </w:rPr>
        <w:t xml:space="preserve">, H., &amp; Gunawan, E. (2025). The capital adequacy ratio moderated enterprise risk management on financial distress. </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Riset </w:t>
      </w:r>
      <w:proofErr w:type="spellStart"/>
      <w:r w:rsidRPr="008F5244">
        <w:rPr>
          <w:rFonts w:ascii="Times New Roman" w:eastAsia="Times New Roman" w:hAnsi="Times New Roman" w:cs="Times New Roman"/>
          <w:i/>
          <w:iCs/>
          <w:sz w:val="24"/>
          <w:szCs w:val="24"/>
          <w:lang w:val="en-US"/>
        </w:rPr>
        <w:t>Bisnis</w:t>
      </w:r>
      <w:proofErr w:type="spellEnd"/>
      <w:r w:rsidRPr="008F5244">
        <w:rPr>
          <w:rFonts w:ascii="Times New Roman" w:eastAsia="Times New Roman" w:hAnsi="Times New Roman" w:cs="Times New Roman"/>
          <w:i/>
          <w:iCs/>
          <w:sz w:val="24"/>
          <w:szCs w:val="24"/>
          <w:lang w:val="en-US"/>
        </w:rPr>
        <w:t xml:space="preserve"> dan </w:t>
      </w:r>
      <w:proofErr w:type="spellStart"/>
      <w:r w:rsidRPr="008F5244">
        <w:rPr>
          <w:rFonts w:ascii="Times New Roman" w:eastAsia="Times New Roman" w:hAnsi="Times New Roman" w:cs="Times New Roman"/>
          <w:i/>
          <w:iCs/>
          <w:sz w:val="24"/>
          <w:szCs w:val="24"/>
          <w:lang w:val="en-US"/>
        </w:rPr>
        <w:t>Manajemen</w:t>
      </w:r>
      <w:proofErr w:type="spellEnd"/>
      <w:r w:rsidRPr="008F5244">
        <w:rPr>
          <w:rFonts w:ascii="Times New Roman" w:eastAsia="Times New Roman" w:hAnsi="Times New Roman" w:cs="Times New Roman"/>
          <w:i/>
          <w:iCs/>
          <w:sz w:val="24"/>
          <w:szCs w:val="24"/>
          <w:lang w:val="en-US"/>
        </w:rPr>
        <w:t>, 18</w:t>
      </w:r>
      <w:r w:rsidRPr="008F5244">
        <w:rPr>
          <w:rFonts w:ascii="Times New Roman" w:eastAsia="Times New Roman" w:hAnsi="Times New Roman" w:cs="Times New Roman"/>
          <w:sz w:val="24"/>
          <w:szCs w:val="24"/>
          <w:lang w:val="en-US"/>
        </w:rPr>
        <w:t xml:space="preserve">(1), 163–178. </w:t>
      </w:r>
      <w:hyperlink r:id="rId35" w:history="1">
        <w:r w:rsidRPr="008F5244">
          <w:rPr>
            <w:rFonts w:ascii="Times New Roman" w:eastAsia="Times New Roman" w:hAnsi="Times New Roman" w:cs="Times New Roman"/>
            <w:color w:val="0000FF"/>
            <w:sz w:val="24"/>
            <w:szCs w:val="24"/>
            <w:u w:val="single"/>
            <w:lang w:val="en-US"/>
          </w:rPr>
          <w:t>https://doi.org/10.23969/jrbm.v18i1.20287</w:t>
        </w:r>
      </w:hyperlink>
    </w:p>
    <w:p w14:paraId="15D7FC66" w14:textId="77777777" w:rsidR="008F5244" w:rsidRPr="008F5244" w:rsidRDefault="008F5244" w:rsidP="008F524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Maahury</w:t>
      </w:r>
      <w:proofErr w:type="spellEnd"/>
      <w:r w:rsidRPr="008F5244">
        <w:rPr>
          <w:rFonts w:ascii="Times New Roman" w:eastAsia="Times New Roman" w:hAnsi="Times New Roman" w:cs="Times New Roman"/>
          <w:sz w:val="24"/>
          <w:szCs w:val="24"/>
          <w:lang w:val="en-US"/>
        </w:rPr>
        <w:t xml:space="preserve">, R. G., &amp; </w:t>
      </w:r>
      <w:proofErr w:type="spellStart"/>
      <w:r w:rsidRPr="008F5244">
        <w:rPr>
          <w:rFonts w:ascii="Times New Roman" w:eastAsia="Times New Roman" w:hAnsi="Times New Roman" w:cs="Times New Roman"/>
          <w:sz w:val="24"/>
          <w:szCs w:val="24"/>
          <w:lang w:val="en-US"/>
        </w:rPr>
        <w:t>Berliani</w:t>
      </w:r>
      <w:proofErr w:type="spellEnd"/>
      <w:r w:rsidRPr="008F5244">
        <w:rPr>
          <w:rFonts w:ascii="Times New Roman" w:eastAsia="Times New Roman" w:hAnsi="Times New Roman" w:cs="Times New Roman"/>
          <w:sz w:val="24"/>
          <w:szCs w:val="24"/>
          <w:lang w:val="en-US"/>
        </w:rPr>
        <w:t xml:space="preserve">, K. (2025). The influence of capital intensity, institutional ownership, firm size and public share ownership on accounting conservatism in food and beverage sub-sector manufacturing companies listed on the Indonesia Stock Exchange for the period 2014–2023. </w:t>
      </w:r>
      <w:r w:rsidRPr="008F5244">
        <w:rPr>
          <w:rFonts w:ascii="Times New Roman" w:eastAsia="Times New Roman" w:hAnsi="Times New Roman" w:cs="Times New Roman"/>
          <w:i/>
          <w:iCs/>
          <w:sz w:val="24"/>
          <w:szCs w:val="24"/>
          <w:lang w:val="en-US"/>
        </w:rPr>
        <w:t>JEMSI (</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Ekonomi, </w:t>
      </w:r>
      <w:proofErr w:type="spellStart"/>
      <w:r w:rsidRPr="008F5244">
        <w:rPr>
          <w:rFonts w:ascii="Times New Roman" w:eastAsia="Times New Roman" w:hAnsi="Times New Roman" w:cs="Times New Roman"/>
          <w:i/>
          <w:iCs/>
          <w:sz w:val="24"/>
          <w:szCs w:val="24"/>
          <w:lang w:val="en-US"/>
        </w:rPr>
        <w:t>Manajemen</w:t>
      </w:r>
      <w:proofErr w:type="spellEnd"/>
      <w:r w:rsidRPr="008F5244">
        <w:rPr>
          <w:rFonts w:ascii="Times New Roman" w:eastAsia="Times New Roman" w:hAnsi="Times New Roman" w:cs="Times New Roman"/>
          <w:i/>
          <w:iCs/>
          <w:sz w:val="24"/>
          <w:szCs w:val="24"/>
          <w:lang w:val="en-US"/>
        </w:rPr>
        <w:t xml:space="preserve">, dan </w:t>
      </w:r>
      <w:proofErr w:type="spellStart"/>
      <w:r w:rsidRPr="008F5244">
        <w:rPr>
          <w:rFonts w:ascii="Times New Roman" w:eastAsia="Times New Roman" w:hAnsi="Times New Roman" w:cs="Times New Roman"/>
          <w:i/>
          <w:iCs/>
          <w:sz w:val="24"/>
          <w:szCs w:val="24"/>
          <w:lang w:val="en-US"/>
        </w:rPr>
        <w:t>Akuntansi</w:t>
      </w:r>
      <w:proofErr w:type="spellEnd"/>
      <w:r w:rsidRPr="008F5244">
        <w:rPr>
          <w:rFonts w:ascii="Times New Roman" w:eastAsia="Times New Roman" w:hAnsi="Times New Roman" w:cs="Times New Roman"/>
          <w:i/>
          <w:iCs/>
          <w:sz w:val="24"/>
          <w:szCs w:val="24"/>
          <w:lang w:val="en-US"/>
        </w:rPr>
        <w:t>), 11</w:t>
      </w:r>
      <w:r w:rsidRPr="008F5244">
        <w:rPr>
          <w:rFonts w:ascii="Times New Roman" w:eastAsia="Times New Roman" w:hAnsi="Times New Roman" w:cs="Times New Roman"/>
          <w:sz w:val="24"/>
          <w:szCs w:val="24"/>
          <w:lang w:val="en-US"/>
        </w:rPr>
        <w:t xml:space="preserve">(1), 523–533. </w:t>
      </w:r>
      <w:hyperlink r:id="rId36" w:history="1">
        <w:r w:rsidRPr="008F5244">
          <w:rPr>
            <w:rFonts w:ascii="Times New Roman" w:eastAsia="Times New Roman" w:hAnsi="Times New Roman" w:cs="Times New Roman"/>
            <w:color w:val="0000FF"/>
            <w:sz w:val="24"/>
            <w:szCs w:val="24"/>
            <w:u w:val="single"/>
            <w:lang w:val="en-US"/>
          </w:rPr>
          <w:t>https://doi.org/10.35870/jemsi.v11i1.3732</w:t>
        </w:r>
      </w:hyperlink>
    </w:p>
    <w:p w14:paraId="3D3D4518" w14:textId="08774887" w:rsidR="008F5244" w:rsidRPr="00571108" w:rsidRDefault="008F5244" w:rsidP="008F5244">
      <w:pPr>
        <w:numPr>
          <w:ilvl w:val="0"/>
          <w:numId w:val="10"/>
        </w:numPr>
        <w:spacing w:before="100" w:beforeAutospacing="1" w:after="100" w:afterAutospacing="1" w:line="240" w:lineRule="auto"/>
        <w:rPr>
          <w:rFonts w:ascii="Times New Roman" w:eastAsia="Times New Roman" w:hAnsi="Times New Roman" w:cs="Times New Roman"/>
          <w:b/>
          <w:bCs/>
          <w:sz w:val="24"/>
          <w:szCs w:val="24"/>
          <w:lang w:val="en-US"/>
        </w:rPr>
      </w:pPr>
      <w:r w:rsidRPr="00571108">
        <w:rPr>
          <w:rFonts w:ascii="Times New Roman" w:eastAsia="Times New Roman" w:hAnsi="Times New Roman" w:cs="Times New Roman"/>
          <w:sz w:val="24"/>
          <w:szCs w:val="24"/>
          <w:lang w:val="en-US"/>
        </w:rPr>
        <w:lastRenderedPageBreak/>
        <w:t xml:space="preserve">Financial Stability Board. (2017). </w:t>
      </w:r>
      <w:r w:rsidRPr="00571108">
        <w:rPr>
          <w:rFonts w:ascii="Times New Roman" w:eastAsia="Times New Roman" w:hAnsi="Times New Roman" w:cs="Times New Roman"/>
          <w:i/>
          <w:iCs/>
          <w:sz w:val="24"/>
          <w:szCs w:val="24"/>
          <w:lang w:val="en-US"/>
        </w:rPr>
        <w:t>Artificial intelligence and machine learning in financial services: Market developments and financial stability implications</w:t>
      </w:r>
      <w:r w:rsidRPr="00571108">
        <w:rPr>
          <w:rFonts w:ascii="Times New Roman" w:eastAsia="Times New Roman" w:hAnsi="Times New Roman" w:cs="Times New Roman"/>
          <w:sz w:val="24"/>
          <w:szCs w:val="24"/>
          <w:lang w:val="en-US"/>
        </w:rPr>
        <w:t xml:space="preserve">. </w:t>
      </w:r>
      <w:hyperlink r:id="rId37" w:history="1">
        <w:r w:rsidRPr="00571108">
          <w:rPr>
            <w:rFonts w:ascii="Times New Roman" w:eastAsia="Times New Roman" w:hAnsi="Times New Roman" w:cs="Times New Roman"/>
            <w:color w:val="0000FF"/>
            <w:sz w:val="24"/>
            <w:szCs w:val="24"/>
            <w:u w:val="single"/>
            <w:lang w:val="en-US"/>
          </w:rPr>
          <w:t>https://www.fsb.org/2017/11/artificial-intelligence-and-machine-learning-in-financial-service/</w:t>
        </w:r>
      </w:hyperlink>
    </w:p>
    <w:p w14:paraId="72907911"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Mirza, N., Umar, M., </w:t>
      </w:r>
      <w:proofErr w:type="spellStart"/>
      <w:r w:rsidRPr="008F5244">
        <w:rPr>
          <w:rFonts w:ascii="Times New Roman" w:eastAsia="Times New Roman" w:hAnsi="Times New Roman" w:cs="Times New Roman"/>
          <w:sz w:val="24"/>
          <w:szCs w:val="24"/>
          <w:lang w:val="en-US"/>
        </w:rPr>
        <w:t>Lobont</w:t>
      </w:r>
      <w:proofErr w:type="spellEnd"/>
      <w:r w:rsidRPr="008F5244">
        <w:rPr>
          <w:rFonts w:ascii="Times New Roman" w:eastAsia="Times New Roman" w:hAnsi="Times New Roman" w:cs="Times New Roman"/>
          <w:sz w:val="24"/>
          <w:szCs w:val="24"/>
          <w:lang w:val="en-US"/>
        </w:rPr>
        <w:t xml:space="preserve">, O. R., &amp; Safi, A. (2025). ESG lending, technology investment and banking performance in BRICS: Navigating sustainability and financial stability. </w:t>
      </w:r>
      <w:r w:rsidRPr="008F5244">
        <w:rPr>
          <w:rFonts w:ascii="Times New Roman" w:eastAsia="Times New Roman" w:hAnsi="Times New Roman" w:cs="Times New Roman"/>
          <w:i/>
          <w:iCs/>
          <w:sz w:val="24"/>
          <w:szCs w:val="24"/>
          <w:lang w:val="en-US"/>
        </w:rPr>
        <w:t>China Finance Review International, 15</w:t>
      </w:r>
      <w:r w:rsidRPr="008F5244">
        <w:rPr>
          <w:rFonts w:ascii="Times New Roman" w:eastAsia="Times New Roman" w:hAnsi="Times New Roman" w:cs="Times New Roman"/>
          <w:sz w:val="24"/>
          <w:szCs w:val="24"/>
          <w:lang w:val="en-US"/>
        </w:rPr>
        <w:t xml:space="preserve">(2), 324–336. </w:t>
      </w:r>
      <w:hyperlink r:id="rId38" w:history="1">
        <w:r w:rsidRPr="008F5244">
          <w:rPr>
            <w:rFonts w:ascii="Times New Roman" w:eastAsia="Times New Roman" w:hAnsi="Times New Roman" w:cs="Times New Roman"/>
            <w:color w:val="0000FF"/>
            <w:sz w:val="24"/>
            <w:szCs w:val="24"/>
            <w:u w:val="single"/>
            <w:lang w:val="en-US"/>
          </w:rPr>
          <w:t>https://doi.org/10.1108/CFRI-09-2024-0496</w:t>
        </w:r>
      </w:hyperlink>
    </w:p>
    <w:p w14:paraId="2B8168BA"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Nisa, H., &amp; </w:t>
      </w:r>
      <w:proofErr w:type="spellStart"/>
      <w:r w:rsidRPr="008F5244">
        <w:rPr>
          <w:rFonts w:ascii="Times New Roman" w:eastAsia="Times New Roman" w:hAnsi="Times New Roman" w:cs="Times New Roman"/>
          <w:sz w:val="24"/>
          <w:szCs w:val="24"/>
          <w:lang w:val="en-US"/>
        </w:rPr>
        <w:t>Fitriyah</w:t>
      </w:r>
      <w:proofErr w:type="spellEnd"/>
      <w:r w:rsidRPr="008F5244">
        <w:rPr>
          <w:rFonts w:ascii="Times New Roman" w:eastAsia="Times New Roman" w:hAnsi="Times New Roman" w:cs="Times New Roman"/>
          <w:sz w:val="24"/>
          <w:szCs w:val="24"/>
          <w:lang w:val="en-US"/>
        </w:rPr>
        <w:t xml:space="preserve">. (2025). </w:t>
      </w:r>
      <w:proofErr w:type="spellStart"/>
      <w:r w:rsidRPr="008F5244">
        <w:rPr>
          <w:rFonts w:ascii="Times New Roman" w:eastAsia="Times New Roman" w:hAnsi="Times New Roman" w:cs="Times New Roman"/>
          <w:sz w:val="24"/>
          <w:szCs w:val="24"/>
          <w:lang w:val="en-US"/>
        </w:rPr>
        <w:t>Pengaruh</w:t>
      </w:r>
      <w:proofErr w:type="spellEnd"/>
      <w:r w:rsidRPr="008F5244">
        <w:rPr>
          <w:rFonts w:ascii="Times New Roman" w:eastAsia="Times New Roman" w:hAnsi="Times New Roman" w:cs="Times New Roman"/>
          <w:sz w:val="24"/>
          <w:szCs w:val="24"/>
          <w:lang w:val="en-US"/>
        </w:rPr>
        <w:t xml:space="preserve"> </w:t>
      </w:r>
      <w:proofErr w:type="spellStart"/>
      <w:r w:rsidRPr="008F5244">
        <w:rPr>
          <w:rFonts w:ascii="Times New Roman" w:eastAsia="Times New Roman" w:hAnsi="Times New Roman" w:cs="Times New Roman"/>
          <w:sz w:val="24"/>
          <w:szCs w:val="24"/>
          <w:lang w:val="en-US"/>
        </w:rPr>
        <w:t>karakteristik</w:t>
      </w:r>
      <w:proofErr w:type="spellEnd"/>
      <w:r w:rsidRPr="008F5244">
        <w:rPr>
          <w:rFonts w:ascii="Times New Roman" w:eastAsia="Times New Roman" w:hAnsi="Times New Roman" w:cs="Times New Roman"/>
          <w:sz w:val="24"/>
          <w:szCs w:val="24"/>
          <w:lang w:val="en-US"/>
        </w:rPr>
        <w:t xml:space="preserve"> </w:t>
      </w:r>
      <w:proofErr w:type="spellStart"/>
      <w:r w:rsidRPr="008F5244">
        <w:rPr>
          <w:rFonts w:ascii="Times New Roman" w:eastAsia="Times New Roman" w:hAnsi="Times New Roman" w:cs="Times New Roman"/>
          <w:sz w:val="24"/>
          <w:szCs w:val="24"/>
          <w:lang w:val="en-US"/>
        </w:rPr>
        <w:t>perusahaan</w:t>
      </w:r>
      <w:proofErr w:type="spellEnd"/>
      <w:r w:rsidRPr="008F5244">
        <w:rPr>
          <w:rFonts w:ascii="Times New Roman" w:eastAsia="Times New Roman" w:hAnsi="Times New Roman" w:cs="Times New Roman"/>
          <w:sz w:val="24"/>
          <w:szCs w:val="24"/>
          <w:lang w:val="en-US"/>
        </w:rPr>
        <w:t xml:space="preserve">, capital intensity, dan inventory intensity </w:t>
      </w:r>
      <w:proofErr w:type="spellStart"/>
      <w:r w:rsidRPr="008F5244">
        <w:rPr>
          <w:rFonts w:ascii="Times New Roman" w:eastAsia="Times New Roman" w:hAnsi="Times New Roman" w:cs="Times New Roman"/>
          <w:sz w:val="24"/>
          <w:szCs w:val="24"/>
          <w:lang w:val="en-US"/>
        </w:rPr>
        <w:t>terhadap</w:t>
      </w:r>
      <w:proofErr w:type="spellEnd"/>
      <w:r w:rsidRPr="008F5244">
        <w:rPr>
          <w:rFonts w:ascii="Times New Roman" w:eastAsia="Times New Roman" w:hAnsi="Times New Roman" w:cs="Times New Roman"/>
          <w:sz w:val="24"/>
          <w:szCs w:val="24"/>
          <w:lang w:val="en-US"/>
        </w:rPr>
        <w:t xml:space="preserve"> tax avoidance. </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Ekonomi dan </w:t>
      </w:r>
      <w:proofErr w:type="spellStart"/>
      <w:r w:rsidRPr="008F5244">
        <w:rPr>
          <w:rFonts w:ascii="Times New Roman" w:eastAsia="Times New Roman" w:hAnsi="Times New Roman" w:cs="Times New Roman"/>
          <w:i/>
          <w:iCs/>
          <w:sz w:val="24"/>
          <w:szCs w:val="24"/>
          <w:lang w:val="en-US"/>
        </w:rPr>
        <w:t>Bisnis</w:t>
      </w:r>
      <w:proofErr w:type="spellEnd"/>
      <w:r w:rsidRPr="008F5244">
        <w:rPr>
          <w:rFonts w:ascii="Times New Roman" w:eastAsia="Times New Roman" w:hAnsi="Times New Roman" w:cs="Times New Roman"/>
          <w:i/>
          <w:iCs/>
          <w:sz w:val="24"/>
          <w:szCs w:val="24"/>
          <w:lang w:val="en-US"/>
        </w:rPr>
        <w:t xml:space="preserve"> Digital, 2</w:t>
      </w:r>
      <w:r w:rsidRPr="008F5244">
        <w:rPr>
          <w:rFonts w:ascii="Times New Roman" w:eastAsia="Times New Roman" w:hAnsi="Times New Roman" w:cs="Times New Roman"/>
          <w:sz w:val="24"/>
          <w:szCs w:val="24"/>
          <w:lang w:val="en-US"/>
        </w:rPr>
        <w:t xml:space="preserve">(3), 1884–1894. </w:t>
      </w:r>
      <w:hyperlink r:id="rId39" w:history="1">
        <w:r w:rsidRPr="008F5244">
          <w:rPr>
            <w:rFonts w:ascii="Times New Roman" w:eastAsia="Times New Roman" w:hAnsi="Times New Roman" w:cs="Times New Roman"/>
            <w:color w:val="0000FF"/>
            <w:sz w:val="24"/>
            <w:szCs w:val="24"/>
            <w:u w:val="single"/>
            <w:lang w:val="en-US"/>
          </w:rPr>
          <w:t>https://jurnal.ittc.web.id/index.php/jebd/article/view/2387</w:t>
        </w:r>
      </w:hyperlink>
    </w:p>
    <w:p w14:paraId="1E9B829C"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Nuryani</w:t>
      </w:r>
      <w:proofErr w:type="spellEnd"/>
      <w:r w:rsidRPr="008F5244">
        <w:rPr>
          <w:rFonts w:ascii="Times New Roman" w:eastAsia="Times New Roman" w:hAnsi="Times New Roman" w:cs="Times New Roman"/>
          <w:sz w:val="24"/>
          <w:szCs w:val="24"/>
          <w:lang w:val="en-US"/>
        </w:rPr>
        <w:t xml:space="preserve">, Y., &amp; </w:t>
      </w:r>
      <w:proofErr w:type="spellStart"/>
      <w:r w:rsidRPr="008F5244">
        <w:rPr>
          <w:rFonts w:ascii="Times New Roman" w:eastAsia="Times New Roman" w:hAnsi="Times New Roman" w:cs="Times New Roman"/>
          <w:sz w:val="24"/>
          <w:szCs w:val="24"/>
          <w:lang w:val="en-US"/>
        </w:rPr>
        <w:t>Sunarsi</w:t>
      </w:r>
      <w:proofErr w:type="spellEnd"/>
      <w:r w:rsidRPr="008F5244">
        <w:rPr>
          <w:rFonts w:ascii="Times New Roman" w:eastAsia="Times New Roman" w:hAnsi="Times New Roman" w:cs="Times New Roman"/>
          <w:sz w:val="24"/>
          <w:szCs w:val="24"/>
          <w:lang w:val="en-US"/>
        </w:rPr>
        <w:t xml:space="preserve">, D. (2020). The effect of current ratio and debt to equity ratio on </w:t>
      </w:r>
      <w:proofErr w:type="spellStart"/>
      <w:r w:rsidRPr="008F5244">
        <w:rPr>
          <w:rFonts w:ascii="Times New Roman" w:eastAsia="Times New Roman" w:hAnsi="Times New Roman" w:cs="Times New Roman"/>
          <w:sz w:val="24"/>
          <w:szCs w:val="24"/>
          <w:lang w:val="en-US"/>
        </w:rPr>
        <w:t>deviding</w:t>
      </w:r>
      <w:proofErr w:type="spellEnd"/>
      <w:r w:rsidRPr="008F5244">
        <w:rPr>
          <w:rFonts w:ascii="Times New Roman" w:eastAsia="Times New Roman" w:hAnsi="Times New Roman" w:cs="Times New Roman"/>
          <w:sz w:val="24"/>
          <w:szCs w:val="24"/>
          <w:lang w:val="en-US"/>
        </w:rPr>
        <w:t xml:space="preserve"> growth. </w:t>
      </w:r>
      <w:proofErr w:type="spellStart"/>
      <w:r w:rsidRPr="008F5244">
        <w:rPr>
          <w:rFonts w:ascii="Times New Roman" w:eastAsia="Times New Roman" w:hAnsi="Times New Roman" w:cs="Times New Roman"/>
          <w:i/>
          <w:iCs/>
          <w:sz w:val="24"/>
          <w:szCs w:val="24"/>
          <w:lang w:val="en-US"/>
        </w:rPr>
        <w:t>JASa</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Akuntansi</w:t>
      </w:r>
      <w:proofErr w:type="spellEnd"/>
      <w:r w:rsidRPr="008F5244">
        <w:rPr>
          <w:rFonts w:ascii="Times New Roman" w:eastAsia="Times New Roman" w:hAnsi="Times New Roman" w:cs="Times New Roman"/>
          <w:i/>
          <w:iCs/>
          <w:sz w:val="24"/>
          <w:szCs w:val="24"/>
          <w:lang w:val="en-US"/>
        </w:rPr>
        <w:t xml:space="preserve">, Audit dan </w:t>
      </w:r>
      <w:proofErr w:type="spellStart"/>
      <w:r w:rsidRPr="008F5244">
        <w:rPr>
          <w:rFonts w:ascii="Times New Roman" w:eastAsia="Times New Roman" w:hAnsi="Times New Roman" w:cs="Times New Roman"/>
          <w:i/>
          <w:iCs/>
          <w:sz w:val="24"/>
          <w:szCs w:val="24"/>
          <w:lang w:val="en-US"/>
        </w:rPr>
        <w:t>Sistem</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Informasi</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Akuntansi</w:t>
      </w:r>
      <w:proofErr w:type="spellEnd"/>
      <w:r w:rsidRPr="008F5244">
        <w:rPr>
          <w:rFonts w:ascii="Times New Roman" w:eastAsia="Times New Roman" w:hAnsi="Times New Roman" w:cs="Times New Roman"/>
          <w:i/>
          <w:iCs/>
          <w:sz w:val="24"/>
          <w:szCs w:val="24"/>
          <w:lang w:val="en-US"/>
        </w:rPr>
        <w:t>), 4</w:t>
      </w:r>
      <w:r w:rsidRPr="008F5244">
        <w:rPr>
          <w:rFonts w:ascii="Times New Roman" w:eastAsia="Times New Roman" w:hAnsi="Times New Roman" w:cs="Times New Roman"/>
          <w:sz w:val="24"/>
          <w:szCs w:val="24"/>
          <w:lang w:val="en-US"/>
        </w:rPr>
        <w:t xml:space="preserve">(2), 304–312. </w:t>
      </w:r>
      <w:hyperlink r:id="rId40" w:history="1">
        <w:r w:rsidRPr="008F5244">
          <w:rPr>
            <w:rFonts w:ascii="Times New Roman" w:eastAsia="Times New Roman" w:hAnsi="Times New Roman" w:cs="Times New Roman"/>
            <w:color w:val="0000FF"/>
            <w:sz w:val="24"/>
            <w:szCs w:val="24"/>
            <w:u w:val="single"/>
            <w:lang w:val="en-US"/>
          </w:rPr>
          <w:t>https://doi.org/10.36555/jasa.v4i2.1378</w:t>
        </w:r>
      </w:hyperlink>
    </w:p>
    <w:p w14:paraId="4EEE68BF"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Olawale, A. (2024). Capital adequacy and financial stability: A study of Nigerian banks’ resilience in a volatile economy. </w:t>
      </w:r>
      <w:r w:rsidRPr="008F5244">
        <w:rPr>
          <w:rFonts w:ascii="Times New Roman" w:eastAsia="Times New Roman" w:hAnsi="Times New Roman" w:cs="Times New Roman"/>
          <w:i/>
          <w:iCs/>
          <w:sz w:val="24"/>
          <w:szCs w:val="24"/>
          <w:lang w:val="en-US"/>
        </w:rPr>
        <w:t>GSC Advanced Research and Reviews, 21</w:t>
      </w:r>
      <w:r w:rsidRPr="008F5244">
        <w:rPr>
          <w:rFonts w:ascii="Times New Roman" w:eastAsia="Times New Roman" w:hAnsi="Times New Roman" w:cs="Times New Roman"/>
          <w:sz w:val="24"/>
          <w:szCs w:val="24"/>
          <w:lang w:val="en-US"/>
        </w:rPr>
        <w:t xml:space="preserve">(1), 1–12. </w:t>
      </w:r>
      <w:hyperlink r:id="rId41" w:history="1">
        <w:r w:rsidRPr="008F5244">
          <w:rPr>
            <w:rFonts w:ascii="Times New Roman" w:eastAsia="Times New Roman" w:hAnsi="Times New Roman" w:cs="Times New Roman"/>
            <w:color w:val="0000FF"/>
            <w:sz w:val="24"/>
            <w:szCs w:val="24"/>
            <w:u w:val="single"/>
            <w:lang w:val="en-US"/>
          </w:rPr>
          <w:t>https://doi.org/10.30574/gscarr.2024.21.1.0346</w:t>
        </w:r>
      </w:hyperlink>
    </w:p>
    <w:p w14:paraId="2B354B91"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Olanisebe, M. B., Oladele, O. O., &amp; </w:t>
      </w:r>
      <w:proofErr w:type="spellStart"/>
      <w:r w:rsidRPr="008F5244">
        <w:rPr>
          <w:rFonts w:ascii="Times New Roman" w:eastAsia="Times New Roman" w:hAnsi="Times New Roman" w:cs="Times New Roman"/>
          <w:sz w:val="24"/>
          <w:szCs w:val="24"/>
          <w:lang w:val="en-US"/>
        </w:rPr>
        <w:t>Akinlo</w:t>
      </w:r>
      <w:proofErr w:type="spellEnd"/>
      <w:r w:rsidRPr="008F5244">
        <w:rPr>
          <w:rFonts w:ascii="Times New Roman" w:eastAsia="Times New Roman" w:hAnsi="Times New Roman" w:cs="Times New Roman"/>
          <w:sz w:val="24"/>
          <w:szCs w:val="24"/>
          <w:lang w:val="en-US"/>
        </w:rPr>
        <w:t xml:space="preserve">, O. O. (2026). Capital structure and tax planning of listed consumer goods firms in Nigeria: Moderating effects of institutional ownership. </w:t>
      </w:r>
      <w:r w:rsidRPr="008F5244">
        <w:rPr>
          <w:rFonts w:ascii="Times New Roman" w:eastAsia="Times New Roman" w:hAnsi="Times New Roman" w:cs="Times New Roman"/>
          <w:i/>
          <w:iCs/>
          <w:sz w:val="24"/>
          <w:szCs w:val="24"/>
          <w:lang w:val="en-US"/>
        </w:rPr>
        <w:t>Asian Journal of Economics, Business and Accounting, 26</w:t>
      </w:r>
      <w:r w:rsidRPr="008F5244">
        <w:rPr>
          <w:rFonts w:ascii="Times New Roman" w:eastAsia="Times New Roman" w:hAnsi="Times New Roman" w:cs="Times New Roman"/>
          <w:sz w:val="24"/>
          <w:szCs w:val="24"/>
          <w:lang w:val="en-US"/>
        </w:rPr>
        <w:t xml:space="preserve">(5), 257–271. </w:t>
      </w:r>
      <w:hyperlink r:id="rId42" w:history="1">
        <w:r w:rsidRPr="008F5244">
          <w:rPr>
            <w:rFonts w:ascii="Times New Roman" w:eastAsia="Times New Roman" w:hAnsi="Times New Roman" w:cs="Times New Roman"/>
            <w:color w:val="0000FF"/>
            <w:sz w:val="24"/>
            <w:szCs w:val="24"/>
            <w:u w:val="single"/>
            <w:lang w:val="en-US"/>
          </w:rPr>
          <w:t>https://doi.org/10.9734/ajeba/2026/v26i52268</w:t>
        </w:r>
      </w:hyperlink>
    </w:p>
    <w:p w14:paraId="36A0CDE5"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Omesi</w:t>
      </w:r>
      <w:proofErr w:type="spellEnd"/>
      <w:r w:rsidRPr="008F5244">
        <w:rPr>
          <w:rFonts w:ascii="Times New Roman" w:eastAsia="Times New Roman" w:hAnsi="Times New Roman" w:cs="Times New Roman"/>
          <w:sz w:val="24"/>
          <w:szCs w:val="24"/>
          <w:lang w:val="en-US"/>
        </w:rPr>
        <w:t xml:space="preserve">, I., &amp; Appah, E. (2021). Corporate tax planning and firm value of listed consumer goods companies in Nigeria. </w:t>
      </w:r>
      <w:r w:rsidRPr="008F5244">
        <w:rPr>
          <w:rFonts w:ascii="Times New Roman" w:eastAsia="Times New Roman" w:hAnsi="Times New Roman" w:cs="Times New Roman"/>
          <w:i/>
          <w:iCs/>
          <w:sz w:val="24"/>
          <w:szCs w:val="24"/>
          <w:lang w:val="en-US"/>
        </w:rPr>
        <w:t>IOSR Journal of Business and Management, 23</w:t>
      </w:r>
      <w:r w:rsidRPr="008F5244">
        <w:rPr>
          <w:rFonts w:ascii="Times New Roman" w:eastAsia="Times New Roman" w:hAnsi="Times New Roman" w:cs="Times New Roman"/>
          <w:sz w:val="24"/>
          <w:szCs w:val="24"/>
          <w:lang w:val="en-US"/>
        </w:rPr>
        <w:t xml:space="preserve">(2, Series 7), 42–51. </w:t>
      </w:r>
      <w:hyperlink r:id="rId43" w:history="1">
        <w:r w:rsidRPr="008F5244">
          <w:rPr>
            <w:rFonts w:ascii="Times New Roman" w:eastAsia="Times New Roman" w:hAnsi="Times New Roman" w:cs="Times New Roman"/>
            <w:color w:val="0000FF"/>
            <w:sz w:val="24"/>
            <w:szCs w:val="24"/>
            <w:u w:val="single"/>
            <w:lang w:val="en-US"/>
          </w:rPr>
          <w:t>https://iosrjournals.org/iosr-jbm/papers/Vol23-issue2/Series-7/F2302074251.pdf</w:t>
        </w:r>
      </w:hyperlink>
    </w:p>
    <w:p w14:paraId="5207AA53"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Ozili</w:t>
      </w:r>
      <w:proofErr w:type="spellEnd"/>
      <w:r w:rsidRPr="008F5244">
        <w:rPr>
          <w:rFonts w:ascii="Times New Roman" w:eastAsia="Times New Roman" w:hAnsi="Times New Roman" w:cs="Times New Roman"/>
          <w:sz w:val="24"/>
          <w:szCs w:val="24"/>
          <w:lang w:val="en-US"/>
        </w:rPr>
        <w:t xml:space="preserve">, P. K. (2025). </w:t>
      </w:r>
      <w:r w:rsidRPr="008F5244">
        <w:rPr>
          <w:rFonts w:ascii="Times New Roman" w:eastAsia="Times New Roman" w:hAnsi="Times New Roman" w:cs="Times New Roman"/>
          <w:i/>
          <w:iCs/>
          <w:sz w:val="24"/>
          <w:szCs w:val="24"/>
          <w:lang w:val="en-US"/>
        </w:rPr>
        <w:t>Financial stability determinants in Nigeria: Role of profitability, capital regulation, financial inclusion, inflation, unemployment and economic growth</w:t>
      </w:r>
      <w:r w:rsidRPr="008F5244">
        <w:rPr>
          <w:rFonts w:ascii="Times New Roman" w:eastAsia="Times New Roman" w:hAnsi="Times New Roman" w:cs="Times New Roman"/>
          <w:sz w:val="24"/>
          <w:szCs w:val="24"/>
          <w:lang w:val="en-US"/>
        </w:rPr>
        <w:t xml:space="preserve"> (MPRA Paper No. 125792). Munich Personal </w:t>
      </w:r>
      <w:proofErr w:type="spellStart"/>
      <w:r w:rsidRPr="008F5244">
        <w:rPr>
          <w:rFonts w:ascii="Times New Roman" w:eastAsia="Times New Roman" w:hAnsi="Times New Roman" w:cs="Times New Roman"/>
          <w:sz w:val="24"/>
          <w:szCs w:val="24"/>
          <w:lang w:val="en-US"/>
        </w:rPr>
        <w:t>RePEc</w:t>
      </w:r>
      <w:proofErr w:type="spellEnd"/>
      <w:r w:rsidRPr="008F5244">
        <w:rPr>
          <w:rFonts w:ascii="Times New Roman" w:eastAsia="Times New Roman" w:hAnsi="Times New Roman" w:cs="Times New Roman"/>
          <w:sz w:val="24"/>
          <w:szCs w:val="24"/>
          <w:lang w:val="en-US"/>
        </w:rPr>
        <w:t xml:space="preserve"> Archive. </w:t>
      </w:r>
      <w:hyperlink r:id="rId44" w:history="1">
        <w:r w:rsidRPr="008F5244">
          <w:rPr>
            <w:rFonts w:ascii="Times New Roman" w:eastAsia="Times New Roman" w:hAnsi="Times New Roman" w:cs="Times New Roman"/>
            <w:color w:val="0000FF"/>
            <w:sz w:val="24"/>
            <w:szCs w:val="24"/>
            <w:u w:val="single"/>
            <w:lang w:val="en-US"/>
          </w:rPr>
          <w:t>https://mpra.ub.uni-muenchen.de/125792/</w:t>
        </w:r>
      </w:hyperlink>
    </w:p>
    <w:p w14:paraId="0B1E0DB8"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Oyewole, J. S., &amp; </w:t>
      </w:r>
      <w:proofErr w:type="spellStart"/>
      <w:r w:rsidRPr="008F5244">
        <w:rPr>
          <w:rFonts w:ascii="Times New Roman" w:eastAsia="Times New Roman" w:hAnsi="Times New Roman" w:cs="Times New Roman"/>
          <w:sz w:val="24"/>
          <w:szCs w:val="24"/>
          <w:lang w:val="en-US"/>
        </w:rPr>
        <w:t>Oluwagbemi</w:t>
      </w:r>
      <w:proofErr w:type="spellEnd"/>
      <w:r w:rsidRPr="008F5244">
        <w:rPr>
          <w:rFonts w:ascii="Times New Roman" w:eastAsia="Times New Roman" w:hAnsi="Times New Roman" w:cs="Times New Roman"/>
          <w:sz w:val="24"/>
          <w:szCs w:val="24"/>
          <w:lang w:val="en-US"/>
        </w:rPr>
        <w:t xml:space="preserve">, D. S. (2026). The interplay of risk management and tax strategies: An analysis of Nigerian companies. </w:t>
      </w:r>
      <w:r w:rsidRPr="008F5244">
        <w:rPr>
          <w:rFonts w:ascii="Times New Roman" w:eastAsia="Times New Roman" w:hAnsi="Times New Roman" w:cs="Times New Roman"/>
          <w:i/>
          <w:iCs/>
          <w:sz w:val="24"/>
          <w:szCs w:val="24"/>
          <w:lang w:val="en-US"/>
        </w:rPr>
        <w:t>Journal of Global Economics, Management and Business Research, 18</w:t>
      </w:r>
      <w:r w:rsidRPr="008F5244">
        <w:rPr>
          <w:rFonts w:ascii="Times New Roman" w:eastAsia="Times New Roman" w:hAnsi="Times New Roman" w:cs="Times New Roman"/>
          <w:sz w:val="24"/>
          <w:szCs w:val="24"/>
          <w:lang w:val="en-US"/>
        </w:rPr>
        <w:t xml:space="preserve">(1), 299–311. </w:t>
      </w:r>
      <w:hyperlink r:id="rId45" w:history="1">
        <w:r w:rsidRPr="008F5244">
          <w:rPr>
            <w:rFonts w:ascii="Times New Roman" w:eastAsia="Times New Roman" w:hAnsi="Times New Roman" w:cs="Times New Roman"/>
            <w:color w:val="0000FF"/>
            <w:sz w:val="24"/>
            <w:szCs w:val="24"/>
            <w:u w:val="single"/>
            <w:lang w:val="en-US"/>
          </w:rPr>
          <w:t>https://doi.org/10.56557/jgembr/2026/v18i110244</w:t>
        </w:r>
      </w:hyperlink>
    </w:p>
    <w:p w14:paraId="1B00FDF9" w14:textId="77777777" w:rsidR="008F5244" w:rsidRPr="008F5244" w:rsidRDefault="008F5244" w:rsidP="008F524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Putra, F. H., Yusuf, M., &amp; </w:t>
      </w:r>
      <w:proofErr w:type="spellStart"/>
      <w:r w:rsidRPr="008F5244">
        <w:rPr>
          <w:rFonts w:ascii="Times New Roman" w:eastAsia="Times New Roman" w:hAnsi="Times New Roman" w:cs="Times New Roman"/>
          <w:sz w:val="24"/>
          <w:szCs w:val="24"/>
          <w:lang w:val="en-US"/>
        </w:rPr>
        <w:t>Zairin</w:t>
      </w:r>
      <w:proofErr w:type="spellEnd"/>
      <w:r w:rsidRPr="008F5244">
        <w:rPr>
          <w:rFonts w:ascii="Times New Roman" w:eastAsia="Times New Roman" w:hAnsi="Times New Roman" w:cs="Times New Roman"/>
          <w:sz w:val="24"/>
          <w:szCs w:val="24"/>
          <w:lang w:val="en-US"/>
        </w:rPr>
        <w:t xml:space="preserve">, G. M. (2024). </w:t>
      </w:r>
      <w:proofErr w:type="spellStart"/>
      <w:r w:rsidRPr="008F5244">
        <w:rPr>
          <w:rFonts w:ascii="Times New Roman" w:eastAsia="Times New Roman" w:hAnsi="Times New Roman" w:cs="Times New Roman"/>
          <w:sz w:val="24"/>
          <w:szCs w:val="24"/>
          <w:lang w:val="en-US"/>
        </w:rPr>
        <w:t>Pengaruh</w:t>
      </w:r>
      <w:proofErr w:type="spellEnd"/>
      <w:r w:rsidRPr="008F5244">
        <w:rPr>
          <w:rFonts w:ascii="Times New Roman" w:eastAsia="Times New Roman" w:hAnsi="Times New Roman" w:cs="Times New Roman"/>
          <w:sz w:val="24"/>
          <w:szCs w:val="24"/>
          <w:lang w:val="en-US"/>
        </w:rPr>
        <w:t xml:space="preserve"> capital intensity, inventory intensity, dan </w:t>
      </w:r>
      <w:proofErr w:type="spellStart"/>
      <w:r w:rsidRPr="008F5244">
        <w:rPr>
          <w:rFonts w:ascii="Times New Roman" w:eastAsia="Times New Roman" w:hAnsi="Times New Roman" w:cs="Times New Roman"/>
          <w:sz w:val="24"/>
          <w:szCs w:val="24"/>
          <w:lang w:val="en-US"/>
        </w:rPr>
        <w:t>ukuran</w:t>
      </w:r>
      <w:proofErr w:type="spellEnd"/>
      <w:r w:rsidRPr="008F5244">
        <w:rPr>
          <w:rFonts w:ascii="Times New Roman" w:eastAsia="Times New Roman" w:hAnsi="Times New Roman" w:cs="Times New Roman"/>
          <w:sz w:val="24"/>
          <w:szCs w:val="24"/>
          <w:lang w:val="en-US"/>
        </w:rPr>
        <w:t xml:space="preserve"> </w:t>
      </w:r>
      <w:proofErr w:type="spellStart"/>
      <w:r w:rsidRPr="008F5244">
        <w:rPr>
          <w:rFonts w:ascii="Times New Roman" w:eastAsia="Times New Roman" w:hAnsi="Times New Roman" w:cs="Times New Roman"/>
          <w:sz w:val="24"/>
          <w:szCs w:val="24"/>
          <w:lang w:val="en-US"/>
        </w:rPr>
        <w:t>perusahaan</w:t>
      </w:r>
      <w:proofErr w:type="spellEnd"/>
      <w:r w:rsidRPr="008F5244">
        <w:rPr>
          <w:rFonts w:ascii="Times New Roman" w:eastAsia="Times New Roman" w:hAnsi="Times New Roman" w:cs="Times New Roman"/>
          <w:sz w:val="24"/>
          <w:szCs w:val="24"/>
          <w:lang w:val="en-US"/>
        </w:rPr>
        <w:t xml:space="preserve"> </w:t>
      </w:r>
      <w:proofErr w:type="spellStart"/>
      <w:r w:rsidRPr="008F5244">
        <w:rPr>
          <w:rFonts w:ascii="Times New Roman" w:eastAsia="Times New Roman" w:hAnsi="Times New Roman" w:cs="Times New Roman"/>
          <w:sz w:val="24"/>
          <w:szCs w:val="24"/>
          <w:lang w:val="en-US"/>
        </w:rPr>
        <w:t>terhadap</w:t>
      </w:r>
      <w:proofErr w:type="spellEnd"/>
      <w:r w:rsidRPr="008F5244">
        <w:rPr>
          <w:rFonts w:ascii="Times New Roman" w:eastAsia="Times New Roman" w:hAnsi="Times New Roman" w:cs="Times New Roman"/>
          <w:sz w:val="24"/>
          <w:szCs w:val="24"/>
          <w:lang w:val="en-US"/>
        </w:rPr>
        <w:t xml:space="preserve"> tax avoidance pada </w:t>
      </w:r>
      <w:proofErr w:type="spellStart"/>
      <w:r w:rsidRPr="008F5244">
        <w:rPr>
          <w:rFonts w:ascii="Times New Roman" w:eastAsia="Times New Roman" w:hAnsi="Times New Roman" w:cs="Times New Roman"/>
          <w:sz w:val="24"/>
          <w:szCs w:val="24"/>
          <w:lang w:val="en-US"/>
        </w:rPr>
        <w:t>emiten</w:t>
      </w:r>
      <w:proofErr w:type="spellEnd"/>
      <w:r w:rsidRPr="008F5244">
        <w:rPr>
          <w:rFonts w:ascii="Times New Roman" w:eastAsia="Times New Roman" w:hAnsi="Times New Roman" w:cs="Times New Roman"/>
          <w:sz w:val="24"/>
          <w:szCs w:val="24"/>
          <w:lang w:val="en-US"/>
        </w:rPr>
        <w:t xml:space="preserve"> </w:t>
      </w:r>
      <w:proofErr w:type="spellStart"/>
      <w:r w:rsidRPr="008F5244">
        <w:rPr>
          <w:rFonts w:ascii="Times New Roman" w:eastAsia="Times New Roman" w:hAnsi="Times New Roman" w:cs="Times New Roman"/>
          <w:sz w:val="24"/>
          <w:szCs w:val="24"/>
          <w:lang w:val="en-US"/>
        </w:rPr>
        <w:t>sektor</w:t>
      </w:r>
      <w:proofErr w:type="spellEnd"/>
      <w:r w:rsidRPr="008F5244">
        <w:rPr>
          <w:rFonts w:ascii="Times New Roman" w:eastAsia="Times New Roman" w:hAnsi="Times New Roman" w:cs="Times New Roman"/>
          <w:sz w:val="24"/>
          <w:szCs w:val="24"/>
          <w:lang w:val="en-US"/>
        </w:rPr>
        <w:t xml:space="preserve"> </w:t>
      </w:r>
      <w:proofErr w:type="spellStart"/>
      <w:r w:rsidRPr="008F5244">
        <w:rPr>
          <w:rFonts w:ascii="Times New Roman" w:eastAsia="Times New Roman" w:hAnsi="Times New Roman" w:cs="Times New Roman"/>
          <w:sz w:val="24"/>
          <w:szCs w:val="24"/>
          <w:lang w:val="en-US"/>
        </w:rPr>
        <w:t>properti</w:t>
      </w:r>
      <w:proofErr w:type="spellEnd"/>
      <w:r w:rsidRPr="008F5244">
        <w:rPr>
          <w:rFonts w:ascii="Times New Roman" w:eastAsia="Times New Roman" w:hAnsi="Times New Roman" w:cs="Times New Roman"/>
          <w:sz w:val="24"/>
          <w:szCs w:val="24"/>
          <w:lang w:val="en-US"/>
        </w:rPr>
        <w:t xml:space="preserve"> dan real estate yang </w:t>
      </w:r>
      <w:proofErr w:type="spellStart"/>
      <w:r w:rsidRPr="008F5244">
        <w:rPr>
          <w:rFonts w:ascii="Times New Roman" w:eastAsia="Times New Roman" w:hAnsi="Times New Roman" w:cs="Times New Roman"/>
          <w:sz w:val="24"/>
          <w:szCs w:val="24"/>
          <w:lang w:val="en-US"/>
        </w:rPr>
        <w:t>terdaftar</w:t>
      </w:r>
      <w:proofErr w:type="spellEnd"/>
      <w:r w:rsidRPr="008F5244">
        <w:rPr>
          <w:rFonts w:ascii="Times New Roman" w:eastAsia="Times New Roman" w:hAnsi="Times New Roman" w:cs="Times New Roman"/>
          <w:sz w:val="24"/>
          <w:szCs w:val="24"/>
          <w:lang w:val="en-US"/>
        </w:rPr>
        <w:t xml:space="preserve"> di BEI. </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Revenue: </w:t>
      </w:r>
      <w:proofErr w:type="spellStart"/>
      <w:r w:rsidRPr="008F5244">
        <w:rPr>
          <w:rFonts w:ascii="Times New Roman" w:eastAsia="Times New Roman" w:hAnsi="Times New Roman" w:cs="Times New Roman"/>
          <w:i/>
          <w:iCs/>
          <w:sz w:val="24"/>
          <w:szCs w:val="24"/>
          <w:lang w:val="en-US"/>
        </w:rPr>
        <w:t>Jurnal</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Ilmiah</w:t>
      </w:r>
      <w:proofErr w:type="spellEnd"/>
      <w:r w:rsidRPr="008F5244">
        <w:rPr>
          <w:rFonts w:ascii="Times New Roman" w:eastAsia="Times New Roman" w:hAnsi="Times New Roman" w:cs="Times New Roman"/>
          <w:i/>
          <w:iCs/>
          <w:sz w:val="24"/>
          <w:szCs w:val="24"/>
          <w:lang w:val="en-US"/>
        </w:rPr>
        <w:t xml:space="preserve"> Akuntansi, 5</w:t>
      </w:r>
      <w:r w:rsidRPr="008F5244">
        <w:rPr>
          <w:rFonts w:ascii="Times New Roman" w:eastAsia="Times New Roman" w:hAnsi="Times New Roman" w:cs="Times New Roman"/>
          <w:sz w:val="24"/>
          <w:szCs w:val="24"/>
          <w:lang w:val="en-US"/>
        </w:rPr>
        <w:t xml:space="preserve">(2), 1351–1362. </w:t>
      </w:r>
      <w:hyperlink r:id="rId46" w:history="1">
        <w:r w:rsidRPr="008F5244">
          <w:rPr>
            <w:rFonts w:ascii="Times New Roman" w:eastAsia="Times New Roman" w:hAnsi="Times New Roman" w:cs="Times New Roman"/>
            <w:color w:val="0000FF"/>
            <w:sz w:val="24"/>
            <w:szCs w:val="24"/>
            <w:u w:val="single"/>
            <w:lang w:val="en-US"/>
          </w:rPr>
          <w:t>https://doi.org/10.46306/rev.v5i2.604</w:t>
        </w:r>
      </w:hyperlink>
    </w:p>
    <w:p w14:paraId="1D571C3A" w14:textId="29D26600"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Putri, I. Y., Renaldo, N., Andi, Fransisca, L., </w:t>
      </w:r>
      <w:proofErr w:type="spellStart"/>
      <w:r w:rsidRPr="008F5244">
        <w:rPr>
          <w:rFonts w:ascii="Times New Roman" w:eastAsia="Times New Roman" w:hAnsi="Times New Roman" w:cs="Times New Roman"/>
          <w:sz w:val="24"/>
          <w:szCs w:val="24"/>
          <w:lang w:val="en-US"/>
        </w:rPr>
        <w:t>Suhardjo</w:t>
      </w:r>
      <w:proofErr w:type="spellEnd"/>
      <w:r w:rsidRPr="008F5244">
        <w:rPr>
          <w:rFonts w:ascii="Times New Roman" w:eastAsia="Times New Roman" w:hAnsi="Times New Roman" w:cs="Times New Roman"/>
          <w:sz w:val="24"/>
          <w:szCs w:val="24"/>
          <w:lang w:val="en-US"/>
        </w:rPr>
        <w:t xml:space="preserve">, Suyono, &amp; Erwin. (2022). Sustainability report disclosure and profitability as a strategy to increase future firm value in the Indonesian banking sector. </w:t>
      </w:r>
      <w:r w:rsidRPr="008F5244">
        <w:rPr>
          <w:rFonts w:ascii="Times New Roman" w:eastAsia="Times New Roman" w:hAnsi="Times New Roman" w:cs="Times New Roman"/>
          <w:i/>
          <w:iCs/>
          <w:sz w:val="24"/>
          <w:szCs w:val="24"/>
          <w:lang w:val="en-US"/>
        </w:rPr>
        <w:t>International Journal of Advanced Multidisciplinary Research and Studies, 2</w:t>
      </w:r>
      <w:r w:rsidRPr="008F5244">
        <w:rPr>
          <w:rFonts w:ascii="Times New Roman" w:eastAsia="Times New Roman" w:hAnsi="Times New Roman" w:cs="Times New Roman"/>
          <w:sz w:val="24"/>
          <w:szCs w:val="24"/>
          <w:lang w:val="en-US"/>
        </w:rPr>
        <w:t xml:space="preserve">(1), 100–104. </w:t>
      </w:r>
    </w:p>
    <w:p w14:paraId="31E2A48E"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Renaldo, N., &amp; </w:t>
      </w:r>
      <w:proofErr w:type="spellStart"/>
      <w:r w:rsidRPr="008F5244">
        <w:rPr>
          <w:rFonts w:ascii="Times New Roman" w:eastAsia="Times New Roman" w:hAnsi="Times New Roman" w:cs="Times New Roman"/>
          <w:sz w:val="24"/>
          <w:szCs w:val="24"/>
          <w:lang w:val="en-US"/>
        </w:rPr>
        <w:t>Murwaningsari</w:t>
      </w:r>
      <w:proofErr w:type="spellEnd"/>
      <w:r w:rsidRPr="008F5244">
        <w:rPr>
          <w:rFonts w:ascii="Times New Roman" w:eastAsia="Times New Roman" w:hAnsi="Times New Roman" w:cs="Times New Roman"/>
          <w:sz w:val="24"/>
          <w:szCs w:val="24"/>
          <w:lang w:val="en-US"/>
        </w:rPr>
        <w:t xml:space="preserve">, E. (2023). Does gender diversity moderate the determinant of future firm value? </w:t>
      </w:r>
      <w:r w:rsidRPr="008F5244">
        <w:rPr>
          <w:rFonts w:ascii="Times New Roman" w:eastAsia="Times New Roman" w:hAnsi="Times New Roman" w:cs="Times New Roman"/>
          <w:i/>
          <w:iCs/>
          <w:sz w:val="24"/>
          <w:szCs w:val="24"/>
          <w:lang w:val="en-US"/>
        </w:rPr>
        <w:t>Review of Economics and Finance, 21</w:t>
      </w:r>
      <w:r w:rsidRPr="008F5244">
        <w:rPr>
          <w:rFonts w:ascii="Times New Roman" w:eastAsia="Times New Roman" w:hAnsi="Times New Roman" w:cs="Times New Roman"/>
          <w:sz w:val="24"/>
          <w:szCs w:val="24"/>
          <w:lang w:val="en-US"/>
        </w:rPr>
        <w:t xml:space="preserve">, 680–689. </w:t>
      </w:r>
      <w:hyperlink r:id="rId47" w:history="1">
        <w:r w:rsidRPr="008F5244">
          <w:rPr>
            <w:rFonts w:ascii="Times New Roman" w:eastAsia="Times New Roman" w:hAnsi="Times New Roman" w:cs="Times New Roman"/>
            <w:color w:val="0000FF"/>
            <w:sz w:val="24"/>
            <w:szCs w:val="24"/>
            <w:u w:val="single"/>
            <w:lang w:val="en-US"/>
          </w:rPr>
          <w:t>https://doi.org/10.55365/1923.x2023.21.72</w:t>
        </w:r>
      </w:hyperlink>
    </w:p>
    <w:p w14:paraId="5ECF9A00"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Setiawati, L., &amp; </w:t>
      </w:r>
      <w:proofErr w:type="spellStart"/>
      <w:r w:rsidRPr="008F5244">
        <w:rPr>
          <w:rFonts w:ascii="Times New Roman" w:eastAsia="Times New Roman" w:hAnsi="Times New Roman" w:cs="Times New Roman"/>
          <w:sz w:val="24"/>
          <w:szCs w:val="24"/>
          <w:lang w:val="en-US"/>
        </w:rPr>
        <w:t>Tanggreini</w:t>
      </w:r>
      <w:proofErr w:type="spellEnd"/>
      <w:r w:rsidRPr="008F5244">
        <w:rPr>
          <w:rFonts w:ascii="Times New Roman" w:eastAsia="Times New Roman" w:hAnsi="Times New Roman" w:cs="Times New Roman"/>
          <w:sz w:val="24"/>
          <w:szCs w:val="24"/>
          <w:lang w:val="en-US"/>
        </w:rPr>
        <w:t xml:space="preserve">, F. L. (2025). The influence of capital intensity, inventory intensity, and sales growth on tax aggressiveness in manufacturing companies. </w:t>
      </w:r>
      <w:r w:rsidRPr="008F5244">
        <w:rPr>
          <w:rFonts w:ascii="Times New Roman" w:eastAsia="Times New Roman" w:hAnsi="Times New Roman" w:cs="Times New Roman"/>
          <w:i/>
          <w:iCs/>
          <w:sz w:val="24"/>
          <w:szCs w:val="24"/>
          <w:lang w:val="en-US"/>
        </w:rPr>
        <w:t>Proceedings of the International Conference on Accounting and Finance, 3</w:t>
      </w:r>
      <w:r w:rsidRPr="008F5244">
        <w:rPr>
          <w:rFonts w:ascii="Times New Roman" w:eastAsia="Times New Roman" w:hAnsi="Times New Roman" w:cs="Times New Roman"/>
          <w:sz w:val="24"/>
          <w:szCs w:val="24"/>
          <w:lang w:val="en-US"/>
        </w:rPr>
        <w:t xml:space="preserve">, 158–167. </w:t>
      </w:r>
      <w:hyperlink r:id="rId48" w:history="1">
        <w:r w:rsidRPr="008F5244">
          <w:rPr>
            <w:rFonts w:ascii="Times New Roman" w:eastAsia="Times New Roman" w:hAnsi="Times New Roman" w:cs="Times New Roman"/>
            <w:color w:val="0000FF"/>
            <w:sz w:val="24"/>
            <w:szCs w:val="24"/>
            <w:u w:val="single"/>
            <w:lang w:val="en-US"/>
          </w:rPr>
          <w:t>https://journal.uii.ac.id/inCAF/article/view/38330</w:t>
        </w:r>
      </w:hyperlink>
    </w:p>
    <w:p w14:paraId="5D53D79A"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lastRenderedPageBreak/>
        <w:t xml:space="preserve">Shubita, M. F. (2024). Relationship between bank value, tax avoidance, and profitability. </w:t>
      </w:r>
      <w:r w:rsidRPr="008F5244">
        <w:rPr>
          <w:rFonts w:ascii="Times New Roman" w:eastAsia="Times New Roman" w:hAnsi="Times New Roman" w:cs="Times New Roman"/>
          <w:i/>
          <w:iCs/>
          <w:sz w:val="24"/>
          <w:szCs w:val="24"/>
          <w:lang w:val="en-US"/>
        </w:rPr>
        <w:t>Banks and Bank Systems, 19</w:t>
      </w:r>
      <w:r w:rsidRPr="008F5244">
        <w:rPr>
          <w:rFonts w:ascii="Times New Roman" w:eastAsia="Times New Roman" w:hAnsi="Times New Roman" w:cs="Times New Roman"/>
          <w:sz w:val="24"/>
          <w:szCs w:val="24"/>
          <w:lang w:val="en-US"/>
        </w:rPr>
        <w:t xml:space="preserve">(2), 161–171. </w:t>
      </w:r>
      <w:hyperlink r:id="rId49" w:history="1">
        <w:r w:rsidRPr="008F5244">
          <w:rPr>
            <w:rFonts w:ascii="Times New Roman" w:eastAsia="Times New Roman" w:hAnsi="Times New Roman" w:cs="Times New Roman"/>
            <w:color w:val="0000FF"/>
            <w:sz w:val="24"/>
            <w:szCs w:val="24"/>
            <w:u w:val="single"/>
            <w:lang w:val="en-US"/>
          </w:rPr>
          <w:t>https://doi.org/10.21511/bbs.19(2).2024.13</w:t>
        </w:r>
      </w:hyperlink>
    </w:p>
    <w:p w14:paraId="74831478" w14:textId="079FE3B9"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Sugumar, H. (2023). </w:t>
      </w:r>
      <w:r w:rsidRPr="008F5244">
        <w:rPr>
          <w:rFonts w:ascii="Times New Roman" w:eastAsia="Times New Roman" w:hAnsi="Times New Roman" w:cs="Times New Roman"/>
          <w:i/>
          <w:iCs/>
          <w:sz w:val="24"/>
          <w:szCs w:val="24"/>
          <w:lang w:val="en-US"/>
        </w:rPr>
        <w:t>Determinants of financial leverage: Evidence from India</w:t>
      </w:r>
      <w:r w:rsidRPr="008F5244">
        <w:rPr>
          <w:rFonts w:ascii="Times New Roman" w:eastAsia="Times New Roman" w:hAnsi="Times New Roman" w:cs="Times New Roman"/>
          <w:sz w:val="24"/>
          <w:szCs w:val="24"/>
          <w:lang w:val="en-US"/>
        </w:rPr>
        <w:t xml:space="preserve">. Lambert Academic Publishing. </w:t>
      </w:r>
    </w:p>
    <w:p w14:paraId="63B54484"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Syawalia, F. F. (2025). Effect of liquidity, capital intensity, financial distress on tax avoidance with audit committee moderation. </w:t>
      </w:r>
      <w:proofErr w:type="spellStart"/>
      <w:r w:rsidRPr="008F5244">
        <w:rPr>
          <w:rFonts w:ascii="Times New Roman" w:eastAsia="Times New Roman" w:hAnsi="Times New Roman" w:cs="Times New Roman"/>
          <w:i/>
          <w:iCs/>
          <w:sz w:val="24"/>
          <w:szCs w:val="24"/>
          <w:lang w:val="en-US"/>
        </w:rPr>
        <w:t>Prosiding</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Simposium</w:t>
      </w:r>
      <w:proofErr w:type="spellEnd"/>
      <w:r w:rsidRPr="008F5244">
        <w:rPr>
          <w:rFonts w:ascii="Times New Roman" w:eastAsia="Times New Roman" w:hAnsi="Times New Roman" w:cs="Times New Roman"/>
          <w:i/>
          <w:iCs/>
          <w:sz w:val="24"/>
          <w:szCs w:val="24"/>
          <w:lang w:val="en-US"/>
        </w:rPr>
        <w:t xml:space="preserve"> </w:t>
      </w:r>
      <w:proofErr w:type="spellStart"/>
      <w:r w:rsidRPr="008F5244">
        <w:rPr>
          <w:rFonts w:ascii="Times New Roman" w:eastAsia="Times New Roman" w:hAnsi="Times New Roman" w:cs="Times New Roman"/>
          <w:i/>
          <w:iCs/>
          <w:sz w:val="24"/>
          <w:szCs w:val="24"/>
          <w:lang w:val="en-US"/>
        </w:rPr>
        <w:t>Ilmiah</w:t>
      </w:r>
      <w:proofErr w:type="spellEnd"/>
      <w:r w:rsidRPr="008F5244">
        <w:rPr>
          <w:rFonts w:ascii="Times New Roman" w:eastAsia="Times New Roman" w:hAnsi="Times New Roman" w:cs="Times New Roman"/>
          <w:i/>
          <w:iCs/>
          <w:sz w:val="24"/>
          <w:szCs w:val="24"/>
          <w:lang w:val="en-US"/>
        </w:rPr>
        <w:t xml:space="preserve"> Akuntansi</w:t>
      </w:r>
      <w:r w:rsidRPr="008F5244">
        <w:rPr>
          <w:rFonts w:ascii="Times New Roman" w:eastAsia="Times New Roman" w:hAnsi="Times New Roman" w:cs="Times New Roman"/>
          <w:sz w:val="24"/>
          <w:szCs w:val="24"/>
          <w:lang w:val="en-US"/>
        </w:rPr>
        <w:t xml:space="preserve">, 166–178. </w:t>
      </w:r>
      <w:hyperlink r:id="rId50" w:history="1">
        <w:r w:rsidRPr="008F5244">
          <w:rPr>
            <w:rFonts w:ascii="Times New Roman" w:eastAsia="Times New Roman" w:hAnsi="Times New Roman" w:cs="Times New Roman"/>
            <w:color w:val="0000FF"/>
            <w:sz w:val="24"/>
            <w:szCs w:val="24"/>
            <w:u w:val="single"/>
            <w:lang w:val="en-US"/>
          </w:rPr>
          <w:t>https://sia-iaikpd.fdaptsu.org/index.php/sia/article/view/292</w:t>
        </w:r>
      </w:hyperlink>
    </w:p>
    <w:p w14:paraId="3C125EC9"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Tackie, G., Agyei, S. K., </w:t>
      </w:r>
      <w:proofErr w:type="spellStart"/>
      <w:r w:rsidRPr="008F5244">
        <w:rPr>
          <w:rFonts w:ascii="Times New Roman" w:eastAsia="Times New Roman" w:hAnsi="Times New Roman" w:cs="Times New Roman"/>
          <w:sz w:val="24"/>
          <w:szCs w:val="24"/>
          <w:lang w:val="en-US"/>
        </w:rPr>
        <w:t>Bawuah</w:t>
      </w:r>
      <w:proofErr w:type="spellEnd"/>
      <w:r w:rsidRPr="008F5244">
        <w:rPr>
          <w:rFonts w:ascii="Times New Roman" w:eastAsia="Times New Roman" w:hAnsi="Times New Roman" w:cs="Times New Roman"/>
          <w:sz w:val="24"/>
          <w:szCs w:val="24"/>
          <w:lang w:val="en-US"/>
        </w:rPr>
        <w:t xml:space="preserve">, I., Adela, V., &amp; Bossman, A. (2022). Tax planning and financial performance of insurance companies in Ghana: The moderating role of corporate governance. </w:t>
      </w:r>
      <w:r w:rsidRPr="008F5244">
        <w:rPr>
          <w:rFonts w:ascii="Times New Roman" w:eastAsia="Times New Roman" w:hAnsi="Times New Roman" w:cs="Times New Roman"/>
          <w:i/>
          <w:iCs/>
          <w:sz w:val="24"/>
          <w:szCs w:val="24"/>
          <w:lang w:val="en-US"/>
        </w:rPr>
        <w:t>Cogent Business &amp; Management, 9</w:t>
      </w:r>
      <w:r w:rsidRPr="008F5244">
        <w:rPr>
          <w:rFonts w:ascii="Times New Roman" w:eastAsia="Times New Roman" w:hAnsi="Times New Roman" w:cs="Times New Roman"/>
          <w:sz w:val="24"/>
          <w:szCs w:val="24"/>
          <w:lang w:val="en-US"/>
        </w:rPr>
        <w:t xml:space="preserve">(1), 2144097. </w:t>
      </w:r>
      <w:hyperlink r:id="rId51" w:history="1">
        <w:r w:rsidRPr="008F5244">
          <w:rPr>
            <w:rFonts w:ascii="Times New Roman" w:eastAsia="Times New Roman" w:hAnsi="Times New Roman" w:cs="Times New Roman"/>
            <w:color w:val="0000FF"/>
            <w:sz w:val="24"/>
            <w:szCs w:val="24"/>
            <w:u w:val="single"/>
            <w:lang w:val="en-US"/>
          </w:rPr>
          <w:t>https://doi.org/10.1080/23311975.2022.2144097</w:t>
        </w:r>
      </w:hyperlink>
    </w:p>
    <w:p w14:paraId="27CB0EE7"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r w:rsidRPr="008F5244">
        <w:rPr>
          <w:rFonts w:ascii="Times New Roman" w:eastAsia="Times New Roman" w:hAnsi="Times New Roman" w:cs="Times New Roman"/>
          <w:sz w:val="24"/>
          <w:szCs w:val="24"/>
          <w:lang w:val="en-US"/>
        </w:rPr>
        <w:t xml:space="preserve">Tran, D., &amp; Nguyen, T. (2025). Capital buffer and bank risk-taking in Vietnam: The moderating role of capital regulation and shadow banking. </w:t>
      </w:r>
      <w:r w:rsidRPr="008F5244">
        <w:rPr>
          <w:rFonts w:ascii="Times New Roman" w:eastAsia="Times New Roman" w:hAnsi="Times New Roman" w:cs="Times New Roman"/>
          <w:i/>
          <w:iCs/>
          <w:sz w:val="24"/>
          <w:szCs w:val="24"/>
          <w:lang w:val="en-US"/>
        </w:rPr>
        <w:t>Journal of Financial Regulation and Compliance, 33</w:t>
      </w:r>
      <w:r w:rsidRPr="008F5244">
        <w:rPr>
          <w:rFonts w:ascii="Times New Roman" w:eastAsia="Times New Roman" w:hAnsi="Times New Roman" w:cs="Times New Roman"/>
          <w:sz w:val="24"/>
          <w:szCs w:val="24"/>
          <w:lang w:val="en-US"/>
        </w:rPr>
        <w:t xml:space="preserve">(1), 48–66. </w:t>
      </w:r>
      <w:hyperlink r:id="rId52" w:history="1">
        <w:r w:rsidRPr="008F5244">
          <w:rPr>
            <w:rFonts w:ascii="Times New Roman" w:eastAsia="Times New Roman" w:hAnsi="Times New Roman" w:cs="Times New Roman"/>
            <w:color w:val="0000FF"/>
            <w:sz w:val="24"/>
            <w:szCs w:val="24"/>
            <w:u w:val="single"/>
            <w:lang w:val="en-US"/>
          </w:rPr>
          <w:t>https://doi.org/10.1108/JFRC-06-2024-0106</w:t>
        </w:r>
      </w:hyperlink>
    </w:p>
    <w:p w14:paraId="34076B24" w14:textId="77777777" w:rsidR="008F5244" w:rsidRPr="008F5244" w:rsidRDefault="008F5244" w:rsidP="008F524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F5244">
        <w:rPr>
          <w:rFonts w:ascii="Times New Roman" w:eastAsia="Times New Roman" w:hAnsi="Times New Roman" w:cs="Times New Roman"/>
          <w:sz w:val="24"/>
          <w:szCs w:val="24"/>
          <w:lang w:val="en-US"/>
        </w:rPr>
        <w:t>Widyastuti</w:t>
      </w:r>
      <w:proofErr w:type="spellEnd"/>
      <w:r w:rsidRPr="008F5244">
        <w:rPr>
          <w:rFonts w:ascii="Times New Roman" w:eastAsia="Times New Roman" w:hAnsi="Times New Roman" w:cs="Times New Roman"/>
          <w:sz w:val="24"/>
          <w:szCs w:val="24"/>
          <w:lang w:val="en-US"/>
        </w:rPr>
        <w:t xml:space="preserve">, S. M., </w:t>
      </w:r>
      <w:proofErr w:type="spellStart"/>
      <w:r w:rsidRPr="008F5244">
        <w:rPr>
          <w:rFonts w:ascii="Times New Roman" w:eastAsia="Times New Roman" w:hAnsi="Times New Roman" w:cs="Times New Roman"/>
          <w:sz w:val="24"/>
          <w:szCs w:val="24"/>
          <w:lang w:val="en-US"/>
        </w:rPr>
        <w:t>Meutia</w:t>
      </w:r>
      <w:proofErr w:type="spellEnd"/>
      <w:r w:rsidRPr="008F5244">
        <w:rPr>
          <w:rFonts w:ascii="Times New Roman" w:eastAsia="Times New Roman" w:hAnsi="Times New Roman" w:cs="Times New Roman"/>
          <w:sz w:val="24"/>
          <w:szCs w:val="24"/>
          <w:lang w:val="en-US"/>
        </w:rPr>
        <w:t xml:space="preserve">, I., &amp; Candrakanta, A. B. (2022). The effect of leverage, profitability, capital intensity and corporate governance on tax avoidance. </w:t>
      </w:r>
      <w:r w:rsidRPr="008F5244">
        <w:rPr>
          <w:rFonts w:ascii="Times New Roman" w:eastAsia="Times New Roman" w:hAnsi="Times New Roman" w:cs="Times New Roman"/>
          <w:i/>
          <w:iCs/>
          <w:sz w:val="24"/>
          <w:szCs w:val="24"/>
          <w:lang w:val="en-US"/>
        </w:rPr>
        <w:t>Integrated Journal of Business and Economics, 6</w:t>
      </w:r>
      <w:r w:rsidRPr="008F5244">
        <w:rPr>
          <w:rFonts w:ascii="Times New Roman" w:eastAsia="Times New Roman" w:hAnsi="Times New Roman" w:cs="Times New Roman"/>
          <w:sz w:val="24"/>
          <w:szCs w:val="24"/>
          <w:lang w:val="en-US"/>
        </w:rPr>
        <w:t xml:space="preserve">(1), 13–27. </w:t>
      </w:r>
      <w:hyperlink r:id="rId53" w:history="1">
        <w:r w:rsidRPr="008F5244">
          <w:rPr>
            <w:rFonts w:ascii="Times New Roman" w:eastAsia="Times New Roman" w:hAnsi="Times New Roman" w:cs="Times New Roman"/>
            <w:color w:val="0000FF"/>
            <w:sz w:val="24"/>
            <w:szCs w:val="24"/>
            <w:u w:val="single"/>
            <w:lang w:val="en-US"/>
          </w:rPr>
          <w:t>https://doi.org/10.33019/ijbe.v5i3.334</w:t>
        </w:r>
      </w:hyperlink>
    </w:p>
    <w:p w14:paraId="2BA4A990" w14:textId="77777777" w:rsidR="007A63CF" w:rsidRPr="00A32E4E" w:rsidRDefault="007A63CF" w:rsidP="00A32E4E">
      <w:pPr>
        <w:ind w:left="720" w:hanging="720"/>
        <w:jc w:val="both"/>
        <w:rPr>
          <w:rFonts w:ascii="Times New Roman" w:hAnsi="Times New Roman" w:cs="Times New Roman"/>
          <w:b/>
          <w:sz w:val="24"/>
          <w:szCs w:val="24"/>
        </w:rPr>
      </w:pPr>
    </w:p>
    <w:sectPr w:rsidR="007A63CF" w:rsidRPr="00A32E4E">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BB25" w14:textId="77777777" w:rsidR="006D1EB8" w:rsidRDefault="006D1EB8" w:rsidP="000B54E3">
      <w:pPr>
        <w:spacing w:after="0" w:line="240" w:lineRule="auto"/>
      </w:pPr>
      <w:r>
        <w:separator/>
      </w:r>
    </w:p>
  </w:endnote>
  <w:endnote w:type="continuationSeparator" w:id="0">
    <w:p w14:paraId="524594F7" w14:textId="77777777" w:rsidR="006D1EB8" w:rsidRDefault="006D1EB8" w:rsidP="000B5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4E6A" w14:textId="77777777" w:rsidR="000B54E3" w:rsidRDefault="000B5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7C27" w14:textId="77777777" w:rsidR="000B54E3" w:rsidRDefault="000B5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94E0" w14:textId="77777777" w:rsidR="000B54E3" w:rsidRDefault="000B5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F3BD" w14:textId="77777777" w:rsidR="006D1EB8" w:rsidRDefault="006D1EB8" w:rsidP="000B54E3">
      <w:pPr>
        <w:spacing w:after="0" w:line="240" w:lineRule="auto"/>
      </w:pPr>
      <w:r>
        <w:separator/>
      </w:r>
    </w:p>
  </w:footnote>
  <w:footnote w:type="continuationSeparator" w:id="0">
    <w:p w14:paraId="14437114" w14:textId="77777777" w:rsidR="006D1EB8" w:rsidRDefault="006D1EB8" w:rsidP="000B5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4242A" w14:textId="77777777" w:rsidR="000B54E3" w:rsidRDefault="00000000">
    <w:pPr>
      <w:pStyle w:val="Header"/>
    </w:pPr>
    <w:r>
      <w:rPr>
        <w:noProof/>
      </w:rPr>
      <w:pict w14:anchorId="2DAC2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BBDE" w14:textId="77777777" w:rsidR="000B54E3" w:rsidRDefault="00000000">
    <w:pPr>
      <w:pStyle w:val="Header"/>
    </w:pPr>
    <w:r>
      <w:rPr>
        <w:noProof/>
      </w:rPr>
      <w:pict w14:anchorId="02457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119B" w14:textId="77777777" w:rsidR="000B54E3" w:rsidRDefault="00000000">
    <w:pPr>
      <w:pStyle w:val="Header"/>
    </w:pPr>
    <w:r>
      <w:rPr>
        <w:noProof/>
      </w:rPr>
      <w:pict w14:anchorId="0BF279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617A"/>
    <w:multiLevelType w:val="multilevel"/>
    <w:tmpl w:val="C5FE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7C6A61"/>
    <w:multiLevelType w:val="multilevel"/>
    <w:tmpl w:val="9F305B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072FD0"/>
    <w:multiLevelType w:val="multilevel"/>
    <w:tmpl w:val="E134449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C54F53"/>
    <w:multiLevelType w:val="multilevel"/>
    <w:tmpl w:val="DBEA3E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763A2"/>
    <w:multiLevelType w:val="multilevel"/>
    <w:tmpl w:val="37D2CD4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98636A"/>
    <w:multiLevelType w:val="hybridMultilevel"/>
    <w:tmpl w:val="3C480426"/>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1437CD"/>
    <w:multiLevelType w:val="multilevel"/>
    <w:tmpl w:val="C9704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401387"/>
    <w:multiLevelType w:val="hybridMultilevel"/>
    <w:tmpl w:val="897A78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162982"/>
    <w:multiLevelType w:val="multilevel"/>
    <w:tmpl w:val="3E38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7C535C"/>
    <w:multiLevelType w:val="hybridMultilevel"/>
    <w:tmpl w:val="74008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4C6603"/>
    <w:multiLevelType w:val="multilevel"/>
    <w:tmpl w:val="8C54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CF0F6F"/>
    <w:multiLevelType w:val="multilevel"/>
    <w:tmpl w:val="B2109B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7252506">
    <w:abstractNumId w:val="7"/>
  </w:num>
  <w:num w:numId="2" w16cid:durableId="2028634004">
    <w:abstractNumId w:val="5"/>
  </w:num>
  <w:num w:numId="3" w16cid:durableId="1169521121">
    <w:abstractNumId w:val="10"/>
  </w:num>
  <w:num w:numId="4" w16cid:durableId="1676759142">
    <w:abstractNumId w:val="8"/>
  </w:num>
  <w:num w:numId="5" w16cid:durableId="1329476522">
    <w:abstractNumId w:val="0"/>
  </w:num>
  <w:num w:numId="6" w16cid:durableId="1770857526">
    <w:abstractNumId w:val="9"/>
  </w:num>
  <w:num w:numId="7" w16cid:durableId="1994750216">
    <w:abstractNumId w:val="6"/>
  </w:num>
  <w:num w:numId="8" w16cid:durableId="2063477836">
    <w:abstractNumId w:val="11"/>
  </w:num>
  <w:num w:numId="9" w16cid:durableId="1437674719">
    <w:abstractNumId w:val="1"/>
  </w:num>
  <w:num w:numId="10" w16cid:durableId="1671758672">
    <w:abstractNumId w:val="3"/>
  </w:num>
  <w:num w:numId="11" w16cid:durableId="933323002">
    <w:abstractNumId w:val="4"/>
  </w:num>
  <w:num w:numId="12" w16cid:durableId="934285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3CF"/>
    <w:rsid w:val="00005908"/>
    <w:rsid w:val="00030706"/>
    <w:rsid w:val="00082587"/>
    <w:rsid w:val="000B54E3"/>
    <w:rsid w:val="000F1E57"/>
    <w:rsid w:val="00166F26"/>
    <w:rsid w:val="0017160F"/>
    <w:rsid w:val="001B2B3D"/>
    <w:rsid w:val="001C0FCA"/>
    <w:rsid w:val="0023243E"/>
    <w:rsid w:val="002420C6"/>
    <w:rsid w:val="0024512B"/>
    <w:rsid w:val="002626AB"/>
    <w:rsid w:val="002C2CE5"/>
    <w:rsid w:val="002C7EFB"/>
    <w:rsid w:val="003019D7"/>
    <w:rsid w:val="0033677E"/>
    <w:rsid w:val="003811FC"/>
    <w:rsid w:val="003B0404"/>
    <w:rsid w:val="00401C4F"/>
    <w:rsid w:val="0044155E"/>
    <w:rsid w:val="004654E0"/>
    <w:rsid w:val="00475948"/>
    <w:rsid w:val="004C0E97"/>
    <w:rsid w:val="004C2F71"/>
    <w:rsid w:val="004C746E"/>
    <w:rsid w:val="004D7082"/>
    <w:rsid w:val="004E4941"/>
    <w:rsid w:val="00556F51"/>
    <w:rsid w:val="00571108"/>
    <w:rsid w:val="005F2404"/>
    <w:rsid w:val="006C0EF4"/>
    <w:rsid w:val="006D1EB8"/>
    <w:rsid w:val="007009CE"/>
    <w:rsid w:val="00733D7A"/>
    <w:rsid w:val="00743B41"/>
    <w:rsid w:val="00762E07"/>
    <w:rsid w:val="007A63CF"/>
    <w:rsid w:val="007B3DCE"/>
    <w:rsid w:val="007E3FDE"/>
    <w:rsid w:val="008047CC"/>
    <w:rsid w:val="00804982"/>
    <w:rsid w:val="0083233F"/>
    <w:rsid w:val="008F5244"/>
    <w:rsid w:val="00914859"/>
    <w:rsid w:val="00923CC7"/>
    <w:rsid w:val="009A4EB5"/>
    <w:rsid w:val="009B0EF4"/>
    <w:rsid w:val="009D3187"/>
    <w:rsid w:val="00A11806"/>
    <w:rsid w:val="00A239A2"/>
    <w:rsid w:val="00A32E4E"/>
    <w:rsid w:val="00AA025C"/>
    <w:rsid w:val="00AA62AC"/>
    <w:rsid w:val="00AF335C"/>
    <w:rsid w:val="00B12F7D"/>
    <w:rsid w:val="00B15338"/>
    <w:rsid w:val="00B531CD"/>
    <w:rsid w:val="00B8743F"/>
    <w:rsid w:val="00B969B9"/>
    <w:rsid w:val="00BD1176"/>
    <w:rsid w:val="00BD19F0"/>
    <w:rsid w:val="00BD73B0"/>
    <w:rsid w:val="00C0556C"/>
    <w:rsid w:val="00C4269E"/>
    <w:rsid w:val="00C60EBF"/>
    <w:rsid w:val="00C71D83"/>
    <w:rsid w:val="00C82881"/>
    <w:rsid w:val="00C92507"/>
    <w:rsid w:val="00CF4908"/>
    <w:rsid w:val="00D03962"/>
    <w:rsid w:val="00D056A1"/>
    <w:rsid w:val="00D16BBE"/>
    <w:rsid w:val="00D76CD2"/>
    <w:rsid w:val="00DB7453"/>
    <w:rsid w:val="00DC4111"/>
    <w:rsid w:val="00DE47CA"/>
    <w:rsid w:val="00E3738A"/>
    <w:rsid w:val="00E4285F"/>
    <w:rsid w:val="00E50E62"/>
    <w:rsid w:val="00EB2542"/>
    <w:rsid w:val="00F632EA"/>
    <w:rsid w:val="00F70A86"/>
    <w:rsid w:val="00F72055"/>
    <w:rsid w:val="00F72BA4"/>
    <w:rsid w:val="00F76522"/>
    <w:rsid w:val="00FB5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2A050"/>
  <w15:chartTrackingRefBased/>
  <w15:docId w15:val="{68FA6ADA-9B71-44C1-8CC1-8213D039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2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8258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C74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3CF"/>
    <w:pPr>
      <w:ind w:left="720"/>
      <w:contextualSpacing/>
    </w:pPr>
    <w:rPr>
      <w:kern w:val="2"/>
      <w:lang w:val="en-US"/>
      <w14:ligatures w14:val="standardContextual"/>
    </w:rPr>
  </w:style>
  <w:style w:type="paragraph" w:styleId="NormalWeb">
    <w:name w:val="Normal (Web)"/>
    <w:basedOn w:val="Normal"/>
    <w:uiPriority w:val="99"/>
    <w:unhideWhenUsed/>
    <w:rsid w:val="00F70A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rsid w:val="00923CC7"/>
    <w:rPr>
      <w:color w:val="0563C1"/>
      <w:u w:val="single"/>
    </w:rPr>
  </w:style>
  <w:style w:type="character" w:customStyle="1" w:styleId="mord">
    <w:name w:val="mord"/>
    <w:basedOn w:val="DefaultParagraphFont"/>
    <w:rsid w:val="00EB2542"/>
  </w:style>
  <w:style w:type="character" w:customStyle="1" w:styleId="vlist-s">
    <w:name w:val="vlist-s"/>
    <w:basedOn w:val="DefaultParagraphFont"/>
    <w:rsid w:val="00EB2542"/>
  </w:style>
  <w:style w:type="character" w:customStyle="1" w:styleId="mrel">
    <w:name w:val="mrel"/>
    <w:basedOn w:val="DefaultParagraphFont"/>
    <w:rsid w:val="00EB2542"/>
  </w:style>
  <w:style w:type="paragraph" w:styleId="NoSpacing">
    <w:name w:val="No Spacing"/>
    <w:uiPriority w:val="1"/>
    <w:qFormat/>
    <w:rsid w:val="00EB2542"/>
    <w:pPr>
      <w:spacing w:after="0" w:line="240" w:lineRule="auto"/>
    </w:pPr>
  </w:style>
  <w:style w:type="character" w:customStyle="1" w:styleId="Heading1Char">
    <w:name w:val="Heading 1 Char"/>
    <w:basedOn w:val="DefaultParagraphFont"/>
    <w:link w:val="Heading1"/>
    <w:uiPriority w:val="9"/>
    <w:rsid w:val="00AA025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82587"/>
    <w:rPr>
      <w:rFonts w:ascii="Times New Roman" w:eastAsia="Times New Roman" w:hAnsi="Times New Roman" w:cs="Times New Roman"/>
      <w:b/>
      <w:bCs/>
      <w:sz w:val="27"/>
      <w:szCs w:val="27"/>
      <w:lang w:eastAsia="en-GB"/>
    </w:rPr>
  </w:style>
  <w:style w:type="character" w:customStyle="1" w:styleId="mbin">
    <w:name w:val="mbin"/>
    <w:basedOn w:val="DefaultParagraphFont"/>
    <w:rsid w:val="00082587"/>
  </w:style>
  <w:style w:type="character" w:customStyle="1" w:styleId="mopen">
    <w:name w:val="mopen"/>
    <w:basedOn w:val="DefaultParagraphFont"/>
    <w:rsid w:val="00082587"/>
  </w:style>
  <w:style w:type="character" w:customStyle="1" w:styleId="mpunct">
    <w:name w:val="mpunct"/>
    <w:basedOn w:val="DefaultParagraphFont"/>
    <w:rsid w:val="00082587"/>
  </w:style>
  <w:style w:type="character" w:customStyle="1" w:styleId="mclose">
    <w:name w:val="mclose"/>
    <w:basedOn w:val="DefaultParagraphFont"/>
    <w:rsid w:val="00082587"/>
  </w:style>
  <w:style w:type="character" w:styleId="Strong">
    <w:name w:val="Strong"/>
    <w:basedOn w:val="DefaultParagraphFont"/>
    <w:uiPriority w:val="22"/>
    <w:qFormat/>
    <w:rsid w:val="00F632EA"/>
    <w:rPr>
      <w:b/>
      <w:bCs/>
    </w:rPr>
  </w:style>
  <w:style w:type="character" w:customStyle="1" w:styleId="math-inline">
    <w:name w:val="math-inline"/>
    <w:basedOn w:val="DefaultParagraphFont"/>
    <w:rsid w:val="00F632EA"/>
  </w:style>
  <w:style w:type="character" w:styleId="HTMLCode">
    <w:name w:val="HTML Code"/>
    <w:basedOn w:val="DefaultParagraphFont"/>
    <w:uiPriority w:val="99"/>
    <w:semiHidden/>
    <w:unhideWhenUsed/>
    <w:rsid w:val="004D7082"/>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4C746E"/>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0F1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D3187"/>
    <w:rPr>
      <w:i/>
      <w:iCs/>
    </w:rPr>
  </w:style>
  <w:style w:type="paragraph" w:customStyle="1" w:styleId="Default">
    <w:name w:val="Default"/>
    <w:qFormat/>
    <w:rsid w:val="009D3187"/>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character" w:customStyle="1" w:styleId="value">
    <w:name w:val="value"/>
    <w:basedOn w:val="DefaultParagraphFont"/>
    <w:rsid w:val="009D3187"/>
  </w:style>
  <w:style w:type="character" w:customStyle="1" w:styleId="c-bibliographic-informationvalue">
    <w:name w:val="c-bibliographic-information__value"/>
    <w:basedOn w:val="DefaultParagraphFont"/>
    <w:rsid w:val="009D3187"/>
  </w:style>
  <w:style w:type="character" w:styleId="UnresolvedMention">
    <w:name w:val="Unresolved Mention"/>
    <w:basedOn w:val="DefaultParagraphFont"/>
    <w:uiPriority w:val="99"/>
    <w:semiHidden/>
    <w:unhideWhenUsed/>
    <w:rsid w:val="00B12F7D"/>
    <w:rPr>
      <w:color w:val="605E5C"/>
      <w:shd w:val="clear" w:color="auto" w:fill="E1DFDD"/>
    </w:rPr>
  </w:style>
  <w:style w:type="character" w:customStyle="1" w:styleId="qu">
    <w:name w:val="qu"/>
    <w:basedOn w:val="DefaultParagraphFont"/>
    <w:rsid w:val="009B0EF4"/>
  </w:style>
  <w:style w:type="character" w:customStyle="1" w:styleId="gd">
    <w:name w:val="gd"/>
    <w:basedOn w:val="DefaultParagraphFont"/>
    <w:rsid w:val="009B0EF4"/>
  </w:style>
  <w:style w:type="paragraph" w:styleId="Header">
    <w:name w:val="header"/>
    <w:basedOn w:val="Normal"/>
    <w:link w:val="HeaderChar"/>
    <w:uiPriority w:val="99"/>
    <w:unhideWhenUsed/>
    <w:rsid w:val="000B5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4E3"/>
  </w:style>
  <w:style w:type="paragraph" w:styleId="Footer">
    <w:name w:val="footer"/>
    <w:basedOn w:val="Normal"/>
    <w:link w:val="FooterChar"/>
    <w:uiPriority w:val="99"/>
    <w:unhideWhenUsed/>
    <w:rsid w:val="000B5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8564">
      <w:bodyDiv w:val="1"/>
      <w:marLeft w:val="0"/>
      <w:marRight w:val="0"/>
      <w:marTop w:val="0"/>
      <w:marBottom w:val="0"/>
      <w:divBdr>
        <w:top w:val="none" w:sz="0" w:space="0" w:color="auto"/>
        <w:left w:val="none" w:sz="0" w:space="0" w:color="auto"/>
        <w:bottom w:val="none" w:sz="0" w:space="0" w:color="auto"/>
        <w:right w:val="none" w:sz="0" w:space="0" w:color="auto"/>
      </w:divBdr>
      <w:divsChild>
        <w:div w:id="1950428166">
          <w:marLeft w:val="0"/>
          <w:marRight w:val="0"/>
          <w:marTop w:val="0"/>
          <w:marBottom w:val="0"/>
          <w:divBdr>
            <w:top w:val="none" w:sz="0" w:space="0" w:color="auto"/>
            <w:left w:val="none" w:sz="0" w:space="0" w:color="auto"/>
            <w:bottom w:val="none" w:sz="0" w:space="0" w:color="auto"/>
            <w:right w:val="none" w:sz="0" w:space="0" w:color="auto"/>
          </w:divBdr>
          <w:divsChild>
            <w:div w:id="146291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5266">
      <w:bodyDiv w:val="1"/>
      <w:marLeft w:val="0"/>
      <w:marRight w:val="0"/>
      <w:marTop w:val="0"/>
      <w:marBottom w:val="0"/>
      <w:divBdr>
        <w:top w:val="none" w:sz="0" w:space="0" w:color="auto"/>
        <w:left w:val="none" w:sz="0" w:space="0" w:color="auto"/>
        <w:bottom w:val="none" w:sz="0" w:space="0" w:color="auto"/>
        <w:right w:val="none" w:sz="0" w:space="0" w:color="auto"/>
      </w:divBdr>
      <w:divsChild>
        <w:div w:id="86579946">
          <w:marLeft w:val="0"/>
          <w:marRight w:val="0"/>
          <w:marTop w:val="0"/>
          <w:marBottom w:val="0"/>
          <w:divBdr>
            <w:top w:val="none" w:sz="0" w:space="0" w:color="auto"/>
            <w:left w:val="none" w:sz="0" w:space="0" w:color="auto"/>
            <w:bottom w:val="none" w:sz="0" w:space="0" w:color="auto"/>
            <w:right w:val="none" w:sz="0" w:space="0" w:color="auto"/>
          </w:divBdr>
          <w:divsChild>
            <w:div w:id="1505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4557">
      <w:bodyDiv w:val="1"/>
      <w:marLeft w:val="0"/>
      <w:marRight w:val="0"/>
      <w:marTop w:val="0"/>
      <w:marBottom w:val="0"/>
      <w:divBdr>
        <w:top w:val="none" w:sz="0" w:space="0" w:color="auto"/>
        <w:left w:val="none" w:sz="0" w:space="0" w:color="auto"/>
        <w:bottom w:val="none" w:sz="0" w:space="0" w:color="auto"/>
        <w:right w:val="none" w:sz="0" w:space="0" w:color="auto"/>
      </w:divBdr>
      <w:divsChild>
        <w:div w:id="759329303">
          <w:marLeft w:val="0"/>
          <w:marRight w:val="0"/>
          <w:marTop w:val="0"/>
          <w:marBottom w:val="0"/>
          <w:divBdr>
            <w:top w:val="none" w:sz="0" w:space="0" w:color="auto"/>
            <w:left w:val="none" w:sz="0" w:space="0" w:color="auto"/>
            <w:bottom w:val="none" w:sz="0" w:space="0" w:color="auto"/>
            <w:right w:val="none" w:sz="0" w:space="0" w:color="auto"/>
          </w:divBdr>
          <w:divsChild>
            <w:div w:id="11352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691">
      <w:bodyDiv w:val="1"/>
      <w:marLeft w:val="0"/>
      <w:marRight w:val="0"/>
      <w:marTop w:val="0"/>
      <w:marBottom w:val="0"/>
      <w:divBdr>
        <w:top w:val="none" w:sz="0" w:space="0" w:color="auto"/>
        <w:left w:val="none" w:sz="0" w:space="0" w:color="auto"/>
        <w:bottom w:val="none" w:sz="0" w:space="0" w:color="auto"/>
        <w:right w:val="none" w:sz="0" w:space="0" w:color="auto"/>
      </w:divBdr>
      <w:divsChild>
        <w:div w:id="1609313774">
          <w:marLeft w:val="0"/>
          <w:marRight w:val="0"/>
          <w:marTop w:val="0"/>
          <w:marBottom w:val="0"/>
          <w:divBdr>
            <w:top w:val="none" w:sz="0" w:space="0" w:color="auto"/>
            <w:left w:val="none" w:sz="0" w:space="0" w:color="auto"/>
            <w:bottom w:val="none" w:sz="0" w:space="0" w:color="auto"/>
            <w:right w:val="none" w:sz="0" w:space="0" w:color="auto"/>
          </w:divBdr>
          <w:divsChild>
            <w:div w:id="113344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85180">
      <w:bodyDiv w:val="1"/>
      <w:marLeft w:val="0"/>
      <w:marRight w:val="0"/>
      <w:marTop w:val="0"/>
      <w:marBottom w:val="0"/>
      <w:divBdr>
        <w:top w:val="none" w:sz="0" w:space="0" w:color="auto"/>
        <w:left w:val="none" w:sz="0" w:space="0" w:color="auto"/>
        <w:bottom w:val="none" w:sz="0" w:space="0" w:color="auto"/>
        <w:right w:val="none" w:sz="0" w:space="0" w:color="auto"/>
      </w:divBdr>
      <w:divsChild>
        <w:div w:id="255096277">
          <w:marLeft w:val="0"/>
          <w:marRight w:val="0"/>
          <w:marTop w:val="0"/>
          <w:marBottom w:val="0"/>
          <w:divBdr>
            <w:top w:val="none" w:sz="0" w:space="0" w:color="auto"/>
            <w:left w:val="none" w:sz="0" w:space="0" w:color="auto"/>
            <w:bottom w:val="none" w:sz="0" w:space="0" w:color="auto"/>
            <w:right w:val="none" w:sz="0" w:space="0" w:color="auto"/>
          </w:divBdr>
          <w:divsChild>
            <w:div w:id="15716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84603">
      <w:bodyDiv w:val="1"/>
      <w:marLeft w:val="0"/>
      <w:marRight w:val="0"/>
      <w:marTop w:val="0"/>
      <w:marBottom w:val="0"/>
      <w:divBdr>
        <w:top w:val="none" w:sz="0" w:space="0" w:color="auto"/>
        <w:left w:val="none" w:sz="0" w:space="0" w:color="auto"/>
        <w:bottom w:val="none" w:sz="0" w:space="0" w:color="auto"/>
        <w:right w:val="none" w:sz="0" w:space="0" w:color="auto"/>
      </w:divBdr>
    </w:div>
    <w:div w:id="401955377">
      <w:bodyDiv w:val="1"/>
      <w:marLeft w:val="0"/>
      <w:marRight w:val="0"/>
      <w:marTop w:val="0"/>
      <w:marBottom w:val="0"/>
      <w:divBdr>
        <w:top w:val="none" w:sz="0" w:space="0" w:color="auto"/>
        <w:left w:val="none" w:sz="0" w:space="0" w:color="auto"/>
        <w:bottom w:val="none" w:sz="0" w:space="0" w:color="auto"/>
        <w:right w:val="none" w:sz="0" w:space="0" w:color="auto"/>
      </w:divBdr>
      <w:divsChild>
        <w:div w:id="1734620254">
          <w:marLeft w:val="0"/>
          <w:marRight w:val="0"/>
          <w:marTop w:val="0"/>
          <w:marBottom w:val="0"/>
          <w:divBdr>
            <w:top w:val="none" w:sz="0" w:space="0" w:color="auto"/>
            <w:left w:val="none" w:sz="0" w:space="0" w:color="auto"/>
            <w:bottom w:val="none" w:sz="0" w:space="0" w:color="auto"/>
            <w:right w:val="none" w:sz="0" w:space="0" w:color="auto"/>
          </w:divBdr>
          <w:divsChild>
            <w:div w:id="3655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4421">
      <w:bodyDiv w:val="1"/>
      <w:marLeft w:val="0"/>
      <w:marRight w:val="0"/>
      <w:marTop w:val="0"/>
      <w:marBottom w:val="0"/>
      <w:divBdr>
        <w:top w:val="none" w:sz="0" w:space="0" w:color="auto"/>
        <w:left w:val="none" w:sz="0" w:space="0" w:color="auto"/>
        <w:bottom w:val="none" w:sz="0" w:space="0" w:color="auto"/>
        <w:right w:val="none" w:sz="0" w:space="0" w:color="auto"/>
      </w:divBdr>
      <w:divsChild>
        <w:div w:id="372779028">
          <w:marLeft w:val="0"/>
          <w:marRight w:val="0"/>
          <w:marTop w:val="0"/>
          <w:marBottom w:val="0"/>
          <w:divBdr>
            <w:top w:val="none" w:sz="0" w:space="0" w:color="auto"/>
            <w:left w:val="none" w:sz="0" w:space="0" w:color="auto"/>
            <w:bottom w:val="none" w:sz="0" w:space="0" w:color="auto"/>
            <w:right w:val="none" w:sz="0" w:space="0" w:color="auto"/>
          </w:divBdr>
          <w:divsChild>
            <w:div w:id="211886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4536">
      <w:bodyDiv w:val="1"/>
      <w:marLeft w:val="0"/>
      <w:marRight w:val="0"/>
      <w:marTop w:val="0"/>
      <w:marBottom w:val="0"/>
      <w:divBdr>
        <w:top w:val="none" w:sz="0" w:space="0" w:color="auto"/>
        <w:left w:val="none" w:sz="0" w:space="0" w:color="auto"/>
        <w:bottom w:val="none" w:sz="0" w:space="0" w:color="auto"/>
        <w:right w:val="none" w:sz="0" w:space="0" w:color="auto"/>
      </w:divBdr>
    </w:div>
    <w:div w:id="539245202">
      <w:bodyDiv w:val="1"/>
      <w:marLeft w:val="0"/>
      <w:marRight w:val="0"/>
      <w:marTop w:val="0"/>
      <w:marBottom w:val="0"/>
      <w:divBdr>
        <w:top w:val="none" w:sz="0" w:space="0" w:color="auto"/>
        <w:left w:val="none" w:sz="0" w:space="0" w:color="auto"/>
        <w:bottom w:val="none" w:sz="0" w:space="0" w:color="auto"/>
        <w:right w:val="none" w:sz="0" w:space="0" w:color="auto"/>
      </w:divBdr>
      <w:divsChild>
        <w:div w:id="440686686">
          <w:marLeft w:val="0"/>
          <w:marRight w:val="0"/>
          <w:marTop w:val="0"/>
          <w:marBottom w:val="0"/>
          <w:divBdr>
            <w:top w:val="none" w:sz="0" w:space="0" w:color="auto"/>
            <w:left w:val="none" w:sz="0" w:space="0" w:color="auto"/>
            <w:bottom w:val="none" w:sz="0" w:space="0" w:color="auto"/>
            <w:right w:val="none" w:sz="0" w:space="0" w:color="auto"/>
          </w:divBdr>
          <w:divsChild>
            <w:div w:id="1028800587">
              <w:marLeft w:val="0"/>
              <w:marRight w:val="0"/>
              <w:marTop w:val="0"/>
              <w:marBottom w:val="0"/>
              <w:divBdr>
                <w:top w:val="none" w:sz="0" w:space="0" w:color="auto"/>
                <w:left w:val="none" w:sz="0" w:space="0" w:color="auto"/>
                <w:bottom w:val="none" w:sz="0" w:space="0" w:color="auto"/>
                <w:right w:val="none" w:sz="0" w:space="0" w:color="auto"/>
              </w:divBdr>
              <w:divsChild>
                <w:div w:id="1800682266">
                  <w:marLeft w:val="0"/>
                  <w:marRight w:val="0"/>
                  <w:marTop w:val="0"/>
                  <w:marBottom w:val="0"/>
                  <w:divBdr>
                    <w:top w:val="none" w:sz="0" w:space="0" w:color="auto"/>
                    <w:left w:val="none" w:sz="0" w:space="0" w:color="auto"/>
                    <w:bottom w:val="none" w:sz="0" w:space="0" w:color="auto"/>
                    <w:right w:val="none" w:sz="0" w:space="0" w:color="auto"/>
                  </w:divBdr>
                  <w:divsChild>
                    <w:div w:id="570625835">
                      <w:marLeft w:val="0"/>
                      <w:marRight w:val="0"/>
                      <w:marTop w:val="0"/>
                      <w:marBottom w:val="0"/>
                      <w:divBdr>
                        <w:top w:val="none" w:sz="0" w:space="0" w:color="auto"/>
                        <w:left w:val="none" w:sz="0" w:space="0" w:color="auto"/>
                        <w:bottom w:val="none" w:sz="0" w:space="0" w:color="auto"/>
                        <w:right w:val="none" w:sz="0" w:space="0" w:color="auto"/>
                      </w:divBdr>
                      <w:divsChild>
                        <w:div w:id="1748989090">
                          <w:marLeft w:val="0"/>
                          <w:marRight w:val="0"/>
                          <w:marTop w:val="0"/>
                          <w:marBottom w:val="0"/>
                          <w:divBdr>
                            <w:top w:val="none" w:sz="0" w:space="0" w:color="auto"/>
                            <w:left w:val="none" w:sz="0" w:space="0" w:color="auto"/>
                            <w:bottom w:val="none" w:sz="0" w:space="0" w:color="auto"/>
                            <w:right w:val="none" w:sz="0" w:space="0" w:color="auto"/>
                          </w:divBdr>
                          <w:divsChild>
                            <w:div w:id="23547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46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58877658">
      <w:bodyDiv w:val="1"/>
      <w:marLeft w:val="0"/>
      <w:marRight w:val="0"/>
      <w:marTop w:val="0"/>
      <w:marBottom w:val="0"/>
      <w:divBdr>
        <w:top w:val="none" w:sz="0" w:space="0" w:color="auto"/>
        <w:left w:val="none" w:sz="0" w:space="0" w:color="auto"/>
        <w:bottom w:val="none" w:sz="0" w:space="0" w:color="auto"/>
        <w:right w:val="none" w:sz="0" w:space="0" w:color="auto"/>
      </w:divBdr>
    </w:div>
    <w:div w:id="963779495">
      <w:bodyDiv w:val="1"/>
      <w:marLeft w:val="0"/>
      <w:marRight w:val="0"/>
      <w:marTop w:val="0"/>
      <w:marBottom w:val="0"/>
      <w:divBdr>
        <w:top w:val="none" w:sz="0" w:space="0" w:color="auto"/>
        <w:left w:val="none" w:sz="0" w:space="0" w:color="auto"/>
        <w:bottom w:val="none" w:sz="0" w:space="0" w:color="auto"/>
        <w:right w:val="none" w:sz="0" w:space="0" w:color="auto"/>
      </w:divBdr>
      <w:divsChild>
        <w:div w:id="1606644862">
          <w:marLeft w:val="0"/>
          <w:marRight w:val="0"/>
          <w:marTop w:val="0"/>
          <w:marBottom w:val="0"/>
          <w:divBdr>
            <w:top w:val="none" w:sz="0" w:space="0" w:color="auto"/>
            <w:left w:val="none" w:sz="0" w:space="0" w:color="auto"/>
            <w:bottom w:val="none" w:sz="0" w:space="0" w:color="auto"/>
            <w:right w:val="none" w:sz="0" w:space="0" w:color="auto"/>
          </w:divBdr>
          <w:divsChild>
            <w:div w:id="4220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3610">
      <w:bodyDiv w:val="1"/>
      <w:marLeft w:val="0"/>
      <w:marRight w:val="0"/>
      <w:marTop w:val="0"/>
      <w:marBottom w:val="0"/>
      <w:divBdr>
        <w:top w:val="none" w:sz="0" w:space="0" w:color="auto"/>
        <w:left w:val="none" w:sz="0" w:space="0" w:color="auto"/>
        <w:bottom w:val="none" w:sz="0" w:space="0" w:color="auto"/>
        <w:right w:val="none" w:sz="0" w:space="0" w:color="auto"/>
      </w:divBdr>
      <w:divsChild>
        <w:div w:id="704064840">
          <w:marLeft w:val="0"/>
          <w:marRight w:val="0"/>
          <w:marTop w:val="0"/>
          <w:marBottom w:val="0"/>
          <w:divBdr>
            <w:top w:val="none" w:sz="0" w:space="0" w:color="auto"/>
            <w:left w:val="none" w:sz="0" w:space="0" w:color="auto"/>
            <w:bottom w:val="none" w:sz="0" w:space="0" w:color="auto"/>
            <w:right w:val="none" w:sz="0" w:space="0" w:color="auto"/>
          </w:divBdr>
          <w:divsChild>
            <w:div w:id="663971171">
              <w:marLeft w:val="0"/>
              <w:marRight w:val="0"/>
              <w:marTop w:val="0"/>
              <w:marBottom w:val="0"/>
              <w:divBdr>
                <w:top w:val="none" w:sz="0" w:space="0" w:color="auto"/>
                <w:left w:val="none" w:sz="0" w:space="0" w:color="auto"/>
                <w:bottom w:val="none" w:sz="0" w:space="0" w:color="auto"/>
                <w:right w:val="none" w:sz="0" w:space="0" w:color="auto"/>
              </w:divBdr>
              <w:divsChild>
                <w:div w:id="1632397985">
                  <w:marLeft w:val="0"/>
                  <w:marRight w:val="0"/>
                  <w:marTop w:val="0"/>
                  <w:marBottom w:val="0"/>
                  <w:divBdr>
                    <w:top w:val="none" w:sz="0" w:space="0" w:color="auto"/>
                    <w:left w:val="none" w:sz="0" w:space="0" w:color="auto"/>
                    <w:bottom w:val="none" w:sz="0" w:space="0" w:color="auto"/>
                    <w:right w:val="none" w:sz="0" w:space="0" w:color="auto"/>
                  </w:divBdr>
                  <w:divsChild>
                    <w:div w:id="87772848">
                      <w:marLeft w:val="0"/>
                      <w:marRight w:val="0"/>
                      <w:marTop w:val="0"/>
                      <w:marBottom w:val="0"/>
                      <w:divBdr>
                        <w:top w:val="none" w:sz="0" w:space="0" w:color="auto"/>
                        <w:left w:val="none" w:sz="0" w:space="0" w:color="auto"/>
                        <w:bottom w:val="none" w:sz="0" w:space="0" w:color="auto"/>
                        <w:right w:val="none" w:sz="0" w:space="0" w:color="auto"/>
                      </w:divBdr>
                    </w:div>
                  </w:divsChild>
                </w:div>
                <w:div w:id="183518777">
                  <w:marLeft w:val="0"/>
                  <w:marRight w:val="0"/>
                  <w:marTop w:val="0"/>
                  <w:marBottom w:val="0"/>
                  <w:divBdr>
                    <w:top w:val="none" w:sz="0" w:space="0" w:color="auto"/>
                    <w:left w:val="none" w:sz="0" w:space="0" w:color="auto"/>
                    <w:bottom w:val="none" w:sz="0" w:space="0" w:color="auto"/>
                    <w:right w:val="none" w:sz="0" w:space="0" w:color="auto"/>
                  </w:divBdr>
                  <w:divsChild>
                    <w:div w:id="1414819314">
                      <w:marLeft w:val="0"/>
                      <w:marRight w:val="0"/>
                      <w:marTop w:val="0"/>
                      <w:marBottom w:val="0"/>
                      <w:divBdr>
                        <w:top w:val="none" w:sz="0" w:space="0" w:color="auto"/>
                        <w:left w:val="none" w:sz="0" w:space="0" w:color="auto"/>
                        <w:bottom w:val="none" w:sz="0" w:space="0" w:color="auto"/>
                        <w:right w:val="none" w:sz="0" w:space="0" w:color="auto"/>
                      </w:divBdr>
                    </w:div>
                  </w:divsChild>
                </w:div>
                <w:div w:id="185564251">
                  <w:marLeft w:val="0"/>
                  <w:marRight w:val="0"/>
                  <w:marTop w:val="0"/>
                  <w:marBottom w:val="0"/>
                  <w:divBdr>
                    <w:top w:val="none" w:sz="0" w:space="0" w:color="auto"/>
                    <w:left w:val="none" w:sz="0" w:space="0" w:color="auto"/>
                    <w:bottom w:val="none" w:sz="0" w:space="0" w:color="auto"/>
                    <w:right w:val="none" w:sz="0" w:space="0" w:color="auto"/>
                  </w:divBdr>
                  <w:divsChild>
                    <w:div w:id="505218626">
                      <w:marLeft w:val="0"/>
                      <w:marRight w:val="0"/>
                      <w:marTop w:val="0"/>
                      <w:marBottom w:val="0"/>
                      <w:divBdr>
                        <w:top w:val="none" w:sz="0" w:space="0" w:color="auto"/>
                        <w:left w:val="none" w:sz="0" w:space="0" w:color="auto"/>
                        <w:bottom w:val="none" w:sz="0" w:space="0" w:color="auto"/>
                        <w:right w:val="none" w:sz="0" w:space="0" w:color="auto"/>
                      </w:divBdr>
                    </w:div>
                  </w:divsChild>
                </w:div>
                <w:div w:id="988090423">
                  <w:marLeft w:val="0"/>
                  <w:marRight w:val="0"/>
                  <w:marTop w:val="0"/>
                  <w:marBottom w:val="0"/>
                  <w:divBdr>
                    <w:top w:val="none" w:sz="0" w:space="0" w:color="auto"/>
                    <w:left w:val="none" w:sz="0" w:space="0" w:color="auto"/>
                    <w:bottom w:val="none" w:sz="0" w:space="0" w:color="auto"/>
                    <w:right w:val="none" w:sz="0" w:space="0" w:color="auto"/>
                  </w:divBdr>
                  <w:divsChild>
                    <w:div w:id="13558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504554">
      <w:bodyDiv w:val="1"/>
      <w:marLeft w:val="0"/>
      <w:marRight w:val="0"/>
      <w:marTop w:val="0"/>
      <w:marBottom w:val="0"/>
      <w:divBdr>
        <w:top w:val="none" w:sz="0" w:space="0" w:color="auto"/>
        <w:left w:val="none" w:sz="0" w:space="0" w:color="auto"/>
        <w:bottom w:val="none" w:sz="0" w:space="0" w:color="auto"/>
        <w:right w:val="none" w:sz="0" w:space="0" w:color="auto"/>
      </w:divBdr>
    </w:div>
    <w:div w:id="1079012316">
      <w:bodyDiv w:val="1"/>
      <w:marLeft w:val="0"/>
      <w:marRight w:val="0"/>
      <w:marTop w:val="0"/>
      <w:marBottom w:val="0"/>
      <w:divBdr>
        <w:top w:val="none" w:sz="0" w:space="0" w:color="auto"/>
        <w:left w:val="none" w:sz="0" w:space="0" w:color="auto"/>
        <w:bottom w:val="none" w:sz="0" w:space="0" w:color="auto"/>
        <w:right w:val="none" w:sz="0" w:space="0" w:color="auto"/>
      </w:divBdr>
    </w:div>
    <w:div w:id="1939869184">
      <w:bodyDiv w:val="1"/>
      <w:marLeft w:val="0"/>
      <w:marRight w:val="0"/>
      <w:marTop w:val="0"/>
      <w:marBottom w:val="0"/>
      <w:divBdr>
        <w:top w:val="none" w:sz="0" w:space="0" w:color="auto"/>
        <w:left w:val="none" w:sz="0" w:space="0" w:color="auto"/>
        <w:bottom w:val="none" w:sz="0" w:space="0" w:color="auto"/>
        <w:right w:val="none" w:sz="0" w:space="0" w:color="auto"/>
      </w:divBdr>
    </w:div>
    <w:div w:id="1999112590">
      <w:bodyDiv w:val="1"/>
      <w:marLeft w:val="0"/>
      <w:marRight w:val="0"/>
      <w:marTop w:val="0"/>
      <w:marBottom w:val="0"/>
      <w:divBdr>
        <w:top w:val="none" w:sz="0" w:space="0" w:color="auto"/>
        <w:left w:val="none" w:sz="0" w:space="0" w:color="auto"/>
        <w:bottom w:val="none" w:sz="0" w:space="0" w:color="auto"/>
        <w:right w:val="none" w:sz="0" w:space="0" w:color="auto"/>
      </w:divBdr>
      <w:divsChild>
        <w:div w:id="275530573">
          <w:marLeft w:val="0"/>
          <w:marRight w:val="0"/>
          <w:marTop w:val="0"/>
          <w:marBottom w:val="0"/>
          <w:divBdr>
            <w:top w:val="none" w:sz="0" w:space="0" w:color="auto"/>
            <w:left w:val="none" w:sz="0" w:space="0" w:color="auto"/>
            <w:bottom w:val="none" w:sz="0" w:space="0" w:color="auto"/>
            <w:right w:val="none" w:sz="0" w:space="0" w:color="auto"/>
          </w:divBdr>
          <w:divsChild>
            <w:div w:id="537162917">
              <w:marLeft w:val="0"/>
              <w:marRight w:val="0"/>
              <w:marTop w:val="0"/>
              <w:marBottom w:val="0"/>
              <w:divBdr>
                <w:top w:val="none" w:sz="0" w:space="0" w:color="auto"/>
                <w:left w:val="none" w:sz="0" w:space="0" w:color="auto"/>
                <w:bottom w:val="none" w:sz="0" w:space="0" w:color="auto"/>
                <w:right w:val="none" w:sz="0" w:space="0" w:color="auto"/>
              </w:divBdr>
              <w:divsChild>
                <w:div w:id="436683458">
                  <w:marLeft w:val="0"/>
                  <w:marRight w:val="0"/>
                  <w:marTop w:val="0"/>
                  <w:marBottom w:val="0"/>
                  <w:divBdr>
                    <w:top w:val="none" w:sz="0" w:space="0" w:color="auto"/>
                    <w:left w:val="none" w:sz="0" w:space="0" w:color="auto"/>
                    <w:bottom w:val="none" w:sz="0" w:space="0" w:color="auto"/>
                    <w:right w:val="none" w:sz="0" w:space="0" w:color="auto"/>
                  </w:divBdr>
                  <w:divsChild>
                    <w:div w:id="793911132">
                      <w:marLeft w:val="0"/>
                      <w:marRight w:val="0"/>
                      <w:marTop w:val="0"/>
                      <w:marBottom w:val="0"/>
                      <w:divBdr>
                        <w:top w:val="none" w:sz="0" w:space="0" w:color="auto"/>
                        <w:left w:val="none" w:sz="0" w:space="0" w:color="auto"/>
                        <w:bottom w:val="none" w:sz="0" w:space="0" w:color="auto"/>
                        <w:right w:val="none" w:sz="0" w:space="0" w:color="auto"/>
                      </w:divBdr>
                    </w:div>
                  </w:divsChild>
                </w:div>
                <w:div w:id="361133296">
                  <w:marLeft w:val="0"/>
                  <w:marRight w:val="0"/>
                  <w:marTop w:val="0"/>
                  <w:marBottom w:val="0"/>
                  <w:divBdr>
                    <w:top w:val="none" w:sz="0" w:space="0" w:color="auto"/>
                    <w:left w:val="none" w:sz="0" w:space="0" w:color="auto"/>
                    <w:bottom w:val="none" w:sz="0" w:space="0" w:color="auto"/>
                    <w:right w:val="none" w:sz="0" w:space="0" w:color="auto"/>
                  </w:divBdr>
                  <w:divsChild>
                    <w:div w:id="670716447">
                      <w:marLeft w:val="0"/>
                      <w:marRight w:val="0"/>
                      <w:marTop w:val="0"/>
                      <w:marBottom w:val="0"/>
                      <w:divBdr>
                        <w:top w:val="none" w:sz="0" w:space="0" w:color="auto"/>
                        <w:left w:val="none" w:sz="0" w:space="0" w:color="auto"/>
                        <w:bottom w:val="none" w:sz="0" w:space="0" w:color="auto"/>
                        <w:right w:val="none" w:sz="0" w:space="0" w:color="auto"/>
                      </w:divBdr>
                    </w:div>
                  </w:divsChild>
                </w:div>
                <w:div w:id="1500659480">
                  <w:marLeft w:val="0"/>
                  <w:marRight w:val="0"/>
                  <w:marTop w:val="0"/>
                  <w:marBottom w:val="0"/>
                  <w:divBdr>
                    <w:top w:val="none" w:sz="0" w:space="0" w:color="auto"/>
                    <w:left w:val="none" w:sz="0" w:space="0" w:color="auto"/>
                    <w:bottom w:val="none" w:sz="0" w:space="0" w:color="auto"/>
                    <w:right w:val="none" w:sz="0" w:space="0" w:color="auto"/>
                  </w:divBdr>
                  <w:divsChild>
                    <w:div w:id="107231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j.univ-danubius.ro/index.php/AUDOE/article/view/2841" TargetMode="External"/><Relationship Id="rId18" Type="http://schemas.openxmlformats.org/officeDocument/2006/relationships/hyperlink" Target="https://www.cbn.gov.ng/Documents/PressReleases.html" TargetMode="External"/><Relationship Id="rId26" Type="http://schemas.openxmlformats.org/officeDocument/2006/relationships/hyperlink" Target="https://jurnalnew.unimus.ac.id/index.php/EBiC/article/download/377/230/2421" TargetMode="External"/><Relationship Id="rId39" Type="http://schemas.openxmlformats.org/officeDocument/2006/relationships/hyperlink" Target="https://jurnal.ittc.web.id/index.php/jebd/article/view/2387" TargetMode="External"/><Relationship Id="rId21" Type="http://schemas.openxmlformats.org/officeDocument/2006/relationships/hyperlink" Target="https://doi.org/10.15388/Ekon.2025.104.3.7" TargetMode="External"/><Relationship Id="rId34" Type="http://schemas.openxmlformats.org/officeDocument/2006/relationships/hyperlink" Target="https://doi.org/10.56578/jafas100201" TargetMode="External"/><Relationship Id="rId42" Type="http://schemas.openxmlformats.org/officeDocument/2006/relationships/hyperlink" Target="https://doi.org/10.9734/ajeba/2026/v26i52268" TargetMode="External"/><Relationship Id="rId47" Type="http://schemas.openxmlformats.org/officeDocument/2006/relationships/hyperlink" Target="https://doi.org/10.55365/1923.x2023.21.72" TargetMode="External"/><Relationship Id="rId50" Type="http://schemas.openxmlformats.org/officeDocument/2006/relationships/hyperlink" Target="https://sia-iaikpd.fdaptsu.org/index.php/sia/article/view/292" TargetMode="External"/><Relationship Id="rId55" Type="http://schemas.openxmlformats.org/officeDocument/2006/relationships/header" Target="header2.xml"/><Relationship Id="rId7" Type="http://schemas.openxmlformats.org/officeDocument/2006/relationships/hyperlink" Target="https://doi.org/10.66674/qd9acc08" TargetMode="External"/><Relationship Id="rId2" Type="http://schemas.openxmlformats.org/officeDocument/2006/relationships/styles" Target="styles.xml"/><Relationship Id="rId16" Type="http://schemas.openxmlformats.org/officeDocument/2006/relationships/hyperlink" Target="https://doi.org/10.1016/j.intaccaudtax.2024.100668" TargetMode="External"/><Relationship Id="rId29" Type="http://schemas.openxmlformats.org/officeDocument/2006/relationships/hyperlink" Target="https://doi.org/10.32479/ijefi.8595" TargetMode="External"/><Relationship Id="rId11" Type="http://schemas.openxmlformats.org/officeDocument/2006/relationships/hyperlink" Target="https://doi.org/10.5281/zenodo.14742659" TargetMode="External"/><Relationship Id="rId24" Type="http://schemas.openxmlformats.org/officeDocument/2006/relationships/hyperlink" Target="https://jim.unisma.ac.id/index.php/jra/article/view/24424" TargetMode="External"/><Relationship Id="rId32" Type="http://schemas.openxmlformats.org/officeDocument/2006/relationships/hyperlink" Target="https://doi.org/10.32497/keunis.v13i1.5790" TargetMode="External"/><Relationship Id="rId37" Type="http://schemas.openxmlformats.org/officeDocument/2006/relationships/hyperlink" Target="https://www.fsb.org/2017/11/artificial-intelligence-and-machine-learning-in-financial-service/" TargetMode="External"/><Relationship Id="rId40" Type="http://schemas.openxmlformats.org/officeDocument/2006/relationships/hyperlink" Target="https://doi.org/10.36555/jasa.v4i2.1378" TargetMode="External"/><Relationship Id="rId45" Type="http://schemas.openxmlformats.org/officeDocument/2006/relationships/hyperlink" Target="https://doi.org/10.56557/jgembr/2026/v18i110244" TargetMode="External"/><Relationship Id="rId53" Type="http://schemas.openxmlformats.org/officeDocument/2006/relationships/hyperlink" Target="https://doi.org/10.33019/ijbe.v5i3.334" TargetMode="External"/><Relationship Id="rId58"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www.ajhssr.com/the-effect-of-institutional-ownership-profitability-leverage-and-capital-intensity-ratio-on-tax-avoidance/" TargetMode="External"/><Relationship Id="rId14" Type="http://schemas.openxmlformats.org/officeDocument/2006/relationships/hyperlink" Target="https://www.afarng.org/wp-content/uploads/2022/12/MJMS-Vol.-4-Issue-2-June-2022.pdf" TargetMode="External"/><Relationship Id="rId22" Type="http://schemas.openxmlformats.org/officeDocument/2006/relationships/hyperlink" Target="https://doi.org/10.2991/aebmr.k.210507.059" TargetMode="External"/><Relationship Id="rId27" Type="http://schemas.openxmlformats.org/officeDocument/2006/relationships/hyperlink" Target="https://doi.org/10.1080/23311975.2024.2371062" TargetMode="External"/><Relationship Id="rId30" Type="http://schemas.openxmlformats.org/officeDocument/2006/relationships/hyperlink" Target="https://doi.org/10.1007/s13132-024-02412-y" TargetMode="External"/><Relationship Id="rId35" Type="http://schemas.openxmlformats.org/officeDocument/2006/relationships/hyperlink" Target="https://doi.org/10.23969/jrbm.v18i1.20287" TargetMode="External"/><Relationship Id="rId43" Type="http://schemas.openxmlformats.org/officeDocument/2006/relationships/hyperlink" Target="https://iosrjournals.org/iosr-jbm/papers/Vol23-issue2/Series-7/F2302074251.pdf" TargetMode="External"/><Relationship Id="rId48" Type="http://schemas.openxmlformats.org/officeDocument/2006/relationships/hyperlink" Target="https://journal.uii.ac.id/inCAF/article/view/38330" TargetMode="External"/><Relationship Id="rId56" Type="http://schemas.openxmlformats.org/officeDocument/2006/relationships/footer" Target="footer1.xml"/><Relationship Id="rId8" Type="http://schemas.openxmlformats.org/officeDocument/2006/relationships/hyperlink" Target="https://doi.org/10.1108/JFC-04-2023-0087" TargetMode="External"/><Relationship Id="rId51" Type="http://schemas.openxmlformats.org/officeDocument/2006/relationships/hyperlink" Target="https://doi.org/10.1080/23311975.2022.2144097" TargetMode="External"/><Relationship Id="rId3" Type="http://schemas.openxmlformats.org/officeDocument/2006/relationships/settings" Target="settings.xml"/><Relationship Id="rId12" Type="http://schemas.openxmlformats.org/officeDocument/2006/relationships/hyperlink" Target="https://www.abfrjournal.com/index.php/abfr/article/view/343" TargetMode="External"/><Relationship Id="rId17" Type="http://schemas.openxmlformats.org/officeDocument/2006/relationships/hyperlink" Target="https://www.cbn.gov.ng/FAQS/" TargetMode="External"/><Relationship Id="rId25" Type="http://schemas.openxmlformats.org/officeDocument/2006/relationships/hyperlink" Target="https://fjpam.fuoye.edu.ng/index.php/fjpam/article/view/50" TargetMode="External"/><Relationship Id="rId33" Type="http://schemas.openxmlformats.org/officeDocument/2006/relationships/hyperlink" Target="https://doi.org/10.1111/j.1540-6261.1973.tb01415.x" TargetMode="External"/><Relationship Id="rId38" Type="http://schemas.openxmlformats.org/officeDocument/2006/relationships/hyperlink" Target="https://doi.org/10.1108/CFRI-09-2024-0496" TargetMode="External"/><Relationship Id="rId46" Type="http://schemas.openxmlformats.org/officeDocument/2006/relationships/hyperlink" Target="https://doi.org/10.46306/rev.v5i2.604" TargetMode="External"/><Relationship Id="rId59" Type="http://schemas.openxmlformats.org/officeDocument/2006/relationships/footer" Target="footer3.xml"/><Relationship Id="rId20" Type="http://schemas.openxmlformats.org/officeDocument/2006/relationships/hyperlink" Target="https://doi.org/10.1002/ijfe.2981" TargetMode="External"/><Relationship Id="rId41" Type="http://schemas.openxmlformats.org/officeDocument/2006/relationships/hyperlink" Target="https://doi.org/10.30574/gscarr.2024.21.1.0346"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heguardian.com/business/2023/mar/13/silicon-valley-bank-why-did-it-collapse-and-is-this-the-start-of-a-banking-crisis" TargetMode="External"/><Relationship Id="rId23" Type="http://schemas.openxmlformats.org/officeDocument/2006/relationships/hyperlink" Target="https://ojs.proaksara.com/index.php/jaffa/article/view/7" TargetMode="External"/><Relationship Id="rId28" Type="http://schemas.openxmlformats.org/officeDocument/2006/relationships/hyperlink" Target="https://doi.org/10.1108/GM-03-2023-0094" TargetMode="External"/><Relationship Id="rId36" Type="http://schemas.openxmlformats.org/officeDocument/2006/relationships/hyperlink" Target="https://doi.org/10.35870/jemsi.v11i1.3732" TargetMode="External"/><Relationship Id="rId49" Type="http://schemas.openxmlformats.org/officeDocument/2006/relationships/hyperlink" Target="https://doi.org/10.21511/bbs.19(2).2024.13" TargetMode="External"/><Relationship Id="rId57" Type="http://schemas.openxmlformats.org/officeDocument/2006/relationships/footer" Target="footer2.xml"/><Relationship Id="rId10" Type="http://schemas.openxmlformats.org/officeDocument/2006/relationships/hyperlink" Target="https://doi.org/10.24818/jamis.2024.02005" TargetMode="External"/><Relationship Id="rId31" Type="http://schemas.openxmlformats.org/officeDocument/2006/relationships/hyperlink" Target="https://e-journal.upr.ac.id/index.php/SAJ/article/view/19527" TargetMode="External"/><Relationship Id="rId44" Type="http://schemas.openxmlformats.org/officeDocument/2006/relationships/hyperlink" Target="https://mpra.ub.uni-muenchen.de/125792/" TargetMode="External"/><Relationship Id="rId52" Type="http://schemas.openxmlformats.org/officeDocument/2006/relationships/hyperlink" Target="https://doi.org/10.1108/JFRC-06-2024-0106"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648/j.ijfbr.2020060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17</Pages>
  <Words>7448</Words>
  <Characters>42457</Characters>
  <Application>Microsoft Office Word</Application>
  <DocSecurity>0</DocSecurity>
  <Lines>353</Lines>
  <Paragraphs>99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Abstract</vt:lpstr>
      <vt:lpstr>        This study investigated the effects of corporate tax planning and structural res</vt:lpstr>
      <vt:lpstr>        Keywords:  Corporate tax planning, capital intensity, current ratio, financial s</vt:lpstr>
      <vt:lpstr>        4.1	 Unit Root Tests for Stationarity</vt:lpstr>
      <vt:lpstr>        This section presents the results of the panel unit root tests conducted to inve</vt:lpstr>
      <vt:lpstr>        4.1.1	Discussion of Unit Root Results</vt:lpstr>
      <vt:lpstr>        The empirical results from the Fisher-type ADF panel unit root tests demonstrate</vt:lpstr>
    </vt:vector>
  </TitlesOfParts>
  <Company/>
  <LinksUpToDate>false</LinksUpToDate>
  <CharactersWithSpaces>49806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SDI 1087</cp:lastModifiedBy>
  <cp:revision>52</cp:revision>
  <dcterms:created xsi:type="dcterms:W3CDTF">2026-06-27T16:43:00Z</dcterms:created>
  <dcterms:modified xsi:type="dcterms:W3CDTF">2026-07-17T11:06:00Z</dcterms:modified>
</cp:coreProperties>
</file>