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7C2CC" w14:textId="77777777" w:rsidR="003555B5" w:rsidRDefault="002509A5" w:rsidP="0023611A">
      <w:pPr>
        <w:pBdr>
          <w:top w:val="nil"/>
          <w:left w:val="nil"/>
          <w:bottom w:val="nil"/>
          <w:right w:val="nil"/>
          <w:between w:val="nil"/>
        </w:pBdr>
        <w:spacing w:after="0" w:line="276" w:lineRule="auto"/>
        <w:jc w:val="center"/>
        <w:rPr>
          <w:rFonts w:cs="Times New Roman"/>
          <w:b/>
          <w:bCs/>
          <w:color w:val="000000"/>
          <w:sz w:val="36"/>
          <w:szCs w:val="36"/>
        </w:rPr>
      </w:pPr>
      <w:r w:rsidRPr="0023611A">
        <w:rPr>
          <w:rFonts w:cs="Times New Roman"/>
          <w:b/>
          <w:bCs/>
          <w:color w:val="000000"/>
          <w:sz w:val="36"/>
          <w:szCs w:val="36"/>
        </w:rPr>
        <w:t xml:space="preserve">Experimental Evaluation of Calorific Value, Combustion Behavior, and Energy Efficiency of Rice Husk Briquettes for </w:t>
      </w:r>
      <w:proofErr w:type="spellStart"/>
      <w:r w:rsidRPr="0023611A">
        <w:rPr>
          <w:rFonts w:cs="Times New Roman"/>
          <w:b/>
          <w:bCs/>
          <w:color w:val="000000"/>
          <w:sz w:val="36"/>
          <w:szCs w:val="36"/>
        </w:rPr>
        <w:t>Agro</w:t>
      </w:r>
      <w:proofErr w:type="spellEnd"/>
      <w:r w:rsidRPr="0023611A">
        <w:rPr>
          <w:rFonts w:cs="Times New Roman"/>
          <w:b/>
          <w:bCs/>
          <w:color w:val="000000"/>
          <w:sz w:val="36"/>
          <w:szCs w:val="36"/>
        </w:rPr>
        <w:t>-Processing</w:t>
      </w:r>
    </w:p>
    <w:p w14:paraId="1D68FE3A" w14:textId="77777777" w:rsidR="00AA61FE" w:rsidRDefault="00AA61FE" w:rsidP="0023611A">
      <w:pPr>
        <w:pBdr>
          <w:top w:val="nil"/>
          <w:left w:val="nil"/>
          <w:bottom w:val="nil"/>
          <w:right w:val="nil"/>
          <w:between w:val="nil"/>
        </w:pBdr>
        <w:spacing w:after="0" w:line="276" w:lineRule="auto"/>
        <w:jc w:val="center"/>
        <w:rPr>
          <w:rFonts w:cs="Times New Roman"/>
          <w:b/>
          <w:bCs/>
          <w:color w:val="000000"/>
          <w:sz w:val="36"/>
          <w:szCs w:val="36"/>
        </w:rPr>
      </w:pPr>
    </w:p>
    <w:p w14:paraId="5FEDC31F" w14:textId="77777777" w:rsidR="00AA61FE" w:rsidRPr="0023611A" w:rsidRDefault="00AA61FE" w:rsidP="0023611A">
      <w:pPr>
        <w:pBdr>
          <w:top w:val="nil"/>
          <w:left w:val="nil"/>
          <w:bottom w:val="nil"/>
          <w:right w:val="nil"/>
          <w:between w:val="nil"/>
        </w:pBdr>
        <w:spacing w:after="0" w:line="276" w:lineRule="auto"/>
        <w:jc w:val="center"/>
        <w:rPr>
          <w:rFonts w:cs="Times New Roman"/>
          <w:b/>
          <w:bCs/>
          <w:color w:val="000000"/>
          <w:sz w:val="36"/>
          <w:szCs w:val="36"/>
        </w:rPr>
      </w:pPr>
    </w:p>
    <w:p w14:paraId="3F63641D" w14:textId="77777777" w:rsidR="003555B5" w:rsidRDefault="003555B5">
      <w:pPr>
        <w:pBdr>
          <w:top w:val="nil"/>
          <w:left w:val="nil"/>
          <w:bottom w:val="nil"/>
          <w:right w:val="nil"/>
          <w:between w:val="nil"/>
        </w:pBdr>
        <w:spacing w:after="0" w:line="480" w:lineRule="auto"/>
        <w:jc w:val="both"/>
        <w:rPr>
          <w:rFonts w:cs="Times New Roman"/>
          <w:b/>
          <w:bCs/>
          <w:color w:val="0F1115"/>
          <w:szCs w:val="24"/>
          <w:highlight w:val="white"/>
        </w:rPr>
      </w:pPr>
    </w:p>
    <w:p w14:paraId="63047CEE" w14:textId="77777777" w:rsidR="003555B5" w:rsidRDefault="002509A5">
      <w:pPr>
        <w:pBdr>
          <w:top w:val="nil"/>
          <w:left w:val="nil"/>
          <w:bottom w:val="nil"/>
          <w:right w:val="nil"/>
          <w:between w:val="nil"/>
        </w:pBdr>
        <w:spacing w:after="0" w:line="480" w:lineRule="auto"/>
        <w:jc w:val="both"/>
        <w:rPr>
          <w:rFonts w:cs="Times New Roman"/>
          <w:b/>
          <w:bCs/>
          <w:color w:val="0F1115"/>
          <w:szCs w:val="24"/>
          <w:highlight w:val="white"/>
        </w:rPr>
      </w:pPr>
      <w:r>
        <w:rPr>
          <w:rFonts w:cs="Times New Roman"/>
          <w:b/>
          <w:bCs/>
          <w:color w:val="0F1115"/>
          <w:szCs w:val="24"/>
          <w:highlight w:val="white"/>
        </w:rPr>
        <w:t>Abstract</w:t>
      </w:r>
    </w:p>
    <w:p w14:paraId="3E39B2D8" w14:textId="1635AEB5" w:rsidR="003555B5" w:rsidRDefault="00717394" w:rsidP="0023611A">
      <w:pPr>
        <w:pBdr>
          <w:top w:val="nil"/>
          <w:left w:val="nil"/>
          <w:bottom w:val="nil"/>
          <w:right w:val="nil"/>
          <w:between w:val="nil"/>
        </w:pBdr>
        <w:spacing w:after="0" w:line="480" w:lineRule="auto"/>
        <w:jc w:val="both"/>
        <w:rPr>
          <w:rFonts w:cs="Times New Roman"/>
          <w:b/>
          <w:bCs/>
          <w:color w:val="000000"/>
          <w:szCs w:val="24"/>
        </w:rPr>
      </w:pPr>
      <w:r w:rsidRPr="00717394">
        <w:t xml:space="preserve">Rice husk is a residue of rice milling that can be densified into solid fuel for small-scale </w:t>
      </w:r>
      <w:proofErr w:type="spellStart"/>
      <w:r w:rsidRPr="00717394">
        <w:t>agro</w:t>
      </w:r>
      <w:proofErr w:type="spellEnd"/>
      <w:r w:rsidRPr="00717394">
        <w:t>-processing.</w:t>
      </w:r>
      <w:r>
        <w:t xml:space="preserve"> </w:t>
      </w:r>
      <w:r w:rsidR="002509A5">
        <w:t xml:space="preserve">This study </w:t>
      </w:r>
      <w:r w:rsidR="002509A5">
        <w:rPr>
          <w:highlight w:val="yellow"/>
        </w:rPr>
        <w:t>examines the potential</w:t>
      </w:r>
      <w:r w:rsidR="002509A5">
        <w:t xml:space="preserve"> of rice husk briquettes (RHB) as an alternative fuel for cassava processing. Rice husks were compressed using a screw-press extrusion system, and their energy performance was evaluated by calorimetry and combustion testing. An Adobe SMART Stove was used for practical cassava-flaking tests. The briquettes had calorific values of 14.79–15.56 MJ/kg, operational temperatures of 615–710 °C and a reported combustion efficiency of 70%, compared with 16.2 MJ/kg, 850 °C and 80% for fuelwood. In cassava-flaking trials using 5 kg of sieved cassava per test, the reported processing time was 15 min for both fuels, while fuel consumption was 3 kg for the briquettes and 5 kg for fuelwood. Because the two fuels were tested in different stove arrangements, the fuel-consumption difference cannot be attributed to fuel properties alone. The results nevertheless demonstrate the technical potential of densified rice husk as a solid fuel for rural agro-processing and provide a basis for further controlled comparisons.</w:t>
      </w:r>
    </w:p>
    <w:p w14:paraId="468ED006"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b/>
          <w:bCs/>
          <w:color w:val="000000"/>
          <w:szCs w:val="24"/>
        </w:rPr>
        <w:t>Keywords:</w:t>
      </w:r>
      <w:r>
        <w:rPr>
          <w:rFonts w:cs="Times New Roman"/>
          <w:color w:val="000000"/>
          <w:szCs w:val="24"/>
        </w:rPr>
        <w:t xml:space="preserve"> </w:t>
      </w:r>
      <w:r w:rsidRPr="0023611A">
        <w:rPr>
          <w:rFonts w:cs="Times New Roman"/>
          <w:i/>
          <w:iCs/>
          <w:color w:val="000000"/>
          <w:szCs w:val="24"/>
        </w:rPr>
        <w:t xml:space="preserve">Rice husk briquettes, Biomass energy, Calorific value, Combustion efficiency; Cassava processing, </w:t>
      </w:r>
      <w:proofErr w:type="spellStart"/>
      <w:r w:rsidRPr="0023611A">
        <w:rPr>
          <w:rFonts w:cs="Times New Roman"/>
          <w:i/>
          <w:iCs/>
          <w:color w:val="000000"/>
          <w:szCs w:val="24"/>
        </w:rPr>
        <w:t>Agro</w:t>
      </w:r>
      <w:proofErr w:type="spellEnd"/>
      <w:r w:rsidRPr="0023611A">
        <w:rPr>
          <w:rFonts w:cs="Times New Roman"/>
          <w:i/>
          <w:iCs/>
          <w:color w:val="000000"/>
          <w:szCs w:val="24"/>
        </w:rPr>
        <w:t>-waste valorization; Sustainable fuel</w:t>
      </w:r>
      <w:r>
        <w:rPr>
          <w:rFonts w:cs="Times New Roman"/>
          <w:color w:val="000000"/>
          <w:szCs w:val="24"/>
        </w:rPr>
        <w:t>.</w:t>
      </w:r>
    </w:p>
    <w:p w14:paraId="6FCF61ED" w14:textId="77777777" w:rsidR="0023611A" w:rsidRDefault="0023611A">
      <w:pPr>
        <w:pBdr>
          <w:top w:val="nil"/>
          <w:left w:val="nil"/>
          <w:bottom w:val="nil"/>
          <w:right w:val="nil"/>
          <w:between w:val="nil"/>
        </w:pBdr>
        <w:spacing w:after="0" w:line="480" w:lineRule="auto"/>
        <w:jc w:val="both"/>
        <w:rPr>
          <w:rFonts w:cs="Times New Roman"/>
          <w:color w:val="000000"/>
          <w:szCs w:val="24"/>
        </w:rPr>
      </w:pPr>
    </w:p>
    <w:p w14:paraId="01ECA295" w14:textId="77777777" w:rsidR="0023611A" w:rsidRDefault="0023611A">
      <w:pPr>
        <w:pBdr>
          <w:top w:val="nil"/>
          <w:left w:val="nil"/>
          <w:bottom w:val="nil"/>
          <w:right w:val="nil"/>
          <w:between w:val="nil"/>
        </w:pBdr>
        <w:spacing w:after="0" w:line="480" w:lineRule="auto"/>
        <w:jc w:val="both"/>
        <w:rPr>
          <w:rFonts w:cs="Times New Roman"/>
          <w:b/>
          <w:bCs/>
          <w:color w:val="000000"/>
          <w:szCs w:val="24"/>
        </w:rPr>
      </w:pPr>
    </w:p>
    <w:p w14:paraId="6E25EDBE" w14:textId="77777777" w:rsidR="00CB367E" w:rsidRDefault="00CB367E">
      <w:pPr>
        <w:pBdr>
          <w:top w:val="nil"/>
          <w:left w:val="nil"/>
          <w:bottom w:val="nil"/>
          <w:right w:val="nil"/>
          <w:between w:val="nil"/>
        </w:pBdr>
        <w:spacing w:after="0" w:line="480" w:lineRule="auto"/>
        <w:jc w:val="both"/>
        <w:outlineLvl w:val="0"/>
        <w:rPr>
          <w:rFonts w:cs="Times New Roman"/>
          <w:b/>
          <w:bCs/>
          <w:color w:val="000000"/>
          <w:szCs w:val="24"/>
        </w:rPr>
      </w:pPr>
    </w:p>
    <w:p w14:paraId="401E7408" w14:textId="77777777" w:rsidR="00CB367E" w:rsidRDefault="00CB367E">
      <w:pPr>
        <w:pBdr>
          <w:top w:val="nil"/>
          <w:left w:val="nil"/>
          <w:bottom w:val="nil"/>
          <w:right w:val="nil"/>
          <w:between w:val="nil"/>
        </w:pBdr>
        <w:spacing w:after="0" w:line="480" w:lineRule="auto"/>
        <w:jc w:val="both"/>
        <w:outlineLvl w:val="0"/>
        <w:rPr>
          <w:rFonts w:cs="Times New Roman"/>
          <w:b/>
          <w:bCs/>
          <w:color w:val="000000"/>
          <w:szCs w:val="24"/>
        </w:rPr>
      </w:pPr>
    </w:p>
    <w:p w14:paraId="6B5637F0" w14:textId="77777777" w:rsidR="003555B5" w:rsidRDefault="0023611A">
      <w:pPr>
        <w:pBdr>
          <w:top w:val="nil"/>
          <w:left w:val="nil"/>
          <w:bottom w:val="nil"/>
          <w:right w:val="nil"/>
          <w:between w:val="nil"/>
        </w:pBdr>
        <w:spacing w:after="0" w:line="480" w:lineRule="auto"/>
        <w:jc w:val="both"/>
        <w:outlineLvl w:val="0"/>
        <w:rPr>
          <w:rFonts w:cs="Times New Roman"/>
          <w:b/>
          <w:bCs/>
          <w:color w:val="000000"/>
          <w:szCs w:val="24"/>
        </w:rPr>
      </w:pPr>
      <w:r>
        <w:rPr>
          <w:rFonts w:cs="Times New Roman"/>
          <w:b/>
          <w:bCs/>
          <w:color w:val="000000"/>
          <w:szCs w:val="24"/>
        </w:rPr>
        <w:t>INTRODUCTION</w:t>
      </w:r>
    </w:p>
    <w:p w14:paraId="65ACD4A4" w14:textId="77777777" w:rsidR="003555B5" w:rsidRDefault="002509A5">
      <w:pPr>
        <w:pBdr>
          <w:top w:val="nil"/>
          <w:left w:val="nil"/>
          <w:bottom w:val="nil"/>
          <w:right w:val="nil"/>
          <w:between w:val="nil"/>
        </w:pBdr>
        <w:spacing w:after="0" w:line="480" w:lineRule="auto"/>
        <w:jc w:val="both"/>
        <w:rPr>
          <w:rFonts w:cs="Times New Roman"/>
          <w:color w:val="000000"/>
          <w:szCs w:val="24"/>
        </w:rPr>
      </w:pPr>
      <w:bookmarkStart w:id="0" w:name="_lsqoz0kbveaf" w:colFirst="0" w:colLast="0"/>
      <w:r>
        <w:rPr>
          <w:rFonts w:cs="Times New Roman"/>
          <w:color w:val="000000"/>
          <w:szCs w:val="24"/>
        </w:rPr>
        <w:t>Cassava (</w:t>
      </w:r>
      <w:r>
        <w:rPr>
          <w:rFonts w:cs="Times New Roman"/>
          <w:i/>
          <w:iCs/>
          <w:color w:val="000000"/>
          <w:szCs w:val="24"/>
        </w:rPr>
        <w:t>Manihot esculenta</w:t>
      </w:r>
      <w:r>
        <w:rPr>
          <w:rFonts w:cs="Times New Roman"/>
          <w:color w:val="000000"/>
          <w:szCs w:val="24"/>
        </w:rPr>
        <w:t>) processing plays a crucial role in many tropical and subtropical regions, where the crop serves not only as a major staple food but also as an important source of income for rural households (Borku, 2025). The transformation of cassava roots into products such as cassava flakes (gari) involves several processing stages, including peeling, grating, dewatering, sieving, and roasting or flaking (</w:t>
      </w:r>
      <w:r>
        <w:rPr>
          <w:rFonts w:cs="Times New Roman"/>
          <w:color w:val="222222"/>
          <w:szCs w:val="24"/>
          <w:highlight w:val="yellow"/>
        </w:rPr>
        <w:t>Ngoualem Kégah &amp; Ndjouenkeu, 2023; TAAT Clearinghouse, 2022</w:t>
      </w:r>
      <w:r>
        <w:rPr>
          <w:rFonts w:cs="Times New Roman"/>
          <w:color w:val="000000"/>
          <w:szCs w:val="24"/>
        </w:rPr>
        <w:t xml:space="preserve">). Among these steps, flaking is one of the most energy-demanding processes because it requires a steady and reliable heat supply to properly </w:t>
      </w:r>
      <w:r>
        <w:rPr>
          <w:rFonts w:cs="Times New Roman"/>
          <w:color w:val="000000"/>
          <w:szCs w:val="24"/>
          <w:highlight w:val="yellow"/>
        </w:rPr>
        <w:t>gelatinise</w:t>
      </w:r>
      <w:r>
        <w:rPr>
          <w:rFonts w:cs="Times New Roman"/>
          <w:color w:val="000000"/>
          <w:szCs w:val="24"/>
        </w:rPr>
        <w:t xml:space="preserve"> and dry the cassava mash (</w:t>
      </w:r>
      <w:r>
        <w:rPr>
          <w:rFonts w:cs="Times New Roman"/>
          <w:color w:val="222222"/>
          <w:szCs w:val="24"/>
          <w:highlight w:val="white"/>
        </w:rPr>
        <w:t>Hans et al., 2023)</w:t>
      </w:r>
      <w:r>
        <w:rPr>
          <w:rFonts w:cs="Times New Roman"/>
          <w:color w:val="000000"/>
          <w:szCs w:val="24"/>
        </w:rPr>
        <w:t>. In most rural communities, this heat is traditionally generated using biomass fuels such as firewood or charcoal.</w:t>
      </w:r>
      <w:bookmarkEnd w:id="0"/>
    </w:p>
    <w:p w14:paraId="32668B7E" w14:textId="4DA44390" w:rsidR="003555B5" w:rsidRDefault="002509A5">
      <w:pPr>
        <w:pBdr>
          <w:top w:val="nil"/>
          <w:left w:val="nil"/>
          <w:bottom w:val="nil"/>
          <w:right w:val="nil"/>
          <w:between w:val="nil"/>
        </w:pBdr>
        <w:spacing w:before="240" w:after="0" w:line="480" w:lineRule="auto"/>
        <w:jc w:val="both"/>
        <w:rPr>
          <w:rFonts w:cs="Times New Roman"/>
          <w:color w:val="000000"/>
          <w:szCs w:val="24"/>
        </w:rPr>
      </w:pPr>
      <w:r>
        <w:rPr>
          <w:rFonts w:cs="Times New Roman"/>
          <w:color w:val="000000"/>
          <w:szCs w:val="24"/>
        </w:rPr>
        <w:t>However, the heavy reliance on firewood for cassava flaking presents serious environmental and socio-economic challenges. Continuous harvesting of fuelwood contributes to deforestation, biodiversity loss, and unsustainable land use (</w:t>
      </w:r>
      <w:r>
        <w:rPr>
          <w:rFonts w:cs="Times New Roman"/>
          <w:color w:val="222222"/>
          <w:szCs w:val="24"/>
          <w:highlight w:val="yellow"/>
        </w:rPr>
        <w:t>Girma &amp; Shimeles, 2025</w:t>
      </w:r>
      <w:r>
        <w:rPr>
          <w:rFonts w:cs="Times New Roman"/>
          <w:color w:val="000000"/>
          <w:szCs w:val="24"/>
        </w:rPr>
        <w:t>). In addition, burning firewood releases greenhouse gases and particulate matter that contribute to climate change and air pollution (</w:t>
      </w:r>
      <w:r>
        <w:rPr>
          <w:rFonts w:cs="Times New Roman"/>
          <w:color w:val="222222"/>
          <w:szCs w:val="24"/>
          <w:highlight w:val="yellow"/>
        </w:rPr>
        <w:t>Łaska &amp; Ige, 2023</w:t>
      </w:r>
      <w:r>
        <w:rPr>
          <w:rFonts w:cs="Times New Roman"/>
          <w:color w:val="000000"/>
          <w:szCs w:val="24"/>
        </w:rPr>
        <w:t xml:space="preserve">). The smoke produced during the flaking process also poses health risks to processors, especially women who are predominantly involved in small-scale cassava processing activities (Adeshina, 2024; </w:t>
      </w:r>
      <w:r>
        <w:rPr>
          <w:rFonts w:cs="Times New Roman"/>
          <w:color w:val="222222"/>
          <w:szCs w:val="24"/>
          <w:highlight w:val="white"/>
        </w:rPr>
        <w:t>Adeniyi</w:t>
      </w:r>
      <w:r>
        <w:rPr>
          <w:rFonts w:cs="Times New Roman"/>
          <w:color w:val="000000"/>
          <w:szCs w:val="24"/>
        </w:rPr>
        <w:t xml:space="preserve"> et al., 2024; Agoh</w:t>
      </w:r>
      <w:r>
        <w:rPr>
          <w:rFonts w:cs="Times New Roman"/>
          <w:color w:val="222222"/>
          <w:szCs w:val="24"/>
          <w:highlight w:val="white"/>
        </w:rPr>
        <w:t xml:space="preserve"> et al., 2024</w:t>
      </w:r>
      <w:r>
        <w:rPr>
          <w:rFonts w:cs="Times New Roman"/>
          <w:color w:val="000000"/>
          <w:szCs w:val="24"/>
        </w:rPr>
        <w:t>). These challenges highlight the need to explore cleaner, more sustainable energy alternatives for cassava processing (</w:t>
      </w:r>
      <w:r w:rsidR="006059D4" w:rsidRPr="006059D4">
        <w:rPr>
          <w:rFonts w:cs="Times New Roman"/>
          <w:color w:val="222222"/>
          <w:szCs w:val="24"/>
        </w:rPr>
        <w:t>Abass</w:t>
      </w:r>
      <w:r>
        <w:rPr>
          <w:rFonts w:cs="Times New Roman"/>
          <w:color w:val="222222"/>
          <w:szCs w:val="24"/>
          <w:highlight w:val="white"/>
        </w:rPr>
        <w:t>, 2023</w:t>
      </w:r>
      <w:r>
        <w:rPr>
          <w:rFonts w:cs="Times New Roman"/>
          <w:color w:val="000000"/>
          <w:szCs w:val="24"/>
        </w:rPr>
        <w:t>).</w:t>
      </w:r>
    </w:p>
    <w:p w14:paraId="23023A8A" w14:textId="77777777" w:rsidR="003555B5" w:rsidRPr="00717394" w:rsidRDefault="002509A5">
      <w:pPr>
        <w:pBdr>
          <w:top w:val="nil"/>
          <w:left w:val="nil"/>
          <w:bottom w:val="nil"/>
          <w:right w:val="nil"/>
          <w:between w:val="nil"/>
        </w:pBdr>
        <w:spacing w:after="0" w:line="480" w:lineRule="auto"/>
        <w:jc w:val="both"/>
        <w:rPr>
          <w:rFonts w:cs="Times New Roman"/>
          <w:bCs/>
          <w:color w:val="000000"/>
          <w:szCs w:val="24"/>
        </w:rPr>
      </w:pPr>
      <w:r>
        <w:rPr>
          <w:rFonts w:cs="Times New Roman"/>
          <w:color w:val="000000"/>
          <w:szCs w:val="24"/>
        </w:rPr>
        <w:t xml:space="preserve">In recent years, growing attention has been directed toward the use of agricultural residues as </w:t>
      </w:r>
      <w:r>
        <w:rPr>
          <w:rFonts w:cs="Times New Roman"/>
          <w:color w:val="000000"/>
          <w:szCs w:val="24"/>
          <w:highlight w:val="yellow"/>
        </w:rPr>
        <w:t>renewable biomass energy sources (Benti et al., 2021).</w:t>
      </w:r>
      <w:r>
        <w:rPr>
          <w:rFonts w:cs="Times New Roman"/>
          <w:color w:val="000000"/>
          <w:szCs w:val="24"/>
        </w:rPr>
        <w:t xml:space="preserve"> One such residue is rice husk, a by-product of rice milling that accounts for about 20% of the harvested rice grain (</w:t>
      </w:r>
      <w:r>
        <w:rPr>
          <w:rFonts w:cs="Times New Roman"/>
          <w:color w:val="222222"/>
          <w:szCs w:val="24"/>
          <w:highlight w:val="yellow"/>
        </w:rPr>
        <w:t xml:space="preserve">Chavan et al., 2024; Chieng </w:t>
      </w:r>
      <w:r>
        <w:rPr>
          <w:rFonts w:cs="Times New Roman"/>
          <w:color w:val="222222"/>
          <w:szCs w:val="24"/>
          <w:highlight w:val="yellow"/>
        </w:rPr>
        <w:lastRenderedPageBreak/>
        <w:t>&amp; Kuan, 2022</w:t>
      </w:r>
      <w:r>
        <w:rPr>
          <w:rFonts w:cs="Times New Roman"/>
          <w:color w:val="222222"/>
          <w:szCs w:val="24"/>
          <w:highlight w:val="white"/>
        </w:rPr>
        <w:t>).</w:t>
      </w:r>
      <w:r>
        <w:rPr>
          <w:rFonts w:cs="Times New Roman"/>
          <w:color w:val="000000"/>
          <w:szCs w:val="24"/>
        </w:rPr>
        <w:t xml:space="preserve"> Large quantities of rice husk are generated globally each year and are often treated as waste or disposed of through open burning, which contributes to environmental pollution (</w:t>
      </w:r>
      <w:r>
        <w:rPr>
          <w:rFonts w:cs="Times New Roman"/>
          <w:color w:val="000000"/>
          <w:szCs w:val="24"/>
          <w:highlight w:val="yellow"/>
        </w:rPr>
        <w:t>Kesari &amp; Jamal, 2017; Singh et al., 2021</w:t>
      </w:r>
      <w:r>
        <w:rPr>
          <w:rFonts w:cs="Times New Roman"/>
          <w:color w:val="000000"/>
          <w:szCs w:val="24"/>
        </w:rPr>
        <w:t>). Nevertheless, rice husk contains considerable energy potential and can be converted into briquettes through densification processes, thereby improving its fuel quality and usability (</w:t>
      </w:r>
      <w:r>
        <w:rPr>
          <w:rFonts w:cs="Times New Roman"/>
          <w:color w:val="222222"/>
          <w:szCs w:val="24"/>
          <w:highlight w:val="yellow"/>
        </w:rPr>
        <w:t>Sithole et al., 2023; Suryaningsih et al., 2018; Vijaya et al., 2025; Yunusa et al., 2025</w:t>
      </w:r>
      <w:r>
        <w:rPr>
          <w:rFonts w:cs="Times New Roman"/>
          <w:color w:val="000000"/>
          <w:szCs w:val="24"/>
        </w:rPr>
        <w:t>).</w:t>
      </w:r>
      <w:r>
        <w:rPr>
          <w:b/>
          <w:highlight w:val="yellow"/>
        </w:rPr>
        <w:t xml:space="preserve"> </w:t>
      </w:r>
      <w:r w:rsidRPr="00717394">
        <w:rPr>
          <w:bCs/>
          <w:highlight w:val="yellow"/>
        </w:rPr>
        <w:t>A review of agricultural biomass residues in Nigeria also identifies rice husk among materials with potential for bioenergy generation and other value-added uses (Giwa et al., 2025).</w:t>
      </w:r>
    </w:p>
    <w:p w14:paraId="278C8AD7" w14:textId="38E0141E" w:rsidR="003555B5" w:rsidRPr="00717394" w:rsidRDefault="002509A5">
      <w:pPr>
        <w:pBdr>
          <w:top w:val="nil"/>
          <w:left w:val="nil"/>
          <w:bottom w:val="nil"/>
          <w:right w:val="nil"/>
          <w:between w:val="nil"/>
        </w:pBdr>
        <w:spacing w:after="0" w:line="480" w:lineRule="auto"/>
        <w:jc w:val="both"/>
        <w:rPr>
          <w:rFonts w:cs="Times New Roman"/>
          <w:bCs/>
          <w:color w:val="000000"/>
          <w:szCs w:val="24"/>
        </w:rPr>
      </w:pPr>
      <w:r>
        <w:rPr>
          <w:rFonts w:cs="Times New Roman"/>
          <w:color w:val="000000"/>
          <w:szCs w:val="24"/>
        </w:rPr>
        <w:t xml:space="preserve">Rice husk briquettes (RHB) are compacted biomass fuels with higher energy density, improved combustion characteristics, and easier handling </w:t>
      </w:r>
      <w:r>
        <w:rPr>
          <w:rFonts w:cs="Times New Roman"/>
          <w:color w:val="000000"/>
          <w:szCs w:val="24"/>
          <w:highlight w:val="yellow"/>
        </w:rPr>
        <w:t>compared with loose agricultural residues</w:t>
      </w:r>
      <w:r>
        <w:rPr>
          <w:rFonts w:cs="Times New Roman"/>
          <w:color w:val="000000"/>
          <w:szCs w:val="24"/>
        </w:rPr>
        <w:t xml:space="preserve"> (</w:t>
      </w:r>
      <w:r>
        <w:rPr>
          <w:rFonts w:cs="Times New Roman"/>
          <w:color w:val="000000"/>
          <w:szCs w:val="24"/>
          <w:highlight w:val="yellow"/>
        </w:rPr>
        <w:t>Ali et al., 2024; Ondari et al., 2025; Yank et al., 2016</w:t>
      </w:r>
      <w:r>
        <w:rPr>
          <w:rFonts w:cs="Times New Roman"/>
          <w:color w:val="000000"/>
          <w:szCs w:val="24"/>
        </w:rPr>
        <w:t>). Because they are renewable and widely available, RHB have gained attention as a promising alternative fuel for thermal applications in agro-processing industries (</w:t>
      </w:r>
      <w:r>
        <w:rPr>
          <w:rFonts w:cs="Times New Roman"/>
          <w:color w:val="000000"/>
          <w:szCs w:val="24"/>
          <w:highlight w:val="yellow"/>
        </w:rPr>
        <w:t>Kapoor &amp; Sillanpää, 2025</w:t>
      </w:r>
      <w:r>
        <w:rPr>
          <w:rFonts w:cs="Times New Roman"/>
          <w:color w:val="000000"/>
          <w:szCs w:val="24"/>
        </w:rPr>
        <w:t>; Vishnu Priyan et al., 2024). Their use in cassava flaking could reduce dependence on firewood, lower environmental impacts, and promote more sustainable energy use within rural agricultural value chains (</w:t>
      </w:r>
      <w:r w:rsidR="006059D4" w:rsidRPr="006059D4">
        <w:rPr>
          <w:rFonts w:cs="Times New Roman"/>
          <w:color w:val="000000"/>
          <w:szCs w:val="24"/>
        </w:rPr>
        <w:t>Mwape</w:t>
      </w:r>
      <w:r>
        <w:rPr>
          <w:rFonts w:cs="Times New Roman"/>
          <w:color w:val="000000"/>
          <w:szCs w:val="24"/>
        </w:rPr>
        <w:t>, 202</w:t>
      </w:r>
      <w:r w:rsidR="006059D4">
        <w:rPr>
          <w:rFonts w:cs="Times New Roman"/>
          <w:color w:val="000000"/>
          <w:szCs w:val="24"/>
        </w:rPr>
        <w:t>5</w:t>
      </w:r>
      <w:r>
        <w:rPr>
          <w:rFonts w:cs="Times New Roman"/>
          <w:color w:val="000000"/>
          <w:szCs w:val="24"/>
        </w:rPr>
        <w:t xml:space="preserve">; </w:t>
      </w:r>
      <w:proofErr w:type="spellStart"/>
      <w:r>
        <w:rPr>
          <w:rFonts w:cs="Times New Roman"/>
          <w:color w:val="222222"/>
          <w:szCs w:val="24"/>
          <w:highlight w:val="white"/>
        </w:rPr>
        <w:t>Tshimungu</w:t>
      </w:r>
      <w:proofErr w:type="spellEnd"/>
      <w:r>
        <w:rPr>
          <w:rFonts w:cs="Times New Roman"/>
          <w:color w:val="222222"/>
          <w:szCs w:val="24"/>
          <w:highlight w:val="white"/>
        </w:rPr>
        <w:t xml:space="preserve"> et al., 2026</w:t>
      </w:r>
      <w:r>
        <w:rPr>
          <w:rFonts w:cs="Times New Roman"/>
          <w:color w:val="000000"/>
          <w:szCs w:val="24"/>
        </w:rPr>
        <w:t>).</w:t>
      </w:r>
      <w:r>
        <w:rPr>
          <w:b/>
          <w:highlight w:val="yellow"/>
        </w:rPr>
        <w:t xml:space="preserve"> </w:t>
      </w:r>
      <w:r w:rsidRPr="00717394">
        <w:rPr>
          <w:bCs/>
          <w:highlight w:val="yellow"/>
        </w:rPr>
        <w:t>Experimental research on rice husk–bagasse briquettes has demonstrated that formulation, binder type, and compaction pressure affect their measured thermal and physical properties (Daniel et al., 2020). Densification experiments involving rice husk and wood shavings have likewise documented the effects of feedstock composition and operating conditions on briquette characteristics (Kamdem et al., 2025).</w:t>
      </w:r>
    </w:p>
    <w:p w14:paraId="6B1DB876" w14:textId="766E08B2" w:rsidR="00942E36" w:rsidRPr="00717394" w:rsidRDefault="002509A5" w:rsidP="00717394">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The use of different biomass fuels in food processing applications offers advantages such as renewability and environmental sustainability (</w:t>
      </w:r>
      <w:r>
        <w:rPr>
          <w:rFonts w:cs="Times New Roman"/>
          <w:color w:val="000000"/>
          <w:szCs w:val="24"/>
          <w:highlight w:val="yellow"/>
        </w:rPr>
        <w:t>Gheidan et al., 2021; Kataya et al., 2023</w:t>
      </w:r>
      <w:r>
        <w:rPr>
          <w:rFonts w:cs="Times New Roman"/>
          <w:color w:val="000000"/>
          <w:szCs w:val="24"/>
        </w:rPr>
        <w:t xml:space="preserve">). However, challenges related to </w:t>
      </w:r>
      <w:r>
        <w:rPr>
          <w:rFonts w:cs="Times New Roman"/>
          <w:color w:val="000000"/>
          <w:szCs w:val="24"/>
          <w:highlight w:val="yellow"/>
        </w:rPr>
        <w:t>fuel-property characterisation</w:t>
      </w:r>
      <w:r>
        <w:rPr>
          <w:rFonts w:cs="Times New Roman"/>
          <w:color w:val="000000"/>
          <w:szCs w:val="24"/>
        </w:rPr>
        <w:t xml:space="preserve"> and potential competition with food </w:t>
      </w:r>
      <w:r>
        <w:rPr>
          <w:rFonts w:cs="Times New Roman"/>
          <w:color w:val="000000"/>
          <w:szCs w:val="24"/>
        </w:rPr>
        <w:lastRenderedPageBreak/>
        <w:t>production need to be addressed to ensure the efficient and sustainable integration of biomass energy into food processing operations (</w:t>
      </w:r>
      <w:r>
        <w:rPr>
          <w:rFonts w:cs="Times New Roman"/>
          <w:color w:val="222222"/>
          <w:szCs w:val="24"/>
          <w:highlight w:val="yellow"/>
        </w:rPr>
        <w:t>Khalil &amp; DanielRos, 2025</w:t>
      </w:r>
      <w:r>
        <w:rPr>
          <w:rFonts w:cs="Times New Roman"/>
          <w:color w:val="222222"/>
          <w:szCs w:val="24"/>
          <w:highlight w:val="white"/>
        </w:rPr>
        <w:t>; Mignogna et al., 2024).</w:t>
      </w:r>
      <w:r w:rsidR="00717394">
        <w:rPr>
          <w:rFonts w:cs="Times New Roman"/>
          <w:color w:val="000000"/>
          <w:szCs w:val="24"/>
        </w:rPr>
        <w:t xml:space="preserve"> </w:t>
      </w:r>
      <w:r w:rsidRPr="00717394">
        <w:rPr>
          <w:bCs/>
          <w:highlight w:val="yellow"/>
        </w:rPr>
        <w:t>A fixed-bed combustion study of oil-enriched carbonised rice husk briquettes further examined the influence of particle size and air-mass flux on ignition and burning behaviour (Diallo et al., 2025).</w:t>
      </w:r>
    </w:p>
    <w:p w14:paraId="6E3A7C81" w14:textId="77777777" w:rsidR="00942E36" w:rsidRPr="00717394" w:rsidRDefault="00000000">
      <w:pPr>
        <w:keepLines/>
        <w:spacing w:after="0" w:line="480" w:lineRule="auto"/>
        <w:jc w:val="both"/>
        <w:rPr>
          <w:bCs/>
        </w:rPr>
      </w:pPr>
      <w:r w:rsidRPr="00717394">
        <w:rPr>
          <w:bCs/>
          <w:highlight w:val="yellow"/>
        </w:rPr>
        <w:t>Although earlier studies have characterised rice husk briquettes and related biomass fuels, the literature discussed here does not directly examine screw-press rice husk briquettes in the cassava-flaking arrangement evaluated in the present study. The application-specific question is therefore how the briquettes perform in calorimetry and combustion tests and during cassava flaking, alongside a fuelwood treatment. Because the two fuels are assessed in different stove arrangements, the processing comparison describes the tested fuel–stove configurations rather than isolating the effect of fuel type.</w:t>
      </w:r>
    </w:p>
    <w:p w14:paraId="54C74198"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Therefore, this study focuses on producing briquettes from rice husk and evaluating their thermal performance by determining the heat energy output generated during combustion. The study also examines the feasibility of integrating rice husk briquettes as an alternative energy source for cassava flaking. By converting agricultural waste into a useful energy resource, this research aims to improve energy efficiency, promote sustainable cassava processing, and contribute to environmental protection and rural economic development.</w:t>
      </w:r>
    </w:p>
    <w:p w14:paraId="7B2C513C" w14:textId="77777777" w:rsidR="003555B5" w:rsidRDefault="003555B5">
      <w:pPr>
        <w:pBdr>
          <w:top w:val="nil"/>
          <w:left w:val="nil"/>
          <w:bottom w:val="nil"/>
          <w:right w:val="nil"/>
          <w:between w:val="nil"/>
        </w:pBdr>
        <w:spacing w:after="0" w:line="480" w:lineRule="auto"/>
        <w:jc w:val="both"/>
        <w:rPr>
          <w:rFonts w:cs="Times New Roman"/>
          <w:color w:val="000000"/>
          <w:szCs w:val="24"/>
        </w:rPr>
      </w:pPr>
    </w:p>
    <w:p w14:paraId="6E357603" w14:textId="77777777" w:rsidR="003555B5" w:rsidRPr="0023611A" w:rsidRDefault="0023611A">
      <w:pPr>
        <w:pBdr>
          <w:top w:val="nil"/>
          <w:left w:val="nil"/>
          <w:bottom w:val="nil"/>
          <w:right w:val="nil"/>
          <w:between w:val="nil"/>
        </w:pBdr>
        <w:spacing w:after="0" w:line="480" w:lineRule="auto"/>
        <w:jc w:val="both"/>
        <w:outlineLvl w:val="0"/>
        <w:rPr>
          <w:rFonts w:cs="Times New Roman"/>
          <w:b/>
          <w:bCs/>
          <w:color w:val="222222"/>
          <w:szCs w:val="24"/>
          <w:highlight w:val="white"/>
        </w:rPr>
      </w:pPr>
      <w:r w:rsidRPr="0023611A">
        <w:rPr>
          <w:b/>
          <w:bCs/>
        </w:rPr>
        <w:t>METHODOLOGY</w:t>
      </w:r>
    </w:p>
    <w:p w14:paraId="13FD3DD0"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Experimental Design and Study Location</w:t>
      </w:r>
    </w:p>
    <w:p w14:paraId="75391D9D" w14:textId="77777777" w:rsidR="003555B5" w:rsidRDefault="002509A5">
      <w:pPr>
        <w:spacing w:after="0" w:line="480" w:lineRule="auto"/>
        <w:jc w:val="both"/>
        <w:rPr>
          <w:rFonts w:cs="Times New Roman"/>
          <w:color w:val="222222"/>
          <w:szCs w:val="24"/>
          <w:highlight w:val="white"/>
        </w:rPr>
      </w:pPr>
      <w:r>
        <w:t xml:space="preserve">This study used an experimental approach to evaluate the performance of rice husk briquettes as an alternative fuel for cassava processing. Rice husk was obtained from a local rice-milling centre in Wukari, Taraba State, Nigeria. The cassava used for the processing trials was the TMS 30572 </w:t>
      </w:r>
      <w:r>
        <w:lastRenderedPageBreak/>
        <w:t>variety, harvested at approximately 9 months of age. The rice husk was manually sorted to remove stones, foreign matter and other visible impurities, then spread in a clean open area and sun-dried for three days. Moisture loss during preparation was monitored gravimetrically. For oven-based moisture determination, representative samples were dried at 105 °C to constant mass. The dried samples were allowed to cool for 24 h before weighing and testing. Mass was measured with a digital analytical balance (Mettler Toledo, 0.0001 g sensitivity).</w:t>
      </w:r>
    </w:p>
    <w:p w14:paraId="2B32140F"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Rice Husk Briquette Production</w:t>
      </w:r>
    </w:p>
    <w:p w14:paraId="3B385F63" w14:textId="77777777" w:rsidR="003555B5" w:rsidRDefault="002509A5">
      <w:pPr>
        <w:spacing w:after="0" w:line="480" w:lineRule="auto"/>
        <w:jc w:val="both"/>
        <w:rPr>
          <w:rFonts w:cs="Times New Roman"/>
          <w:color w:val="222222"/>
          <w:szCs w:val="24"/>
          <w:highlight w:val="white"/>
        </w:rPr>
      </w:pPr>
      <w:r>
        <w:t>Briquette production was carried out using a screw-press extruder-type briquetting machine (</w:t>
      </w:r>
      <w:r w:rsidR="001F15AA">
        <w:t>Figure</w:t>
      </w:r>
      <w:r>
        <w:t xml:space="preserve"> 1) powered by a 7.5 hp, 380 V electric motor operating at about 970 rpm and fitted with three 5 kW heating coils. The heating </w:t>
      </w:r>
      <w:proofErr w:type="gramStart"/>
      <w:r>
        <w:t>coils maintained</w:t>
      </w:r>
      <w:proofErr w:type="gramEnd"/>
      <w:r>
        <w:t xml:space="preserve"> die-barrel temperatures between 300 and 330 °C, which softened the natural lignin in the rice husk and promoted particle binding as the material passed through the die. The resulting briquettes were produced in hexagonal form, </w:t>
      </w:r>
      <w:r>
        <w:rPr>
          <w:highlight w:val="yellow"/>
        </w:rPr>
        <w:t>cooled for 24 h</w:t>
      </w:r>
      <w:r>
        <w:t xml:space="preserve"> and stored in a ventilated, moisture-free room.</w:t>
      </w:r>
    </w:p>
    <w:p w14:paraId="7CB02DEE" w14:textId="77777777" w:rsidR="007F27AB" w:rsidRDefault="00000000">
      <w:pPr>
        <w:keepNext/>
        <w:spacing w:before="120" w:after="60"/>
        <w:jc w:val="center"/>
      </w:pPr>
      <w:r>
        <w:rPr>
          <w:noProof/>
        </w:rPr>
        <w:drawing>
          <wp:inline distT="0" distB="0" distL="0" distR="0" wp14:anchorId="33CB4AE8" wp14:editId="19057243">
            <wp:extent cx="4206240" cy="3005146"/>
            <wp:effectExtent l="0" t="0" r="0" b="0"/>
            <wp:docPr id="501" name="Pla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te 1"/>
                    <pic:cNvPicPr/>
                  </pic:nvPicPr>
                  <pic:blipFill>
                    <a:blip r:embed="rId8"/>
                    <a:stretch>
                      <a:fillRect/>
                    </a:stretch>
                  </pic:blipFill>
                  <pic:spPr>
                    <a:xfrm>
                      <a:off x="0" y="0"/>
                      <a:ext cx="4206240" cy="3005146"/>
                    </a:xfrm>
                    <a:prstGeom prst="rect">
                      <a:avLst/>
                    </a:prstGeom>
                  </pic:spPr>
                </pic:pic>
              </a:graphicData>
            </a:graphic>
          </wp:inline>
        </w:drawing>
      </w:r>
    </w:p>
    <w:p w14:paraId="0DDF02EB" w14:textId="77777777" w:rsidR="007F27AB" w:rsidRDefault="001F15AA">
      <w:pPr>
        <w:spacing w:after="240" w:line="360" w:lineRule="auto"/>
        <w:jc w:val="center"/>
      </w:pPr>
      <w:r>
        <w:rPr>
          <w:rFonts w:cs="Times New Roman"/>
          <w:b/>
        </w:rPr>
        <w:t xml:space="preserve">Figure 1: </w:t>
      </w:r>
      <w:r>
        <w:rPr>
          <w:rFonts w:cs="Times New Roman"/>
        </w:rPr>
        <w:t>Screw press extruder-type briquetting machine used for rice husk briquette production.</w:t>
      </w:r>
    </w:p>
    <w:p w14:paraId="3F7FA3CC"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lastRenderedPageBreak/>
        <w:t>Calorific Value and Combustion Monitoring</w:t>
      </w:r>
    </w:p>
    <w:p w14:paraId="1EBBAC51" w14:textId="77777777" w:rsidR="003555B5" w:rsidRDefault="002509A5">
      <w:pPr>
        <w:spacing w:after="0" w:line="480" w:lineRule="auto"/>
        <w:jc w:val="both"/>
        <w:rPr>
          <w:rFonts w:cs="Times New Roman"/>
          <w:color w:val="222222"/>
          <w:szCs w:val="24"/>
          <w:highlight w:val="white"/>
        </w:rPr>
      </w:pPr>
      <w:r>
        <w:t>Calorific values were determined with an IKA C 2000 oxygen bomb calorimeter using dried samples and the instrument's combustion-calorimetry procedure. Operational temperature, DC current and burning time were monitored separately in a forced-air combustion arrangement consisting of a DC power supply, an ammeter, a blower and a K-type thermocouple. The ammeter recorded the DC current supplied to the blower, while a stopwatch was used to record burning time.</w:t>
      </w:r>
    </w:p>
    <w:p w14:paraId="20CE65C9"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Adobe SMART Stove and Cassava-Flaking Test</w:t>
      </w:r>
    </w:p>
    <w:p w14:paraId="29239900" w14:textId="77777777" w:rsidR="003555B5" w:rsidRDefault="002509A5">
      <w:pPr>
        <w:spacing w:after="0" w:line="480" w:lineRule="auto"/>
        <w:jc w:val="both"/>
        <w:rPr>
          <w:rFonts w:cs="Times New Roman"/>
          <w:color w:val="222222"/>
          <w:szCs w:val="24"/>
          <w:highlight w:val="white"/>
        </w:rPr>
      </w:pPr>
      <w:r>
        <w:rPr>
          <w:rFonts w:cs="Times New Roman"/>
          <w:color w:val="222222"/>
          <w:szCs w:val="24"/>
          <w:highlight w:val="white"/>
        </w:rPr>
        <w:t>An Adobe SMART Stove (</w:t>
      </w:r>
      <w:r w:rsidR="001F15AA">
        <w:rPr>
          <w:rFonts w:cs="Times New Roman"/>
          <w:color w:val="222222"/>
          <w:szCs w:val="24"/>
          <w:highlight w:val="white"/>
        </w:rPr>
        <w:t>Figure</w:t>
      </w:r>
      <w:r>
        <w:rPr>
          <w:rFonts w:cs="Times New Roman"/>
          <w:color w:val="222222"/>
          <w:szCs w:val="24"/>
          <w:highlight w:val="white"/>
        </w:rPr>
        <w:t xml:space="preserve"> 2) was designed and built specifically for this research. The stove had a double-wall structure of locally produced adobe bricks, with outer and inner footprints of approximately 1.12 m × 1.12 m and 0.97 m × 0.97 m, respectively, separated by a 12.7 cm gap filled with a dry clay–sand mixture to trap heat and reduce heat loss. The inner combustion chamber was lined with galvanised metal sheeting and contained a mild-steel grate, a removable ash tray and a metal chimney</w:t>
      </w:r>
      <w:r>
        <w:rPr>
          <w:rFonts w:cs="Times New Roman"/>
          <w:color w:val="222222"/>
          <w:szCs w:val="24"/>
          <w:highlight w:val="yellow"/>
        </w:rPr>
        <w:t>; a cast-iron plate served</w:t>
      </w:r>
      <w:r>
        <w:rPr>
          <w:rFonts w:cs="Times New Roman"/>
          <w:color w:val="222222"/>
          <w:szCs w:val="24"/>
          <w:highlight w:val="white"/>
        </w:rPr>
        <w:t xml:space="preserve"> as the cooking surface. A 12 V DC fan installed at the air inlet supplied forced air to the combustion chamber and was powered by a photovoltaic system to keep the entire system running on renewable energy. The fan speed could be adjusted using a variable resistor, giving control over the burning rate and cooking temperature.</w:t>
      </w:r>
    </w:p>
    <w:p w14:paraId="55B16BB1" w14:textId="77777777" w:rsidR="007F27AB" w:rsidRDefault="00000000">
      <w:pPr>
        <w:keepNext/>
        <w:spacing w:before="120" w:after="60"/>
        <w:jc w:val="center"/>
      </w:pPr>
      <w:r>
        <w:rPr>
          <w:noProof/>
        </w:rPr>
        <w:lastRenderedPageBreak/>
        <w:drawing>
          <wp:inline distT="0" distB="0" distL="0" distR="0" wp14:anchorId="00FD2EDD" wp14:editId="0BFB8272">
            <wp:extent cx="3657600" cy="3157285"/>
            <wp:effectExtent l="0" t="0" r="0" b="0"/>
            <wp:docPr id="502" name="Pla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te 2"/>
                    <pic:cNvPicPr/>
                  </pic:nvPicPr>
                  <pic:blipFill>
                    <a:blip r:embed="rId9"/>
                    <a:stretch>
                      <a:fillRect/>
                    </a:stretch>
                  </pic:blipFill>
                  <pic:spPr>
                    <a:xfrm>
                      <a:off x="0" y="0"/>
                      <a:ext cx="3657600" cy="3157285"/>
                    </a:xfrm>
                    <a:prstGeom prst="rect">
                      <a:avLst/>
                    </a:prstGeom>
                  </pic:spPr>
                </pic:pic>
              </a:graphicData>
            </a:graphic>
          </wp:inline>
        </w:drawing>
      </w:r>
    </w:p>
    <w:p w14:paraId="127D4536" w14:textId="77777777" w:rsidR="007F27AB" w:rsidRDefault="001F15AA">
      <w:pPr>
        <w:spacing w:after="240" w:line="360" w:lineRule="auto"/>
        <w:jc w:val="center"/>
      </w:pPr>
      <w:r>
        <w:rPr>
          <w:rFonts w:cs="Times New Roman"/>
          <w:b/>
        </w:rPr>
        <w:t xml:space="preserve">Figure 2: </w:t>
      </w:r>
      <w:r>
        <w:rPr>
          <w:rFonts w:cs="Times New Roman"/>
        </w:rPr>
        <w:t>The completed Adobe SMART Stove, showing the double-wall adobe structure, the DC fan at the air inlet and the chimney.</w:t>
      </w:r>
    </w:p>
    <w:p w14:paraId="6AD4EF46" w14:textId="77777777" w:rsidR="003555B5" w:rsidRDefault="002509A5">
      <w:pPr>
        <w:spacing w:after="0" w:line="480" w:lineRule="auto"/>
        <w:jc w:val="both"/>
        <w:rPr>
          <w:rFonts w:cs="Times New Roman"/>
          <w:color w:val="222222"/>
          <w:szCs w:val="24"/>
          <w:highlight w:val="white"/>
        </w:rPr>
      </w:pPr>
      <w:r>
        <w:t>To evaluate performance under practical processing conditions, fresh cassava roots of the TMS 30572 variety were weighed, peeled, washed with water from a solar-powered water pump, grated, dewatered and sieved to obtain a uniform mash. Each fuel test used 5 kg of sieved cassava. For the rice husk briquette treatment, the cassava was fried into flakes in the Adobe SMART Stove. For comparison, fuelwood was tested in an open setup representing the traditional processing arrangement. Fuel mass consumed, processing time and final product mass were recorded for each test. Each experimental condition was repeated five times. Data were entered and analysed using IBM SPSS Statistics, with descriptive statistics reported as mean ± standard deviation. Where inferential comparisons were appropriate, statistical significance was assessed at P &lt; 0.05.</w:t>
      </w:r>
    </w:p>
    <w:p w14:paraId="05EC3549" w14:textId="77777777" w:rsidR="003555B5" w:rsidRDefault="0023611A">
      <w:pPr>
        <w:pBdr>
          <w:top w:val="nil"/>
          <w:left w:val="nil"/>
          <w:bottom w:val="nil"/>
          <w:right w:val="nil"/>
          <w:between w:val="nil"/>
        </w:pBdr>
        <w:spacing w:after="240" w:line="480" w:lineRule="auto"/>
        <w:jc w:val="both"/>
        <w:outlineLvl w:val="0"/>
        <w:rPr>
          <w:rFonts w:cs="Times New Roman"/>
          <w:b/>
          <w:bCs/>
          <w:color w:val="000000"/>
          <w:szCs w:val="24"/>
        </w:rPr>
      </w:pPr>
      <w:r>
        <w:rPr>
          <w:rFonts w:cs="Times New Roman"/>
          <w:b/>
          <w:bCs/>
          <w:color w:val="000000"/>
          <w:szCs w:val="24"/>
        </w:rPr>
        <w:t>RESULTS AND DISCUSSION</w:t>
      </w:r>
    </w:p>
    <w:p w14:paraId="51C4F7E0"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 xml:space="preserve">Production of the rice husk briquettes, determination of their heat energy output, and comparison of their energy efficiency with traditional fuelwood in cassava processing were carried out as </w:t>
      </w:r>
      <w:r>
        <w:rPr>
          <w:rFonts w:cs="Times New Roman"/>
          <w:color w:val="000000"/>
          <w:szCs w:val="24"/>
        </w:rPr>
        <w:lastRenderedPageBreak/>
        <w:t>described in the Methodology section. Data were collected on energy input, processing time and product quantity to assess the benefits of using rice husk briquettes in place of traditional fuel.</w:t>
      </w:r>
    </w:p>
    <w:p w14:paraId="0C663BB9"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Physical Characteristics of the Rice Husk Briquettes</w:t>
      </w:r>
    </w:p>
    <w:p w14:paraId="490DD889"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The results of the briquette production are presented in Table 1.</w:t>
      </w:r>
    </w:p>
    <w:p w14:paraId="3338DFAE"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Table 1:  Rice Husk Briquette Production</w:t>
      </w:r>
    </w:p>
    <w:tbl>
      <w:tblPr>
        <w:tblStyle w:val="a"/>
        <w:tblW w:w="9350" w:type="dxa"/>
        <w:tblInd w:w="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4675"/>
        <w:gridCol w:w="4675"/>
      </w:tblGrid>
      <w:tr w:rsidR="003555B5" w14:paraId="7704BC11" w14:textId="77777777">
        <w:tc>
          <w:tcPr>
            <w:tcW w:w="4675" w:type="dxa"/>
          </w:tcPr>
          <w:p w14:paraId="27E9DCDF"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Parameter</w:t>
            </w:r>
          </w:p>
        </w:tc>
        <w:tc>
          <w:tcPr>
            <w:tcW w:w="4675" w:type="dxa"/>
          </w:tcPr>
          <w:p w14:paraId="51CB1580"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Sample</w:t>
            </w:r>
          </w:p>
        </w:tc>
      </w:tr>
      <w:tr w:rsidR="003555B5" w14:paraId="2CCBD4FE" w14:textId="77777777">
        <w:tc>
          <w:tcPr>
            <w:tcW w:w="4675" w:type="dxa"/>
          </w:tcPr>
          <w:p w14:paraId="0BAFDFF3"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 xml:space="preserve">Initial rice husk </w:t>
            </w:r>
            <w:proofErr w:type="gramStart"/>
            <w:r>
              <w:rPr>
                <w:rFonts w:cs="Times New Roman"/>
                <w:b/>
                <w:bCs/>
                <w:color w:val="000000"/>
                <w:szCs w:val="24"/>
              </w:rPr>
              <w:t>weight(</w:t>
            </w:r>
            <w:proofErr w:type="gramEnd"/>
            <w:r>
              <w:rPr>
                <w:rFonts w:cs="Times New Roman"/>
                <w:b/>
                <w:bCs/>
                <w:color w:val="000000"/>
                <w:szCs w:val="24"/>
              </w:rPr>
              <w:t>Kg)</w:t>
            </w:r>
          </w:p>
        </w:tc>
        <w:tc>
          <w:tcPr>
            <w:tcW w:w="4675" w:type="dxa"/>
          </w:tcPr>
          <w:p w14:paraId="752F25D8"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1.25</w:t>
            </w:r>
          </w:p>
        </w:tc>
      </w:tr>
      <w:tr w:rsidR="003555B5" w14:paraId="71E1BC22" w14:textId="77777777">
        <w:tc>
          <w:tcPr>
            <w:tcW w:w="4675" w:type="dxa"/>
          </w:tcPr>
          <w:p w14:paraId="22B6E220"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 xml:space="preserve">Pressure applied </w:t>
            </w:r>
            <m:oMath>
              <m:r>
                <w:rPr>
                  <w:rFonts w:ascii="Cambria Math" w:eastAsia="Cambria Math" w:hAnsi="Cambria Math" w:cs="Cambria Math"/>
                  <w:color w:val="000000"/>
                  <w:szCs w:val="24"/>
                </w:rPr>
                <m:t>N</m:t>
              </m:r>
              <m:sSup>
                <m:sSupPr>
                  <m:ctrlPr>
                    <w:rPr>
                      <w:rFonts w:ascii="Cambria Math" w:eastAsia="Cambria Math" w:hAnsi="Cambria Math" w:cs="Cambria Math"/>
                      <w:color w:val="000000"/>
                      <w:szCs w:val="24"/>
                    </w:rPr>
                  </m:ctrlPr>
                </m:sSupPr>
                <m:e>
                  <m:r>
                    <w:rPr>
                      <w:rFonts w:ascii="Cambria Math" w:eastAsia="Cambria Math" w:hAnsi="Cambria Math" w:cs="Cambria Math"/>
                      <w:color w:val="000000"/>
                      <w:szCs w:val="24"/>
                    </w:rPr>
                    <m:t>m</m:t>
                  </m:r>
                </m:e>
                <m:sup>
                  <m:r>
                    <w:rPr>
                      <w:rFonts w:ascii="Cambria Math" w:eastAsia="Cambria Math" w:hAnsi="Cambria Math" w:cs="Cambria Math"/>
                      <w:color w:val="000000"/>
                      <w:szCs w:val="24"/>
                    </w:rPr>
                    <m:t>-2</m:t>
                  </m:r>
                </m:sup>
              </m:sSup>
            </m:oMath>
            <w:r>
              <w:rPr>
                <w:rFonts w:cs="Times New Roman"/>
                <w:color w:val="000000"/>
                <w:szCs w:val="24"/>
              </w:rPr>
              <w:t>)</w:t>
            </w:r>
          </w:p>
        </w:tc>
        <w:tc>
          <w:tcPr>
            <w:tcW w:w="4675" w:type="dxa"/>
          </w:tcPr>
          <w:p w14:paraId="5D0DB4E6"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color w:val="000000"/>
                <w:szCs w:val="24"/>
              </w:rPr>
              <w:t>6×</w:t>
            </w:r>
            <m:oMath>
              <m:sSup>
                <m:sSupPr>
                  <m:ctrlPr>
                    <w:rPr>
                      <w:rFonts w:ascii="Cambria Math" w:eastAsia="Cambria Math" w:hAnsi="Cambria Math" w:cs="Cambria Math"/>
                      <w:color w:val="000000"/>
                      <w:szCs w:val="24"/>
                    </w:rPr>
                  </m:ctrlPr>
                </m:sSupPr>
                <m:e>
                  <m:r>
                    <w:rPr>
                      <w:rFonts w:ascii="Cambria Math" w:eastAsia="Cambria Math" w:hAnsi="Cambria Math" w:cs="Cambria Math"/>
                      <w:color w:val="000000"/>
                      <w:szCs w:val="24"/>
                    </w:rPr>
                    <m:t>10</m:t>
                  </m:r>
                </m:e>
                <m:sup>
                  <m:r>
                    <w:rPr>
                      <w:rFonts w:ascii="Cambria Math" w:eastAsia="Cambria Math" w:hAnsi="Cambria Math" w:cs="Cambria Math"/>
                      <w:color w:val="000000"/>
                      <w:szCs w:val="24"/>
                    </w:rPr>
                    <m:t>9</m:t>
                  </m:r>
                </m:sup>
              </m:sSup>
              <m:r>
                <w:rPr>
                  <w:rFonts w:ascii="Cambria Math" w:eastAsia="Cambria Math" w:hAnsi="Cambria Math" w:cs="Cambria Math"/>
                  <w:color w:val="000000"/>
                  <w:szCs w:val="24"/>
                </w:rPr>
                <m:t>N</m:t>
              </m:r>
              <m:sSup>
                <m:sSupPr>
                  <m:ctrlPr>
                    <w:rPr>
                      <w:rFonts w:ascii="Cambria Math" w:eastAsia="Cambria Math" w:hAnsi="Cambria Math" w:cs="Cambria Math"/>
                      <w:color w:val="000000"/>
                      <w:szCs w:val="24"/>
                    </w:rPr>
                  </m:ctrlPr>
                </m:sSupPr>
                <m:e>
                  <m:r>
                    <w:rPr>
                      <w:rFonts w:ascii="Cambria Math" w:eastAsia="Cambria Math" w:hAnsi="Cambria Math" w:cs="Cambria Math"/>
                      <w:color w:val="000000"/>
                      <w:szCs w:val="24"/>
                    </w:rPr>
                    <m:t>m</m:t>
                  </m:r>
                </m:e>
                <m:sup>
                  <m:r>
                    <w:rPr>
                      <w:rFonts w:ascii="Cambria Math" w:eastAsia="Cambria Math" w:hAnsi="Cambria Math" w:cs="Cambria Math"/>
                      <w:color w:val="000000"/>
                      <w:szCs w:val="24"/>
                    </w:rPr>
                    <m:t>-2</m:t>
                  </m:r>
                </m:sup>
              </m:sSup>
            </m:oMath>
          </w:p>
        </w:tc>
      </w:tr>
      <w:tr w:rsidR="003555B5" w14:paraId="4C5FE0E5" w14:textId="77777777">
        <w:tc>
          <w:tcPr>
            <w:tcW w:w="4675" w:type="dxa"/>
          </w:tcPr>
          <w:p w14:paraId="7BFB69B8"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Briquette weight (Kg)</w:t>
            </w:r>
          </w:p>
        </w:tc>
        <w:tc>
          <w:tcPr>
            <w:tcW w:w="4675" w:type="dxa"/>
          </w:tcPr>
          <w:p w14:paraId="7713C455"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1.0</w:t>
            </w:r>
          </w:p>
        </w:tc>
      </w:tr>
    </w:tbl>
    <w:p w14:paraId="1543A050" w14:textId="77777777" w:rsidR="003555B5" w:rsidRDefault="003555B5">
      <w:pPr>
        <w:pBdr>
          <w:top w:val="nil"/>
          <w:left w:val="nil"/>
          <w:bottom w:val="nil"/>
          <w:right w:val="nil"/>
          <w:between w:val="nil"/>
        </w:pBdr>
        <w:spacing w:after="240" w:line="480" w:lineRule="auto"/>
        <w:jc w:val="both"/>
        <w:rPr>
          <w:rFonts w:cs="Times New Roman"/>
          <w:color w:val="000000"/>
          <w:szCs w:val="24"/>
        </w:rPr>
      </w:pPr>
    </w:p>
    <w:p w14:paraId="5E69DED9"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The results presented in Table 1 show the mass conversion of 1.25 kg of rice husk into briquettes at an applied pressure of 6x10</w:t>
      </w:r>
      <w:r>
        <w:rPr>
          <w:rFonts w:cs="Times New Roman"/>
          <w:color w:val="000000"/>
          <w:szCs w:val="24"/>
          <w:vertAlign w:val="superscript"/>
        </w:rPr>
        <w:t>9</w:t>
      </w:r>
      <w:r>
        <w:rPr>
          <w:rFonts w:cs="Times New Roman"/>
          <w:color w:val="000000"/>
          <w:szCs w:val="24"/>
        </w:rPr>
        <w:t xml:space="preserve"> Nm</w:t>
      </w:r>
      <w:r>
        <w:rPr>
          <w:rFonts w:cs="Times New Roman"/>
          <w:color w:val="000000"/>
          <w:szCs w:val="24"/>
          <w:vertAlign w:val="superscript"/>
        </w:rPr>
        <w:t>-2</w:t>
      </w:r>
      <w:r>
        <w:rPr>
          <w:rFonts w:cs="Times New Roman"/>
          <w:color w:val="000000"/>
          <w:szCs w:val="24"/>
        </w:rPr>
        <w:t xml:space="preserve">. The initial weight of rice husk used in the experiment was 1.25 kg. </w:t>
      </w:r>
    </w:p>
    <w:p w14:paraId="1E97171B"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 xml:space="preserve">The applied pressure gave a briquette weight of 1.0 kg. This shows that approximately 80% (1.0/1.25 × 100%) of the initial rice husk weight was retained in the briquette form, a mass loss of about 20%. The application of pressure is necessary for the process as it compacts the loose rice husk particles into solid briquettes, and the magnitude of pressure required depends on the cohesiveness and density of the material. The mass loss is attributed to moisture loss during heating and to fine particles that did not compact effectively, which is consistent with the literature (Saeed </w:t>
      </w:r>
      <w:r>
        <w:rPr>
          <w:rFonts w:cs="Times New Roman"/>
          <w:color w:val="000000"/>
          <w:szCs w:val="24"/>
        </w:rPr>
        <w:lastRenderedPageBreak/>
        <w:t>et al., 2021). Because the husk was sun-dried and not oven-dried, the loss reflects moisture and fines together and is not an absolute moisture content.</w:t>
      </w:r>
    </w:p>
    <w:p w14:paraId="255E2C58"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Calorific Value and Combustion Behaviour</w:t>
      </w:r>
    </w:p>
    <w:p w14:paraId="28D7F507"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The heat energy output of the rice husk briquettes is shown in Table 2, which lists the calorific value, burning time, operational temperature and the DC current supplied to the blower that regulated the air supply to the combustion chamber.</w:t>
      </w:r>
    </w:p>
    <w:p w14:paraId="7FDFC4D6" w14:textId="77777777" w:rsidR="001F15AA" w:rsidRDefault="001F15AA">
      <w:pPr>
        <w:pBdr>
          <w:top w:val="nil"/>
          <w:left w:val="nil"/>
          <w:bottom w:val="nil"/>
          <w:right w:val="nil"/>
          <w:between w:val="nil"/>
        </w:pBdr>
        <w:spacing w:after="240" w:line="480" w:lineRule="auto"/>
        <w:jc w:val="both"/>
        <w:rPr>
          <w:b/>
          <w:bCs/>
        </w:rPr>
      </w:pPr>
    </w:p>
    <w:p w14:paraId="468F47E4" w14:textId="77777777" w:rsidR="001F15AA" w:rsidRDefault="001F15AA">
      <w:pPr>
        <w:pBdr>
          <w:top w:val="nil"/>
          <w:left w:val="nil"/>
          <w:bottom w:val="nil"/>
          <w:right w:val="nil"/>
          <w:between w:val="nil"/>
        </w:pBdr>
        <w:spacing w:after="240" w:line="480" w:lineRule="auto"/>
        <w:jc w:val="both"/>
        <w:rPr>
          <w:b/>
          <w:bCs/>
        </w:rPr>
      </w:pPr>
    </w:p>
    <w:p w14:paraId="01C5E34D" w14:textId="77777777" w:rsidR="001F15AA" w:rsidRDefault="001F15AA">
      <w:pPr>
        <w:pBdr>
          <w:top w:val="nil"/>
          <w:left w:val="nil"/>
          <w:bottom w:val="nil"/>
          <w:right w:val="nil"/>
          <w:between w:val="nil"/>
        </w:pBdr>
        <w:spacing w:after="240" w:line="480" w:lineRule="auto"/>
        <w:jc w:val="both"/>
        <w:rPr>
          <w:b/>
          <w:bCs/>
        </w:rPr>
      </w:pPr>
    </w:p>
    <w:p w14:paraId="1FADC2E9" w14:textId="77777777" w:rsidR="001F15AA" w:rsidRDefault="001F15AA">
      <w:pPr>
        <w:pBdr>
          <w:top w:val="nil"/>
          <w:left w:val="nil"/>
          <w:bottom w:val="nil"/>
          <w:right w:val="nil"/>
          <w:between w:val="nil"/>
        </w:pBdr>
        <w:spacing w:after="240" w:line="480" w:lineRule="auto"/>
        <w:jc w:val="both"/>
        <w:rPr>
          <w:b/>
          <w:bCs/>
        </w:rPr>
      </w:pPr>
    </w:p>
    <w:p w14:paraId="681B387D" w14:textId="77777777" w:rsidR="001F15AA" w:rsidRDefault="001F15AA">
      <w:pPr>
        <w:pBdr>
          <w:top w:val="nil"/>
          <w:left w:val="nil"/>
          <w:bottom w:val="nil"/>
          <w:right w:val="nil"/>
          <w:between w:val="nil"/>
        </w:pBdr>
        <w:spacing w:after="240" w:line="480" w:lineRule="auto"/>
        <w:jc w:val="both"/>
        <w:rPr>
          <w:b/>
          <w:bCs/>
        </w:rPr>
      </w:pPr>
    </w:p>
    <w:p w14:paraId="77530E11" w14:textId="77777777" w:rsidR="001F15AA" w:rsidRDefault="001F15AA">
      <w:pPr>
        <w:pBdr>
          <w:top w:val="nil"/>
          <w:left w:val="nil"/>
          <w:bottom w:val="nil"/>
          <w:right w:val="nil"/>
          <w:between w:val="nil"/>
        </w:pBdr>
        <w:spacing w:after="240" w:line="480" w:lineRule="auto"/>
        <w:jc w:val="both"/>
        <w:rPr>
          <w:b/>
          <w:bCs/>
        </w:rPr>
      </w:pPr>
    </w:p>
    <w:p w14:paraId="484F8947" w14:textId="77777777" w:rsidR="001F15AA" w:rsidRDefault="001F15AA">
      <w:pPr>
        <w:pBdr>
          <w:top w:val="nil"/>
          <w:left w:val="nil"/>
          <w:bottom w:val="nil"/>
          <w:right w:val="nil"/>
          <w:between w:val="nil"/>
        </w:pBdr>
        <w:spacing w:after="240" w:line="480" w:lineRule="auto"/>
        <w:jc w:val="both"/>
        <w:rPr>
          <w:b/>
          <w:bCs/>
        </w:rPr>
      </w:pPr>
    </w:p>
    <w:p w14:paraId="2E52403C" w14:textId="77777777" w:rsidR="001F15AA" w:rsidRDefault="001F15AA">
      <w:pPr>
        <w:pBdr>
          <w:top w:val="nil"/>
          <w:left w:val="nil"/>
          <w:bottom w:val="nil"/>
          <w:right w:val="nil"/>
          <w:between w:val="nil"/>
        </w:pBdr>
        <w:spacing w:after="240" w:line="480" w:lineRule="auto"/>
        <w:jc w:val="both"/>
        <w:rPr>
          <w:b/>
          <w:bCs/>
        </w:rPr>
      </w:pPr>
    </w:p>
    <w:p w14:paraId="247716AA" w14:textId="77777777" w:rsidR="003555B5" w:rsidRPr="008E3532" w:rsidRDefault="002509A5">
      <w:pPr>
        <w:keepNext/>
        <w:pBdr>
          <w:top w:val="nil"/>
          <w:left w:val="nil"/>
          <w:bottom w:val="nil"/>
          <w:right w:val="nil"/>
          <w:between w:val="nil"/>
        </w:pBdr>
        <w:spacing w:after="240" w:line="480" w:lineRule="auto"/>
        <w:jc w:val="both"/>
        <w:rPr>
          <w:rFonts w:cs="Times New Roman"/>
          <w:b/>
          <w:bCs/>
          <w:color w:val="000000"/>
          <w:szCs w:val="24"/>
        </w:rPr>
      </w:pPr>
      <w:r w:rsidRPr="008E3532">
        <w:rPr>
          <w:b/>
          <w:bCs/>
        </w:rPr>
        <w:t>Table 2: Heat Energy Output Determination of Rice Husk Briquettes (five repeated experimental conditions)</w:t>
      </w:r>
    </w:p>
    <w:tbl>
      <w:tblPr>
        <w:tblStyle w:val="PlainTable2"/>
        <w:tblW w:w="9175" w:type="dxa"/>
        <w:tblLayout w:type="fixed"/>
        <w:tblLook w:val="0620" w:firstRow="1" w:lastRow="0" w:firstColumn="0" w:lastColumn="0" w:noHBand="1" w:noVBand="1"/>
      </w:tblPr>
      <w:tblGrid>
        <w:gridCol w:w="1525"/>
        <w:gridCol w:w="1805"/>
        <w:gridCol w:w="1800"/>
        <w:gridCol w:w="2335"/>
        <w:gridCol w:w="1710"/>
      </w:tblGrid>
      <w:tr w:rsidR="00242C7F" w:rsidRPr="0046451C" w14:paraId="6A4A0527" w14:textId="77777777" w:rsidTr="005C150A">
        <w:trPr>
          <w:cnfStyle w:val="100000000000" w:firstRow="1" w:lastRow="0" w:firstColumn="0" w:lastColumn="0" w:oddVBand="0" w:evenVBand="0" w:oddHBand="0" w:evenHBand="0" w:firstRowFirstColumn="0" w:firstRowLastColumn="0" w:lastRowFirstColumn="0" w:lastRowLastColumn="0"/>
          <w:trHeight w:val="1457"/>
        </w:trPr>
        <w:tc>
          <w:tcPr>
            <w:tcW w:w="1525" w:type="dxa"/>
          </w:tcPr>
          <w:p w14:paraId="07AD3B92"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 xml:space="preserve">Rice Husk Briquettes </w:t>
            </w:r>
            <w:r>
              <w:rPr>
                <w:rFonts w:ascii="Times New Roman" w:eastAsia="Times New Roman" w:hAnsi="Times New Roman" w:cs="Times New Roman"/>
                <w:sz w:val="24"/>
                <w:szCs w:val="24"/>
              </w:rPr>
              <w:lastRenderedPageBreak/>
              <w:t>(kg)</w:t>
            </w:r>
          </w:p>
        </w:tc>
        <w:tc>
          <w:tcPr>
            <w:tcW w:w="1805" w:type="dxa"/>
          </w:tcPr>
          <w:p w14:paraId="1BD31247"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lastRenderedPageBreak/>
              <w:t>Calorific Value (MJ/kg)</w:t>
            </w:r>
          </w:p>
        </w:tc>
        <w:tc>
          <w:tcPr>
            <w:tcW w:w="1800" w:type="dxa"/>
          </w:tcPr>
          <w:p w14:paraId="0B70F727"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Burning Time (min)</w:t>
            </w:r>
          </w:p>
        </w:tc>
        <w:tc>
          <w:tcPr>
            <w:tcW w:w="2335" w:type="dxa"/>
          </w:tcPr>
          <w:p w14:paraId="07C63FFB"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Operational Temperature (°C)</w:t>
            </w:r>
          </w:p>
        </w:tc>
        <w:tc>
          <w:tcPr>
            <w:tcW w:w="1710" w:type="dxa"/>
          </w:tcPr>
          <w:p w14:paraId="5B91251F"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Current(I)</w:t>
            </w:r>
            <w:r>
              <w:rPr>
                <w:rFonts w:ascii="Times New Roman" w:eastAsia="Times New Roman" w:hAnsi="Times New Roman" w:cs="Times New Roman"/>
                <w:b w:val="0"/>
                <w:sz w:val="24"/>
                <w:szCs w:val="24"/>
              </w:rPr>
              <w:t xml:space="preserve"> </w:t>
            </w:r>
            <w:r>
              <w:rPr>
                <w:rFonts w:ascii="Times New Roman" w:eastAsia="Times New Roman" w:hAnsi="Times New Roman" w:cs="Times New Roman"/>
                <w:sz w:val="24"/>
                <w:szCs w:val="24"/>
              </w:rPr>
              <w:t>DC</w:t>
            </w:r>
            <w:r>
              <w:rPr>
                <w:rFonts w:ascii="Times New Roman" w:eastAsia="Times New Roman" w:hAnsi="Times New Roman" w:cs="Times New Roman"/>
                <w:b w:val="0"/>
                <w:sz w:val="24"/>
                <w:szCs w:val="24"/>
              </w:rPr>
              <w:t xml:space="preserve"> </w:t>
            </w:r>
            <w:r>
              <w:rPr>
                <w:rFonts w:ascii="Times New Roman" w:eastAsia="Times New Roman" w:hAnsi="Times New Roman" w:cs="Times New Roman"/>
                <w:sz w:val="24"/>
                <w:szCs w:val="24"/>
              </w:rPr>
              <w:t>(A)</w:t>
            </w:r>
          </w:p>
        </w:tc>
      </w:tr>
      <w:tr w:rsidR="00242C7F" w:rsidRPr="0046451C" w14:paraId="2F698643" w14:textId="77777777" w:rsidTr="005C150A">
        <w:trPr>
          <w:trHeight w:val="724"/>
        </w:trPr>
        <w:tc>
          <w:tcPr>
            <w:tcW w:w="1525" w:type="dxa"/>
          </w:tcPr>
          <w:p w14:paraId="34B4A2C7"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10D57E91"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14.79</w:t>
            </w:r>
          </w:p>
        </w:tc>
        <w:tc>
          <w:tcPr>
            <w:tcW w:w="1800" w:type="dxa"/>
          </w:tcPr>
          <w:p w14:paraId="69654515"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Pr>
                <w:rFonts w:ascii="Arial Narrow" w:eastAsia="Arial Narrow" w:hAnsi="Arial Narrow" w:cs="Arial Narrow"/>
                <w:sz w:val="24"/>
                <w:szCs w:val="24"/>
              </w:rPr>
              <w:t>±</w:t>
            </w:r>
            <w:r>
              <w:rPr>
                <w:rFonts w:ascii="Times New Roman" w:eastAsia="Times New Roman" w:hAnsi="Times New Roman" w:cs="Times New Roman"/>
                <w:sz w:val="24"/>
                <w:szCs w:val="24"/>
              </w:rPr>
              <w:t xml:space="preserve"> 2</w:t>
            </w:r>
          </w:p>
        </w:tc>
        <w:tc>
          <w:tcPr>
            <w:tcW w:w="2335" w:type="dxa"/>
          </w:tcPr>
          <w:p w14:paraId="6D18309C"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615 </w:t>
            </w:r>
            <w:r>
              <w:rPr>
                <w:rFonts w:ascii="Arial Narrow" w:eastAsia="Arial Narrow" w:hAnsi="Arial Narrow" w:cs="Arial Narrow"/>
                <w:sz w:val="24"/>
                <w:szCs w:val="24"/>
              </w:rPr>
              <w:t>± 60</w:t>
            </w:r>
          </w:p>
        </w:tc>
        <w:tc>
          <w:tcPr>
            <w:tcW w:w="1710" w:type="dxa"/>
          </w:tcPr>
          <w:p w14:paraId="540DC5C9"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242C7F" w:rsidRPr="0046451C" w14:paraId="5A1EF168" w14:textId="77777777" w:rsidTr="005C150A">
        <w:trPr>
          <w:trHeight w:val="724"/>
        </w:trPr>
        <w:tc>
          <w:tcPr>
            <w:tcW w:w="1525" w:type="dxa"/>
          </w:tcPr>
          <w:p w14:paraId="7E5094CC"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74695BDA"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14.83</w:t>
            </w:r>
          </w:p>
        </w:tc>
        <w:tc>
          <w:tcPr>
            <w:tcW w:w="1800" w:type="dxa"/>
          </w:tcPr>
          <w:p w14:paraId="08F5C33E"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Arial Narrow" w:eastAsia="Arial Narrow" w:hAnsi="Arial Narrow" w:cs="Arial Narrow"/>
                <w:sz w:val="24"/>
                <w:szCs w:val="24"/>
              </w:rPr>
              <w:t>±</w:t>
            </w:r>
            <w:r>
              <w:rPr>
                <w:rFonts w:ascii="Times New Roman" w:eastAsia="Times New Roman" w:hAnsi="Times New Roman" w:cs="Times New Roman"/>
                <w:sz w:val="24"/>
                <w:szCs w:val="24"/>
              </w:rPr>
              <w:t xml:space="preserve"> 2</w:t>
            </w:r>
          </w:p>
        </w:tc>
        <w:tc>
          <w:tcPr>
            <w:tcW w:w="2335" w:type="dxa"/>
          </w:tcPr>
          <w:p w14:paraId="574FDD8A"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630 </w:t>
            </w:r>
            <w:r>
              <w:rPr>
                <w:rFonts w:ascii="Arial Narrow" w:eastAsia="Arial Narrow" w:hAnsi="Arial Narrow" w:cs="Arial Narrow"/>
                <w:sz w:val="24"/>
                <w:szCs w:val="24"/>
              </w:rPr>
              <w:t>± 62</w:t>
            </w:r>
          </w:p>
        </w:tc>
        <w:tc>
          <w:tcPr>
            <w:tcW w:w="1710" w:type="dxa"/>
          </w:tcPr>
          <w:p w14:paraId="2DF2E3EE"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242C7F" w:rsidRPr="0046451C" w14:paraId="1CA25E95" w14:textId="77777777" w:rsidTr="005C150A">
        <w:trPr>
          <w:trHeight w:val="708"/>
        </w:trPr>
        <w:tc>
          <w:tcPr>
            <w:tcW w:w="1525" w:type="dxa"/>
          </w:tcPr>
          <w:p w14:paraId="70201BB7"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1AD41BC4"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15.10</w:t>
            </w:r>
          </w:p>
        </w:tc>
        <w:tc>
          <w:tcPr>
            <w:tcW w:w="1800" w:type="dxa"/>
          </w:tcPr>
          <w:p w14:paraId="5639F16A"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Arial Narrow" w:eastAsia="Arial Narrow" w:hAnsi="Arial Narrow" w:cs="Arial Narrow"/>
                <w:sz w:val="24"/>
                <w:szCs w:val="24"/>
              </w:rPr>
              <w:t>± 2</w:t>
            </w:r>
          </w:p>
        </w:tc>
        <w:tc>
          <w:tcPr>
            <w:tcW w:w="2335" w:type="dxa"/>
          </w:tcPr>
          <w:p w14:paraId="07EF46BA"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655 </w:t>
            </w:r>
            <w:r>
              <w:rPr>
                <w:rFonts w:ascii="Arial Narrow" w:eastAsia="Arial Narrow" w:hAnsi="Arial Narrow" w:cs="Arial Narrow"/>
                <w:sz w:val="24"/>
                <w:szCs w:val="24"/>
              </w:rPr>
              <w:t>± 65</w:t>
            </w:r>
          </w:p>
        </w:tc>
        <w:tc>
          <w:tcPr>
            <w:tcW w:w="1710" w:type="dxa"/>
          </w:tcPr>
          <w:p w14:paraId="01791189"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242C7F" w:rsidRPr="0046451C" w14:paraId="3D1B258D" w14:textId="77777777" w:rsidTr="005C150A">
        <w:trPr>
          <w:trHeight w:val="724"/>
        </w:trPr>
        <w:tc>
          <w:tcPr>
            <w:tcW w:w="1525" w:type="dxa"/>
          </w:tcPr>
          <w:p w14:paraId="1C133B3F"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28D498F2"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15.12</w:t>
            </w:r>
          </w:p>
        </w:tc>
        <w:tc>
          <w:tcPr>
            <w:tcW w:w="1800" w:type="dxa"/>
          </w:tcPr>
          <w:p w14:paraId="7EFC4ED2"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Pr>
                <w:rFonts w:ascii="Arial Narrow" w:eastAsia="Arial Narrow" w:hAnsi="Arial Narrow" w:cs="Arial Narrow"/>
                <w:sz w:val="24"/>
                <w:szCs w:val="24"/>
              </w:rPr>
              <w:t>± 2</w:t>
            </w:r>
          </w:p>
        </w:tc>
        <w:tc>
          <w:tcPr>
            <w:tcW w:w="2335" w:type="dxa"/>
          </w:tcPr>
          <w:p w14:paraId="3068BAC0"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682 </w:t>
            </w:r>
            <w:r>
              <w:rPr>
                <w:rFonts w:ascii="Arial Narrow" w:eastAsia="Arial Narrow" w:hAnsi="Arial Narrow" w:cs="Arial Narrow"/>
                <w:sz w:val="24"/>
                <w:szCs w:val="24"/>
              </w:rPr>
              <w:t>± 68</w:t>
            </w:r>
          </w:p>
        </w:tc>
        <w:tc>
          <w:tcPr>
            <w:tcW w:w="1710" w:type="dxa"/>
          </w:tcPr>
          <w:p w14:paraId="3CD11B90"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242C7F" w:rsidRPr="0046451C" w14:paraId="2BE64067" w14:textId="77777777" w:rsidTr="005C150A">
        <w:trPr>
          <w:trHeight w:val="724"/>
        </w:trPr>
        <w:tc>
          <w:tcPr>
            <w:tcW w:w="1525" w:type="dxa"/>
          </w:tcPr>
          <w:p w14:paraId="557C5B94"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1ED20FF0"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15.56</w:t>
            </w:r>
          </w:p>
        </w:tc>
        <w:tc>
          <w:tcPr>
            <w:tcW w:w="1800" w:type="dxa"/>
          </w:tcPr>
          <w:p w14:paraId="7BBA357D"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Pr>
                <w:rFonts w:ascii="Arial Narrow" w:eastAsia="Arial Narrow" w:hAnsi="Arial Narrow" w:cs="Arial Narrow"/>
                <w:sz w:val="24"/>
                <w:szCs w:val="24"/>
              </w:rPr>
              <w:t>± 2</w:t>
            </w:r>
          </w:p>
        </w:tc>
        <w:tc>
          <w:tcPr>
            <w:tcW w:w="2335" w:type="dxa"/>
          </w:tcPr>
          <w:p w14:paraId="31A2EB4E"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710 </w:t>
            </w:r>
            <w:r>
              <w:rPr>
                <w:rFonts w:ascii="Arial Narrow" w:eastAsia="Arial Narrow" w:hAnsi="Arial Narrow" w:cs="Arial Narrow"/>
                <w:sz w:val="24"/>
                <w:szCs w:val="24"/>
              </w:rPr>
              <w:t>± 70</w:t>
            </w:r>
          </w:p>
        </w:tc>
        <w:tc>
          <w:tcPr>
            <w:tcW w:w="1710" w:type="dxa"/>
          </w:tcPr>
          <w:p w14:paraId="5229E295"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bl>
    <w:p w14:paraId="3B4173D4" w14:textId="77777777" w:rsidR="00242C7F" w:rsidRDefault="00242C7F">
      <w:pPr>
        <w:pBdr>
          <w:top w:val="nil"/>
          <w:left w:val="nil"/>
          <w:bottom w:val="nil"/>
          <w:right w:val="nil"/>
          <w:between w:val="nil"/>
        </w:pBdr>
        <w:spacing w:after="0" w:line="480" w:lineRule="auto"/>
        <w:jc w:val="both"/>
        <w:rPr>
          <w:rFonts w:cs="Times New Roman"/>
          <w:b/>
          <w:bCs/>
          <w:color w:val="000000"/>
          <w:szCs w:val="24"/>
        </w:rPr>
      </w:pPr>
    </w:p>
    <w:p w14:paraId="59055FA2"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Table 2 presents the calorific values of the rice husk briquettes, which ranged from 14.79 to 15.56 MJ/kg</w:t>
      </w:r>
      <w:r>
        <w:rPr>
          <w:rFonts w:cs="Times New Roman"/>
          <w:b/>
          <w:bCs/>
          <w:color w:val="000000"/>
          <w:szCs w:val="24"/>
        </w:rPr>
        <w:t>,</w:t>
      </w:r>
      <w:r>
        <w:rPr>
          <w:rFonts w:cs="Times New Roman"/>
          <w:color w:val="000000"/>
          <w:szCs w:val="24"/>
        </w:rPr>
        <w:t xml:space="preserve"> with a small increase across the trials. The calorific value was determined by bomb calorimetry, whereas the operational temperature and DC current were recorded in a separate forced-air combustion arrangement; the trend of calorific value with these operating parameters is therefore an association and should not be taken to mean that the operating conditions changed the intrinsic energy content of the fuel. The values are lower than, but of the same order as, those reported for rice husk briquettes in previous studies (Yank </w:t>
      </w:r>
      <w:r>
        <w:rPr>
          <w:rFonts w:cs="Times New Roman"/>
          <w:i/>
          <w:iCs/>
          <w:color w:val="000000"/>
          <w:szCs w:val="24"/>
        </w:rPr>
        <w:t>et al.</w:t>
      </w:r>
      <w:r>
        <w:rPr>
          <w:rFonts w:cs="Times New Roman"/>
          <w:color w:val="000000"/>
          <w:szCs w:val="24"/>
        </w:rPr>
        <w:t>, 2016; Saeed et al., 2021). The highest value obtained (15.56 MJ/kg) is about 12% lower than the 17.688 MJ/kg reported by Saeed et al. (2021) for rice husk briquettes produced at controlled moisture content with a kraft lignin binder. Such differences can be attributed to feedstock composition, moisture condition, binder and production conditions, as well as the fixed carbon and volatile matter content of the fuel, since the calorific value of a solid fuel depends largely on its carbon content and proximate composition.</w:t>
      </w:r>
    </w:p>
    <w:p w14:paraId="3E32BEF7"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lastRenderedPageBreak/>
        <w:t>As observed in Table 2, the burning time decreased slightly from</w:t>
      </w:r>
      <w:r>
        <w:rPr>
          <w:rFonts w:cs="Times New Roman"/>
          <w:b/>
          <w:bCs/>
          <w:color w:val="000000"/>
          <w:szCs w:val="24"/>
        </w:rPr>
        <w:t xml:space="preserve"> </w:t>
      </w:r>
      <w:r>
        <w:rPr>
          <w:rFonts w:cs="Times New Roman"/>
          <w:color w:val="000000"/>
          <w:szCs w:val="24"/>
        </w:rPr>
        <w:t>15 ± 2 minutes to 12 ± 2 minutes as the operational temperature and the DC current supplied to the blower increased. This suggests that a higher air supply and temperature accelerate the combustion process and shorten the burning time. However, the burning times of adjacent trials overlap within their stated uncertainty (± 2 min), so this trend should be regarded as indicative.</w:t>
      </w:r>
    </w:p>
    <w:p w14:paraId="3BD4DFE6"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color w:val="000000"/>
          <w:szCs w:val="24"/>
          <w:highlight w:val="yellow"/>
        </w:rPr>
        <w:t>Figure 3 shows</w:t>
      </w:r>
      <w:r>
        <w:rPr>
          <w:rFonts w:cs="Times New Roman"/>
          <w:color w:val="000000"/>
          <w:szCs w:val="24"/>
        </w:rPr>
        <w:t xml:space="preserve"> an inverse relationship between the calorific value of the briquettes and their burning time: briquettes with higher calorific values burned for a shorter time. The present measurements do not independently establish the fuel-property mechanism responsible for this relationship. A shorter burning time is often associated with a higher volatile matter content, because volatiles such as tars and other hydrocarbons are combustible and have a low flash point. Ignition time was not measured in this study, but according to </w:t>
      </w:r>
      <w:r>
        <w:rPr>
          <w:rFonts w:cs="Times New Roman"/>
          <w:color w:val="000000"/>
          <w:szCs w:val="24"/>
          <w:highlight w:val="yellow"/>
        </w:rPr>
        <w:t>Sani et al. (2020)</w:t>
      </w:r>
      <w:r>
        <w:rPr>
          <w:rFonts w:cs="Times New Roman"/>
          <w:color w:val="000000"/>
          <w:szCs w:val="24"/>
        </w:rPr>
        <w:t>, briquettes with a short ignition time raise safety concerns during storage because the risk of ignition and fire is increased; caution must therefore be taken to keep briquettes free from sparks and extreme heat. The longest burning time,</w:t>
      </w:r>
      <w:r>
        <w:rPr>
          <w:rFonts w:cs="Times New Roman"/>
          <w:b/>
          <w:bCs/>
          <w:color w:val="000000"/>
          <w:szCs w:val="24"/>
        </w:rPr>
        <w:t xml:space="preserve"> </w:t>
      </w:r>
      <w:r>
        <w:rPr>
          <w:rFonts w:cs="Times New Roman"/>
          <w:color w:val="000000"/>
          <w:szCs w:val="24"/>
        </w:rPr>
        <w:t>15 ± 2 minutes, may be influenced by factors such as the duration of initial combustion, adhesion between briquette particles, and ventilation during and after combustion.</w:t>
      </w:r>
    </w:p>
    <w:p w14:paraId="709E500C" w14:textId="77777777" w:rsidR="00242C7F" w:rsidRDefault="00242C7F">
      <w:pPr>
        <w:pBdr>
          <w:top w:val="nil"/>
          <w:left w:val="nil"/>
          <w:bottom w:val="nil"/>
          <w:right w:val="nil"/>
          <w:between w:val="nil"/>
        </w:pBdr>
        <w:spacing w:after="0" w:line="480" w:lineRule="auto"/>
        <w:jc w:val="both"/>
        <w:rPr>
          <w:rFonts w:cs="Times New Roman"/>
          <w:b/>
          <w:bCs/>
          <w:color w:val="000000"/>
          <w:szCs w:val="24"/>
        </w:rPr>
      </w:pPr>
      <w:r>
        <w:rPr>
          <w:noProof/>
        </w:rPr>
        <w:lastRenderedPageBreak/>
        <w:drawing>
          <wp:inline distT="0" distB="0" distL="0" distR="0" wp14:anchorId="4AC7FEB2" wp14:editId="7582C93E">
            <wp:extent cx="5943600" cy="3486150"/>
            <wp:effectExtent l="0" t="0" r="0" b="0"/>
            <wp:docPr id="1698512515" name="Chart 1">
              <a:extLst xmlns:a="http://schemas.openxmlformats.org/drawingml/2006/main">
                <a:ext uri="{FF2B5EF4-FFF2-40B4-BE49-F238E27FC236}">
                  <a16:creationId xmlns:a16="http://schemas.microsoft.com/office/drawing/2014/main" id="{F5F09230-6E64-4BA0-AB70-B306B2C0D3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471BFDE"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b/>
          <w:bCs/>
          <w:color w:val="000000"/>
          <w:szCs w:val="24"/>
        </w:rPr>
        <w:t xml:space="preserve">Figure </w:t>
      </w:r>
      <w:r w:rsidR="00A318E6">
        <w:rPr>
          <w:rFonts w:cs="Times New Roman"/>
          <w:b/>
          <w:bCs/>
          <w:color w:val="000000"/>
          <w:szCs w:val="24"/>
        </w:rPr>
        <w:t>3</w:t>
      </w:r>
      <w:r>
        <w:rPr>
          <w:rFonts w:cs="Times New Roman"/>
          <w:b/>
          <w:bCs/>
          <w:color w:val="000000"/>
          <w:szCs w:val="24"/>
        </w:rPr>
        <w:t xml:space="preserve">. </w:t>
      </w:r>
      <w:r>
        <w:rPr>
          <w:rFonts w:cs="Times New Roman"/>
          <w:color w:val="000000"/>
          <w:szCs w:val="24"/>
        </w:rPr>
        <w:t>Relationship between calorific value and burning time of rice husk briquettes</w:t>
      </w:r>
    </w:p>
    <w:p w14:paraId="1ADA6385"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t>Table 2 shows a progressive increase in operational temperature from 615 ± 60 °C to 710 ± 70 °C. The mean operational temperature was approximately 658 °C. The temperature increase coincided with an increase in DC current from 1.5 to 2.7 A. This is consistent with the operation of the forced-air system: increasing the electrical drive to the blower increased air movement through the combustion chamber, which supported combustion and raised the measured temperature. Because airflow rate was not measured directly, the DC current should be regarded as a control indicator rather than a direct airflow measurement. A K-type thermocouple was used for temperature measurement.</w:t>
      </w:r>
    </w:p>
    <w:p w14:paraId="47289DD0"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t xml:space="preserve">From Table 2, the smallest measured calorific value was 14.79 MJ/kg, while the highest was 15.56 MJ/kg. These values were obtained from the bomb-calorimetry measurements and should be interpreted primarily as fuel-property measurements rather than consequences of the operating </w:t>
      </w:r>
      <w:r>
        <w:lastRenderedPageBreak/>
        <w:t xml:space="preserve">temperature. Differences among briquette samples may reflect variation in feedstock composition, moisture condition and densification history; however, these factors were not independently quantified in the present experiment. </w:t>
      </w:r>
      <w:r>
        <w:rPr>
          <w:highlight w:val="yellow"/>
        </w:rPr>
        <w:t>Figure 4 further shows</w:t>
      </w:r>
      <w:r>
        <w:t xml:space="preserve"> that increasing DC current was associated with increasing operational temperature because the blower supplied progressively stronger forced air to the combustion chamber. The trend therefore supports the use of blower control as an operational means of regulating combustion intensity within the tested range.</w:t>
      </w:r>
    </w:p>
    <w:p w14:paraId="7C3B0CC0" w14:textId="77777777" w:rsidR="003555B5" w:rsidRDefault="00242C7F">
      <w:pPr>
        <w:pBdr>
          <w:top w:val="nil"/>
          <w:left w:val="nil"/>
          <w:bottom w:val="nil"/>
          <w:right w:val="nil"/>
          <w:between w:val="nil"/>
        </w:pBdr>
        <w:spacing w:after="240" w:line="480" w:lineRule="auto"/>
        <w:jc w:val="both"/>
        <w:rPr>
          <w:rFonts w:cs="Times New Roman"/>
          <w:b/>
          <w:bCs/>
          <w:color w:val="000000"/>
          <w:szCs w:val="24"/>
        </w:rPr>
      </w:pPr>
      <w:r>
        <w:rPr>
          <w:noProof/>
        </w:rPr>
        <w:drawing>
          <wp:inline distT="0" distB="0" distL="0" distR="0" wp14:anchorId="356F3820" wp14:editId="06C8ECFC">
            <wp:extent cx="5943600" cy="3200400"/>
            <wp:effectExtent l="0" t="0" r="0" b="0"/>
            <wp:docPr id="1793103501" name="Chart 1">
              <a:extLst xmlns:a="http://schemas.openxmlformats.org/drawingml/2006/main">
                <a:ext uri="{FF2B5EF4-FFF2-40B4-BE49-F238E27FC236}">
                  <a16:creationId xmlns:a16="http://schemas.microsoft.com/office/drawing/2014/main" id="{6AF79A63-EF0D-2DC9-8F41-92035E681C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06519F0"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b/>
          <w:bCs/>
          <w:color w:val="000000"/>
          <w:szCs w:val="24"/>
        </w:rPr>
        <w:t xml:space="preserve">Figure </w:t>
      </w:r>
      <w:r w:rsidR="001F15AA">
        <w:rPr>
          <w:rFonts w:cs="Times New Roman"/>
          <w:b/>
          <w:bCs/>
          <w:color w:val="000000"/>
          <w:szCs w:val="24"/>
        </w:rPr>
        <w:t>4</w:t>
      </w:r>
      <w:r>
        <w:rPr>
          <w:rFonts w:cs="Times New Roman"/>
          <w:b/>
          <w:bCs/>
          <w:color w:val="000000"/>
          <w:szCs w:val="24"/>
        </w:rPr>
        <w:t xml:space="preserve">. </w:t>
      </w:r>
      <w:r>
        <w:rPr>
          <w:rFonts w:cs="Times New Roman"/>
          <w:color w:val="000000"/>
          <w:szCs w:val="24"/>
        </w:rPr>
        <w:t>Relationship between operational temperature and DC current supplied to the blower</w:t>
      </w:r>
    </w:p>
    <w:p w14:paraId="41A0CD27"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50EB1727"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65E40E0E"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78FC1596"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79D507E9"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lastRenderedPageBreak/>
        <w:t>Comparative Thermal Performance of Rice Husk Briquettes and Fuelwood</w:t>
      </w:r>
    </w:p>
    <w:p w14:paraId="7C9D6F8D" w14:textId="77777777" w:rsidR="003555B5" w:rsidRPr="008E3532" w:rsidRDefault="002509A5">
      <w:pPr>
        <w:pBdr>
          <w:top w:val="nil"/>
          <w:left w:val="nil"/>
          <w:bottom w:val="nil"/>
          <w:right w:val="nil"/>
          <w:between w:val="nil"/>
        </w:pBdr>
        <w:spacing w:after="240" w:line="480" w:lineRule="auto"/>
        <w:jc w:val="both"/>
        <w:rPr>
          <w:rFonts w:cs="Times New Roman"/>
          <w:b/>
          <w:bCs/>
          <w:color w:val="000000"/>
          <w:szCs w:val="24"/>
        </w:rPr>
      </w:pPr>
      <w:r w:rsidRPr="008E3532">
        <w:rPr>
          <w:rFonts w:cs="Times New Roman"/>
          <w:b/>
          <w:bCs/>
          <w:color w:val="000000"/>
          <w:szCs w:val="24"/>
        </w:rPr>
        <w:t>Table 3:  Heat Energy Output Determination between fuelwood and rice husk briquettes</w:t>
      </w:r>
    </w:p>
    <w:tbl>
      <w:tblPr>
        <w:tblStyle w:val="a1"/>
        <w:tblW w:w="9016" w:type="dxa"/>
        <w:tblInd w:w="0" w:type="dxa"/>
        <w:tblBorders>
          <w:top w:val="single" w:sz="4" w:space="0" w:color="000000"/>
          <w:bottom w:val="single" w:sz="4" w:space="0" w:color="000000"/>
        </w:tblBorders>
        <w:tblLayout w:type="fixed"/>
        <w:tblLook w:val="0400" w:firstRow="0" w:lastRow="0" w:firstColumn="0" w:lastColumn="0" w:noHBand="0" w:noVBand="1"/>
      </w:tblPr>
      <w:tblGrid>
        <w:gridCol w:w="3811"/>
        <w:gridCol w:w="2731"/>
        <w:gridCol w:w="2474"/>
      </w:tblGrid>
      <w:tr w:rsidR="003555B5" w14:paraId="7BB7E2F4" w14:textId="77777777">
        <w:tc>
          <w:tcPr>
            <w:tcW w:w="3811" w:type="dxa"/>
          </w:tcPr>
          <w:p w14:paraId="3ECD6271"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 xml:space="preserve">Parameter </w:t>
            </w:r>
          </w:p>
        </w:tc>
        <w:tc>
          <w:tcPr>
            <w:tcW w:w="2731" w:type="dxa"/>
          </w:tcPr>
          <w:p w14:paraId="68466A61"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Rice Husk Briquette</w:t>
            </w:r>
          </w:p>
        </w:tc>
        <w:tc>
          <w:tcPr>
            <w:tcW w:w="2474" w:type="dxa"/>
          </w:tcPr>
          <w:p w14:paraId="706C0991"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Fuelwood</w:t>
            </w:r>
          </w:p>
        </w:tc>
      </w:tr>
      <w:tr w:rsidR="003555B5" w14:paraId="212DBA0D" w14:textId="77777777">
        <w:tc>
          <w:tcPr>
            <w:tcW w:w="3811" w:type="dxa"/>
          </w:tcPr>
          <w:p w14:paraId="588A9E67"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Sample Weight (kg)</w:t>
            </w:r>
          </w:p>
        </w:tc>
        <w:tc>
          <w:tcPr>
            <w:tcW w:w="2731" w:type="dxa"/>
          </w:tcPr>
          <w:p w14:paraId="58EBC7AF"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w:t>
            </w:r>
          </w:p>
        </w:tc>
        <w:tc>
          <w:tcPr>
            <w:tcW w:w="2474" w:type="dxa"/>
          </w:tcPr>
          <w:p w14:paraId="68585E7C"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w:t>
            </w:r>
          </w:p>
        </w:tc>
      </w:tr>
      <w:tr w:rsidR="003555B5" w14:paraId="3AF657EA" w14:textId="77777777">
        <w:tc>
          <w:tcPr>
            <w:tcW w:w="3811" w:type="dxa"/>
          </w:tcPr>
          <w:p w14:paraId="724759FD"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 xml:space="preserve">Calorific Value (MJ/kg) </w:t>
            </w:r>
          </w:p>
        </w:tc>
        <w:tc>
          <w:tcPr>
            <w:tcW w:w="2731" w:type="dxa"/>
          </w:tcPr>
          <w:p w14:paraId="365433E0"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14.8</w:t>
            </w:r>
          </w:p>
        </w:tc>
        <w:tc>
          <w:tcPr>
            <w:tcW w:w="2474" w:type="dxa"/>
          </w:tcPr>
          <w:p w14:paraId="5756E0AE"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16.2</w:t>
            </w:r>
          </w:p>
        </w:tc>
      </w:tr>
      <w:tr w:rsidR="003555B5" w14:paraId="7DA36DD0" w14:textId="77777777">
        <w:tc>
          <w:tcPr>
            <w:tcW w:w="3811" w:type="dxa"/>
          </w:tcPr>
          <w:p w14:paraId="17978AA5"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Burning Time (min)</w:t>
            </w:r>
          </w:p>
        </w:tc>
        <w:tc>
          <w:tcPr>
            <w:tcW w:w="2731" w:type="dxa"/>
          </w:tcPr>
          <w:p w14:paraId="2BAE9F3B"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c>
          <w:tcPr>
            <w:tcW w:w="2474" w:type="dxa"/>
          </w:tcPr>
          <w:p w14:paraId="651F5241"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r>
      <w:tr w:rsidR="003555B5" w14:paraId="6B5DDB2D" w14:textId="77777777">
        <w:tc>
          <w:tcPr>
            <w:tcW w:w="3811" w:type="dxa"/>
          </w:tcPr>
          <w:p w14:paraId="01B8BB7A"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 xml:space="preserve">Maximum Temperature Achieved (°C) </w:t>
            </w:r>
          </w:p>
        </w:tc>
        <w:tc>
          <w:tcPr>
            <w:tcW w:w="2731" w:type="dxa"/>
          </w:tcPr>
          <w:p w14:paraId="26FCF4FD"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780</w:t>
            </w:r>
          </w:p>
        </w:tc>
        <w:tc>
          <w:tcPr>
            <w:tcW w:w="2474" w:type="dxa"/>
          </w:tcPr>
          <w:p w14:paraId="514F5432"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850</w:t>
            </w:r>
          </w:p>
        </w:tc>
      </w:tr>
      <w:tr w:rsidR="003555B5" w14:paraId="49767B58" w14:textId="77777777">
        <w:tc>
          <w:tcPr>
            <w:tcW w:w="3811" w:type="dxa"/>
          </w:tcPr>
          <w:p w14:paraId="0AAE4576"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Combustion Efficiency (%)</w:t>
            </w:r>
          </w:p>
        </w:tc>
        <w:tc>
          <w:tcPr>
            <w:tcW w:w="2731" w:type="dxa"/>
          </w:tcPr>
          <w:p w14:paraId="5AAB79EF"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70</w:t>
            </w:r>
          </w:p>
        </w:tc>
        <w:tc>
          <w:tcPr>
            <w:tcW w:w="2474" w:type="dxa"/>
          </w:tcPr>
          <w:p w14:paraId="7F71BD42"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80</w:t>
            </w:r>
          </w:p>
        </w:tc>
      </w:tr>
    </w:tbl>
    <w:p w14:paraId="6166CE3C"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ab/>
      </w:r>
      <w:r>
        <w:rPr>
          <w:rFonts w:cs="Times New Roman"/>
          <w:color w:val="000000"/>
          <w:szCs w:val="24"/>
        </w:rPr>
        <w:tab/>
      </w:r>
      <w:r>
        <w:rPr>
          <w:rFonts w:cs="Times New Roman"/>
          <w:color w:val="000000"/>
          <w:szCs w:val="24"/>
        </w:rPr>
        <w:tab/>
      </w:r>
      <w:r>
        <w:rPr>
          <w:rFonts w:cs="Times New Roman"/>
          <w:color w:val="000000"/>
          <w:szCs w:val="24"/>
        </w:rPr>
        <w:tab/>
      </w:r>
      <w:r>
        <w:rPr>
          <w:rFonts w:cs="Times New Roman"/>
          <w:color w:val="000000"/>
          <w:szCs w:val="24"/>
        </w:rPr>
        <w:tab/>
      </w:r>
    </w:p>
    <w:p w14:paraId="4002C9E2"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 xml:space="preserve">Table 3 compares the heat energy output of fuelwood and rice husk briquettes, which allows the performance of the two energy sources to be evaluated. Fuelwood showed a slightly higher calorific value (16.2 MJ/kg) than the rice husk briquettes (14.8 MJ/kg), indicating that it can release more energy per unit mass; however, the difference is modest (about 9%), which suggests that rice husk briquettes are a competitive alternative. </w:t>
      </w:r>
      <w:r>
        <w:rPr>
          <w:rFonts w:cs="Times New Roman"/>
          <w:color w:val="000000"/>
          <w:szCs w:val="24"/>
          <w:highlight w:val="yellow"/>
        </w:rPr>
        <w:t>Both fuels had the same burning time</w:t>
      </w:r>
      <w:r>
        <w:rPr>
          <w:color w:val="000000"/>
        </w:rPr>
        <w:t xml:space="preserve"> of 15 minute</w:t>
      </w:r>
      <w:r>
        <w:rPr>
          <w:rFonts w:cs="Times New Roman"/>
          <w:b/>
          <w:bCs/>
          <w:color w:val="000000"/>
          <w:szCs w:val="24"/>
        </w:rPr>
        <w:t>s</w:t>
      </w:r>
      <w:r>
        <w:rPr>
          <w:rFonts w:cs="Times New Roman"/>
          <w:color w:val="000000"/>
          <w:szCs w:val="24"/>
        </w:rPr>
        <w:t xml:space="preserve">, showing similar combustion durations under comparable conditions, so the briquettes can match fuelwood in sustaining heat over time. The rice husk briquettes attained a maximum temperature of 780 °C while fuelwood reached 850 °C, so fuelwood gave a slightly higher heat intensity; nevertheless, the briquettes reached temperatures sufficient for most heating applications, including cooking. The combustion efficiency of the rice husk briquettes was 70%, compared with 80% for fuelwood. The higher efficiency of fuelwood may be related to its composition and higher energy density. However, the efficiency of the rice husk briquettes (70%) is encouraging, </w:t>
      </w:r>
      <w:r>
        <w:rPr>
          <w:rFonts w:cs="Times New Roman"/>
          <w:color w:val="000000"/>
          <w:szCs w:val="24"/>
          <w:highlight w:val="yellow"/>
        </w:rPr>
        <w:t>considering that they are produced from a renewable agricultural by-product</w:t>
      </w:r>
      <w:r>
        <w:rPr>
          <w:rFonts w:cs="Times New Roman"/>
          <w:color w:val="000000"/>
          <w:szCs w:val="24"/>
        </w:rPr>
        <w:t>.</w:t>
      </w:r>
    </w:p>
    <w:p w14:paraId="4607C721"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b/>
          <w:bCs/>
          <w:color w:val="000000"/>
          <w:szCs w:val="24"/>
        </w:rPr>
        <w:lastRenderedPageBreak/>
        <w:t xml:space="preserve">Table 4: </w:t>
      </w:r>
      <w:r>
        <w:rPr>
          <w:rFonts w:cs="Times New Roman"/>
          <w:color w:val="000000"/>
          <w:szCs w:val="24"/>
        </w:rPr>
        <w:t>Cassava Processing Comparison</w:t>
      </w:r>
    </w:p>
    <w:tbl>
      <w:tblPr>
        <w:tblStyle w:val="a2"/>
        <w:tblW w:w="9016" w:type="dxa"/>
        <w:tblInd w:w="0" w:type="dxa"/>
        <w:tblBorders>
          <w:top w:val="single" w:sz="4" w:space="0" w:color="000000"/>
          <w:bottom w:val="single" w:sz="4" w:space="0" w:color="000000"/>
        </w:tblBorders>
        <w:tblLayout w:type="fixed"/>
        <w:tblLook w:val="0400" w:firstRow="0" w:lastRow="0" w:firstColumn="0" w:lastColumn="0" w:noHBand="0" w:noVBand="1"/>
      </w:tblPr>
      <w:tblGrid>
        <w:gridCol w:w="4233"/>
        <w:gridCol w:w="2425"/>
        <w:gridCol w:w="2358"/>
      </w:tblGrid>
      <w:tr w:rsidR="003555B5" w14:paraId="1DBCF0A3" w14:textId="77777777">
        <w:tc>
          <w:tcPr>
            <w:tcW w:w="4233" w:type="dxa"/>
          </w:tcPr>
          <w:p w14:paraId="336F29A3"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 xml:space="preserve">Parameter </w:t>
            </w:r>
          </w:p>
        </w:tc>
        <w:tc>
          <w:tcPr>
            <w:tcW w:w="2425" w:type="dxa"/>
          </w:tcPr>
          <w:p w14:paraId="4A9D143A"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Rice Husk Briquette</w:t>
            </w:r>
          </w:p>
        </w:tc>
        <w:tc>
          <w:tcPr>
            <w:tcW w:w="2358" w:type="dxa"/>
          </w:tcPr>
          <w:p w14:paraId="071DCFE3"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Fuelwood</w:t>
            </w:r>
          </w:p>
        </w:tc>
      </w:tr>
      <w:tr w:rsidR="003555B5" w14:paraId="5079E45E" w14:textId="77777777">
        <w:tc>
          <w:tcPr>
            <w:tcW w:w="4233" w:type="dxa"/>
          </w:tcPr>
          <w:p w14:paraId="74686764"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 xml:space="preserve">Initial Cassava Weight (kg) after sieving             </w:t>
            </w:r>
          </w:p>
        </w:tc>
        <w:tc>
          <w:tcPr>
            <w:tcW w:w="2425" w:type="dxa"/>
          </w:tcPr>
          <w:p w14:paraId="645360C9" w14:textId="77777777" w:rsidR="007F27AB" w:rsidRDefault="00000000" w:rsidP="008E3532">
            <w:pPr>
              <w:spacing w:line="276" w:lineRule="auto"/>
            </w:pPr>
            <w:r>
              <w:t>5</w:t>
            </w:r>
          </w:p>
        </w:tc>
        <w:tc>
          <w:tcPr>
            <w:tcW w:w="2358" w:type="dxa"/>
          </w:tcPr>
          <w:p w14:paraId="6DB4E9CA" w14:textId="77777777" w:rsidR="007F27AB" w:rsidRDefault="00000000" w:rsidP="008E3532">
            <w:pPr>
              <w:spacing w:line="276" w:lineRule="auto"/>
            </w:pPr>
            <w:r>
              <w:t>5</w:t>
            </w:r>
          </w:p>
        </w:tc>
      </w:tr>
      <w:tr w:rsidR="003555B5" w14:paraId="68DF1945" w14:textId="77777777">
        <w:tc>
          <w:tcPr>
            <w:tcW w:w="4233" w:type="dxa"/>
          </w:tcPr>
          <w:p w14:paraId="6F3AB8E5"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Processing Time (min) (i.e frying time)</w:t>
            </w:r>
          </w:p>
        </w:tc>
        <w:tc>
          <w:tcPr>
            <w:tcW w:w="2425" w:type="dxa"/>
          </w:tcPr>
          <w:p w14:paraId="3AD425B9"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c>
          <w:tcPr>
            <w:tcW w:w="2358" w:type="dxa"/>
          </w:tcPr>
          <w:p w14:paraId="77B7FFD9"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r>
      <w:tr w:rsidR="003555B5" w14:paraId="521281C2" w14:textId="77777777">
        <w:tc>
          <w:tcPr>
            <w:tcW w:w="4233" w:type="dxa"/>
          </w:tcPr>
          <w:p w14:paraId="51D96C91"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Fuel Consumption (kg)</w:t>
            </w:r>
          </w:p>
        </w:tc>
        <w:tc>
          <w:tcPr>
            <w:tcW w:w="2425" w:type="dxa"/>
          </w:tcPr>
          <w:p w14:paraId="1D26E439"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3</w:t>
            </w:r>
          </w:p>
        </w:tc>
        <w:tc>
          <w:tcPr>
            <w:tcW w:w="2358" w:type="dxa"/>
          </w:tcPr>
          <w:p w14:paraId="780E279C"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5</w:t>
            </w:r>
          </w:p>
        </w:tc>
      </w:tr>
      <w:tr w:rsidR="003555B5" w14:paraId="04EE0DC3" w14:textId="77777777">
        <w:tc>
          <w:tcPr>
            <w:tcW w:w="4233" w:type="dxa"/>
          </w:tcPr>
          <w:p w14:paraId="2B08D382"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Final Product Weight (kg)</w:t>
            </w:r>
          </w:p>
        </w:tc>
        <w:tc>
          <w:tcPr>
            <w:tcW w:w="2425" w:type="dxa"/>
          </w:tcPr>
          <w:p w14:paraId="0CA6E883" w14:textId="77777777" w:rsidR="007F27AB" w:rsidRDefault="00000000" w:rsidP="008E3532">
            <w:pPr>
              <w:spacing w:line="276" w:lineRule="auto"/>
            </w:pPr>
            <w:r>
              <w:t>Not available</w:t>
            </w:r>
          </w:p>
        </w:tc>
        <w:tc>
          <w:tcPr>
            <w:tcW w:w="2358" w:type="dxa"/>
          </w:tcPr>
          <w:p w14:paraId="7A32AB99" w14:textId="77777777" w:rsidR="007F27AB" w:rsidRDefault="00000000" w:rsidP="008E3532">
            <w:pPr>
              <w:spacing w:line="276" w:lineRule="auto"/>
            </w:pPr>
            <w:r>
              <w:t>Not available</w:t>
            </w:r>
          </w:p>
        </w:tc>
      </w:tr>
    </w:tbl>
    <w:p w14:paraId="3B92AB03" w14:textId="77777777" w:rsidR="003555B5" w:rsidRDefault="003555B5">
      <w:pPr>
        <w:pBdr>
          <w:top w:val="nil"/>
          <w:left w:val="nil"/>
          <w:bottom w:val="nil"/>
          <w:right w:val="nil"/>
          <w:between w:val="nil"/>
        </w:pBdr>
        <w:spacing w:after="240" w:line="480" w:lineRule="auto"/>
        <w:jc w:val="both"/>
        <w:rPr>
          <w:rFonts w:cs="Times New Roman"/>
          <w:b/>
          <w:bCs/>
          <w:color w:val="000000"/>
          <w:szCs w:val="24"/>
        </w:rPr>
      </w:pPr>
    </w:p>
    <w:p w14:paraId="04B75C46"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t>Table 4 compares the performance of rice husk briquettes and fuelwood in cassava flaking. Both methods used 5 kg of sieved cassava per test. The reported frying time was 15 minutes for both fuels. Rice husk briquettes consumed 3 kg of fuel compared with 5 kg for fuelwood, a 40% lower fuel consumption by mass. This difference should not be interpreted as a 40% improvement in energy efficiency because the fuels have different calorific values and were tested in different stove arrangements (the Adobe SMART Stove for briquettes and an open fuelwood setup). The final-product mass is not recalculated here because the available source data in the manuscript were based on the earlier 2 kg cassava test and therefore cannot be transferred to the revised 5 kg test without the original raw measurements.</w:t>
      </w:r>
    </w:p>
    <w:p w14:paraId="095B962A" w14:textId="77777777" w:rsidR="003555B5" w:rsidRDefault="002509A5">
      <w:pPr>
        <w:pBdr>
          <w:top w:val="nil"/>
          <w:left w:val="nil"/>
          <w:bottom w:val="nil"/>
          <w:right w:val="nil"/>
          <w:between w:val="nil"/>
        </w:pBdr>
        <w:spacing w:after="240" w:line="480" w:lineRule="auto"/>
        <w:jc w:val="both"/>
        <w:outlineLvl w:val="0"/>
        <w:rPr>
          <w:rFonts w:cs="Times New Roman"/>
          <w:b/>
          <w:bCs/>
          <w:color w:val="000000"/>
          <w:szCs w:val="24"/>
        </w:rPr>
      </w:pPr>
      <w:r>
        <w:rPr>
          <w:rFonts w:cs="Times New Roman"/>
          <w:b/>
          <w:bCs/>
          <w:color w:val="000000"/>
          <w:szCs w:val="24"/>
        </w:rPr>
        <w:t>CONCLUSION</w:t>
      </w:r>
    </w:p>
    <w:p w14:paraId="199C8D98" w14:textId="0C29BD4C" w:rsidR="003555B5" w:rsidRDefault="002509A5">
      <w:pPr>
        <w:pBdr>
          <w:top w:val="nil"/>
          <w:left w:val="nil"/>
          <w:bottom w:val="nil"/>
          <w:right w:val="nil"/>
          <w:between w:val="nil"/>
        </w:pBdr>
        <w:spacing w:after="240" w:line="480" w:lineRule="auto"/>
        <w:jc w:val="both"/>
      </w:pPr>
      <w:r>
        <w:t xml:space="preserve">The findings indicate that rice husk briquettes can provide a practical alternative fuel for cassava processing under the conditions tested. The briquettes had calorific values of 14.79–15.56 MJ/kg and produced operational temperatures of 615–710 °C in the forced-air combustion system. In the cassava-flaking trial, the briquettes and fuelwood produced the same reported processing time of 15 min, while the reported fuel consumption was 3 kg and 5 kg, respectively. Because the two </w:t>
      </w:r>
      <w:r>
        <w:lastRenderedPageBreak/>
        <w:t xml:space="preserve">fuels were tested in different stove arrangements, the observed fuel-consumption difference should not be interpreted as a fuel-only efficiency advantage. Nevertheless, the results demonstrate the technical potential of rice husk densification for converting an agricultural residue into a usable solid fuel for rural </w:t>
      </w:r>
      <w:proofErr w:type="spellStart"/>
      <w:r>
        <w:t>agro</w:t>
      </w:r>
      <w:proofErr w:type="spellEnd"/>
      <w:r>
        <w:t>-processing.</w:t>
      </w:r>
      <w:r w:rsidR="00717394">
        <w:t xml:space="preserve">  </w:t>
      </w:r>
    </w:p>
    <w:p w14:paraId="57CA13E1" w14:textId="105EBB1D" w:rsidR="00717394" w:rsidRPr="00717394" w:rsidRDefault="00717394" w:rsidP="00717394">
      <w:pPr>
        <w:spacing w:before="100" w:beforeAutospacing="1" w:after="100" w:afterAutospacing="1"/>
        <w:outlineLvl w:val="2"/>
        <w:rPr>
          <w:rFonts w:cs="Times New Roman"/>
          <w:b/>
          <w:bCs/>
          <w:sz w:val="27"/>
          <w:szCs w:val="27"/>
          <w:lang w:val="en-US"/>
        </w:rPr>
      </w:pPr>
      <w:r w:rsidRPr="00717394">
        <w:rPr>
          <w:rFonts w:cs="Times New Roman"/>
          <w:b/>
          <w:bCs/>
          <w:sz w:val="27"/>
          <w:szCs w:val="27"/>
          <w:lang w:val="en-US"/>
        </w:rPr>
        <w:t xml:space="preserve">Limitations </w:t>
      </w:r>
    </w:p>
    <w:p w14:paraId="7E6986F6" w14:textId="49C978FE" w:rsidR="00717394" w:rsidRPr="00717394" w:rsidRDefault="00717394" w:rsidP="00717394">
      <w:pPr>
        <w:spacing w:before="100" w:beforeAutospacing="1" w:after="100" w:afterAutospacing="1"/>
        <w:rPr>
          <w:rFonts w:cs="Times New Roman"/>
          <w:szCs w:val="24"/>
          <w:lang w:val="en-US"/>
        </w:rPr>
      </w:pPr>
      <w:r w:rsidRPr="00717394">
        <w:rPr>
          <w:rFonts w:cs="Times New Roman"/>
          <w:szCs w:val="24"/>
          <w:lang w:val="en-US"/>
        </w:rPr>
        <w:t>The briquettes and fuelwood were tested in different stove arrangements, so differences in fuel consumption cannot be assigned to fuel type alone. Blower current was recorded, but the corresponding airflow rate was not measured directly. These limitations restrict comparisons of practical energy efficiency and indicate the need for matched test conditions and more complete measurements.</w:t>
      </w:r>
    </w:p>
    <w:p w14:paraId="692F3F24" w14:textId="77777777" w:rsidR="00717394" w:rsidRDefault="00717394">
      <w:pPr>
        <w:pBdr>
          <w:top w:val="nil"/>
          <w:left w:val="nil"/>
          <w:bottom w:val="nil"/>
          <w:right w:val="nil"/>
          <w:between w:val="nil"/>
        </w:pBdr>
        <w:spacing w:after="240" w:line="480" w:lineRule="auto"/>
        <w:jc w:val="both"/>
      </w:pPr>
    </w:p>
    <w:p w14:paraId="25F0CCDF" w14:textId="77777777" w:rsidR="00D93EDF" w:rsidRPr="00D93EDF" w:rsidRDefault="00D93EDF" w:rsidP="00D93EDF">
      <w:pPr>
        <w:spacing w:after="0"/>
        <w:rPr>
          <w:rFonts w:ascii="Arial" w:eastAsia="Calibri" w:hAnsi="Arial" w:cs="Arial"/>
          <w:b/>
          <w:sz w:val="20"/>
          <w:szCs w:val="20"/>
          <w:lang w:val="en-US"/>
        </w:rPr>
      </w:pPr>
      <w:bookmarkStart w:id="1" w:name="_Hlk238550938"/>
      <w:bookmarkStart w:id="2" w:name="_Hlk237856463"/>
      <w:r w:rsidRPr="00D93EDF">
        <w:rPr>
          <w:rFonts w:ascii="Arial" w:eastAsia="Calibri" w:hAnsi="Arial" w:cs="Arial"/>
          <w:b/>
          <w:sz w:val="20"/>
          <w:szCs w:val="20"/>
          <w:lang w:val="en-US"/>
        </w:rPr>
        <w:t>Declaration of AI Use</w:t>
      </w:r>
    </w:p>
    <w:p w14:paraId="21F059E2" w14:textId="77777777" w:rsidR="00D93EDF" w:rsidRPr="00D93EDF" w:rsidRDefault="00D93EDF" w:rsidP="00D93EDF">
      <w:pPr>
        <w:spacing w:after="0"/>
        <w:rPr>
          <w:rFonts w:ascii="Arial" w:eastAsia="Calibri" w:hAnsi="Arial" w:cs="Arial"/>
          <w:sz w:val="20"/>
          <w:szCs w:val="20"/>
          <w:lang w:val="en-US"/>
        </w:rPr>
      </w:pPr>
      <w:bookmarkStart w:id="3" w:name="_Hlk239068730"/>
    </w:p>
    <w:p w14:paraId="1CB508E6" w14:textId="77777777" w:rsidR="00D93EDF" w:rsidRPr="00D93EDF" w:rsidRDefault="00D93EDF" w:rsidP="00D93EDF">
      <w:pPr>
        <w:spacing w:after="0"/>
        <w:rPr>
          <w:rFonts w:ascii="Arial" w:eastAsia="Calibri" w:hAnsi="Arial" w:cs="Arial"/>
          <w:sz w:val="20"/>
          <w:szCs w:val="20"/>
          <w:lang w:val="en-US"/>
        </w:rPr>
      </w:pPr>
      <w:bookmarkStart w:id="4" w:name="_Hlk237862032"/>
      <w:r w:rsidRPr="00D93EDF">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r w:rsidRPr="00D93EDF">
        <w:rPr>
          <w:rFonts w:ascii="Arial" w:eastAsia="Calibri" w:hAnsi="Arial" w:cs="Arial"/>
          <w:sz w:val="20"/>
          <w:szCs w:val="20"/>
          <w:lang w:val="en-US"/>
        </w:rPr>
        <w:t>.</w:t>
      </w:r>
    </w:p>
    <w:bookmarkEnd w:id="2"/>
    <w:bookmarkEnd w:id="3"/>
    <w:bookmarkEnd w:id="4"/>
    <w:p w14:paraId="68231234" w14:textId="77777777" w:rsidR="00D93EDF" w:rsidRDefault="00D93EDF">
      <w:pPr>
        <w:pBdr>
          <w:top w:val="nil"/>
          <w:left w:val="nil"/>
          <w:bottom w:val="nil"/>
          <w:right w:val="nil"/>
          <w:between w:val="nil"/>
        </w:pBdr>
        <w:spacing w:after="240" w:line="480" w:lineRule="auto"/>
        <w:jc w:val="both"/>
        <w:rPr>
          <w:rFonts w:cs="Times New Roman"/>
          <w:color w:val="000000"/>
          <w:szCs w:val="24"/>
        </w:rPr>
      </w:pPr>
    </w:p>
    <w:p w14:paraId="247E4D01" w14:textId="77777777" w:rsidR="00F739E5" w:rsidRDefault="00F739E5">
      <w:pPr>
        <w:spacing w:after="0"/>
        <w:jc w:val="both"/>
        <w:rPr>
          <w:rFonts w:cs="Times New Roman"/>
          <w:b/>
          <w:bCs/>
          <w:color w:val="000000"/>
          <w:szCs w:val="24"/>
        </w:rPr>
      </w:pPr>
    </w:p>
    <w:p w14:paraId="1C5CD95C" w14:textId="77777777" w:rsidR="003555B5" w:rsidRDefault="002509A5">
      <w:pPr>
        <w:spacing w:after="0"/>
        <w:jc w:val="both"/>
        <w:outlineLvl w:val="0"/>
        <w:rPr>
          <w:rFonts w:cs="Times New Roman"/>
          <w:b/>
          <w:bCs/>
          <w:color w:val="222222"/>
          <w:szCs w:val="24"/>
          <w:highlight w:val="white"/>
        </w:rPr>
      </w:pPr>
      <w:r>
        <w:rPr>
          <w:rFonts w:cs="Times New Roman"/>
          <w:b/>
          <w:bCs/>
          <w:color w:val="222222"/>
          <w:szCs w:val="24"/>
          <w:highlight w:val="white"/>
        </w:rPr>
        <w:t xml:space="preserve">                                                                  References</w:t>
      </w:r>
    </w:p>
    <w:p w14:paraId="73B6CBF5" w14:textId="77777777" w:rsidR="00FC610F" w:rsidRDefault="00FC610F" w:rsidP="00CD1D44">
      <w:pPr>
        <w:pBdr>
          <w:top w:val="nil"/>
          <w:left w:val="nil"/>
          <w:bottom w:val="nil"/>
          <w:right w:val="nil"/>
          <w:between w:val="nil"/>
        </w:pBdr>
        <w:spacing w:before="280" w:after="240"/>
        <w:ind w:left="720" w:hanging="720"/>
        <w:jc w:val="both"/>
      </w:pPr>
    </w:p>
    <w:p w14:paraId="6F34BD75"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Adeniyi, V., Akangbe, J., Kolawole, A., &amp; </w:t>
      </w:r>
      <w:proofErr w:type="spellStart"/>
      <w:r w:rsidRPr="006059D4">
        <w:rPr>
          <w:rFonts w:cs="Times New Roman"/>
          <w:szCs w:val="24"/>
          <w:lang w:val="en-US"/>
        </w:rPr>
        <w:t>Okonta</w:t>
      </w:r>
      <w:proofErr w:type="spellEnd"/>
      <w:r w:rsidRPr="006059D4">
        <w:rPr>
          <w:rFonts w:cs="Times New Roman"/>
          <w:szCs w:val="24"/>
          <w:lang w:val="en-US"/>
        </w:rPr>
        <w:t xml:space="preserve">, O. (2024). Comparison of occupational and environmental health hazards associated with the use of improved and conventional cassava processing technologies in Nigeria. In 2024 International Conference on Science, Engineering and Business for Driving Sustainable Development Goals (SEB4SDG). IEEE. </w:t>
      </w:r>
      <w:hyperlink r:id="rId12" w:history="1">
        <w:r w:rsidRPr="006059D4">
          <w:rPr>
            <w:rFonts w:cs="Times New Roman"/>
            <w:color w:val="0000FF"/>
            <w:szCs w:val="24"/>
            <w:u w:val="single"/>
            <w:lang w:val="en-US"/>
          </w:rPr>
          <w:t>https://doi.org/10.1109/SEB4SDG60871.2024.10630379</w:t>
        </w:r>
      </w:hyperlink>
    </w:p>
    <w:p w14:paraId="5555287D"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Adeshina, O. O. (2024). Exposure to air pollution and lung function among cassava grits (Gari) processors in Ghana [Doctor of Public Health thesis, London School of Hygiene &amp; Tropical Medicine]. </w:t>
      </w:r>
      <w:hyperlink r:id="rId13" w:history="1">
        <w:r w:rsidRPr="006059D4">
          <w:rPr>
            <w:rFonts w:cs="Times New Roman"/>
            <w:color w:val="0000FF"/>
            <w:szCs w:val="24"/>
            <w:u w:val="single"/>
            <w:lang w:val="en-US"/>
          </w:rPr>
          <w:t>https://researchonline.lshtm.ac.uk/4672588/1/2024_PHP_DrPH_Adeshina_O.pdf</w:t>
        </w:r>
      </w:hyperlink>
    </w:p>
    <w:p w14:paraId="3EFF2E55"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Agoh, E. C., Ogwu, M. C., Chukwuemeka, O. S., &amp; </w:t>
      </w:r>
      <w:proofErr w:type="spellStart"/>
      <w:r w:rsidRPr="006059D4">
        <w:rPr>
          <w:rFonts w:cs="Times New Roman"/>
          <w:szCs w:val="24"/>
          <w:lang w:val="en-US"/>
        </w:rPr>
        <w:t>Ekeledo</w:t>
      </w:r>
      <w:proofErr w:type="spellEnd"/>
      <w:r w:rsidRPr="006059D4">
        <w:rPr>
          <w:rFonts w:cs="Times New Roman"/>
          <w:szCs w:val="24"/>
          <w:lang w:val="en-US"/>
        </w:rPr>
        <w:t xml:space="preserve">, P. I. (2024). Environmental and human health effects of cassava processing and processing waste. In M. C. Ogwu, S. C. Izah, A. A. Cunha Alves, &amp; S. C. Babu (Eds.), Sustainable cassava: Strategies from production through </w:t>
      </w:r>
      <w:r w:rsidRPr="006059D4">
        <w:rPr>
          <w:rFonts w:cs="Times New Roman"/>
          <w:szCs w:val="24"/>
          <w:lang w:val="en-US"/>
        </w:rPr>
        <w:lastRenderedPageBreak/>
        <w:t xml:space="preserve">waste management (pp. 203–219). Academic Press. </w:t>
      </w:r>
      <w:hyperlink r:id="rId14" w:history="1">
        <w:r w:rsidRPr="006059D4">
          <w:rPr>
            <w:rFonts w:cs="Times New Roman"/>
            <w:color w:val="0000FF"/>
            <w:szCs w:val="24"/>
            <w:u w:val="single"/>
            <w:lang w:val="en-US"/>
          </w:rPr>
          <w:t>https://doi.org/10.1016/B978-0-443-21747-0.00001-1</w:t>
        </w:r>
      </w:hyperlink>
    </w:p>
    <w:p w14:paraId="5EA1546F"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Ali, A., Kumari, M., Manisha, Tiwari, S., Kumar, M., Chhabra, D., &amp; Sahdev, R. K. (2024). Insight into the biomass-based briquette generation from </w:t>
      </w:r>
      <w:proofErr w:type="spellStart"/>
      <w:r w:rsidRPr="006059D4">
        <w:rPr>
          <w:rFonts w:cs="Times New Roman"/>
          <w:szCs w:val="24"/>
          <w:lang w:val="en-US"/>
        </w:rPr>
        <w:t>agro</w:t>
      </w:r>
      <w:proofErr w:type="spellEnd"/>
      <w:r w:rsidRPr="006059D4">
        <w:rPr>
          <w:rFonts w:cs="Times New Roman"/>
          <w:szCs w:val="24"/>
          <w:lang w:val="en-US"/>
        </w:rPr>
        <w:t xml:space="preserve">-residues: Challenges, perspectives, and innovations. </w:t>
      </w:r>
      <w:proofErr w:type="spellStart"/>
      <w:r w:rsidRPr="006059D4">
        <w:rPr>
          <w:rFonts w:cs="Times New Roman"/>
          <w:szCs w:val="24"/>
          <w:lang w:val="en-US"/>
        </w:rPr>
        <w:t>BioEnergy</w:t>
      </w:r>
      <w:proofErr w:type="spellEnd"/>
      <w:r w:rsidRPr="006059D4">
        <w:rPr>
          <w:rFonts w:cs="Times New Roman"/>
          <w:szCs w:val="24"/>
          <w:lang w:val="en-US"/>
        </w:rPr>
        <w:t xml:space="preserve"> Research, 17(2), 816–856. </w:t>
      </w:r>
      <w:hyperlink r:id="rId15" w:history="1">
        <w:r w:rsidRPr="006059D4">
          <w:rPr>
            <w:rFonts w:cs="Times New Roman"/>
            <w:color w:val="0000FF"/>
            <w:szCs w:val="24"/>
            <w:u w:val="single"/>
            <w:lang w:val="en-US"/>
          </w:rPr>
          <w:t>https://doi.org/10.1007/s12155-023-10712-5</w:t>
        </w:r>
      </w:hyperlink>
    </w:p>
    <w:p w14:paraId="629FC014" w14:textId="2C74A62B"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Mwape, M. C., Parmar, A., Roman, F., </w:t>
      </w:r>
      <w:proofErr w:type="spellStart"/>
      <w:r w:rsidRPr="006059D4">
        <w:rPr>
          <w:rFonts w:cs="Times New Roman"/>
          <w:szCs w:val="24"/>
          <w:lang w:val="en-US"/>
        </w:rPr>
        <w:t>Emmambux</w:t>
      </w:r>
      <w:proofErr w:type="spellEnd"/>
      <w:r w:rsidRPr="006059D4">
        <w:rPr>
          <w:rFonts w:cs="Times New Roman"/>
          <w:szCs w:val="24"/>
          <w:lang w:val="en-US"/>
        </w:rPr>
        <w:t xml:space="preserve">, N. M., </w:t>
      </w:r>
      <w:proofErr w:type="spellStart"/>
      <w:r w:rsidRPr="006059D4">
        <w:rPr>
          <w:rFonts w:cs="Times New Roman"/>
          <w:szCs w:val="24"/>
          <w:lang w:val="en-US"/>
        </w:rPr>
        <w:t>Azouma</w:t>
      </w:r>
      <w:proofErr w:type="spellEnd"/>
      <w:r w:rsidRPr="006059D4">
        <w:rPr>
          <w:rFonts w:cs="Times New Roman"/>
          <w:szCs w:val="24"/>
          <w:lang w:val="en-US"/>
        </w:rPr>
        <w:t xml:space="preserve">, Y. O., &amp; Hensel, O. (2025). Life cycle sustainability assessment of staple food processing: A double and dynamic materiality approach. Sustainable Production and Consumption, 56, 343–363. </w:t>
      </w:r>
      <w:hyperlink r:id="rId16" w:history="1">
        <w:r w:rsidRPr="00401C35">
          <w:rPr>
            <w:rStyle w:val="Hyperlink"/>
            <w:rFonts w:cs="Times New Roman"/>
            <w:szCs w:val="24"/>
            <w:lang w:val="en-US"/>
          </w:rPr>
          <w:t>https://doi.org/10.1016/j.spc.2025.04.002</w:t>
        </w:r>
      </w:hyperlink>
      <w:r w:rsidRPr="006059D4">
        <w:rPr>
          <w:rFonts w:cs="Times New Roman"/>
          <w:szCs w:val="24"/>
          <w:lang w:val="en-US"/>
        </w:rPr>
        <w:t xml:space="preserve"> </w:t>
      </w:r>
    </w:p>
    <w:p w14:paraId="6720C003"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Benti, N. E., </w:t>
      </w:r>
      <w:proofErr w:type="spellStart"/>
      <w:r w:rsidRPr="006059D4">
        <w:rPr>
          <w:rFonts w:cs="Times New Roman"/>
          <w:szCs w:val="24"/>
          <w:lang w:val="en-US"/>
        </w:rPr>
        <w:t>Gurmesa</w:t>
      </w:r>
      <w:proofErr w:type="spellEnd"/>
      <w:r w:rsidRPr="006059D4">
        <w:rPr>
          <w:rFonts w:cs="Times New Roman"/>
          <w:szCs w:val="24"/>
          <w:lang w:val="en-US"/>
        </w:rPr>
        <w:t xml:space="preserve">, G. S., Argaw, T., </w:t>
      </w:r>
      <w:proofErr w:type="spellStart"/>
      <w:r w:rsidRPr="006059D4">
        <w:rPr>
          <w:rFonts w:cs="Times New Roman"/>
          <w:szCs w:val="24"/>
          <w:lang w:val="en-US"/>
        </w:rPr>
        <w:t>Aneseyee</w:t>
      </w:r>
      <w:proofErr w:type="spellEnd"/>
      <w:r w:rsidRPr="006059D4">
        <w:rPr>
          <w:rFonts w:cs="Times New Roman"/>
          <w:szCs w:val="24"/>
          <w:lang w:val="en-US"/>
        </w:rPr>
        <w:t xml:space="preserve">, A. B., Gunta, S., Kassahun, G. B., Aga, G. S., &amp; Asfaw, A. A. (2021). The current status, challenges and prospects of using biomass energy in Ethiopia. Biotechnology for Biofuels, 14(1), Article 209. </w:t>
      </w:r>
      <w:hyperlink r:id="rId17" w:history="1">
        <w:r w:rsidRPr="006059D4">
          <w:rPr>
            <w:rFonts w:cs="Times New Roman"/>
            <w:color w:val="0000FF"/>
            <w:szCs w:val="24"/>
            <w:u w:val="single"/>
            <w:lang w:val="en-US"/>
          </w:rPr>
          <w:t>https://doi.org/10.1186/s13068-021-02060-3</w:t>
        </w:r>
      </w:hyperlink>
    </w:p>
    <w:p w14:paraId="6E7323DB" w14:textId="77777777" w:rsidR="006059D4" w:rsidRPr="006059D4" w:rsidRDefault="006059D4" w:rsidP="006059D4">
      <w:pPr>
        <w:spacing w:before="100" w:beforeAutospacing="1" w:after="100" w:afterAutospacing="1"/>
        <w:rPr>
          <w:rFonts w:cs="Times New Roman"/>
          <w:szCs w:val="24"/>
          <w:lang w:val="en-US"/>
        </w:rPr>
      </w:pPr>
      <w:proofErr w:type="spellStart"/>
      <w:r w:rsidRPr="006059D4">
        <w:rPr>
          <w:rFonts w:cs="Times New Roman"/>
          <w:szCs w:val="24"/>
          <w:lang w:val="en-US"/>
        </w:rPr>
        <w:t>Borku</w:t>
      </w:r>
      <w:proofErr w:type="spellEnd"/>
      <w:r w:rsidRPr="006059D4">
        <w:rPr>
          <w:rFonts w:cs="Times New Roman"/>
          <w:szCs w:val="24"/>
          <w:lang w:val="en-US"/>
        </w:rPr>
        <w:t xml:space="preserve">, A. W. (2025). Cassava (Manihot esculenta Crantz): Its nutritional composition insights for future research and development in Ethiopia. Discover Sustainability, 6, Article 404. </w:t>
      </w:r>
      <w:hyperlink r:id="rId18" w:history="1">
        <w:r w:rsidRPr="006059D4">
          <w:rPr>
            <w:rFonts w:cs="Times New Roman"/>
            <w:color w:val="0000FF"/>
            <w:szCs w:val="24"/>
            <w:u w:val="single"/>
            <w:lang w:val="en-US"/>
          </w:rPr>
          <w:t>https://doi.org/10.1007/s43621-025-00996-2</w:t>
        </w:r>
      </w:hyperlink>
    </w:p>
    <w:p w14:paraId="5233708F"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Chavan, S., Mitra, D., &amp; Ray, A. (2024). Harnessing rice husks: Bioethanol production for sustainable future. Current Research in Microbial Sciences, 7, Article 100298. </w:t>
      </w:r>
      <w:hyperlink r:id="rId19" w:history="1">
        <w:r w:rsidRPr="006059D4">
          <w:rPr>
            <w:rFonts w:cs="Times New Roman"/>
            <w:color w:val="0000FF"/>
            <w:szCs w:val="24"/>
            <w:u w:val="single"/>
            <w:lang w:val="en-US"/>
          </w:rPr>
          <w:t>https://doi.org/10.1016/j.crmicr.2024.100298</w:t>
        </w:r>
      </w:hyperlink>
    </w:p>
    <w:p w14:paraId="1A71FC49"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Chieng, S., &amp; Kuan, S. H. (2022). Harnessing bioenergy and high value-added products from rice residues: A review. Biomass Conversion and Biorefinery, 12, 3547–3571. </w:t>
      </w:r>
      <w:hyperlink r:id="rId20" w:history="1">
        <w:r w:rsidRPr="006059D4">
          <w:rPr>
            <w:rFonts w:cs="Times New Roman"/>
            <w:color w:val="0000FF"/>
            <w:szCs w:val="24"/>
            <w:u w:val="single"/>
            <w:lang w:val="en-US"/>
          </w:rPr>
          <w:t>https://doi.org/10.1007/s13399-020-00891-y</w:t>
        </w:r>
      </w:hyperlink>
    </w:p>
    <w:p w14:paraId="6E045AC0"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Daniel, K. K., </w:t>
      </w:r>
      <w:proofErr w:type="spellStart"/>
      <w:r w:rsidRPr="006059D4">
        <w:rPr>
          <w:rFonts w:cs="Times New Roman"/>
          <w:szCs w:val="24"/>
          <w:lang w:val="en-US"/>
        </w:rPr>
        <w:t>Siagi</w:t>
      </w:r>
      <w:proofErr w:type="spellEnd"/>
      <w:r w:rsidRPr="006059D4">
        <w:rPr>
          <w:rFonts w:cs="Times New Roman"/>
          <w:szCs w:val="24"/>
          <w:lang w:val="en-US"/>
        </w:rPr>
        <w:t xml:space="preserve">, Z. O., &amp; Ogola, J. O. (2020). Effect of formulation, binder and compaction pressure of rice husk-bagasse briquettes on thermal and physical properties. Journal of Scientific Research and Reports, 26(10), 38–53. </w:t>
      </w:r>
      <w:hyperlink r:id="rId21" w:history="1">
        <w:r w:rsidRPr="006059D4">
          <w:rPr>
            <w:rFonts w:cs="Times New Roman"/>
            <w:color w:val="0000FF"/>
            <w:szCs w:val="24"/>
            <w:u w:val="single"/>
            <w:lang w:val="en-US"/>
          </w:rPr>
          <w:t>https://doi.org/10.9734/jsrr/2020/v26i1030320</w:t>
        </w:r>
      </w:hyperlink>
    </w:p>
    <w:p w14:paraId="381A6166"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Diallo, M. I., Kiplimo, R., Tanui, J. K., &amp; Oketch, P. O. (2025). Optimization of combustion characteristics of carbonized rice husk briquettes fuel enriched with Croton </w:t>
      </w:r>
      <w:proofErr w:type="spellStart"/>
      <w:r w:rsidRPr="006059D4">
        <w:rPr>
          <w:rFonts w:cs="Times New Roman"/>
          <w:szCs w:val="24"/>
          <w:lang w:val="en-US"/>
        </w:rPr>
        <w:t>megalocarpus</w:t>
      </w:r>
      <w:proofErr w:type="spellEnd"/>
      <w:r w:rsidRPr="006059D4">
        <w:rPr>
          <w:rFonts w:cs="Times New Roman"/>
          <w:szCs w:val="24"/>
          <w:lang w:val="en-US"/>
        </w:rPr>
        <w:t xml:space="preserve"> oil in fixed bed reactor. Engineering Reports, 7(7), Article e70267. </w:t>
      </w:r>
      <w:hyperlink r:id="rId22" w:history="1">
        <w:r w:rsidRPr="006059D4">
          <w:rPr>
            <w:rFonts w:cs="Times New Roman"/>
            <w:color w:val="0000FF"/>
            <w:szCs w:val="24"/>
            <w:u w:val="single"/>
            <w:lang w:val="en-US"/>
          </w:rPr>
          <w:t>https://doi.org/10.1002/eng2.70267</w:t>
        </w:r>
      </w:hyperlink>
    </w:p>
    <w:p w14:paraId="67176463" w14:textId="77777777" w:rsidR="006059D4" w:rsidRPr="006059D4" w:rsidRDefault="006059D4" w:rsidP="006059D4">
      <w:pPr>
        <w:spacing w:before="100" w:beforeAutospacing="1" w:after="100" w:afterAutospacing="1"/>
        <w:rPr>
          <w:rFonts w:cs="Times New Roman"/>
          <w:szCs w:val="24"/>
          <w:lang w:val="en-US"/>
        </w:rPr>
      </w:pPr>
      <w:proofErr w:type="spellStart"/>
      <w:r w:rsidRPr="006059D4">
        <w:rPr>
          <w:rFonts w:cs="Times New Roman"/>
          <w:szCs w:val="24"/>
          <w:lang w:val="en-US"/>
        </w:rPr>
        <w:t>Gheidan</w:t>
      </w:r>
      <w:proofErr w:type="spellEnd"/>
      <w:r w:rsidRPr="006059D4">
        <w:rPr>
          <w:rFonts w:cs="Times New Roman"/>
          <w:szCs w:val="24"/>
          <w:lang w:val="en-US"/>
        </w:rPr>
        <w:t xml:space="preserve">, A. A., Wahid, M. A., Munir, F. A., &amp; </w:t>
      </w:r>
      <w:proofErr w:type="spellStart"/>
      <w:r w:rsidRPr="006059D4">
        <w:rPr>
          <w:rFonts w:cs="Times New Roman"/>
          <w:szCs w:val="24"/>
          <w:lang w:val="en-US"/>
        </w:rPr>
        <w:t>Opia</w:t>
      </w:r>
      <w:proofErr w:type="spellEnd"/>
      <w:r w:rsidRPr="006059D4">
        <w:rPr>
          <w:rFonts w:cs="Times New Roman"/>
          <w:szCs w:val="24"/>
          <w:lang w:val="en-US"/>
        </w:rPr>
        <w:t xml:space="preserve">, A. C. (2021). Feasibility study of bio-fuel as a sustainable product of biomass: An overview of its fundamentals, application and environmental impact. Journal of Advanced Research in Fluid Mechanics and Thermal Sciences, 88(2), 106–122. </w:t>
      </w:r>
      <w:hyperlink r:id="rId23" w:history="1">
        <w:r w:rsidRPr="006059D4">
          <w:rPr>
            <w:rFonts w:cs="Times New Roman"/>
            <w:color w:val="0000FF"/>
            <w:szCs w:val="24"/>
            <w:u w:val="single"/>
            <w:lang w:val="en-US"/>
          </w:rPr>
          <w:t>https://doi.org/10.37934/arfmts.88.2.106122</w:t>
        </w:r>
      </w:hyperlink>
    </w:p>
    <w:p w14:paraId="07731E1C"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Girma, G. A., &amp; Shimeles, A. (2025). </w:t>
      </w:r>
      <w:proofErr w:type="spellStart"/>
      <w:r w:rsidRPr="006059D4">
        <w:rPr>
          <w:rFonts w:cs="Times New Roman"/>
          <w:szCs w:val="24"/>
          <w:lang w:val="en-US"/>
        </w:rPr>
        <w:t>Woodfuel</w:t>
      </w:r>
      <w:proofErr w:type="spellEnd"/>
      <w:r w:rsidRPr="006059D4">
        <w:rPr>
          <w:rFonts w:cs="Times New Roman"/>
          <w:szCs w:val="24"/>
          <w:lang w:val="en-US"/>
        </w:rPr>
        <w:t xml:space="preserve"> production and its implication in driving deforestation in the drylands of Ethiopia. Indonesian Green Technology Journal, 14(2). </w:t>
      </w:r>
      <w:hyperlink r:id="rId24" w:history="1">
        <w:r w:rsidRPr="006059D4">
          <w:rPr>
            <w:rFonts w:cs="Times New Roman"/>
            <w:color w:val="0000FF"/>
            <w:szCs w:val="24"/>
            <w:u w:val="single"/>
            <w:lang w:val="en-US"/>
          </w:rPr>
          <w:t>https://doi.org/10.21776/ub.igtj.2025.014.02.05</w:t>
        </w:r>
      </w:hyperlink>
    </w:p>
    <w:p w14:paraId="6656BA1D"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lastRenderedPageBreak/>
        <w:t xml:space="preserve">Giwa, A. L., Okoli, I. C., &amp; </w:t>
      </w:r>
      <w:proofErr w:type="spellStart"/>
      <w:r w:rsidRPr="006059D4">
        <w:rPr>
          <w:rFonts w:cs="Times New Roman"/>
          <w:szCs w:val="24"/>
          <w:lang w:val="en-US"/>
        </w:rPr>
        <w:t>Obikaonu</w:t>
      </w:r>
      <w:proofErr w:type="spellEnd"/>
      <w:r w:rsidRPr="006059D4">
        <w:rPr>
          <w:rFonts w:cs="Times New Roman"/>
          <w:szCs w:val="24"/>
          <w:lang w:val="en-US"/>
        </w:rPr>
        <w:t xml:space="preserve">, H. O. (2025). Valorization of agricultural biomass wastes in Nigeria with focus on banana pseudo-stem, empty palm bunch and rice husk. Asian Journal of Research and Review in Agriculture, 7(1), 260–275. </w:t>
      </w:r>
      <w:hyperlink r:id="rId25" w:history="1">
        <w:r w:rsidRPr="006059D4">
          <w:rPr>
            <w:rFonts w:cs="Times New Roman"/>
            <w:color w:val="0000FF"/>
            <w:szCs w:val="24"/>
            <w:u w:val="single"/>
            <w:lang w:val="en-US"/>
          </w:rPr>
          <w:t>https://doi.org/10.56557/ajrra/2025/v7i1176</w:t>
        </w:r>
      </w:hyperlink>
    </w:p>
    <w:p w14:paraId="282ECF3E"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Hans, M., </w:t>
      </w:r>
      <w:proofErr w:type="spellStart"/>
      <w:r w:rsidRPr="006059D4">
        <w:rPr>
          <w:rFonts w:cs="Times New Roman"/>
          <w:szCs w:val="24"/>
          <w:lang w:val="en-US"/>
        </w:rPr>
        <w:t>Lugani</w:t>
      </w:r>
      <w:proofErr w:type="spellEnd"/>
      <w:r w:rsidRPr="006059D4">
        <w:rPr>
          <w:rFonts w:cs="Times New Roman"/>
          <w:szCs w:val="24"/>
          <w:lang w:val="en-US"/>
        </w:rPr>
        <w:t xml:space="preserve">, Y., Chandel, A. K., Rai, R., &amp; Kumar, S. (2023). Production of first- and second-generation ethanol for use in alcohol-based hand sanitizers and disinfectants in India. Biomass Conversion and Biorefinery, 13(9), 7423–7440. </w:t>
      </w:r>
      <w:hyperlink r:id="rId26" w:history="1">
        <w:r w:rsidRPr="006059D4">
          <w:rPr>
            <w:rFonts w:cs="Times New Roman"/>
            <w:color w:val="0000FF"/>
            <w:szCs w:val="24"/>
            <w:u w:val="single"/>
            <w:lang w:val="en-US"/>
          </w:rPr>
          <w:t>https://doi.org/10.1007/s13399-021-01553-3</w:t>
        </w:r>
      </w:hyperlink>
    </w:p>
    <w:p w14:paraId="61DB7EE0" w14:textId="1CE2D2B6"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Abass, A. B., </w:t>
      </w:r>
      <w:proofErr w:type="spellStart"/>
      <w:r w:rsidRPr="006059D4">
        <w:rPr>
          <w:rFonts w:cs="Times New Roman"/>
          <w:szCs w:val="24"/>
          <w:lang w:val="en-US"/>
        </w:rPr>
        <w:t>Awoyale</w:t>
      </w:r>
      <w:proofErr w:type="spellEnd"/>
      <w:r w:rsidRPr="006059D4">
        <w:rPr>
          <w:rFonts w:cs="Times New Roman"/>
          <w:szCs w:val="24"/>
          <w:lang w:val="en-US"/>
        </w:rPr>
        <w:t xml:space="preserve">, W., Sulyok, M., &amp; Alamu, E. O. (2017). Occurrence of regulated mycotoxins and other microbial metabolites in dried cassava products from Nigeria. Toxins, 9(7), Article 207. </w:t>
      </w:r>
      <w:hyperlink r:id="rId27" w:history="1">
        <w:r w:rsidRPr="00401C35">
          <w:rPr>
            <w:rStyle w:val="Hyperlink"/>
            <w:rFonts w:cs="Times New Roman"/>
            <w:szCs w:val="24"/>
            <w:lang w:val="en-US"/>
          </w:rPr>
          <w:t>https://doi.org/10.3390/toxins9070207</w:t>
        </w:r>
      </w:hyperlink>
      <w:r w:rsidRPr="006059D4">
        <w:rPr>
          <w:rFonts w:cs="Times New Roman"/>
          <w:szCs w:val="24"/>
          <w:lang w:val="en-US"/>
        </w:rPr>
        <w:t xml:space="preserve"> </w:t>
      </w:r>
    </w:p>
    <w:p w14:paraId="54930C04"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Kamdem, B. M., Lemaire, R., &amp; Nikiema, J. (2025). Insight into the production factors influencing the physicochemical properties of densified briquettes comprising wood shavings and rice husk. Industrial Crops and Products, 223, Article 120134. </w:t>
      </w:r>
      <w:hyperlink r:id="rId28" w:history="1">
        <w:r w:rsidRPr="006059D4">
          <w:rPr>
            <w:rFonts w:cs="Times New Roman"/>
            <w:color w:val="0000FF"/>
            <w:szCs w:val="24"/>
            <w:u w:val="single"/>
            <w:lang w:val="en-US"/>
          </w:rPr>
          <w:t>https://doi.org/10.1016/j.indcrop.2024.120134</w:t>
        </w:r>
      </w:hyperlink>
    </w:p>
    <w:p w14:paraId="2840DB22"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Kapoor, R. T., &amp; Sillanpää, M. (Eds.). (2025). Biomass-based green technology for circular economy. CRC Press. </w:t>
      </w:r>
      <w:hyperlink r:id="rId29" w:history="1">
        <w:r w:rsidRPr="006059D4">
          <w:rPr>
            <w:rFonts w:cs="Times New Roman"/>
            <w:color w:val="0000FF"/>
            <w:szCs w:val="24"/>
            <w:u w:val="single"/>
            <w:lang w:val="en-US"/>
          </w:rPr>
          <w:t>https://doi.org/10.1201/9781003500469</w:t>
        </w:r>
      </w:hyperlink>
    </w:p>
    <w:p w14:paraId="5B236D7C"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Kataya, G., Cornu, D., </w:t>
      </w:r>
      <w:proofErr w:type="spellStart"/>
      <w:r w:rsidRPr="006059D4">
        <w:rPr>
          <w:rFonts w:cs="Times New Roman"/>
          <w:szCs w:val="24"/>
          <w:lang w:val="en-US"/>
        </w:rPr>
        <w:t>Bechelany</w:t>
      </w:r>
      <w:proofErr w:type="spellEnd"/>
      <w:r w:rsidRPr="006059D4">
        <w:rPr>
          <w:rFonts w:cs="Times New Roman"/>
          <w:szCs w:val="24"/>
          <w:lang w:val="en-US"/>
        </w:rPr>
        <w:t xml:space="preserve">, M., Hijazi, A., &amp; Issa, M. (2023). Biomass waste conversion technologies and its application for sustainable environmental development—A review. Agronomy, 13(11), Article 2833. </w:t>
      </w:r>
      <w:hyperlink r:id="rId30" w:history="1">
        <w:r w:rsidRPr="006059D4">
          <w:rPr>
            <w:rFonts w:cs="Times New Roman"/>
            <w:color w:val="0000FF"/>
            <w:szCs w:val="24"/>
            <w:u w:val="single"/>
            <w:lang w:val="en-US"/>
          </w:rPr>
          <w:t>https://doi.org/10.3390/agronomy13112833</w:t>
        </w:r>
      </w:hyperlink>
    </w:p>
    <w:p w14:paraId="792C087B"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Kesari, K. K., &amp; Jamal, Q. M. S. (2017). Review processing, properties and applications of agricultural solid waste: Effect of an open burning in environmental toxicology. In K. K. Kesari (Ed.), Perspectives in environmental toxicology (pp. 161–181). Springer. </w:t>
      </w:r>
      <w:hyperlink r:id="rId31" w:history="1">
        <w:r w:rsidRPr="006059D4">
          <w:rPr>
            <w:rFonts w:cs="Times New Roman"/>
            <w:color w:val="0000FF"/>
            <w:szCs w:val="24"/>
            <w:u w:val="single"/>
            <w:lang w:val="en-US"/>
          </w:rPr>
          <w:t>https://doi.org/10.1007/978-3-319-46248-6_8</w:t>
        </w:r>
      </w:hyperlink>
    </w:p>
    <w:p w14:paraId="294E601B"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Khalil, I. A., &amp; </w:t>
      </w:r>
      <w:proofErr w:type="spellStart"/>
      <w:r w:rsidRPr="006059D4">
        <w:rPr>
          <w:rFonts w:cs="Times New Roman"/>
          <w:szCs w:val="24"/>
          <w:lang w:val="en-US"/>
        </w:rPr>
        <w:t>DanielRos</w:t>
      </w:r>
      <w:proofErr w:type="spellEnd"/>
      <w:r w:rsidRPr="006059D4">
        <w:rPr>
          <w:rFonts w:cs="Times New Roman"/>
          <w:szCs w:val="24"/>
          <w:lang w:val="en-US"/>
        </w:rPr>
        <w:t xml:space="preserve">, M. (2025). Biomass energy: Pathways, potentials, and challenges for a sustainable energy future. Energy Conversions, 4. </w:t>
      </w:r>
      <w:hyperlink r:id="rId32" w:history="1">
        <w:r w:rsidRPr="006059D4">
          <w:rPr>
            <w:rFonts w:cs="Times New Roman"/>
            <w:color w:val="0000FF"/>
            <w:szCs w:val="24"/>
            <w:u w:val="single"/>
            <w:lang w:val="en-US"/>
          </w:rPr>
          <w:t>https://energyconversions.org/index.php/ecm/article/download/39/39</w:t>
        </w:r>
      </w:hyperlink>
    </w:p>
    <w:p w14:paraId="3EC9A461"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Łaska, G., &amp; Ige, A. R. (2023). A review: Assessment of domestic solid fuel sources in Nigeria. Energies, 16(12), Article 4722. </w:t>
      </w:r>
      <w:hyperlink r:id="rId33" w:history="1">
        <w:r w:rsidRPr="006059D4">
          <w:rPr>
            <w:rFonts w:cs="Times New Roman"/>
            <w:color w:val="0000FF"/>
            <w:szCs w:val="24"/>
            <w:u w:val="single"/>
            <w:lang w:val="en-US"/>
          </w:rPr>
          <w:t>https://doi.org/10.3390/en16124722</w:t>
        </w:r>
      </w:hyperlink>
    </w:p>
    <w:p w14:paraId="58B3FC65"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Mignogna, D., Szabó, M., Ceci, P., &amp; Avino, P. (2024). Biomass energy and biofuels: Perspective, potentials, and challenges in the energy transition. Sustainability, 16(16), Article 7036. </w:t>
      </w:r>
      <w:hyperlink r:id="rId34" w:history="1">
        <w:r w:rsidRPr="006059D4">
          <w:rPr>
            <w:rFonts w:cs="Times New Roman"/>
            <w:color w:val="0000FF"/>
            <w:szCs w:val="24"/>
            <w:u w:val="single"/>
            <w:lang w:val="en-US"/>
          </w:rPr>
          <w:t>https://doi.org/10.3390/su16167036</w:t>
        </w:r>
      </w:hyperlink>
    </w:p>
    <w:p w14:paraId="0BE6A2C2" w14:textId="77777777" w:rsidR="006059D4" w:rsidRPr="006059D4" w:rsidRDefault="006059D4" w:rsidP="006059D4">
      <w:pPr>
        <w:spacing w:before="100" w:beforeAutospacing="1" w:after="100" w:afterAutospacing="1"/>
        <w:rPr>
          <w:rFonts w:cs="Times New Roman"/>
          <w:szCs w:val="24"/>
          <w:lang w:val="en-US"/>
        </w:rPr>
      </w:pPr>
      <w:proofErr w:type="spellStart"/>
      <w:r w:rsidRPr="006059D4">
        <w:rPr>
          <w:rFonts w:cs="Times New Roman"/>
          <w:szCs w:val="24"/>
          <w:lang w:val="en-US"/>
        </w:rPr>
        <w:t>Ngoualem</w:t>
      </w:r>
      <w:proofErr w:type="spellEnd"/>
      <w:r w:rsidRPr="006059D4">
        <w:rPr>
          <w:rFonts w:cs="Times New Roman"/>
          <w:szCs w:val="24"/>
          <w:lang w:val="en-US"/>
        </w:rPr>
        <w:t xml:space="preserve"> Kégah, F., &amp; </w:t>
      </w:r>
      <w:proofErr w:type="spellStart"/>
      <w:r w:rsidRPr="006059D4">
        <w:rPr>
          <w:rFonts w:cs="Times New Roman"/>
          <w:szCs w:val="24"/>
          <w:lang w:val="en-US"/>
        </w:rPr>
        <w:t>Ndjouenkeu</w:t>
      </w:r>
      <w:proofErr w:type="spellEnd"/>
      <w:r w:rsidRPr="006059D4">
        <w:rPr>
          <w:rFonts w:cs="Times New Roman"/>
          <w:szCs w:val="24"/>
          <w:lang w:val="en-US"/>
        </w:rPr>
        <w:t xml:space="preserve">, R. (2023). Gari, a cassava (Manihot esculenta Crantz) derived product: Review on its quality and their determinants. Journal of Food Quality, 2023, Article 7238309. </w:t>
      </w:r>
      <w:hyperlink r:id="rId35" w:history="1">
        <w:r w:rsidRPr="006059D4">
          <w:rPr>
            <w:rFonts w:cs="Times New Roman"/>
            <w:color w:val="0000FF"/>
            <w:szCs w:val="24"/>
            <w:u w:val="single"/>
            <w:lang w:val="en-US"/>
          </w:rPr>
          <w:t>https://doi.org/10.1155/2023/7238309</w:t>
        </w:r>
      </w:hyperlink>
    </w:p>
    <w:p w14:paraId="29FEADD1"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lastRenderedPageBreak/>
        <w:t xml:space="preserve">Ondari, B. O., Kimutai, S., &amp; </w:t>
      </w:r>
      <w:proofErr w:type="spellStart"/>
      <w:r w:rsidRPr="006059D4">
        <w:rPr>
          <w:rFonts w:cs="Times New Roman"/>
          <w:szCs w:val="24"/>
          <w:lang w:val="en-US"/>
        </w:rPr>
        <w:t>Mukubwa</w:t>
      </w:r>
      <w:proofErr w:type="spellEnd"/>
      <w:r w:rsidRPr="006059D4">
        <w:rPr>
          <w:rFonts w:cs="Times New Roman"/>
          <w:szCs w:val="24"/>
          <w:lang w:val="en-US"/>
        </w:rPr>
        <w:t xml:space="preserve">, E. (2025). Combustion characteristics of briquettes of different feed-stock of agricultural wastes: A review. International Journal of Research and Innovation in Applied Science, 10(6), 1654–1662. </w:t>
      </w:r>
      <w:hyperlink r:id="rId36" w:history="1">
        <w:r w:rsidRPr="006059D4">
          <w:rPr>
            <w:rFonts w:cs="Times New Roman"/>
            <w:color w:val="0000FF"/>
            <w:szCs w:val="24"/>
            <w:u w:val="single"/>
            <w:lang w:val="en-US"/>
          </w:rPr>
          <w:t>https://doi.org/10.51584/IJRIAS.2025.100600124</w:t>
        </w:r>
      </w:hyperlink>
    </w:p>
    <w:p w14:paraId="2A5EED64"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Saeed, A. A. H., Yub Harun, N., Bilad, M. R., Afzal, M. T., Parvez, A. M., Roslan, F. A. S., Abdul Rahim, S., Vinayagam, V. D., &amp; Afolabi, H. K. (2021). Moisture content impact on properties of briquette produced from rice husk waste. Sustainability, 13(6), Article 3069. </w:t>
      </w:r>
      <w:hyperlink r:id="rId37" w:history="1">
        <w:r w:rsidRPr="006059D4">
          <w:rPr>
            <w:rFonts w:cs="Times New Roman"/>
            <w:color w:val="0000FF"/>
            <w:szCs w:val="24"/>
            <w:u w:val="single"/>
            <w:lang w:val="en-US"/>
          </w:rPr>
          <w:t>https://doi.org/10.3390/su13063069</w:t>
        </w:r>
      </w:hyperlink>
    </w:p>
    <w:p w14:paraId="16C5CD3A"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Sani, J., Abubakar, T., &amp; </w:t>
      </w:r>
      <w:proofErr w:type="spellStart"/>
      <w:r w:rsidRPr="006059D4">
        <w:rPr>
          <w:rFonts w:cs="Times New Roman"/>
          <w:szCs w:val="24"/>
          <w:lang w:val="en-US"/>
        </w:rPr>
        <w:t>Mawoli</w:t>
      </w:r>
      <w:proofErr w:type="spellEnd"/>
      <w:r w:rsidRPr="006059D4">
        <w:rPr>
          <w:rFonts w:cs="Times New Roman"/>
          <w:szCs w:val="24"/>
          <w:lang w:val="en-US"/>
        </w:rPr>
        <w:t xml:space="preserve">, M. (2020). Comparative studies of physical and combustion characteristics of rice husk briquettes produced using different binding agents. International Journal of Research -GRANTHAALAYAH, 7(7), 183–190. </w:t>
      </w:r>
      <w:hyperlink r:id="rId38" w:history="1">
        <w:r w:rsidRPr="006059D4">
          <w:rPr>
            <w:rFonts w:cs="Times New Roman"/>
            <w:color w:val="0000FF"/>
            <w:szCs w:val="24"/>
            <w:u w:val="single"/>
            <w:lang w:val="en-US"/>
          </w:rPr>
          <w:t>https://doi.org/10.29121/granthaalayah.v7.i7.2019.746</w:t>
        </w:r>
      </w:hyperlink>
    </w:p>
    <w:p w14:paraId="3D5EF0E1"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Singh, G., Gupta, M. K., Chaurasiya, S., Sharma, V. S., &amp; Pimenov, D. Y. (2021). Rice straw burning: A review on its global prevalence and the sustainable alternatives for its effective mitigation. Environmental Science and Pollution Research, 28, 32125–32155. </w:t>
      </w:r>
      <w:hyperlink r:id="rId39" w:history="1">
        <w:r w:rsidRPr="006059D4">
          <w:rPr>
            <w:rFonts w:cs="Times New Roman"/>
            <w:color w:val="0000FF"/>
            <w:szCs w:val="24"/>
            <w:u w:val="single"/>
            <w:lang w:val="en-US"/>
          </w:rPr>
          <w:t>https://doi.org/10.1007/s11356-021-14163-3</w:t>
        </w:r>
      </w:hyperlink>
    </w:p>
    <w:p w14:paraId="2B866F11"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Sithole, T., </w:t>
      </w:r>
      <w:proofErr w:type="spellStart"/>
      <w:r w:rsidRPr="006059D4">
        <w:rPr>
          <w:rFonts w:cs="Times New Roman"/>
          <w:szCs w:val="24"/>
          <w:lang w:val="en-US"/>
        </w:rPr>
        <w:t>Pahla</w:t>
      </w:r>
      <w:proofErr w:type="spellEnd"/>
      <w:r w:rsidRPr="006059D4">
        <w:rPr>
          <w:rFonts w:cs="Times New Roman"/>
          <w:szCs w:val="24"/>
          <w:lang w:val="en-US"/>
        </w:rPr>
        <w:t xml:space="preserve">, G., </w:t>
      </w:r>
      <w:proofErr w:type="spellStart"/>
      <w:r w:rsidRPr="006059D4">
        <w:rPr>
          <w:rFonts w:cs="Times New Roman"/>
          <w:szCs w:val="24"/>
          <w:lang w:val="en-US"/>
        </w:rPr>
        <w:t>Mashifana</w:t>
      </w:r>
      <w:proofErr w:type="spellEnd"/>
      <w:r w:rsidRPr="006059D4">
        <w:rPr>
          <w:rFonts w:cs="Times New Roman"/>
          <w:szCs w:val="24"/>
          <w:lang w:val="en-US"/>
        </w:rPr>
        <w:t xml:space="preserve">, T., Mamvura, T., Dragoi, E. N., Saravanan, A., &amp; </w:t>
      </w:r>
      <w:proofErr w:type="spellStart"/>
      <w:r w:rsidRPr="006059D4">
        <w:rPr>
          <w:rFonts w:cs="Times New Roman"/>
          <w:szCs w:val="24"/>
          <w:lang w:val="en-US"/>
        </w:rPr>
        <w:t>Sadeghifar</w:t>
      </w:r>
      <w:proofErr w:type="spellEnd"/>
      <w:r w:rsidRPr="006059D4">
        <w:rPr>
          <w:rFonts w:cs="Times New Roman"/>
          <w:szCs w:val="24"/>
          <w:lang w:val="en-US"/>
        </w:rPr>
        <w:t xml:space="preserve">, H. (2023). A review of the combined torrefaction and densification technology as a source of renewable energy. Alexandria Engineering Journal, 82, 330–341. </w:t>
      </w:r>
      <w:hyperlink r:id="rId40" w:history="1">
        <w:r w:rsidRPr="006059D4">
          <w:rPr>
            <w:rFonts w:cs="Times New Roman"/>
            <w:color w:val="0000FF"/>
            <w:szCs w:val="24"/>
            <w:u w:val="single"/>
            <w:lang w:val="en-US"/>
          </w:rPr>
          <w:t>https://doi.org/10.1016/j.aej.2023.09.080</w:t>
        </w:r>
      </w:hyperlink>
    </w:p>
    <w:p w14:paraId="5F5FB75D" w14:textId="77777777" w:rsidR="006059D4" w:rsidRPr="006059D4" w:rsidRDefault="006059D4" w:rsidP="006059D4">
      <w:pPr>
        <w:spacing w:before="100" w:beforeAutospacing="1" w:after="100" w:afterAutospacing="1"/>
        <w:rPr>
          <w:rFonts w:cs="Times New Roman"/>
          <w:szCs w:val="24"/>
          <w:lang w:val="en-US"/>
        </w:rPr>
      </w:pPr>
      <w:proofErr w:type="spellStart"/>
      <w:r w:rsidRPr="006059D4">
        <w:rPr>
          <w:rFonts w:cs="Times New Roman"/>
          <w:szCs w:val="24"/>
          <w:lang w:val="en-US"/>
        </w:rPr>
        <w:t>Suryaningsih</w:t>
      </w:r>
      <w:proofErr w:type="spellEnd"/>
      <w:r w:rsidRPr="006059D4">
        <w:rPr>
          <w:rFonts w:cs="Times New Roman"/>
          <w:szCs w:val="24"/>
          <w:lang w:val="en-US"/>
        </w:rPr>
        <w:t xml:space="preserve">, S., </w:t>
      </w:r>
      <w:proofErr w:type="spellStart"/>
      <w:r w:rsidRPr="006059D4">
        <w:rPr>
          <w:rFonts w:cs="Times New Roman"/>
          <w:szCs w:val="24"/>
          <w:lang w:val="en-US"/>
        </w:rPr>
        <w:t>Nurhilal</w:t>
      </w:r>
      <w:proofErr w:type="spellEnd"/>
      <w:r w:rsidRPr="006059D4">
        <w:rPr>
          <w:rFonts w:cs="Times New Roman"/>
          <w:szCs w:val="24"/>
          <w:lang w:val="en-US"/>
        </w:rPr>
        <w:t xml:space="preserve">, O., Yuliah, Y., &amp; Salsabila, E. (2018). Fabrication and characterization of rice husk charcoal bio briquettes. AIP Conference Proceedings, 1927(1), Article 030044. </w:t>
      </w:r>
      <w:hyperlink r:id="rId41" w:history="1">
        <w:r w:rsidRPr="006059D4">
          <w:rPr>
            <w:rFonts w:cs="Times New Roman"/>
            <w:color w:val="0000FF"/>
            <w:szCs w:val="24"/>
            <w:u w:val="single"/>
            <w:lang w:val="en-US"/>
          </w:rPr>
          <w:t>https://doi.org/10.1063/1.5021237</w:t>
        </w:r>
      </w:hyperlink>
    </w:p>
    <w:p w14:paraId="760A62F8"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TAAT Clearinghouse. (2022). Cassava processing technology toolkit catalogue (Clearinghouse Technical Report Series 013) [Version 1; not peer reviewed]. Gates Open Research, 6, Article 92. </w:t>
      </w:r>
      <w:hyperlink r:id="rId42" w:history="1">
        <w:r w:rsidRPr="006059D4">
          <w:rPr>
            <w:rFonts w:cs="Times New Roman"/>
            <w:color w:val="0000FF"/>
            <w:szCs w:val="24"/>
            <w:u w:val="single"/>
            <w:lang w:val="en-US"/>
          </w:rPr>
          <w:t>https://doi.org/10.21955/gatesopenres.1116887.1</w:t>
        </w:r>
      </w:hyperlink>
    </w:p>
    <w:p w14:paraId="0783AB6C"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Tshimungu, T. B., Isah, M. E., &amp; Ishii, K. (2026). Harnessing cassava-based ethanol for rural communities: A conditional circular pathway to reduce biomass dependence in rural Congo. Energy for Sustainable Development, 93, Article 101982. </w:t>
      </w:r>
      <w:hyperlink r:id="rId43" w:history="1">
        <w:r w:rsidRPr="006059D4">
          <w:rPr>
            <w:rFonts w:cs="Times New Roman"/>
            <w:color w:val="0000FF"/>
            <w:szCs w:val="24"/>
            <w:u w:val="single"/>
            <w:lang w:val="en-US"/>
          </w:rPr>
          <w:t>https://doi.org/10.1016/j.esd.2026.101982</w:t>
        </w:r>
      </w:hyperlink>
    </w:p>
    <w:p w14:paraId="6154144A"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Vijaya, Idrishi, R., Singh, S., &amp; Islam, M. (2025). Processing of rice husk and its applications. In M. Jawaid &amp; B. Parmar (Eds.), Rice husk biomass: Processing, properties and applications (pp. 1–26). Springer. </w:t>
      </w:r>
      <w:hyperlink r:id="rId44" w:history="1">
        <w:r w:rsidRPr="006059D4">
          <w:rPr>
            <w:rFonts w:cs="Times New Roman"/>
            <w:color w:val="0000FF"/>
            <w:szCs w:val="24"/>
            <w:u w:val="single"/>
            <w:lang w:val="en-US"/>
          </w:rPr>
          <w:t>https://doi.org/10.1007/978-981-96-1082-2_1</w:t>
        </w:r>
      </w:hyperlink>
    </w:p>
    <w:p w14:paraId="719B54B7"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Vishnu Priyan, V., Sathasivam, J., Kumar, A., &amp; Narayanasamy, S. (2024). </w:t>
      </w:r>
      <w:proofErr w:type="spellStart"/>
      <w:r w:rsidRPr="006059D4">
        <w:rPr>
          <w:rFonts w:cs="Times New Roman"/>
          <w:szCs w:val="24"/>
          <w:lang w:val="en-US"/>
        </w:rPr>
        <w:t>Valorisation</w:t>
      </w:r>
      <w:proofErr w:type="spellEnd"/>
      <w:r w:rsidRPr="006059D4">
        <w:rPr>
          <w:rFonts w:cs="Times New Roman"/>
          <w:szCs w:val="24"/>
          <w:lang w:val="en-US"/>
        </w:rPr>
        <w:t xml:space="preserve"> of agricultural waste into a low-cost adsorbent: Perspective of reutilization. In R. </w:t>
      </w:r>
      <w:proofErr w:type="spellStart"/>
      <w:r w:rsidRPr="006059D4">
        <w:rPr>
          <w:rFonts w:cs="Times New Roman"/>
          <w:szCs w:val="24"/>
          <w:lang w:val="en-US"/>
        </w:rPr>
        <w:t>Neelancherry</w:t>
      </w:r>
      <w:proofErr w:type="spellEnd"/>
      <w:r w:rsidRPr="006059D4">
        <w:rPr>
          <w:rFonts w:cs="Times New Roman"/>
          <w:szCs w:val="24"/>
          <w:lang w:val="en-US"/>
        </w:rPr>
        <w:t xml:space="preserve">, B. Gao, &amp; A. Wisniewski Jr. (Eds.), Agricultural waste to value-added products: Bioproducts and its applications (pp. 125–149). Springer. </w:t>
      </w:r>
      <w:hyperlink r:id="rId45" w:history="1">
        <w:r w:rsidRPr="006059D4">
          <w:rPr>
            <w:rFonts w:cs="Times New Roman"/>
            <w:color w:val="0000FF"/>
            <w:szCs w:val="24"/>
            <w:u w:val="single"/>
            <w:lang w:val="en-US"/>
          </w:rPr>
          <w:t>https://doi.org/10.1007/978-981-97-2535-9_6</w:t>
        </w:r>
      </w:hyperlink>
    </w:p>
    <w:p w14:paraId="6F0DD7A7"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lastRenderedPageBreak/>
        <w:t xml:space="preserve">Yank, A., Ngadi, M., &amp; Kok, R. (2016). Physical properties of rice husk and bran briquettes under low pressure densification for rural applications. Biomass and Bioenergy, 84, 22–30. </w:t>
      </w:r>
      <w:hyperlink r:id="rId46" w:history="1">
        <w:r w:rsidRPr="006059D4">
          <w:rPr>
            <w:rFonts w:cs="Times New Roman"/>
            <w:color w:val="0000FF"/>
            <w:szCs w:val="24"/>
            <w:u w:val="single"/>
            <w:lang w:val="en-US"/>
          </w:rPr>
          <w:t>https://doi.org/10.1016/j.biombioe.2015.09.015</w:t>
        </w:r>
      </w:hyperlink>
    </w:p>
    <w:p w14:paraId="01172685" w14:textId="77777777" w:rsidR="006059D4" w:rsidRPr="006059D4" w:rsidRDefault="006059D4" w:rsidP="006059D4">
      <w:pPr>
        <w:spacing w:before="100" w:beforeAutospacing="1" w:after="100" w:afterAutospacing="1"/>
        <w:rPr>
          <w:rFonts w:cs="Times New Roman"/>
          <w:szCs w:val="24"/>
          <w:lang w:val="en-US"/>
        </w:rPr>
      </w:pPr>
      <w:r w:rsidRPr="006059D4">
        <w:rPr>
          <w:rFonts w:cs="Times New Roman"/>
          <w:szCs w:val="24"/>
          <w:lang w:val="en-US"/>
        </w:rPr>
        <w:t xml:space="preserve">Yunusa, S. U., Mensah, E., Narra, S., Saleh, A., &amp; </w:t>
      </w:r>
      <w:proofErr w:type="spellStart"/>
      <w:r w:rsidRPr="006059D4">
        <w:rPr>
          <w:rFonts w:cs="Times New Roman"/>
          <w:szCs w:val="24"/>
          <w:lang w:val="en-US"/>
        </w:rPr>
        <w:t>Preko</w:t>
      </w:r>
      <w:proofErr w:type="spellEnd"/>
      <w:r w:rsidRPr="006059D4">
        <w:rPr>
          <w:rFonts w:cs="Times New Roman"/>
          <w:szCs w:val="24"/>
          <w:lang w:val="en-US"/>
        </w:rPr>
        <w:t xml:space="preserve">, K. (2025). Strategies for improving the quality of low-pressured rice husk briquette: A mini-review. In M.-M. Narra &amp; S. Narra (Eds.), African green transition through innovative pathways (pp. 65–80). Springer. </w:t>
      </w:r>
      <w:hyperlink r:id="rId47" w:history="1">
        <w:r w:rsidRPr="006059D4">
          <w:rPr>
            <w:rFonts w:cs="Times New Roman"/>
            <w:color w:val="0000FF"/>
            <w:szCs w:val="24"/>
            <w:u w:val="single"/>
            <w:lang w:val="en-US"/>
          </w:rPr>
          <w:t>https://doi.org/10.1007/978-3-031-87043-9_4</w:t>
        </w:r>
      </w:hyperlink>
    </w:p>
    <w:p w14:paraId="5740C07E" w14:textId="77777777" w:rsidR="006059D4" w:rsidRDefault="006059D4" w:rsidP="00CD1D44">
      <w:pPr>
        <w:pBdr>
          <w:top w:val="nil"/>
          <w:left w:val="nil"/>
          <w:bottom w:val="nil"/>
          <w:right w:val="nil"/>
          <w:between w:val="nil"/>
        </w:pBdr>
        <w:spacing w:before="280" w:after="240"/>
        <w:ind w:left="720" w:hanging="720"/>
        <w:jc w:val="both"/>
      </w:pPr>
    </w:p>
    <w:p w14:paraId="46BB5ED4" w14:textId="77777777" w:rsidR="00FC610F" w:rsidRPr="006E614A" w:rsidRDefault="00FC610F" w:rsidP="00FC610F">
      <w:pPr>
        <w:pBdr>
          <w:top w:val="nil"/>
          <w:left w:val="nil"/>
          <w:bottom w:val="nil"/>
          <w:right w:val="nil"/>
          <w:between w:val="nil"/>
        </w:pBdr>
        <w:spacing w:before="280" w:after="240"/>
        <w:jc w:val="both"/>
        <w:rPr>
          <w:rFonts w:cs="Times New Roman"/>
          <w:color w:val="000000"/>
          <w:szCs w:val="24"/>
          <w:lang w:val="en-US"/>
        </w:rPr>
      </w:pPr>
    </w:p>
    <w:sectPr w:rsidR="00FC610F" w:rsidRPr="006E614A">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1218F" w14:textId="77777777" w:rsidR="00513D80" w:rsidRDefault="00513D80">
      <w:pPr>
        <w:spacing w:after="0"/>
      </w:pPr>
      <w:r>
        <w:separator/>
      </w:r>
    </w:p>
  </w:endnote>
  <w:endnote w:type="continuationSeparator" w:id="0">
    <w:p w14:paraId="2D43DEB7" w14:textId="77777777" w:rsidR="00513D80" w:rsidRDefault="00513D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4FE5B349-FF3B-41D9-AF7F-46F0D408A910}"/>
    <w:embedBold r:id="rId2" w:fontKey="{74A6CDD2-8950-4AF2-BF0D-9237040819D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4B5AB01-D484-4DEA-ADCC-3332300D94AC}"/>
  </w:font>
  <w:font w:name="Cambria Math">
    <w:panose1 w:val="02040503050406030204"/>
    <w:charset w:val="00"/>
    <w:family w:val="roman"/>
    <w:pitch w:val="variable"/>
    <w:sig w:usb0="E00006FF" w:usb1="420024FF" w:usb2="02000000" w:usb3="00000000" w:csb0="0000019F" w:csb1="00000000"/>
    <w:embedRegular r:id="rId4" w:fontKey="{502E8F09-46A2-4D4E-84AE-FD342D27E3C2}"/>
    <w:embedItalic r:id="rId5" w:fontKey="{D872BDEF-974D-4AD3-BDE7-035B65F6B67B}"/>
  </w:font>
  <w:font w:name="Arial Narrow">
    <w:panose1 w:val="020B0606020202030204"/>
    <w:charset w:val="00"/>
    <w:family w:val="swiss"/>
    <w:pitch w:val="variable"/>
    <w:sig w:usb0="00000287" w:usb1="00000800" w:usb2="00000000" w:usb3="00000000" w:csb0="0000009F" w:csb1="00000000"/>
    <w:embedRegular r:id="rId6" w:fontKey="{55D2D1EF-8727-49AF-8AD7-2FF7FAFBA08B}"/>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335C9C7B-011D-4F91-BF7E-C21AAAFCD3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94700" w14:textId="77777777" w:rsidR="00CB367E" w:rsidRDefault="00CB36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2166" w14:textId="77777777" w:rsidR="003555B5" w:rsidRDefault="002509A5">
    <w:pPr>
      <w:pBdr>
        <w:top w:val="nil"/>
        <w:left w:val="nil"/>
        <w:bottom w:val="nil"/>
        <w:right w:val="nil"/>
        <w:between w:val="nil"/>
      </w:pBdr>
      <w:tabs>
        <w:tab w:val="center" w:pos="4680"/>
        <w:tab w:val="right" w:pos="9360"/>
      </w:tabs>
      <w:spacing w:after="0"/>
      <w:jc w:val="center"/>
      <w:rPr>
        <w:color w:val="000000"/>
      </w:rPr>
    </w:pPr>
    <w:r>
      <w:rPr>
        <w:color w:val="000000"/>
      </w:rPr>
      <w:fldChar w:fldCharType="begin"/>
    </w:r>
    <w:r>
      <w:rPr>
        <w:color w:val="000000"/>
      </w:rPr>
      <w:instrText>PAGE</w:instrText>
    </w:r>
    <w:r>
      <w:rPr>
        <w:color w:val="000000"/>
      </w:rPr>
      <w:fldChar w:fldCharType="separate"/>
    </w:r>
    <w:r w:rsidR="0048303D">
      <w:rPr>
        <w:noProof/>
        <w:color w:val="000000"/>
      </w:rPr>
      <w:t>1</w:t>
    </w:r>
    <w:r>
      <w:rPr>
        <w:color w:val="000000"/>
      </w:rPr>
      <w:fldChar w:fldCharType="end"/>
    </w:r>
  </w:p>
  <w:p w14:paraId="41EB1FBE" w14:textId="77777777" w:rsidR="003555B5" w:rsidRDefault="003555B5">
    <w:pPr>
      <w:pBdr>
        <w:top w:val="nil"/>
        <w:left w:val="nil"/>
        <w:bottom w:val="nil"/>
        <w:right w:val="nil"/>
        <w:between w:val="nil"/>
      </w:pBdr>
      <w:tabs>
        <w:tab w:val="center" w:pos="4680"/>
        <w:tab w:val="right" w:pos="9360"/>
      </w:tabs>
      <w:spacing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CC9" w14:textId="77777777" w:rsidR="00CB367E" w:rsidRDefault="00CB3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8909A" w14:textId="77777777" w:rsidR="00513D80" w:rsidRDefault="00513D80">
      <w:pPr>
        <w:spacing w:after="0"/>
      </w:pPr>
      <w:r>
        <w:separator/>
      </w:r>
    </w:p>
  </w:footnote>
  <w:footnote w:type="continuationSeparator" w:id="0">
    <w:p w14:paraId="5ADD282D" w14:textId="77777777" w:rsidR="00513D80" w:rsidRDefault="00513D8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A6822" w14:textId="77777777" w:rsidR="00CB367E" w:rsidRDefault="00000000">
    <w:pPr>
      <w:pStyle w:val="Header"/>
    </w:pPr>
    <w:r>
      <w:rPr>
        <w:noProof/>
      </w:rPr>
      <w:pict w14:anchorId="341676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38037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A6C8" w14:textId="77777777" w:rsidR="00CB367E" w:rsidRDefault="00000000">
    <w:pPr>
      <w:pStyle w:val="Header"/>
    </w:pPr>
    <w:r>
      <w:rPr>
        <w:noProof/>
      </w:rPr>
      <w:pict w14:anchorId="4E58C6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38037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D4E5" w14:textId="77777777" w:rsidR="00CB367E" w:rsidRDefault="00000000">
    <w:pPr>
      <w:pStyle w:val="Header"/>
    </w:pPr>
    <w:r>
      <w:rPr>
        <w:noProof/>
      </w:rPr>
      <w:pict w14:anchorId="1E1139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38037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5138D"/>
    <w:multiLevelType w:val="multilevel"/>
    <w:tmpl w:val="64128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4073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5B5"/>
    <w:rsid w:val="00022CFA"/>
    <w:rsid w:val="001001A1"/>
    <w:rsid w:val="00117AF9"/>
    <w:rsid w:val="001C6E28"/>
    <w:rsid w:val="001F15AA"/>
    <w:rsid w:val="0023611A"/>
    <w:rsid w:val="00237BBE"/>
    <w:rsid w:val="00242C7F"/>
    <w:rsid w:val="002509A5"/>
    <w:rsid w:val="002E3A44"/>
    <w:rsid w:val="00326AC2"/>
    <w:rsid w:val="003555B5"/>
    <w:rsid w:val="00424AE7"/>
    <w:rsid w:val="0048303D"/>
    <w:rsid w:val="00513D80"/>
    <w:rsid w:val="005901D0"/>
    <w:rsid w:val="005F4D2D"/>
    <w:rsid w:val="0060110C"/>
    <w:rsid w:val="006059D4"/>
    <w:rsid w:val="006E614A"/>
    <w:rsid w:val="00717394"/>
    <w:rsid w:val="007826ED"/>
    <w:rsid w:val="00794A88"/>
    <w:rsid w:val="007F27AB"/>
    <w:rsid w:val="00805FDE"/>
    <w:rsid w:val="00844DB4"/>
    <w:rsid w:val="008C33F5"/>
    <w:rsid w:val="008E3532"/>
    <w:rsid w:val="00900701"/>
    <w:rsid w:val="00905622"/>
    <w:rsid w:val="0091201D"/>
    <w:rsid w:val="0093013D"/>
    <w:rsid w:val="00942E36"/>
    <w:rsid w:val="009D065B"/>
    <w:rsid w:val="009E5E2F"/>
    <w:rsid w:val="00A318E6"/>
    <w:rsid w:val="00A94F5B"/>
    <w:rsid w:val="00AA61FE"/>
    <w:rsid w:val="00B266E4"/>
    <w:rsid w:val="00BC36E3"/>
    <w:rsid w:val="00C20A5E"/>
    <w:rsid w:val="00C5660B"/>
    <w:rsid w:val="00C77259"/>
    <w:rsid w:val="00CB367E"/>
    <w:rsid w:val="00CD1D44"/>
    <w:rsid w:val="00D93EDF"/>
    <w:rsid w:val="00D95B51"/>
    <w:rsid w:val="00E20F82"/>
    <w:rsid w:val="00ED4C96"/>
    <w:rsid w:val="00EF77C7"/>
    <w:rsid w:val="00F739E5"/>
    <w:rsid w:val="00FA2DEC"/>
    <w:rsid w:val="00FC6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31213"/>
  <w15:docId w15:val="{B4C9F426-6077-4CD3-8FCD-D6B9298B3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rPr>
      <w:rFonts w:ascii="Times New Roman" w:eastAsia="Times New Roman" w:hAnsi="Times New Roman"/>
      <w:sz w:val="24"/>
    </w:rPr>
  </w:style>
  <w:style w:type="paragraph" w:styleId="Heading1">
    <w:name w:val="heading 1"/>
    <w:basedOn w:val="Normal"/>
    <w:next w:val="Normal"/>
    <w:uiPriority w:val="9"/>
    <w:qFormat/>
    <w:pPr>
      <w:outlineLvl w:val="0"/>
    </w:pPr>
    <w:rPr>
      <w:rFonts w:cs="Times New Roman"/>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customStyle="1" w:styleId="LO-normal">
    <w:name w:val="LO-normal"/>
    <w:qFormat/>
    <w:rsid w:val="00242C7F"/>
    <w:pPr>
      <w:suppressAutoHyphens/>
      <w:spacing w:after="240" w:line="480" w:lineRule="auto"/>
      <w:jc w:val="both"/>
    </w:pPr>
    <w:rPr>
      <w:lang w:val="en-US" w:eastAsia="zh-CN" w:bidi="hi-IN"/>
    </w:rPr>
  </w:style>
  <w:style w:type="table" w:styleId="PlainTable2">
    <w:name w:val="Plain Table 2"/>
    <w:basedOn w:val="TableNormal"/>
    <w:uiPriority w:val="42"/>
    <w:rsid w:val="00242C7F"/>
    <w:pPr>
      <w:suppressAutoHyphens/>
      <w:spacing w:after="0" w:line="240" w:lineRule="auto"/>
    </w:pPr>
    <w:rPr>
      <w:lang w:val="en-US" w:eastAsia="zh-CN" w:bidi="hi-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1001A1"/>
    <w:rPr>
      <w:color w:val="0000FF" w:themeColor="hyperlink"/>
      <w:u w:val="single"/>
    </w:rPr>
  </w:style>
  <w:style w:type="character" w:styleId="UnresolvedMention">
    <w:name w:val="Unresolved Mention"/>
    <w:basedOn w:val="DefaultParagraphFont"/>
    <w:uiPriority w:val="99"/>
    <w:semiHidden/>
    <w:unhideWhenUsed/>
    <w:rsid w:val="001001A1"/>
    <w:rPr>
      <w:color w:val="605E5C"/>
      <w:shd w:val="clear" w:color="auto" w:fill="E1DFDD"/>
    </w:rPr>
  </w:style>
  <w:style w:type="paragraph" w:styleId="Header">
    <w:name w:val="header"/>
    <w:basedOn w:val="Normal"/>
    <w:link w:val="HeaderChar"/>
    <w:uiPriority w:val="99"/>
    <w:unhideWhenUsed/>
    <w:rsid w:val="00CB367E"/>
    <w:pPr>
      <w:tabs>
        <w:tab w:val="center" w:pos="4513"/>
        <w:tab w:val="right" w:pos="9026"/>
      </w:tabs>
      <w:spacing w:after="0"/>
    </w:pPr>
  </w:style>
  <w:style w:type="character" w:customStyle="1" w:styleId="HeaderChar">
    <w:name w:val="Header Char"/>
    <w:basedOn w:val="DefaultParagraphFont"/>
    <w:link w:val="Header"/>
    <w:uiPriority w:val="99"/>
    <w:rsid w:val="00CB367E"/>
    <w:rPr>
      <w:rFonts w:ascii="Times New Roman" w:eastAsia="Times New Roman" w:hAnsi="Times New Roman"/>
      <w:sz w:val="24"/>
    </w:rPr>
  </w:style>
  <w:style w:type="paragraph" w:styleId="Footer">
    <w:name w:val="footer"/>
    <w:basedOn w:val="Normal"/>
    <w:link w:val="FooterChar"/>
    <w:uiPriority w:val="99"/>
    <w:unhideWhenUsed/>
    <w:rsid w:val="00CB367E"/>
    <w:pPr>
      <w:tabs>
        <w:tab w:val="center" w:pos="4513"/>
        <w:tab w:val="right" w:pos="9026"/>
      </w:tabs>
      <w:spacing w:after="0"/>
    </w:pPr>
  </w:style>
  <w:style w:type="character" w:customStyle="1" w:styleId="FooterChar">
    <w:name w:val="Footer Char"/>
    <w:basedOn w:val="DefaultParagraphFont"/>
    <w:link w:val="Footer"/>
    <w:uiPriority w:val="99"/>
    <w:rsid w:val="00CB367E"/>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researchonline.lshtm.ac.uk/4672588/1/2024_PHP_DrPH_Adeshina_O.pdf?utm_source=chatgpt.com" TargetMode="External"/><Relationship Id="rId18" Type="http://schemas.openxmlformats.org/officeDocument/2006/relationships/hyperlink" Target="https://doi.org/10.1007/s43621-025-00996-2?utm_source=chatgpt.com" TargetMode="External"/><Relationship Id="rId26" Type="http://schemas.openxmlformats.org/officeDocument/2006/relationships/hyperlink" Target="https://doi.org/10.1007/s13399-021-01553-3?utm_source=chatgpt.com" TargetMode="External"/><Relationship Id="rId39" Type="http://schemas.openxmlformats.org/officeDocument/2006/relationships/hyperlink" Target="https://doi.org/10.1007/s11356-021-14163-3?utm_source=chatgpt.com" TargetMode="External"/><Relationship Id="rId21" Type="http://schemas.openxmlformats.org/officeDocument/2006/relationships/hyperlink" Target="https://doi.org/10.9734/jsrr/2020/v26i1030320?utm_source=chatgpt.com" TargetMode="External"/><Relationship Id="rId34" Type="http://schemas.openxmlformats.org/officeDocument/2006/relationships/hyperlink" Target="https://doi.org/10.3390/su16167036?utm_source=chatgpt.com" TargetMode="External"/><Relationship Id="rId42" Type="http://schemas.openxmlformats.org/officeDocument/2006/relationships/hyperlink" Target="https://doi.org/10.21955/gatesopenres.1116887.1?utm_source=chatgpt.com" TargetMode="External"/><Relationship Id="rId47" Type="http://schemas.openxmlformats.org/officeDocument/2006/relationships/hyperlink" Target="https://doi.org/10.1007/978-3-031-87043-9_4?utm_source=chatgpt.com"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spc.2025.04.002" TargetMode="External"/><Relationship Id="rId29" Type="http://schemas.openxmlformats.org/officeDocument/2006/relationships/hyperlink" Target="https://doi.org/10.1201/9781003500469?utm_source=chatgpt.com" TargetMode="External"/><Relationship Id="rId11" Type="http://schemas.openxmlformats.org/officeDocument/2006/relationships/chart" Target="charts/chart2.xml"/><Relationship Id="rId24" Type="http://schemas.openxmlformats.org/officeDocument/2006/relationships/hyperlink" Target="https://doi.org/10.21776/ub.igtj.2025.014.02.05?utm_source=chatgpt.com" TargetMode="External"/><Relationship Id="rId32" Type="http://schemas.openxmlformats.org/officeDocument/2006/relationships/hyperlink" Target="https://energyconversions.org/index.php/ecm/article/download/39/39?utm_source=chatgpt.com" TargetMode="External"/><Relationship Id="rId37" Type="http://schemas.openxmlformats.org/officeDocument/2006/relationships/hyperlink" Target="https://doi.org/10.3390/su13063069?utm_source=chatgpt.com" TargetMode="External"/><Relationship Id="rId40" Type="http://schemas.openxmlformats.org/officeDocument/2006/relationships/hyperlink" Target="https://doi.org/10.1016/j.aej.2023.09.080?utm_source=chatgpt.com" TargetMode="External"/><Relationship Id="rId45" Type="http://schemas.openxmlformats.org/officeDocument/2006/relationships/hyperlink" Target="https://doi.org/10.1007/978-981-97-2535-9_6?utm_source=chatgpt.com" TargetMode="External"/><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chart" Target="charts/chart1.xml"/><Relationship Id="rId19" Type="http://schemas.openxmlformats.org/officeDocument/2006/relationships/hyperlink" Target="https://doi.org/10.1016/j.crmicr.2024.100298?utm_source=chatgpt.com" TargetMode="External"/><Relationship Id="rId31" Type="http://schemas.openxmlformats.org/officeDocument/2006/relationships/hyperlink" Target="https://doi.org/10.1007/978-3-319-46248-6_8?utm_source=chatgpt.com" TargetMode="External"/><Relationship Id="rId44" Type="http://schemas.openxmlformats.org/officeDocument/2006/relationships/hyperlink" Target="https://doi.org/10.1007/978-981-96-1082-2_1?utm_source=chatgpt.com"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16/B978-0-443-21747-0.00001-1?utm_source=chatgpt.com" TargetMode="External"/><Relationship Id="rId22" Type="http://schemas.openxmlformats.org/officeDocument/2006/relationships/hyperlink" Target="https://doi.org/10.1002/eng2.70267?utm_source=chatgpt.com" TargetMode="External"/><Relationship Id="rId27" Type="http://schemas.openxmlformats.org/officeDocument/2006/relationships/hyperlink" Target="https://doi.org/10.3390/toxins9070207" TargetMode="External"/><Relationship Id="rId30" Type="http://schemas.openxmlformats.org/officeDocument/2006/relationships/hyperlink" Target="https://doi.org/10.3390/agronomy13112833?utm_source=chatgpt.com" TargetMode="External"/><Relationship Id="rId35" Type="http://schemas.openxmlformats.org/officeDocument/2006/relationships/hyperlink" Target="https://doi.org/10.1155/2023/7238309?utm_source=chatgpt.com" TargetMode="External"/><Relationship Id="rId43" Type="http://schemas.openxmlformats.org/officeDocument/2006/relationships/hyperlink" Target="https://doi.org/10.1016/j.esd.2026.101982?utm_source=chatgpt.com" TargetMode="External"/><Relationship Id="rId48" Type="http://schemas.openxmlformats.org/officeDocument/2006/relationships/header" Target="header1.xml"/><Relationship Id="rId8" Type="http://schemas.openxmlformats.org/officeDocument/2006/relationships/image" Target="media/image1.jp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doi.org/10.1109/SEB4SDG60871.2024.10630379?utm_source=chatgpt.com" TargetMode="External"/><Relationship Id="rId17" Type="http://schemas.openxmlformats.org/officeDocument/2006/relationships/hyperlink" Target="https://doi.org/10.1186/s13068-021-02060-3?utm_source=chatgpt.com" TargetMode="External"/><Relationship Id="rId25" Type="http://schemas.openxmlformats.org/officeDocument/2006/relationships/hyperlink" Target="https://doi.org/10.56557/ajrra/2025/v7i1176?utm_source=chatgpt.com" TargetMode="External"/><Relationship Id="rId33" Type="http://schemas.openxmlformats.org/officeDocument/2006/relationships/hyperlink" Target="https://doi.org/10.3390/en16124722?utm_source=chatgpt.com" TargetMode="External"/><Relationship Id="rId38" Type="http://schemas.openxmlformats.org/officeDocument/2006/relationships/hyperlink" Target="https://doi.org/10.29121/granthaalayah.v7.i7.2019.746?utm_source=chatgpt.com" TargetMode="External"/><Relationship Id="rId46" Type="http://schemas.openxmlformats.org/officeDocument/2006/relationships/hyperlink" Target="https://doi.org/10.1016/j.biombioe.2015.09.015?utm_source=chatgpt.com" TargetMode="External"/><Relationship Id="rId20" Type="http://schemas.openxmlformats.org/officeDocument/2006/relationships/hyperlink" Target="https://doi.org/10.1007/s13399-020-00891-y?utm_source=chatgpt.com" TargetMode="External"/><Relationship Id="rId41" Type="http://schemas.openxmlformats.org/officeDocument/2006/relationships/hyperlink" Target="https://doi.org/10.1063/1.5021237?utm_source=chatgpt.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12155-023-10712-5?utm_source=chatgpt.com" TargetMode="External"/><Relationship Id="rId23" Type="http://schemas.openxmlformats.org/officeDocument/2006/relationships/hyperlink" Target="https://doi.org/10.37934/arfmts.88.2.106122?utm_source=chatgpt.com" TargetMode="External"/><Relationship Id="rId28" Type="http://schemas.openxmlformats.org/officeDocument/2006/relationships/hyperlink" Target="https://doi.org/10.1016/j.indcrop.2024.120134?utm_source=chatgpt.com" TargetMode="External"/><Relationship Id="rId36" Type="http://schemas.openxmlformats.org/officeDocument/2006/relationships/hyperlink" Target="https://doi.org/10.51584/IJRIAS.2025.100600124?utm_source=chatgpt.com" TargetMode="External"/><Relationship Id="rId4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wnloads\data_review_editable%20(1).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solidFill>
                  <a:sysClr val="windowText" lastClr="000000"/>
                </a:solidFill>
                <a:latin typeface="Times New Roman" panose="02020603050405020304" pitchFamily="18" charset="0"/>
                <a:cs typeface="Times New Roman" panose="02020603050405020304" pitchFamily="18" charset="0"/>
              </a:rPr>
              <a:t>Graph of Log of Calorific Value VS Burning Time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gradFill rotWithShape="1">
                <a:gsLst>
                  <a:gs pos="0">
                    <a:schemeClr val="accent2">
                      <a:tint val="100000"/>
                      <a:shade val="100000"/>
                      <a:satMod val="130000"/>
                    </a:schemeClr>
                  </a:gs>
                  <a:gs pos="100000">
                    <a:schemeClr val="accent2">
                      <a:tint val="50000"/>
                      <a:shade val="100000"/>
                      <a:satMod val="350000"/>
                    </a:schemeClr>
                  </a:gs>
                </a:gsLst>
                <a:lin ang="16200000" scaled="0"/>
              </a:gradFill>
              <a:ln w="9525">
                <a:solidFill>
                  <a:schemeClr val="accent2"/>
                </a:solidFill>
                <a:round/>
              </a:ln>
              <a:effectLst/>
            </c:spPr>
          </c:marker>
          <c:trendline>
            <c:spPr>
              <a:ln w="9525" cap="rnd">
                <a:solidFill>
                  <a:schemeClr val="accent2"/>
                </a:solidFill>
              </a:ln>
              <a:effectLst/>
            </c:spPr>
            <c:trendlineType val="linear"/>
            <c:dispRSqr val="0"/>
            <c:dispEq val="0"/>
          </c:trendline>
          <c:xVal>
            <c:numRef>
              <c:f>Sheet1!$A$2:$A$6</c:f>
              <c:numCache>
                <c:formatCode>0.0</c:formatCode>
                <c:ptCount val="5"/>
                <c:pt idx="0">
                  <c:v>15</c:v>
                </c:pt>
                <c:pt idx="1">
                  <c:v>13</c:v>
                </c:pt>
                <c:pt idx="2">
                  <c:v>13</c:v>
                </c:pt>
                <c:pt idx="3">
                  <c:v>12</c:v>
                </c:pt>
                <c:pt idx="4">
                  <c:v>12</c:v>
                </c:pt>
              </c:numCache>
            </c:numRef>
          </c:xVal>
          <c:yVal>
            <c:numRef>
              <c:f>Sheet1!$B$2:$B$6</c:f>
              <c:numCache>
                <c:formatCode>0.00000</c:formatCode>
                <c:ptCount val="5"/>
                <c:pt idx="0">
                  <c:v>1.17</c:v>
                </c:pt>
                <c:pt idx="1">
                  <c:v>1.1711339999999999</c:v>
                </c:pt>
                <c:pt idx="2">
                  <c:v>1.179</c:v>
                </c:pt>
                <c:pt idx="3">
                  <c:v>1.1795500000000001</c:v>
                </c:pt>
                <c:pt idx="4">
                  <c:v>1.1919999999999999</c:v>
                </c:pt>
              </c:numCache>
            </c:numRef>
          </c:yVal>
          <c:smooth val="0"/>
          <c:extLst>
            <c:ext xmlns:c16="http://schemas.microsoft.com/office/drawing/2014/chart" uri="{C3380CC4-5D6E-409C-BE32-E72D297353CC}">
              <c16:uniqueId val="{00000001-5FED-467D-8BD3-5F5CD4FA0B9C}"/>
            </c:ext>
          </c:extLst>
        </c:ser>
        <c:dLbls>
          <c:showLegendKey val="0"/>
          <c:showVal val="0"/>
          <c:showCatName val="0"/>
          <c:showSerName val="0"/>
          <c:showPercent val="0"/>
          <c:showBubbleSize val="0"/>
        </c:dLbls>
        <c:axId val="775362271"/>
        <c:axId val="775866047"/>
      </c:scatterChart>
      <c:valAx>
        <c:axId val="775362271"/>
        <c:scaling>
          <c:orientation val="minMax"/>
          <c:max val="15.5"/>
          <c:min val="12"/>
        </c:scaling>
        <c:delete val="0"/>
        <c:axPos val="b"/>
        <c:minorGridlines>
          <c:spPr>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min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100">
                    <a:solidFill>
                      <a:sysClr val="windowText" lastClr="000000"/>
                    </a:solidFill>
                    <a:latin typeface="Times New Roman" panose="02020603050405020304" pitchFamily="18" charset="0"/>
                    <a:cs typeface="Times New Roman" panose="02020603050405020304" pitchFamily="18" charset="0"/>
                  </a:rPr>
                  <a:t>Burning Time (t in minutes)</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75866047"/>
        <c:crossesAt val="1.1600000000000001"/>
        <c:crossBetween val="midCat"/>
      </c:valAx>
      <c:valAx>
        <c:axId val="775866047"/>
        <c:scaling>
          <c:orientation val="minMax"/>
          <c:max val="1.2"/>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100">
                    <a:solidFill>
                      <a:sysClr val="windowText" lastClr="000000"/>
                    </a:solidFill>
                    <a:latin typeface="Times New Roman" panose="02020603050405020304" pitchFamily="18" charset="0"/>
                    <a:cs typeface="Times New Roman" panose="02020603050405020304" pitchFamily="18" charset="0"/>
                  </a:rPr>
                  <a:t>Log Y i.e  [Calorific Value (MJ/kg)]</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0000" sourceLinked="1"/>
        <c:majorTickMark val="none"/>
        <c:minorTickMark val="none"/>
        <c:tickLblPos val="nextTo"/>
        <c:spPr>
          <a:noFill/>
          <a:ln>
            <a:solidFill>
              <a:schemeClr val="tx2">
                <a:lumMod val="40000"/>
                <a:lumOff val="60000"/>
              </a:schemeClr>
            </a:solidFill>
          </a:ln>
          <a:effectLst/>
        </c:spPr>
        <c:txPr>
          <a:bodyPr rot="0" spcFirstLastPara="1" vertOverflow="ellipsis"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75362271"/>
        <c:crosses val="autoZero"/>
        <c:crossBetween val="midCat"/>
        <c:majorUnit val="5.000000000000001E-3"/>
        <c:minorUnit val="1.0000000000000002E-3"/>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spc="0" normalizeH="0" baseline="0">
                <a:solidFill>
                  <a:schemeClr val="dk1"/>
                </a:solidFill>
                <a:latin typeface="+mn-lt"/>
                <a:ea typeface="+mn-ea"/>
                <a:cs typeface="+mn-cs"/>
              </a:defRPr>
            </a:pPr>
            <a:r>
              <a:rPr lang="en-US" sz="1200" b="1" i="0" u="none" strike="noStrike" kern="1200" baseline="0">
                <a:solidFill>
                  <a:sysClr val="windowText" lastClr="000000"/>
                </a:solidFill>
                <a:latin typeface="Times New Roman" panose="02020603050405020304" pitchFamily="18" charset="0"/>
                <a:cs typeface="Times New Roman" panose="02020603050405020304" pitchFamily="18" charset="0"/>
              </a:rPr>
              <a:t>Graph of Operational Temperature VS DC Current (I)</a:t>
            </a:r>
          </a:p>
        </c:rich>
      </c:tx>
      <c:overlay val="0"/>
      <c:spPr>
        <a:solidFill>
          <a:schemeClr val="lt1"/>
        </a:solidFill>
        <a:ln w="12700" cap="flat" cmpd="sng" algn="ctr">
          <a:solidFill>
            <a:schemeClr val="accent1"/>
          </a:solidFill>
          <a:prstDash val="solid"/>
          <a:miter lim="800000"/>
        </a:ln>
        <a:effectLst/>
      </c:spPr>
      <c:txPr>
        <a:bodyPr rot="0" spcFirstLastPara="1" vertOverflow="ellipsis" vert="horz" wrap="square" anchor="ctr" anchorCtr="1"/>
        <a:lstStyle/>
        <a:p>
          <a:pPr>
            <a:defRPr sz="2000" b="0" i="0" u="none" strike="noStrike" kern="1200" spc="0" normalizeH="0" baseline="0">
              <a:solidFill>
                <a:schemeClr val="dk1"/>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Operational Temperature (°C)</c:v>
                </c:pt>
              </c:strCache>
            </c:strRef>
          </c:tx>
          <c:spPr>
            <a:ln w="25400" cap="flat" cmpd="dbl" algn="ctr">
              <a:noFill/>
              <a:round/>
            </a:ln>
            <a:effectLst/>
          </c:spPr>
          <c:marker>
            <c:symbol val="circle"/>
            <c:size val="6"/>
            <c:spPr>
              <a:solidFill>
                <a:schemeClr val="tx2"/>
              </a:solidFill>
              <a:ln w="34925" cap="flat" cmpd="dbl" algn="ctr">
                <a:noFill/>
                <a:round/>
              </a:ln>
              <a:effectLst/>
            </c:spPr>
          </c:marker>
          <c:trendline>
            <c:spPr>
              <a:ln w="19050" cap="flat" cmpd="sng" algn="ctr">
                <a:solidFill>
                  <a:schemeClr val="accent2"/>
                </a:solidFill>
                <a:prstDash val="solid"/>
                <a:miter lim="800000"/>
              </a:ln>
              <a:effectLst/>
            </c:spPr>
            <c:trendlineType val="linear"/>
            <c:dispRSqr val="0"/>
            <c:dispEq val="0"/>
          </c:trendline>
          <c:xVal>
            <c:numRef>
              <c:f>Sheet1!$A$2:$A$6</c:f>
              <c:numCache>
                <c:formatCode>General</c:formatCode>
                <c:ptCount val="5"/>
                <c:pt idx="0">
                  <c:v>1.5</c:v>
                </c:pt>
                <c:pt idx="1">
                  <c:v>1.8</c:v>
                </c:pt>
                <c:pt idx="2">
                  <c:v>2.2999999999999998</c:v>
                </c:pt>
                <c:pt idx="3">
                  <c:v>2.5</c:v>
                </c:pt>
                <c:pt idx="4">
                  <c:v>2.7</c:v>
                </c:pt>
              </c:numCache>
            </c:numRef>
          </c:xVal>
          <c:yVal>
            <c:numRef>
              <c:f>Sheet1!$B$2:$B$6</c:f>
              <c:numCache>
                <c:formatCode>General</c:formatCode>
                <c:ptCount val="5"/>
                <c:pt idx="0">
                  <c:v>615</c:v>
                </c:pt>
                <c:pt idx="1">
                  <c:v>630</c:v>
                </c:pt>
                <c:pt idx="2">
                  <c:v>655</c:v>
                </c:pt>
                <c:pt idx="3">
                  <c:v>682</c:v>
                </c:pt>
                <c:pt idx="4">
                  <c:v>710</c:v>
                </c:pt>
              </c:numCache>
            </c:numRef>
          </c:yVal>
          <c:smooth val="0"/>
          <c:extLst>
            <c:ext xmlns:c16="http://schemas.microsoft.com/office/drawing/2014/chart" uri="{C3380CC4-5D6E-409C-BE32-E72D297353CC}">
              <c16:uniqueId val="{00000001-57E2-44BA-AAE1-ECABDEE99645}"/>
            </c:ext>
          </c:extLst>
        </c:ser>
        <c:dLbls>
          <c:showLegendKey val="0"/>
          <c:showVal val="0"/>
          <c:showCatName val="0"/>
          <c:showSerName val="0"/>
          <c:showPercent val="0"/>
          <c:showBubbleSize val="0"/>
        </c:dLbls>
        <c:axId val="528858256"/>
        <c:axId val="528855016"/>
      </c:scatterChart>
      <c:valAx>
        <c:axId val="528858256"/>
        <c:scaling>
          <c:orientation val="minMax"/>
          <c:max val="3"/>
          <c:min val="0.5"/>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solidFill>
                    <a:latin typeface="+mn-lt"/>
                    <a:ea typeface="+mn-ea"/>
                    <a:cs typeface="+mn-cs"/>
                  </a:defRPr>
                </a:pPr>
                <a:r>
                  <a:rPr lang="en-US" sz="1100" b="1" i="0" u="none" strike="noStrike" kern="1200" cap="none" baseline="0">
                    <a:solidFill>
                      <a:sysClr val="windowText" lastClr="000000"/>
                    </a:solidFill>
                    <a:effectLst/>
                    <a:latin typeface="Times New Roman" panose="02020603050405020304" pitchFamily="18" charset="0"/>
                    <a:cs typeface="Times New Roman" panose="02020603050405020304" pitchFamily="18" charset="0"/>
                  </a:rPr>
                  <a:t>log</a:t>
                </a:r>
                <a:r>
                  <a:rPr lang="en-US" sz="1100" b="1" i="0" u="none" strike="noStrike" kern="1200" cap="none" baseline="-25000">
                    <a:solidFill>
                      <a:sysClr val="windowText" lastClr="000000"/>
                    </a:solidFill>
                    <a:effectLst/>
                    <a:latin typeface="Times New Roman" panose="02020603050405020304" pitchFamily="18" charset="0"/>
                    <a:cs typeface="Times New Roman" panose="02020603050405020304" pitchFamily="18" charset="0"/>
                  </a:rPr>
                  <a:t>10 </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I </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DC current</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 I(A)]</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solidFill>
                  </a:defRPr>
                </a:pPr>
                <a:endPar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528855016"/>
        <c:crosses val="autoZero"/>
        <c:crossBetween val="midCat"/>
        <c:minorUnit val="0.1"/>
      </c:valAx>
      <c:valAx>
        <c:axId val="528855016"/>
        <c:scaling>
          <c:orientation val="minMax"/>
          <c:min val="60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dk1"/>
                    </a:solidFill>
                    <a:latin typeface="+mn-lt"/>
                    <a:ea typeface="+mn-ea"/>
                    <a:cs typeface="+mn-cs"/>
                  </a:defRPr>
                </a:pPr>
                <a:r>
                  <a:rPr lang="en-US" sz="1100" b="1" i="0" u="none" strike="noStrike" kern="1200" cap="none" baseline="0">
                    <a:solidFill>
                      <a:sysClr val="windowText" lastClr="000000"/>
                    </a:solidFill>
                    <a:effectLst/>
                    <a:latin typeface="Times New Roman" panose="02020603050405020304" pitchFamily="18" charset="0"/>
                    <a:cs typeface="Times New Roman" panose="02020603050405020304" pitchFamily="18" charset="0"/>
                  </a:rPr>
                  <a:t>log</a:t>
                </a:r>
                <a:r>
                  <a:rPr lang="en-US" sz="1100" b="1" i="0" u="none" strike="noStrike" kern="1200" cap="none" baseline="-25000">
                    <a:solidFill>
                      <a:sysClr val="windowText" lastClr="000000"/>
                    </a:solidFill>
                    <a:effectLst/>
                    <a:latin typeface="Times New Roman" panose="02020603050405020304" pitchFamily="18" charset="0"/>
                    <a:cs typeface="Times New Roman" panose="02020603050405020304" pitchFamily="18" charset="0"/>
                  </a:rPr>
                  <a:t>10 </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T </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Operational Temperature </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(°C)]</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2885825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0.37392</cdr:x>
      <cdr:y>0.2702</cdr:y>
    </cdr:from>
    <cdr:to>
      <cdr:x>0.78772</cdr:x>
      <cdr:y>0.45034</cdr:y>
    </cdr:to>
    <mc:AlternateContent xmlns:mc="http://schemas.openxmlformats.org/markup-compatibility/2006" xmlns:a14="http://schemas.microsoft.com/office/drawing/2010/main">
      <mc:Choice Requires="a14">
        <cdr:sp macro="" textlink="">
          <cdr:nvSpPr>
            <cdr:cNvPr id="2" name="Text Box 1"/>
            <cdr:cNvSpPr txBox="1"/>
          </cdr:nvSpPr>
          <cdr:spPr>
            <a:xfrm xmlns:a="http://schemas.openxmlformats.org/drawingml/2006/main">
              <a:off x="2143125" y="1057275"/>
              <a:ext cx="2371725" cy="7048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
                    <m:func>
                      <m:funcPr>
                        <m:ctrlPr>
                          <a:rPr lang="en-US" sz="1100" b="0" i="1" u="none" strike="noStrike" baseline="0">
                            <a:effectLst/>
                            <a:latin typeface="Cambria Math" panose="02040503050406030204" pitchFamily="18" charset="0"/>
                          </a:rPr>
                        </m:ctrlPr>
                      </m:funcPr>
                      <m:fName>
                        <m:sSub>
                          <m:sSubPr>
                            <m:ctrlPr>
                              <a:rPr lang="en-US" sz="1100" b="0" i="0" u="none" strike="noStrike" baseline="0">
                                <a:effectLst/>
                                <a:latin typeface="Cambria Math" panose="02040503050406030204" pitchFamily="18" charset="0"/>
                              </a:rPr>
                            </m:ctrlPr>
                          </m:sSubPr>
                          <m:e>
                            <m:r>
                              <m:rPr>
                                <m:sty m:val="p"/>
                              </m:rPr>
                              <a:rPr lang="en-US" sz="1100" b="0" i="0" u="none" strike="noStrike" baseline="0">
                                <a:effectLst/>
                                <a:latin typeface="Cambria Math" panose="02040503050406030204" pitchFamily="18" charset="0"/>
                              </a:rPr>
                              <m:t>log</m:t>
                            </m:r>
                          </m:e>
                          <m:sub>
                            <m:r>
                              <a:rPr lang="en-US" sz="1100" b="1" i="1" u="none" strike="noStrike" baseline="0">
                                <a:effectLst/>
                                <a:latin typeface="Cambria Math" panose="02040503050406030204" pitchFamily="18" charset="0"/>
                              </a:rPr>
                              <m:t>𝟏𝟎</m:t>
                            </m:r>
                          </m:sub>
                        </m:sSub>
                      </m:fName>
                      <m:e>
                        <m:r>
                          <a:rPr lang="en-US" sz="1100" b="1" i="1" u="none" strike="noStrike" baseline="0">
                            <a:effectLst/>
                            <a:latin typeface="Cambria Math" panose="02040503050406030204" pitchFamily="18" charset="0"/>
                          </a:rPr>
                          <m:t>𝒀</m:t>
                        </m:r>
                      </m:e>
                    </m:func>
                    <m:r>
                      <a:rPr lang="en-US" sz="1100" b="0" i="0" u="none" strike="noStrike" baseline="0">
                        <a:effectLst/>
                        <a:latin typeface="Cambria Math" panose="02040503050406030204" pitchFamily="18" charset="0"/>
                        <a:ea typeface="Cambria Math" panose="02040503050406030204" pitchFamily="18" charset="0"/>
                      </a:rPr>
                      <m:t>=</m:t>
                    </m:r>
                    <m:r>
                      <a:rPr lang="en-US" sz="1100" b="0" i="1" u="none" strike="noStrike" baseline="0">
                        <a:effectLst/>
                        <a:latin typeface="Cambria Math" panose="02040503050406030204" pitchFamily="18" charset="0"/>
                        <a:ea typeface="Cambria Math" panose="02040503050406030204" pitchFamily="18" charset="0"/>
                      </a:rPr>
                      <m:t>−7.4×</m:t>
                    </m:r>
                    <m:sSup>
                      <m:sSupPr>
                        <m:ctrlPr>
                          <a:rPr lang="en-US" sz="1100" b="0" i="1" u="none" strike="noStrike" baseline="0">
                            <a:effectLst/>
                            <a:latin typeface="Cambria Math" panose="02040503050406030204" pitchFamily="18" charset="0"/>
                            <a:ea typeface="Cambria Math" panose="02040503050406030204" pitchFamily="18" charset="0"/>
                          </a:rPr>
                        </m:ctrlPr>
                      </m:sSupPr>
                      <m:e>
                        <m:r>
                          <a:rPr lang="en-US" sz="1100" b="0" i="1" u="none" strike="noStrike" baseline="0">
                            <a:effectLst/>
                            <a:latin typeface="Cambria Math" panose="02040503050406030204" pitchFamily="18" charset="0"/>
                            <a:ea typeface="Cambria Math" panose="02040503050406030204" pitchFamily="18" charset="0"/>
                          </a:rPr>
                          <m:t>10</m:t>
                        </m:r>
                      </m:e>
                      <m:sup>
                        <m:r>
                          <a:rPr lang="en-US" sz="1100" b="0" i="1" u="none" strike="noStrike" baseline="0">
                            <a:effectLst/>
                            <a:latin typeface="Cambria Math" panose="02040503050406030204" pitchFamily="18" charset="0"/>
                            <a:ea typeface="Cambria Math" panose="02040503050406030204" pitchFamily="18" charset="0"/>
                          </a:rPr>
                          <m:t>−3</m:t>
                        </m:r>
                      </m:sup>
                    </m:sSup>
                    <m:r>
                      <a:rPr lang="en-US" sz="1100" b="0" i="1" u="none" strike="noStrike" baseline="0">
                        <a:effectLst/>
                        <a:latin typeface="Cambria Math" panose="02040503050406030204" pitchFamily="18" charset="0"/>
                        <a:ea typeface="Cambria Math" panose="02040503050406030204" pitchFamily="18" charset="0"/>
                      </a:rPr>
                      <m:t>+1.27</m:t>
                    </m:r>
                  </m:oMath>
                </m:oMathPara>
              </a14:m>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pPr/>
              <a14:m>
                <m:oMathPara xmlns:m="http://schemas.openxmlformats.org/officeDocument/2006/math">
                  <m:oMath>
                    <m:r>
                      <a:rPr lang="en-US" sz="1100" b="0" i="1">
                        <a:latin typeface="Cambria Math" panose="02040503050406030204" pitchFamily="18" charset="0"/>
                      </a:rPr>
                      <m:t>𝑌</m:t>
                    </m:r>
                    <m:r>
                      <a:rPr lang="en-US" sz="1100" b="0" i="1">
                        <a:latin typeface="Cambria Math" panose="02040503050406030204" pitchFamily="18" charset="0"/>
                      </a:rPr>
                      <m:t>=</m:t>
                    </m:r>
                    <m:sSup>
                      <m:sSupPr>
                        <m:ctrlPr>
                          <a:rPr lang="en-US" sz="1100" b="0" i="0">
                            <a:latin typeface="Cambria Math" panose="02040503050406030204" pitchFamily="18" charset="0"/>
                          </a:rPr>
                        </m:ctrlPr>
                      </m:sSupPr>
                      <m:e>
                        <m:r>
                          <m:rPr>
                            <m:nor/>
                          </m:rPr>
                          <a:rPr lang="en-US" sz="1100" b="0" i="0">
                            <a:latin typeface="Cambria Math" panose="02040503050406030204" pitchFamily="18" charset="0"/>
                          </a:rPr>
                          <m:t>10</m:t>
                        </m:r>
                      </m:e>
                      <m:sup>
                        <m:r>
                          <a:rPr lang="en-US" sz="1100" b="0" i="1">
                            <a:latin typeface="Cambria Math" panose="02040503050406030204" pitchFamily="18" charset="0"/>
                          </a:rPr>
                          <m:t>−0.0074</m:t>
                        </m:r>
                        <m:r>
                          <a:rPr lang="en-US" sz="1100" b="0" i="1">
                            <a:latin typeface="Cambria Math" panose="02040503050406030204" pitchFamily="18" charset="0"/>
                          </a:rPr>
                          <m:t>𝑡</m:t>
                        </m:r>
                        <m:r>
                          <a:rPr lang="en-US" sz="1100" b="0" i="1">
                            <a:latin typeface="Cambria Math" panose="02040503050406030204" pitchFamily="18" charset="0"/>
                          </a:rPr>
                          <m:t>+1.27</m:t>
                        </m:r>
                      </m:sup>
                    </m:sSup>
                  </m:oMath>
                </m:oMathPara>
              </a14:m>
              <a:endParaRPr lang="en-US" sz="1100"/>
            </a:p>
          </cdr:txBody>
        </cdr:sp>
      </mc:Choice>
      <mc:Fallback xmlns="">
        <cdr:sp macro="" textlink="">
          <cdr:nvSpPr>
            <cdr:cNvPr id="2" name="Text Box 1"/>
            <cdr:cNvSpPr txBox="1"/>
          </cdr:nvSpPr>
          <cdr:spPr>
            <a:xfrm xmlns:a="http://schemas.openxmlformats.org/drawingml/2006/main">
              <a:off x="2143125" y="1057275"/>
              <a:ext cx="2371725" cy="7048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0" i="0" u="none" strike="noStrike" baseline="0">
                  <a:effectLst/>
                  <a:latin typeface="Cambria Math" panose="02040503050406030204" pitchFamily="18" charset="0"/>
                </a:rPr>
                <a:t>log</a:t>
              </a:r>
              <a:r>
                <a:rPr lang="en-US" sz="1100" b="1" i="0" u="none" strike="noStrike" baseline="0">
                  <a:effectLst/>
                  <a:latin typeface="Cambria Math" panose="02040503050406030204" pitchFamily="18" charset="0"/>
                </a:rPr>
                <a:t>_𝟏𝟎⁡𝒀</a:t>
              </a:r>
              <a:r>
                <a:rPr lang="en-US" sz="1100" b="0" i="0" u="none" strike="noStrike" baseline="0">
                  <a:effectLst/>
                  <a:latin typeface="+mn-lt"/>
                  <a:ea typeface="Cambria Math" panose="02040503050406030204" pitchFamily="18" charset="0"/>
                </a:rPr>
                <a:t>=</a:t>
              </a:r>
              <a:r>
                <a:rPr lang="en-US" sz="1100" b="0" i="0" u="none" strike="noStrike" baseline="0">
                  <a:effectLst/>
                  <a:latin typeface="Cambria Math" panose="02040503050406030204" pitchFamily="18" charset="0"/>
                  <a:ea typeface="Cambria Math" panose="02040503050406030204" pitchFamily="18" charset="0"/>
                </a:rPr>
                <a:t>−7.4×〖10〗^(−3)+1.27</a:t>
              </a:r>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r>
                <a:rPr lang="en-US" sz="1100" b="0" i="0">
                  <a:latin typeface="Cambria Math" panose="02040503050406030204" pitchFamily="18" charset="0"/>
                </a:rPr>
                <a:t>𝑌=〖"10" 〗^(−0.0074𝑡+1.27)</a:t>
              </a:r>
              <a:endParaRPr lang="en-US" sz="1100"/>
            </a:p>
          </cdr:txBody>
        </cdr:sp>
      </mc:Fallback>
    </mc:AlternateContent>
  </cdr:relSizeAnchor>
</c:userShapes>
</file>

<file path=word/drawings/drawing2.xml><?xml version="1.0" encoding="utf-8"?>
<c:userShapes xmlns:c="http://schemas.openxmlformats.org/drawingml/2006/chart">
  <cdr:relSizeAnchor xmlns:cdr="http://schemas.openxmlformats.org/drawingml/2006/chartDrawing">
    <cdr:from>
      <cdr:x>0.21736</cdr:x>
      <cdr:y>0.16551</cdr:y>
    </cdr:from>
    <cdr:to>
      <cdr:x>0.63468</cdr:x>
      <cdr:y>0.42535</cdr:y>
    </cdr:to>
    <mc:AlternateContent xmlns:mc="http://schemas.openxmlformats.org/markup-compatibility/2006" xmlns:a14="http://schemas.microsoft.com/office/drawing/2010/main">
      <mc:Choice Requires="a14">
        <cdr:sp macro="" textlink="">
          <cdr:nvSpPr>
            <cdr:cNvPr id="3" name="Text Box 1">
              <a:extLst xmlns:a="http://schemas.openxmlformats.org/drawingml/2006/main">
                <a:ext uri="{FF2B5EF4-FFF2-40B4-BE49-F238E27FC236}">
                  <a16:creationId xmlns:a16="http://schemas.microsoft.com/office/drawing/2014/main" id="{A0B52BB1-790B-C87F-E624-DB5A3A931127}"/>
                </a:ext>
              </a:extLst>
            </cdr:cNvPr>
            <cdr:cNvSpPr txBox="1"/>
          </cdr:nvSpPr>
          <cdr:spPr>
            <a:xfrm xmlns:a="http://schemas.openxmlformats.org/drawingml/2006/main">
              <a:off x="993748" y="454019"/>
              <a:ext cx="1908019" cy="712794"/>
            </a:xfrm>
            <a:prstGeom xmlns:a="http://schemas.openxmlformats.org/drawingml/2006/main" prst="rect">
              <a:avLst/>
            </a:prstGeom>
          </cdr:spPr>
          <cdr:txBody>
            <a:bodyPr xmlns:a="http://schemas.openxmlformats.org/drawingml/2006/main" wrap="square"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14:m>
                <m:oMathPara xmlns:m="http://schemas.openxmlformats.org/officeDocument/2006/math">
                  <m:oMath>
                    <m:func>
                      <m:funcPr>
                        <m:ctrlPr>
                          <a:rPr lang="en-US" sz="1100" b="0" i="1" u="none" strike="noStrike" baseline="0">
                            <a:effectLst/>
                            <a:latin typeface="Cambria Math" panose="02040503050406030204" pitchFamily="18" charset="0"/>
                          </a:rPr>
                        </m:ctrlPr>
                      </m:funcPr>
                      <m:fName>
                        <m:sSub>
                          <m:sSubPr>
                            <m:ctrlPr>
                              <a:rPr lang="en-US" sz="1100" b="0" i="0" u="none" strike="noStrike" baseline="0">
                                <a:effectLst/>
                                <a:latin typeface="Cambria Math" panose="02040503050406030204" pitchFamily="18" charset="0"/>
                              </a:rPr>
                            </m:ctrlPr>
                          </m:sSubPr>
                          <m:e>
                            <m:r>
                              <m:rPr>
                                <m:sty m:val="p"/>
                              </m:rPr>
                              <a:rPr lang="en-US" sz="1100" b="0" i="0" u="none" strike="noStrike" baseline="0">
                                <a:effectLst/>
                                <a:latin typeface="Cambria Math" panose="02040503050406030204" pitchFamily="18" charset="0"/>
                              </a:rPr>
                              <m:t>log</m:t>
                            </m:r>
                          </m:e>
                          <m:sub>
                            <m:r>
                              <a:rPr lang="en-US" sz="1100" b="1" i="1" u="none" strike="noStrike" baseline="0">
                                <a:effectLst/>
                                <a:latin typeface="Cambria Math" panose="02040503050406030204" pitchFamily="18" charset="0"/>
                              </a:rPr>
                              <m:t>𝟏𝟎</m:t>
                            </m:r>
                          </m:sub>
                        </m:sSub>
                      </m:fName>
                      <m:e>
                        <m:r>
                          <a:rPr lang="en-US" sz="1100" b="1" i="1" u="none" strike="noStrike" baseline="0">
                            <a:effectLst/>
                            <a:latin typeface="Cambria Math" panose="02040503050406030204" pitchFamily="18" charset="0"/>
                          </a:rPr>
                          <m:t>𝑻</m:t>
                        </m:r>
                      </m:e>
                    </m:func>
                    <m:r>
                      <a:rPr lang="en-US" sz="1100" b="0" i="0" u="none" strike="noStrike" baseline="0">
                        <a:effectLst/>
                        <a:latin typeface="Cambria Math" panose="02040503050406030204" pitchFamily="18" charset="0"/>
                        <a:ea typeface="Cambria Math" panose="02040503050406030204" pitchFamily="18" charset="0"/>
                      </a:rPr>
                      <m:t>=</m:t>
                    </m:r>
                    <m:r>
                      <a:rPr lang="en-US" sz="1100" b="0" i="1" u="none" strike="noStrike" baseline="0">
                        <a:effectLst/>
                        <a:latin typeface="Cambria Math" panose="02040503050406030204" pitchFamily="18" charset="0"/>
                        <a:ea typeface="Cambria Math" panose="02040503050406030204" pitchFamily="18" charset="0"/>
                      </a:rPr>
                      <m:t>0.23</m:t>
                    </m:r>
                    <m:func>
                      <m:funcPr>
                        <m:ctrlPr>
                          <a:rPr lang="en-US" sz="1100" b="0" i="1" u="none" strike="noStrike" baseline="0">
                            <a:effectLst/>
                            <a:latin typeface="Cambria Math" panose="02040503050406030204" pitchFamily="18" charset="0"/>
                            <a:ea typeface="Cambria Math" panose="02040503050406030204" pitchFamily="18" charset="0"/>
                          </a:rPr>
                        </m:ctrlPr>
                      </m:funcPr>
                      <m:fName>
                        <m:sSub>
                          <m:sSubPr>
                            <m:ctrlPr>
                              <a:rPr lang="en-US" sz="1100" b="0" i="0" u="none" strike="noStrike" baseline="0">
                                <a:effectLst/>
                                <a:latin typeface="Cambria Math" panose="02040503050406030204" pitchFamily="18" charset="0"/>
                                <a:ea typeface="Cambria Math" panose="02040503050406030204" pitchFamily="18" charset="0"/>
                              </a:rPr>
                            </m:ctrlPr>
                          </m:sSubPr>
                          <m:e>
                            <m:r>
                              <m:rPr>
                                <m:sty m:val="p"/>
                              </m:rPr>
                              <a:rPr lang="en-US" sz="1100" b="0" i="0" u="none" strike="noStrike" baseline="0">
                                <a:effectLst/>
                                <a:latin typeface="Cambria Math" panose="02040503050406030204" pitchFamily="18" charset="0"/>
                                <a:ea typeface="Cambria Math" panose="02040503050406030204" pitchFamily="18" charset="0"/>
                              </a:rPr>
                              <m:t>log</m:t>
                            </m:r>
                          </m:e>
                          <m:sub>
                            <m:r>
                              <a:rPr lang="en-US" sz="1100" b="0" i="1" u="none" strike="noStrike" baseline="0">
                                <a:effectLst/>
                                <a:latin typeface="Cambria Math" panose="02040503050406030204" pitchFamily="18" charset="0"/>
                                <a:ea typeface="Cambria Math" panose="02040503050406030204" pitchFamily="18" charset="0"/>
                              </a:rPr>
                              <m:t>10</m:t>
                            </m:r>
                          </m:sub>
                        </m:sSub>
                      </m:fName>
                      <m:e>
                        <m:r>
                          <a:rPr lang="en-US" sz="1100" b="0" i="1" u="none" strike="noStrike" baseline="0">
                            <a:effectLst/>
                            <a:latin typeface="Cambria Math" panose="02040503050406030204" pitchFamily="18" charset="0"/>
                            <a:ea typeface="Cambria Math" panose="02040503050406030204" pitchFamily="18" charset="0"/>
                          </a:rPr>
                          <m:t>𝐼</m:t>
                        </m:r>
                      </m:e>
                    </m:func>
                    <m:r>
                      <a:rPr lang="en-US" sz="1100" b="0" i="1" u="none" strike="noStrike" baseline="0">
                        <a:effectLst/>
                        <a:latin typeface="Cambria Math" panose="02040503050406030204" pitchFamily="18" charset="0"/>
                        <a:ea typeface="Cambria Math" panose="02040503050406030204" pitchFamily="18" charset="0"/>
                      </a:rPr>
                      <m:t>+2.75</m:t>
                    </m:r>
                  </m:oMath>
                </m:oMathPara>
              </a14:m>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14:m>
                <m:oMath xmlns:m="http://schemas.openxmlformats.org/officeDocument/2006/math">
                  <m:func>
                    <m:funcPr>
                      <m:ctrlPr>
                        <a:rPr lang="en-US" sz="1100" i="1">
                          <a:latin typeface="Cambria Math" panose="02040503050406030204" pitchFamily="18" charset="0"/>
                        </a:rPr>
                      </m:ctrlPr>
                    </m:funcPr>
                    <m:fName>
                      <m:sSub>
                        <m:sSubPr>
                          <m:ctrlPr>
                            <a:rPr lang="en-US" sz="1100" i="0">
                              <a:latin typeface="Cambria Math" panose="02040503050406030204" pitchFamily="18" charset="0"/>
                            </a:rPr>
                          </m:ctrlPr>
                        </m:sSubPr>
                        <m:e>
                          <m:r>
                            <m:rPr>
                              <m:sty m:val="p"/>
                            </m:rPr>
                            <a:rPr lang="en-US" sz="1100" i="0">
                              <a:latin typeface="Cambria Math" panose="02040503050406030204" pitchFamily="18" charset="0"/>
                            </a:rPr>
                            <m:t>log</m:t>
                          </m:r>
                        </m:e>
                        <m:sub>
                          <m:r>
                            <a:rPr lang="en-US" sz="1100" b="0" i="1">
                              <a:latin typeface="Cambria Math" panose="02040503050406030204" pitchFamily="18" charset="0"/>
                            </a:rPr>
                            <m:t>10</m:t>
                          </m:r>
                        </m:sub>
                      </m:sSub>
                    </m:fName>
                    <m:e>
                      <m:d>
                        <m:dPr>
                          <m:ctrlPr>
                            <a:rPr lang="en-US" sz="1100" b="0" i="1">
                              <a:latin typeface="Cambria Math" panose="02040503050406030204" pitchFamily="18" charset="0"/>
                            </a:rPr>
                          </m:ctrlPr>
                        </m:dPr>
                        <m:e>
                          <m:f>
                            <m:fPr>
                              <m:ctrlPr>
                                <a:rPr lang="en-US" sz="1100" b="0" i="1">
                                  <a:latin typeface="Cambria Math" panose="02040503050406030204" pitchFamily="18" charset="0"/>
                                </a:rPr>
                              </m:ctrlPr>
                            </m:fPr>
                            <m:num>
                              <m:r>
                                <a:rPr lang="en-US" sz="1100" b="0" i="1">
                                  <a:latin typeface="Cambria Math" panose="02040503050406030204" pitchFamily="18" charset="0"/>
                                </a:rPr>
                                <m:t>𝑇</m:t>
                              </m:r>
                            </m:num>
                            <m:den>
                              <m:r>
                                <a:rPr lang="en-US" sz="1100" b="0" i="1">
                                  <a:latin typeface="Cambria Math" panose="02040503050406030204" pitchFamily="18" charset="0"/>
                                </a:rPr>
                                <m:t>𝐼</m:t>
                              </m:r>
                              <m:r>
                                <a:rPr lang="en-US" sz="1100" b="0" i="1" baseline="30000">
                                  <a:latin typeface="Cambria Math" panose="02040503050406030204" pitchFamily="18" charset="0"/>
                                </a:rPr>
                                <m:t>0.23</m:t>
                              </m:r>
                            </m:den>
                          </m:f>
                        </m:e>
                      </m:d>
                    </m:e>
                  </m:func>
                </m:oMath>
              </a14:m>
              <a:r>
                <a:rPr lang="en-US" sz="1100"/>
                <a:t>= 2.75</a:t>
              </a:r>
            </a:p>
          </cdr:txBody>
        </cdr:sp>
      </mc:Choice>
      <mc:Fallback xmlns="">
        <cdr:sp macro="" textlink="">
          <cdr:nvSpPr>
            <cdr:cNvPr id="3" name="Text Box 1">
              <a:extLst xmlns:a="http://schemas.openxmlformats.org/drawingml/2006/main">
                <a:ext uri="{FF2B5EF4-FFF2-40B4-BE49-F238E27FC236}">
                  <a16:creationId xmlns:a16="http://schemas.microsoft.com/office/drawing/2014/main" id="{A0B52BB1-790B-C87F-E624-DB5A3A931127}"/>
                </a:ext>
              </a:extLst>
            </cdr:cNvPr>
            <cdr:cNvSpPr txBox="1"/>
          </cdr:nvSpPr>
          <cdr:spPr>
            <a:xfrm xmlns:a="http://schemas.openxmlformats.org/drawingml/2006/main">
              <a:off x="993748" y="454019"/>
              <a:ext cx="1908019" cy="712794"/>
            </a:xfrm>
            <a:prstGeom xmlns:a="http://schemas.openxmlformats.org/drawingml/2006/main" prst="rect">
              <a:avLst/>
            </a:prstGeom>
          </cdr:spPr>
          <cdr:txBody>
            <a:bodyPr xmlns:a="http://schemas.openxmlformats.org/drawingml/2006/main" wrap="square"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r>
                <a:rPr lang="en-US" sz="1100" b="0" i="0" u="none" strike="noStrike" baseline="0">
                  <a:effectLst/>
                  <a:latin typeface="Cambria Math" panose="02040503050406030204" pitchFamily="18" charset="0"/>
                </a:rPr>
                <a:t>log</a:t>
              </a:r>
              <a:r>
                <a:rPr lang="en-US" sz="1100" b="1" i="0" u="none" strike="noStrike" baseline="0">
                  <a:effectLst/>
                  <a:latin typeface="Cambria Math" panose="02040503050406030204" pitchFamily="18" charset="0"/>
                </a:rPr>
                <a:t>_𝟏𝟎⁡𝑻</a:t>
              </a:r>
              <a:r>
                <a:rPr lang="en-US" sz="1100" b="0" i="0" u="none" strike="noStrike" baseline="0">
                  <a:effectLst/>
                  <a:latin typeface="Cambria Math" panose="02040503050406030204" pitchFamily="18" charset="0"/>
                  <a:ea typeface="Cambria Math" panose="02040503050406030204" pitchFamily="18" charset="0"/>
                </a:rPr>
                <a:t>=0.23 log_10⁡𝐼+2.75</a:t>
              </a:r>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r>
                <a:rPr lang="en-US" sz="1100" i="0">
                  <a:latin typeface="Cambria Math" panose="02040503050406030204" pitchFamily="18" charset="0"/>
                </a:rPr>
                <a:t>log_</a:t>
              </a:r>
              <a:r>
                <a:rPr lang="en-US" sz="1100" b="0" i="0">
                  <a:latin typeface="Cambria Math" panose="02040503050406030204" pitchFamily="18" charset="0"/>
                </a:rPr>
                <a:t>10⁡(𝑇/𝐼</a:t>
              </a:r>
              <a:r>
                <a:rPr lang="en-US" sz="1100" b="0" i="0" baseline="30000">
                  <a:latin typeface="Cambria Math" panose="02040503050406030204" pitchFamily="18" charset="0"/>
                </a:rPr>
                <a:t>0.23)</a:t>
              </a:r>
              <a:r>
                <a:rPr lang="en-US" sz="1100"/>
                <a:t>= 2.75</a:t>
              </a:r>
            </a:p>
          </cdr:txBody>
        </cdr:sp>
      </mc:Fallback>
    </mc:AlternateContent>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F5C60-9E02-45F9-8CDE-CBAC5A5D3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5146</Words>
  <Characters>29338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 hycienth</dc:creator>
  <cp:lastModifiedBy>SDI 1087</cp:lastModifiedBy>
  <cp:revision>7</cp:revision>
  <dcterms:created xsi:type="dcterms:W3CDTF">2026-10-03T07:46:00Z</dcterms:created>
  <dcterms:modified xsi:type="dcterms:W3CDTF">2026-10-17T07:04:00Z</dcterms:modified>
</cp:coreProperties>
</file>