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AA1F" w14:textId="77777777" w:rsidR="00462B59" w:rsidRPr="00344FD1" w:rsidRDefault="002237C7" w:rsidP="00055D83">
      <w:pPr>
        <w:spacing w:before="0" w:line="240" w:lineRule="auto"/>
        <w:jc w:val="center"/>
        <w:rPr>
          <w:rFonts w:cs="Times New Roman"/>
          <w:b/>
          <w:bCs/>
          <w:color w:val="000000" w:themeColor="text1"/>
          <w:sz w:val="36"/>
          <w:szCs w:val="36"/>
        </w:rPr>
      </w:pPr>
      <w:r w:rsidRPr="00344FD1">
        <w:rPr>
          <w:rFonts w:cs="Times New Roman"/>
          <w:b/>
          <w:bCs/>
          <w:color w:val="000000" w:themeColor="text1"/>
          <w:sz w:val="36"/>
          <w:szCs w:val="36"/>
        </w:rPr>
        <w:t>STRATEGIC MANAGEMENT PRACTICES AND COMPETITIVENESS OF SELECTED SUPERMARKETS IN NAIROBI CITY COUNTY, KENYA</w:t>
      </w:r>
    </w:p>
    <w:p w14:paraId="5B834B4A" w14:textId="77777777" w:rsidR="00870856" w:rsidRPr="00344FD1" w:rsidRDefault="00870856" w:rsidP="00055D83">
      <w:pPr>
        <w:spacing w:before="0" w:line="240" w:lineRule="auto"/>
        <w:jc w:val="center"/>
        <w:rPr>
          <w:rFonts w:cs="Times New Roman"/>
          <w:b/>
          <w:bCs/>
          <w:color w:val="000000" w:themeColor="text1"/>
          <w:sz w:val="36"/>
          <w:szCs w:val="36"/>
        </w:rPr>
      </w:pPr>
    </w:p>
    <w:p w14:paraId="56EC4287" w14:textId="77777777" w:rsidR="00870856" w:rsidRPr="00344FD1" w:rsidRDefault="00870856" w:rsidP="00055D83">
      <w:pPr>
        <w:spacing w:before="0" w:line="240" w:lineRule="auto"/>
        <w:jc w:val="center"/>
        <w:rPr>
          <w:rFonts w:cs="Times New Roman"/>
          <w:b/>
          <w:bCs/>
          <w:color w:val="000000" w:themeColor="text1"/>
          <w:sz w:val="36"/>
          <w:szCs w:val="36"/>
        </w:rPr>
      </w:pPr>
    </w:p>
    <w:p w14:paraId="40C11D6B" w14:textId="77777777" w:rsidR="003607E2" w:rsidRPr="00344FD1" w:rsidRDefault="003607E2" w:rsidP="00055D83">
      <w:pPr>
        <w:spacing w:before="0" w:line="240" w:lineRule="auto"/>
        <w:jc w:val="center"/>
        <w:rPr>
          <w:rFonts w:cs="Times New Roman"/>
          <w:b/>
          <w:color w:val="000000" w:themeColor="text1"/>
          <w:szCs w:val="24"/>
        </w:rPr>
      </w:pPr>
    </w:p>
    <w:p w14:paraId="4B926CAF" w14:textId="77777777" w:rsidR="00870856" w:rsidRPr="00344FD1" w:rsidRDefault="00870856" w:rsidP="00055D83">
      <w:pPr>
        <w:spacing w:before="0" w:line="240" w:lineRule="auto"/>
        <w:jc w:val="center"/>
        <w:rPr>
          <w:rStyle w:val="Hyperlink"/>
          <w:rFonts w:cs="Times New Roman"/>
          <w:szCs w:val="24"/>
        </w:rPr>
      </w:pPr>
    </w:p>
    <w:p w14:paraId="4B60551B" w14:textId="77777777" w:rsidR="00870856" w:rsidRPr="00344FD1" w:rsidRDefault="00870856" w:rsidP="00870856">
      <w:pPr>
        <w:spacing w:before="0" w:line="240" w:lineRule="auto"/>
        <w:jc w:val="center"/>
        <w:rPr>
          <w:rFonts w:cs="Times New Roman"/>
          <w:color w:val="000000" w:themeColor="text1"/>
          <w:szCs w:val="24"/>
        </w:rPr>
      </w:pPr>
    </w:p>
    <w:p w14:paraId="49ADDD5A" w14:textId="77777777" w:rsidR="00055D83" w:rsidRPr="00344FD1" w:rsidRDefault="00055D83" w:rsidP="004737A8">
      <w:pPr>
        <w:spacing w:before="0" w:line="240" w:lineRule="auto"/>
        <w:jc w:val="center"/>
        <w:rPr>
          <w:b/>
          <w:sz w:val="28"/>
        </w:rPr>
      </w:pPr>
      <w:bookmarkStart w:id="0" w:name="_Toc488404692"/>
      <w:bookmarkStart w:id="1" w:name="_Toc102409737"/>
      <w:r w:rsidRPr="00344FD1">
        <w:rPr>
          <w:b/>
          <w:sz w:val="28"/>
        </w:rPr>
        <w:t>ABSTRACT</w:t>
      </w:r>
      <w:bookmarkEnd w:id="0"/>
      <w:bookmarkEnd w:id="1"/>
    </w:p>
    <w:p w14:paraId="2E1198CB" w14:textId="77777777" w:rsidR="008C3E27" w:rsidRPr="00344FD1" w:rsidRDefault="00627228" w:rsidP="008C3E27">
      <w:pPr>
        <w:spacing w:line="240" w:lineRule="auto"/>
        <w:rPr>
          <w:rFonts w:cs="Times New Roman"/>
          <w:color w:val="000000" w:themeColor="text1"/>
          <w:szCs w:val="24"/>
        </w:rPr>
      </w:pPr>
      <w:r w:rsidRPr="00344FD1">
        <w:rPr>
          <w:rFonts w:cs="Times New Roman"/>
          <w:color w:val="000000" w:themeColor="text1"/>
          <w:szCs w:val="24"/>
        </w:rPr>
        <w:t xml:space="preserve">Strategic management practices are important for enhancing </w:t>
      </w:r>
      <w:proofErr w:type="spellStart"/>
      <w:r w:rsidRPr="00344FD1">
        <w:rPr>
          <w:rFonts w:cs="Times New Roman"/>
          <w:color w:val="000000" w:themeColor="text1"/>
          <w:szCs w:val="24"/>
        </w:rPr>
        <w:t>organi</w:t>
      </w:r>
      <w:r w:rsidRPr="00344FD1">
        <w:rPr>
          <w:rFonts w:cs="Times New Roman"/>
          <w:color w:val="000000" w:themeColor="text1"/>
          <w:szCs w:val="24"/>
          <w:highlight w:val="yellow"/>
        </w:rPr>
        <w:t>s</w:t>
      </w:r>
      <w:r w:rsidRPr="00344FD1">
        <w:rPr>
          <w:rFonts w:cs="Times New Roman"/>
          <w:color w:val="000000" w:themeColor="text1"/>
          <w:szCs w:val="24"/>
        </w:rPr>
        <w:t>ational</w:t>
      </w:r>
      <w:proofErr w:type="spellEnd"/>
      <w:r w:rsidRPr="00344FD1">
        <w:rPr>
          <w:rFonts w:cs="Times New Roman"/>
          <w:color w:val="000000" w:themeColor="text1"/>
          <w:szCs w:val="24"/>
        </w:rPr>
        <w:t xml:space="preserve"> competitiveness, particularly </w:t>
      </w:r>
      <w:r w:rsidRPr="00344FD1">
        <w:rPr>
          <w:rFonts w:cs="Times New Roman"/>
          <w:color w:val="000000" w:themeColor="text1"/>
          <w:szCs w:val="24"/>
          <w:highlight w:val="yellow"/>
        </w:rPr>
        <w:t>for</w:t>
      </w:r>
      <w:r w:rsidRPr="00344FD1">
        <w:rPr>
          <w:rFonts w:cs="Times New Roman"/>
          <w:color w:val="000000" w:themeColor="text1"/>
          <w:szCs w:val="24"/>
        </w:rPr>
        <w:t xml:space="preserve"> supermarkets operating in a highly competitive retail environment </w:t>
      </w:r>
      <w:proofErr w:type="spellStart"/>
      <w:r w:rsidRPr="00344FD1">
        <w:rPr>
          <w:rFonts w:cs="Times New Roman"/>
          <w:color w:val="000000" w:themeColor="text1"/>
          <w:szCs w:val="24"/>
        </w:rPr>
        <w:t>characteri</w:t>
      </w:r>
      <w:r w:rsidRPr="00344FD1">
        <w:rPr>
          <w:rFonts w:cs="Times New Roman"/>
          <w:color w:val="000000" w:themeColor="text1"/>
          <w:szCs w:val="24"/>
          <w:highlight w:val="yellow"/>
        </w:rPr>
        <w:t>s</w:t>
      </w:r>
      <w:r w:rsidRPr="00344FD1">
        <w:rPr>
          <w:rFonts w:cs="Times New Roman"/>
          <w:color w:val="000000" w:themeColor="text1"/>
          <w:szCs w:val="24"/>
        </w:rPr>
        <w:t>ed</w:t>
      </w:r>
      <w:proofErr w:type="spellEnd"/>
      <w:r w:rsidRPr="00344FD1">
        <w:rPr>
          <w:rFonts w:cs="Times New Roman"/>
          <w:color w:val="000000" w:themeColor="text1"/>
          <w:szCs w:val="24"/>
        </w:rPr>
        <w:t xml:space="preserve"> by thin profit margins, changing customer preferences, supply chain complexities, and intense market rivalry. This study investigated the influence of strategic management practices on the competitiveness of selected supermarkets in Nairobi City County, Kenya. Specifically, the study examined the effects of strategic planning, strategic leadership, resource allocation, and positioning strategies on supermarket competitiveness. The study focused on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xml:space="preserve">, and Carrefour supermarkets and was anchored on Strategic Leadership Theory, Strategic Fit Theory, Dynamic Capabilities Theory, and Strategic Agility Theory. </w:t>
      </w:r>
      <w:r w:rsidR="00291058" w:rsidRPr="00291058">
        <w:rPr>
          <w:rFonts w:cs="Times New Roman"/>
          <w:color w:val="000000" w:themeColor="text1"/>
          <w:szCs w:val="24"/>
          <w:highlight w:val="green"/>
        </w:rPr>
        <w:t>A descriptive research design was adopted, targeting 150 employees. Using Yamane’s formula and purposive sampling, 109 respondents were selected. Primary data were collected through structured questionnaires containing items measured on a five-point Likert scale. Th</w:t>
      </w:r>
      <w:r w:rsidR="00291058" w:rsidRPr="00291058">
        <w:rPr>
          <w:rFonts w:cs="Times New Roman"/>
          <w:color w:val="000000" w:themeColor="text1"/>
          <w:szCs w:val="24"/>
          <w:highlight w:val="yellow"/>
        </w:rPr>
        <w:t>is</w:t>
      </w:r>
      <w:r w:rsidR="00291058" w:rsidRPr="00291058">
        <w:rPr>
          <w:rFonts w:cs="Times New Roman"/>
          <w:color w:val="000000" w:themeColor="text1"/>
          <w:szCs w:val="24"/>
          <w:highlight w:val="green"/>
        </w:rPr>
        <w:t xml:space="preserve"> approach enabled</w:t>
      </w:r>
      <w:r w:rsidR="00291058" w:rsidRPr="00291058">
        <w:rPr>
          <w:rFonts w:cs="Times New Roman"/>
          <w:color w:val="000000" w:themeColor="text1"/>
          <w:szCs w:val="24"/>
          <w:highlight w:val="yellow"/>
        </w:rPr>
        <w:t xml:space="preserve"> the</w:t>
      </w:r>
      <w:r w:rsidR="00291058" w:rsidRPr="00291058">
        <w:rPr>
          <w:rFonts w:cs="Times New Roman"/>
          <w:color w:val="000000" w:themeColor="text1"/>
          <w:szCs w:val="24"/>
          <w:highlight w:val="green"/>
        </w:rPr>
        <w:t xml:space="preserve"> systematic collection of quantitative data on employees’ perceptions and experiences relevant to the study objectives.</w:t>
      </w:r>
      <w:r w:rsidR="00291058">
        <w:rPr>
          <w:rFonts w:cs="Times New Roman"/>
          <w:color w:val="000000" w:themeColor="text1"/>
          <w:szCs w:val="24"/>
          <w:highlight w:val="green"/>
        </w:rPr>
        <w:t xml:space="preserve"> </w:t>
      </w:r>
      <w:r w:rsidRPr="00291058">
        <w:rPr>
          <w:rFonts w:cs="Times New Roman"/>
          <w:color w:val="000000" w:themeColor="text1"/>
          <w:szCs w:val="24"/>
          <w:highlight w:val="green"/>
        </w:rPr>
        <w:t xml:space="preserve">A pilot study involving 11 respondents was conducted, while validity and reliability were assessed through expert judgment and Cronbach’s alpha, respectively. Data were </w:t>
      </w:r>
      <w:proofErr w:type="spellStart"/>
      <w:r w:rsidRPr="00291058">
        <w:rPr>
          <w:rFonts w:cs="Times New Roman"/>
          <w:color w:val="000000" w:themeColor="text1"/>
          <w:szCs w:val="24"/>
          <w:highlight w:val="green"/>
        </w:rPr>
        <w:t>analy</w:t>
      </w:r>
      <w:r w:rsidRPr="00291058">
        <w:rPr>
          <w:rFonts w:cs="Times New Roman"/>
          <w:color w:val="000000" w:themeColor="text1"/>
          <w:szCs w:val="24"/>
          <w:highlight w:val="yellow"/>
        </w:rPr>
        <w:t>s</w:t>
      </w:r>
      <w:r w:rsidRPr="00291058">
        <w:rPr>
          <w:rFonts w:cs="Times New Roman"/>
          <w:color w:val="000000" w:themeColor="text1"/>
          <w:szCs w:val="24"/>
          <w:highlight w:val="green"/>
        </w:rPr>
        <w:t>ed</w:t>
      </w:r>
      <w:proofErr w:type="spellEnd"/>
      <w:r w:rsidRPr="00291058">
        <w:rPr>
          <w:rFonts w:cs="Times New Roman"/>
          <w:color w:val="000000" w:themeColor="text1"/>
          <w:szCs w:val="24"/>
          <w:highlight w:val="green"/>
        </w:rPr>
        <w:t xml:space="preserve"> and presented using tables, figures, and bar charts. The findings established that strategic planning positively influenced competitiveness through environmental scanning, goal formulation</w:t>
      </w:r>
      <w:r w:rsidRPr="00344FD1">
        <w:rPr>
          <w:rFonts w:cs="Times New Roman"/>
          <w:color w:val="000000" w:themeColor="text1"/>
          <w:szCs w:val="24"/>
        </w:rPr>
        <w:t>, and effective implementation of strategic plans. Strategic leadership enhanced competitiveness through effective decision-making, employee motivation, and goal-oriented leadership. Efficient resource allocation, particularly in financial planning, budgeting, and human resource deployment, improved operational efficiency and market responsiveness. Positioning strategies, including product differentiation, pricing, and brand positioning, enhanced customer loyalty and market share. Regression results indicated that all independent variables had positive and statistically significant effects on competitiveness. The study concluded that strategic management practices are critical determinants of supermarket competitiveness and recommended strengthening strategic planning, adaptive leadership, strategic resource allocation, and differentiated market positioning.</w:t>
      </w:r>
    </w:p>
    <w:p w14:paraId="741F6814" w14:textId="77777777" w:rsidR="008C3E27" w:rsidRPr="00344FD1" w:rsidRDefault="008C3E27" w:rsidP="008C3E27">
      <w:pPr>
        <w:spacing w:line="240" w:lineRule="auto"/>
        <w:rPr>
          <w:rFonts w:cs="Times New Roman"/>
          <w:color w:val="000000" w:themeColor="text1"/>
          <w:szCs w:val="24"/>
        </w:rPr>
      </w:pPr>
    </w:p>
    <w:p w14:paraId="73E8BA47" w14:textId="77777777" w:rsidR="00D2350E" w:rsidRPr="00344FD1" w:rsidRDefault="008C3E27" w:rsidP="008C3E27">
      <w:pPr>
        <w:spacing w:line="240" w:lineRule="auto"/>
        <w:rPr>
          <w:rFonts w:cs="Times New Roman"/>
          <w:color w:val="000000" w:themeColor="text1"/>
          <w:szCs w:val="24"/>
        </w:rPr>
      </w:pPr>
      <w:r w:rsidRPr="00344FD1">
        <w:rPr>
          <w:rFonts w:cs="Times New Roman"/>
          <w:b/>
          <w:color w:val="000000" w:themeColor="text1"/>
          <w:szCs w:val="24"/>
        </w:rPr>
        <w:t>Keywords:</w:t>
      </w:r>
      <w:r w:rsidRPr="00344FD1">
        <w:rPr>
          <w:rFonts w:cs="Times New Roman"/>
          <w:color w:val="000000" w:themeColor="text1"/>
          <w:szCs w:val="24"/>
        </w:rPr>
        <w:t xml:space="preserve"> </w:t>
      </w:r>
      <w:r w:rsidR="00627228" w:rsidRPr="00344FD1">
        <w:rPr>
          <w:rFonts w:cs="Times New Roman"/>
          <w:i/>
          <w:color w:val="000000" w:themeColor="text1"/>
          <w:szCs w:val="24"/>
        </w:rPr>
        <w:t>Strategic management, strategic planning, strategic leadership, resource allocation, positioning strategies, competitiveness, supermarkets</w:t>
      </w:r>
      <w:r w:rsidRPr="00344FD1">
        <w:rPr>
          <w:rFonts w:cs="Times New Roman"/>
          <w:color w:val="000000" w:themeColor="text1"/>
          <w:szCs w:val="24"/>
        </w:rPr>
        <w:t>.</w:t>
      </w:r>
    </w:p>
    <w:p w14:paraId="423F2F1A" w14:textId="77777777" w:rsidR="00D2350E" w:rsidRPr="00344FD1" w:rsidRDefault="00D2350E" w:rsidP="00D2350E">
      <w:pPr>
        <w:spacing w:line="240" w:lineRule="auto"/>
        <w:rPr>
          <w:rFonts w:cs="Times New Roman"/>
          <w:color w:val="000000" w:themeColor="text1"/>
          <w:szCs w:val="24"/>
        </w:rPr>
      </w:pPr>
    </w:p>
    <w:p w14:paraId="0CFED549" w14:textId="77777777" w:rsidR="00442FDE" w:rsidRPr="00344FD1" w:rsidRDefault="00055D83" w:rsidP="00442FDE">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1.0 INTRODUCTION</w:t>
      </w:r>
    </w:p>
    <w:p w14:paraId="27490705"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In today’s competitive business environment, organisations must respond to changing markets and maintain distinctive capabilities (Fuertes et al., 2020; Chikán et al., 2022). Technological developments, evolving consumer behaviour, and economic disruptions make strategic adaptation increasingly important (Bogers et al., 2019; Druhova et al., 2024). Strategic management provides processes for defining priorities, coordinating action, and responding to uncertainty (Henry, 2021).</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highlight w:val="yellow"/>
        </w:rPr>
      </w:r>
      <w:proofErr w:type="spellStart"/>
      <w:r w:rsidRPr="00344FD1">
        <w:rPr>
          <w:rFonts w:cs="Times New Roman"/>
          <w:color w:val="000000" w:themeColor="text1"/>
          <w:szCs w:val="24"/>
          <w:highlight w:val="yellow"/>
        </w:rPr>
      </w:r>
      <w:proofErr w:type="spellEnd"/>
      <w:r w:rsidRPr="00344FD1">
        <w:rPr>
          <w:rFonts w:cs="Times New Roman"/>
          <w:color w:val="000000" w:themeColor="text1"/>
          <w:szCs w:val="24"/>
          <w:highlight w:val="yellow"/>
        </w:rPr>
      </w:r>
      <w:r w:rsidRPr="00344FD1">
        <w:rPr>
          <w:rFonts w:cs="Times New Roman"/>
          <w:color w:val="000000" w:themeColor="text1"/>
          <w:szCs w:val="24"/>
        </w:rPr>
      </w:r>
    </w:p>
    <w:p w14:paraId="379F18D1"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Retailers face changing patterns of consumer demand and market competition. Comparative research on AEON and Coop Mart in Vietnam illustrates how supermarket chains use different brand-management approaches (Tien et al., 2019). Nairobi supermarkets also operate in a competitive environment in which strategic alliances can affect firm competitiveness (Cheboi et al., 2022). Formal strategy formulation, implementation, and evaluation have been associated with supermarket performance in Nakuru County (Kanano &amp; Wanjira, 2021). Strategic planning links organisational objectives to action and resource commitments (Ferlie &amp; Ongaro, 2022).</w:t>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6D87E722" w14:textId="77777777" w:rsidR="007F754D" w:rsidRDefault="00000000">
      <w:pPr>
        <w:keepLines/>
        <w:shd w:val="clear" w:color="auto" w:fill="FFFFFF"/>
        <w:spacing w:line="240" w:lineRule="auto"/>
        <w:rPr>
          <w:rFonts w:cs="Times New Roman"/>
          <w:color w:val="000000" w:themeColor="text1"/>
          <w:szCs w:val="24"/>
        </w:rPr>
      </w:pPr>
      <w:r>
        <w:rPr>
          <w:b/>
          <w:highlight w:val="yellow"/>
        </w:rPr>
        <w:t>Evidence from U.S. grocery markets indicates that the entry of hard-discount retailers can reduce incumbent retailers’ markups, illustrating the pressure that price-based competition can place on supermarket operations (</w:t>
      </w:r>
      <w:proofErr w:type="spellStart"/>
      <w:r>
        <w:rPr>
          <w:b/>
          <w:highlight w:val="yellow"/>
        </w:rPr>
        <w:t>Chenarides</w:t>
      </w:r>
      <w:proofErr w:type="spellEnd"/>
      <w:r>
        <w:rPr>
          <w:b/>
          <w:highlight w:val="yellow"/>
        </w:rPr>
        <w:t xml:space="preserve"> et al., 2024).</w:t>
      </w:r>
    </w:p>
    <w:p w14:paraId="11BB020F" w14:textId="47DBCA5D"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Supermarket competitiveness can be assessed through market outcomes such as customer retention, sales, and market share as well as organisational responses to competition (Nyary &amp; Wainaina, 2025; Mutisya, 2025). Research in grocery retailing shows that discount-store entry can place pressure on incumbent retailers’ markups (Chenarides et al., 2024). Competitive responses may include clearer market positioning, digital investment, and operational adaptation (Iyer et al., 2019; Vhatkar et al., 2024).</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
    <w:p w14:paraId="4E4AB2EB" w14:textId="77777777" w:rsidR="007F754D" w:rsidRDefault="00000000">
      <w:pPr>
        <w:keepLines/>
        <w:shd w:val="clear" w:color="auto" w:fill="FFFFFF"/>
        <w:spacing w:line="240" w:lineRule="auto"/>
        <w:rPr>
          <w:rFonts w:cs="Times New Roman"/>
          <w:color w:val="000000" w:themeColor="text1"/>
          <w:szCs w:val="24"/>
        </w:rPr>
      </w:pPr>
      <w:r>
        <w:rPr>
          <w:b/>
          <w:highlight w:val="yellow"/>
        </w:rPr>
        <w:t xml:space="preserve">Manjunath et al. (2024) found that digital orientation was positively associated with brand competitiveness, with stronger associations where firms </w:t>
      </w:r>
      <w:proofErr w:type="spellStart"/>
      <w:r>
        <w:rPr>
          <w:b/>
          <w:highlight w:val="yellow"/>
        </w:rPr>
        <w:t>emphasised</w:t>
      </w:r>
      <w:proofErr w:type="spellEnd"/>
      <w:r>
        <w:rPr>
          <w:b/>
          <w:highlight w:val="yellow"/>
        </w:rPr>
        <w:t xml:space="preserve"> value creation.</w:t>
      </w:r>
    </w:p>
    <w:p w14:paraId="22BEC76D"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Competitive pressures and changes in customer preferences affect retailers across emerging markets. Research on listed Vietnamese companies found that greater market competition was associated with stronger emphasis on differentiation strategies (Le et al., 2024). In Nairobi County, marketing strategies and technological advancement have been studied as strategic drivers of supermarket sustainability (Masika et al., 2025). These studies underscore the importance of context-sensitive planning and positioning in retail organisations.</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0BF56336"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Kenyan supermarket chains, including Naivas, Quickmart, and Carrefour, form the setting for the present study. Evidence from Nairobi supermarkets links strategic alliances with competitiveness (Cheboi et al., 2022). A study of supermarkets in Nakuru County reported positive relationships between strategy formulation, implementation, evaluation, and performance (Kanano &amp; Wanjira, 2021). More recent evidence from Nairobi found a significant positive relationship between strategy implementation and operational performance (Nyary &amp; Wainaina, 2025).</w:t>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5FEBD473" w14:textId="77777777" w:rsidR="007F754D" w:rsidRDefault="00000000">
      <w:pPr>
        <w:keepLines/>
        <w:shd w:val="clear" w:color="auto" w:fill="FFFFFF"/>
        <w:spacing w:line="240" w:lineRule="auto"/>
        <w:rPr>
          <w:rFonts w:cs="Times New Roman"/>
          <w:color w:val="000000" w:themeColor="text1"/>
          <w:szCs w:val="24"/>
        </w:rPr>
      </w:pPr>
      <w:r>
        <w:rPr>
          <w:b/>
          <w:highlight w:val="yellow"/>
        </w:rPr>
        <w:t>In Nairobi County, Masika et al. (2025) identified a positive relationship between marketing strategies and supermarket sustainability, an outcome related to but distinct from the competitiveness indicators examined in the present study.</w:t>
      </w:r>
    </w:p>
    <w:p w14:paraId="754224B4"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Competitiveness refers to an organisation’s ability to sustain or improve its position relative to rivals (Chikán et al., 2022). Relevant indicators include market performance, innovation, and the capacity to respond to changing customer needs (Manjunath et al., 2024; Nyary &amp; Wainaina, 2025). For supermarkets, these dimensions can be examined alongside measures of revenue and market presence (Mutisya, 2025).</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highlight w:val="yellow"/>
        </w:rPr>
      </w:r>
      <w:proofErr w:type="spellStart"/>
      <w:r w:rsidRPr="00344FD1">
        <w:rPr>
          <w:rFonts w:cs="Times New Roman"/>
          <w:color w:val="000000" w:themeColor="text1"/>
          <w:szCs w:val="24"/>
          <w:highlight w:val="yellow"/>
        </w:rPr>
      </w:r>
      <w:proofErr w:type="spellEnd"/>
      <w:r w:rsidRPr="00344FD1">
        <w:rPr>
          <w:rFonts w:cs="Times New Roman"/>
          <w:color w:val="000000" w:themeColor="text1"/>
          <w:szCs w:val="24"/>
          <w:highlight w:val="yellow"/>
        </w:rPr>
      </w:r>
      <w:proofErr w:type="spellStart"/>
      <w:r w:rsidRPr="00344FD1">
        <w:rPr>
          <w:rFonts w:cs="Times New Roman"/>
          <w:color w:val="000000" w:themeColor="text1"/>
          <w:szCs w:val="24"/>
          <w:highlight w:val="yellow"/>
        </w:rPr>
      </w:r>
      <w:proofErr w:type="spellEnd"/>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
    <w:p w14:paraId="058700EF"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Market share captures a firm's relative market position, while sales and revenue provide financial indicators of performance (Mutisya, 2025). Pricing, differentiation, and brand positioning may shape consumer responses and competitive outcomes (Iyer et al., 2019; Chenarides et al., 2024). Digital orientation can strengthen brand competitiveness, especially when it is paired with a strategic emphasis on value creation (Manjunath et al., 2024). Omnichannel adoption and digital technology have also been associated with sustainable retail performance (Vhatkar et al., 2024). Thus, this study measures competitiveness using market share growth and sales and revenue performance.</w:t>
      </w:r>
      <w:proofErr w:type="spellStart"/>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273B87E6" w14:textId="77777777" w:rsidR="007F754D" w:rsidRDefault="00000000">
      <w:pPr>
        <w:keepLines/>
        <w:shd w:val="clear" w:color="auto" w:fill="FFFFFF"/>
        <w:spacing w:line="240" w:lineRule="auto"/>
        <w:rPr>
          <w:rFonts w:cs="Times New Roman"/>
          <w:color w:val="000000" w:themeColor="text1"/>
          <w:szCs w:val="24"/>
        </w:rPr>
      </w:pPr>
      <w:r>
        <w:rPr>
          <w:b/>
          <w:highlight w:val="yellow"/>
        </w:rPr>
        <w:t>Evidence from the Indian retail sector suggests that digital technology can reinforce the contribution of omnichannel adoption to sustainable retail performance (</w:t>
      </w:r>
      <w:proofErr w:type="spellStart"/>
      <w:r>
        <w:rPr>
          <w:b/>
          <w:highlight w:val="yellow"/>
        </w:rPr>
        <w:t>Vhatkar</w:t>
      </w:r>
      <w:proofErr w:type="spellEnd"/>
      <w:r>
        <w:rPr>
          <w:b/>
          <w:highlight w:val="yellow"/>
        </w:rPr>
        <w:t xml:space="preserve"> et al., 2024).</w:t>
      </w:r>
    </w:p>
    <w:p w14:paraId="31D94970" w14:textId="77777777" w:rsidR="00442FDE"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Strategic management involves setting direction, formulating and implementing strategies, and evaluating outcomes (Henry, 2021; Fuertes et al., 2020). In a Kenyan supermarket context, Kanano and Wanjira (2021) examined how strategy formulation, implementation, and evaluation related to performance. Strategic alliances are another potential route to competitiveness, including innovation, financing, and distribution partnerships (Cheboi et al., 2022). Strategic leadership and strategic planning can support coordination and organisational adaptation (Ali &amp; Anwar, 2021; Tarifi, 2021).</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77E32114" w14:textId="77777777" w:rsidR="00442FDE" w:rsidRPr="00344FD1" w:rsidRDefault="00442FDE" w:rsidP="00442FDE">
      <w:pPr>
        <w:shd w:val="clear" w:color="auto" w:fill="FFFFFF"/>
        <w:spacing w:line="240" w:lineRule="auto"/>
        <w:rPr>
          <w:rFonts w:cs="Times New Roman"/>
          <w:color w:val="000000" w:themeColor="text1"/>
          <w:szCs w:val="24"/>
        </w:rPr>
      </w:pPr>
    </w:p>
    <w:p w14:paraId="5F7902D6" w14:textId="77777777" w:rsidR="00416E73" w:rsidRPr="00344FD1" w:rsidRDefault="00442FDE" w:rsidP="00442FDE">
      <w:pPr>
        <w:shd w:val="clear" w:color="auto" w:fill="FFFFFF"/>
        <w:spacing w:line="240" w:lineRule="auto"/>
        <w:rPr>
          <w:rFonts w:cs="Times New Roman"/>
          <w:color w:val="000000" w:themeColor="text1"/>
          <w:szCs w:val="24"/>
        </w:rPr>
      </w:pPr>
      <w:r w:rsidRPr="00344FD1">
        <w:rPr>
          <w:rFonts w:cs="Times New Roman"/>
          <w:color w:val="000000" w:themeColor="text1"/>
          <w:szCs w:val="24"/>
        </w:rPr>
        <w:t>Strategic leadership influences organisational direction, decisions, and the ability to adapt (Ali &amp; Anwar, 2021; Cortes &amp; Herrmann, 2021). Effective leadership practices have been examined in Kenyan organisations, including the Kenya Ports Authority (Kiptoo &amp; Jeptoo Sawe, 2022). Resource decisions and strategic alliances help determine how firms pursue opportunities and competitiveness (Achieng et al., 2020; Cheboi et al., 2022). Brand positioning, product differentiation, and customer-oriented strategies are additional aspects of market competition (Iyer et al., 2019; Keller &amp; Swaminathan, 2020).</w:t>
      </w:r>
      <w:r w:rsidRPr="00344FD1">
        <w:rPr>
          <w:rFonts w:cs="Times New Roman"/>
          <w:color w:val="000000" w:themeColor="text1"/>
          <w:szCs w:val="24"/>
          <w:highlight w:val="yellow"/>
        </w:rPr>
      </w:r>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
    <w:p w14:paraId="406EAE46" w14:textId="77777777" w:rsidR="0052143B" w:rsidRPr="00344FD1" w:rsidRDefault="0052143B" w:rsidP="000F4C94">
      <w:pPr>
        <w:spacing w:before="0" w:line="240" w:lineRule="auto"/>
        <w:rPr>
          <w:b/>
          <w:bCs/>
          <w:i/>
          <w:iCs/>
          <w:sz w:val="28"/>
          <w:szCs w:val="24"/>
        </w:rPr>
      </w:pPr>
      <w:r w:rsidRPr="00344FD1">
        <w:rPr>
          <w:b/>
          <w:bCs/>
          <w:i/>
          <w:iCs/>
          <w:sz w:val="28"/>
          <w:szCs w:val="24"/>
        </w:rPr>
        <w:t>Significance of the Study</w:t>
      </w:r>
    </w:p>
    <w:p w14:paraId="712087CC" w14:textId="77777777" w:rsidR="001E21F0" w:rsidRPr="00344FD1" w:rsidRDefault="00ED1179" w:rsidP="00AE4AA5">
      <w:pPr>
        <w:spacing w:before="0" w:line="240" w:lineRule="auto"/>
        <w:rPr>
          <w:rFonts w:cs="Times New Roman"/>
          <w:color w:val="000000" w:themeColor="text1"/>
        </w:rPr>
      </w:pPr>
      <w:r w:rsidRPr="00344FD1">
        <w:t xml:space="preserve">The study provided insights into how strategic management practices influence competitiveness in the supermarket industry amid intensifying competition and changing consumer </w:t>
      </w:r>
      <w:proofErr w:type="spellStart"/>
      <w:r w:rsidRPr="00344FD1">
        <w:t>behaviour</w:t>
      </w:r>
      <w:proofErr w:type="spellEnd"/>
      <w:r w:rsidRPr="00344FD1">
        <w:t>. The findings benefited supermarket managers by informing decisions aimed at improving operational efficiency, customer satisfaction, supplier relationships, and market positioning. Retail investors also gained insights into critical success factors and strategic challenges, supporting assessment of supermarket performance and strategy alignment. Additionally, the study generated evidence useful to regulators, including the Competition Authority of Kenya, in developing policies that promote fair competition and sustainable performance within the retail sector</w:t>
      </w:r>
      <w:r w:rsidR="0051797F" w:rsidRPr="00344FD1">
        <w:t>.</w:t>
      </w:r>
      <w:r w:rsidR="001E21F0" w:rsidRPr="00344FD1">
        <w:rPr>
          <w:rFonts w:cs="Times New Roman"/>
          <w:color w:val="000000" w:themeColor="text1"/>
        </w:rPr>
        <w:br w:type="page"/>
      </w:r>
    </w:p>
    <w:p w14:paraId="08068B2F" w14:textId="77777777" w:rsidR="00055D83" w:rsidRPr="00344FD1" w:rsidRDefault="00055D83" w:rsidP="00CE4C91">
      <w:pPr>
        <w:shd w:val="clear" w:color="auto" w:fill="FFFFFF"/>
        <w:spacing w:line="240" w:lineRule="auto"/>
        <w:rPr>
          <w:rFonts w:eastAsia="Times New Roman" w:cs="Times New Roman"/>
          <w:b/>
          <w:bCs/>
          <w:i/>
          <w:iCs/>
          <w:color w:val="000000" w:themeColor="text1"/>
          <w:sz w:val="28"/>
          <w:szCs w:val="28"/>
        </w:rPr>
      </w:pPr>
      <w:r w:rsidRPr="00344FD1">
        <w:rPr>
          <w:rFonts w:eastAsia="Times New Roman" w:cs="Times New Roman"/>
          <w:b/>
          <w:bCs/>
          <w:i/>
          <w:iCs/>
          <w:color w:val="000000" w:themeColor="text1"/>
          <w:sz w:val="28"/>
          <w:szCs w:val="28"/>
        </w:rPr>
        <w:lastRenderedPageBreak/>
        <w:t>Research Problem</w:t>
      </w:r>
    </w:p>
    <w:p w14:paraId="7E16371A" w14:textId="77777777" w:rsidR="00C933BB"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Strategic management practices can enhance decision-making, resource alignment, and organisational performance (Fuertes et al., 2020; Ghonim et al., 2022). Supermarkets in Nairobi operate in a competitive environment in which marketing strategy and technological innovation are relevant to sustainability (Masika et al., 2025). Nevertheless, relationships among the different components of strategic management and supermarket competitiveness require closer examination.</w:t>
      </w:r>
      <w:r w:rsidRPr="00344FD1">
        <w:rPr>
          <w:rFonts w:cs="Times New Roman"/>
          <w:color w:val="000000" w:themeColor="text1"/>
          <w:szCs w:val="24"/>
          <w:highlight w:val="yellow"/>
        </w:rPr>
      </w:r>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
    <w:p w14:paraId="354CE704" w14:textId="77777777" w:rsidR="00C933BB"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The present study focuses on Naivas, Quickmart, and Carrefour supermarkets in Nairobi City County. Previous Kenyan research has examined strategy formulation, implementation, and evaluation among supermarkets in Nakuru County (Kanano &amp; Wanjira, 2021). Evidence from Nairobi links strategy implementation with operational performance (Nyary &amp; Wainaina, 2025), while research on Quickmart supermarkets relates strategic objectives to organisational performance (Mutisya, 2025). These studies support further investigation of the combined influence of planning, leadership, resource allocation, and positioning.</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624766FB" w14:textId="77777777" w:rsidR="007F754D" w:rsidRDefault="00000000">
      <w:pPr>
        <w:keepLines/>
        <w:spacing w:after="240" w:line="240" w:lineRule="auto"/>
        <w:rPr>
          <w:rFonts w:cs="Times New Roman"/>
          <w:color w:val="000000" w:themeColor="text1"/>
          <w:szCs w:val="24"/>
        </w:rPr>
      </w:pPr>
      <w:r>
        <w:rPr>
          <w:b/>
          <w:highlight w:val="yellow"/>
        </w:rPr>
        <w:t xml:space="preserve">In a study of selected supermarkets in Nairobi City County, </w:t>
      </w:r>
      <w:proofErr w:type="spellStart"/>
      <w:r>
        <w:rPr>
          <w:b/>
          <w:highlight w:val="yellow"/>
        </w:rPr>
        <w:t>Nyary</w:t>
      </w:r>
      <w:proofErr w:type="spellEnd"/>
      <w:r>
        <w:rPr>
          <w:b/>
          <w:highlight w:val="yellow"/>
        </w:rPr>
        <w:t xml:space="preserve"> and Wainaina (2025) reported a statistically significant positive association between strategy implementation and operational performance, while the associations for strategy formulation and evaluation were not statistically significant.</w:t>
      </w:r>
    </w:p>
    <w:p w14:paraId="6846A5EA" w14:textId="77777777" w:rsidR="005C09D0" w:rsidRPr="00344FD1" w:rsidRDefault="00C933BB" w:rsidP="00C933BB">
      <w:pPr>
        <w:spacing w:after="240" w:line="240" w:lineRule="auto"/>
        <w:rPr>
          <w:rFonts w:cs="Times New Roman"/>
          <w:color w:val="000000" w:themeColor="text1"/>
          <w:szCs w:val="24"/>
        </w:rPr>
      </w:pPr>
      <w:r w:rsidRPr="00344FD1">
        <w:rPr>
          <w:rFonts w:cs="Times New Roman"/>
          <w:color w:val="000000" w:themeColor="text1"/>
          <w:szCs w:val="24"/>
        </w:rPr>
        <w:t xml:space="preserve">Mutisya (2025) established a positive relationship between strategic objectives and </w:t>
      </w:r>
      <w:proofErr w:type="spellStart"/>
      <w:r w:rsidRPr="00344FD1">
        <w:rPr>
          <w:rFonts w:cs="Times New Roman"/>
          <w:color w:val="000000" w:themeColor="text1"/>
          <w:szCs w:val="24"/>
        </w:rPr>
        <w:t>organi</w:t>
      </w:r>
      <w:r w:rsidRPr="00344FD1">
        <w:rPr>
          <w:rFonts w:cs="Times New Roman"/>
          <w:color w:val="000000" w:themeColor="text1"/>
          <w:szCs w:val="24"/>
          <w:highlight w:val="yellow"/>
        </w:rPr>
        <w:t>s</w:t>
      </w:r>
      <w:r w:rsidRPr="00344FD1">
        <w:rPr>
          <w:rFonts w:cs="Times New Roman"/>
          <w:color w:val="000000" w:themeColor="text1"/>
          <w:szCs w:val="24"/>
        </w:rPr>
        <w:t>ational</w:t>
      </w:r>
      <w:proofErr w:type="spellEnd"/>
      <w:r w:rsidRPr="00344FD1">
        <w:rPr>
          <w:rFonts w:cs="Times New Roman"/>
          <w:color w:val="000000" w:themeColor="text1"/>
          <w:szCs w:val="24"/>
        </w:rPr>
        <w:t xml:space="preserve"> performance, using market share and revenue as measures of supermarket performance. However, the study did not sufficiently examine other strategic management practices across multiple supermarket outlets. Similarly, </w:t>
      </w:r>
      <w:r w:rsidRPr="00344FD1">
        <w:rPr>
          <w:rFonts w:cs="Times New Roman"/>
          <w:color w:val="000000" w:themeColor="text1"/>
          <w:szCs w:val="24"/>
          <w:highlight w:val="yellow"/>
        </w:rPr>
        <w:t xml:space="preserve">Mutisya and </w:t>
      </w:r>
      <w:proofErr w:type="spellStart"/>
      <w:r w:rsidRPr="00344FD1">
        <w:rPr>
          <w:rFonts w:cs="Times New Roman"/>
          <w:color w:val="000000" w:themeColor="text1"/>
          <w:szCs w:val="24"/>
          <w:highlight w:val="yellow"/>
        </w:rPr>
        <w:t>Maende</w:t>
      </w:r>
      <w:proofErr w:type="spellEnd"/>
      <w:r w:rsidRPr="00344FD1">
        <w:rPr>
          <w:rFonts w:cs="Times New Roman"/>
          <w:color w:val="000000" w:themeColor="text1"/>
          <w:szCs w:val="24"/>
          <w:highlight w:val="yellow"/>
        </w:rPr>
        <w:t xml:space="preserve"> (2025)</w:t>
      </w:r>
      <w:r w:rsidRPr="00344FD1">
        <w:rPr>
          <w:rFonts w:cs="Times New Roman"/>
          <w:color w:val="000000" w:themeColor="text1"/>
          <w:szCs w:val="24"/>
        </w:rPr>
        <w:t xml:space="preserve"> examined </w:t>
      </w:r>
      <w:r w:rsidRPr="00344FD1">
        <w:rPr>
          <w:rFonts w:cs="Times New Roman"/>
          <w:color w:val="000000" w:themeColor="text1"/>
          <w:szCs w:val="24"/>
          <w:highlight w:val="yellow"/>
        </w:rPr>
        <w:t>strategic partnerships</w:t>
      </w:r>
      <w:r w:rsidRPr="00344FD1">
        <w:rPr>
          <w:rFonts w:cs="Times New Roman"/>
          <w:color w:val="000000" w:themeColor="text1"/>
          <w:szCs w:val="24"/>
        </w:rPr>
        <w:t xml:space="preserve"> and supermarket performance but focused narrowly </w:t>
      </w:r>
      <w:r w:rsidRPr="00344FD1">
        <w:rPr>
          <w:rFonts w:cs="Times New Roman"/>
          <w:color w:val="000000" w:themeColor="text1"/>
          <w:szCs w:val="24"/>
          <w:highlight w:val="yellow"/>
        </w:rPr>
        <w:t>on partnerships rather</w:t>
      </w:r>
      <w:r w:rsidRPr="00344FD1">
        <w:rPr>
          <w:rFonts w:cs="Times New Roman"/>
          <w:color w:val="000000" w:themeColor="text1"/>
          <w:szCs w:val="24"/>
        </w:rPr>
        <w:t xml:space="preserve"> than strategic management as a multidimensional practice. This leaves a gap in </w:t>
      </w:r>
      <w:r w:rsidRPr="00344FD1">
        <w:rPr>
          <w:rFonts w:cs="Times New Roman"/>
          <w:color w:val="000000" w:themeColor="text1"/>
          <w:szCs w:val="24"/>
          <w:highlight w:val="yellow"/>
        </w:rPr>
        <w:t xml:space="preserve">the </w:t>
      </w:r>
      <w:r w:rsidRPr="00344FD1">
        <w:rPr>
          <w:rFonts w:cs="Times New Roman"/>
          <w:color w:val="000000" w:themeColor="text1"/>
          <w:szCs w:val="24"/>
        </w:rPr>
        <w:t>understanding</w:t>
      </w:r>
      <w:r w:rsidRPr="00344FD1">
        <w:rPr>
          <w:rFonts w:cs="Times New Roman"/>
          <w:color w:val="000000" w:themeColor="text1"/>
          <w:szCs w:val="24"/>
          <w:highlight w:val="yellow"/>
        </w:rPr>
        <w:t xml:space="preserve"> of</w:t>
      </w:r>
      <w:r w:rsidRPr="00344FD1">
        <w:rPr>
          <w:rFonts w:cs="Times New Roman"/>
          <w:color w:val="000000" w:themeColor="text1"/>
          <w:szCs w:val="24"/>
        </w:rPr>
        <w:t xml:space="preserve"> how strategic planning, strategic leadership, resource allocation, and market positioning collectively influence competitiveness. Therefore, this study examined their influence on the competitiveness of selected supermarkets in Nairobi City</w:t>
      </w:r>
      <w:r w:rsidRPr="00344FD1">
        <w:rPr>
          <w:rFonts w:cs="Times New Roman"/>
          <w:color w:val="000000" w:themeColor="text1"/>
          <w:szCs w:val="24"/>
          <w:highlight w:val="yellow"/>
        </w:rPr>
        <w:t xml:space="preserve"> County</w:t>
      </w:r>
      <w:r w:rsidRPr="00344FD1">
        <w:rPr>
          <w:rFonts w:cs="Times New Roman"/>
          <w:color w:val="000000" w:themeColor="text1"/>
          <w:szCs w:val="24"/>
        </w:rPr>
        <w:t>, Kenya.</w:t>
      </w:r>
    </w:p>
    <w:p w14:paraId="7957F013" w14:textId="77777777" w:rsidR="00055D83" w:rsidRPr="00344FD1" w:rsidRDefault="00055D83" w:rsidP="00CC04B9">
      <w:pPr>
        <w:spacing w:after="240" w:line="240" w:lineRule="auto"/>
        <w:rPr>
          <w:rFonts w:cs="Times New Roman"/>
          <w:b/>
          <w:bCs/>
          <w:i/>
          <w:iCs/>
          <w:color w:val="000000" w:themeColor="text1"/>
          <w:sz w:val="28"/>
          <w:szCs w:val="28"/>
        </w:rPr>
      </w:pPr>
      <w:r w:rsidRPr="00344FD1">
        <w:rPr>
          <w:rFonts w:cs="Times New Roman"/>
          <w:b/>
          <w:bCs/>
          <w:i/>
          <w:iCs/>
          <w:color w:val="000000" w:themeColor="text1"/>
          <w:sz w:val="28"/>
          <w:szCs w:val="28"/>
        </w:rPr>
        <w:t>Research Objective</w:t>
      </w:r>
    </w:p>
    <w:p w14:paraId="3DA20296" w14:textId="77777777" w:rsidR="0054398C" w:rsidRPr="00344FD1" w:rsidRDefault="00055D83" w:rsidP="0054398C">
      <w:pPr>
        <w:spacing w:line="240" w:lineRule="auto"/>
        <w:rPr>
          <w:rFonts w:cs="Times New Roman"/>
          <w:color w:val="000000" w:themeColor="text1"/>
          <w:szCs w:val="24"/>
        </w:rPr>
      </w:pPr>
      <w:r w:rsidRPr="00344FD1">
        <w:rPr>
          <w:rFonts w:cs="Times New Roman"/>
          <w:color w:val="000000" w:themeColor="text1"/>
          <w:szCs w:val="24"/>
        </w:rPr>
        <w:t>This study was guided by the following general objective to:</w:t>
      </w:r>
      <w:r w:rsidR="00784B96" w:rsidRPr="00344FD1">
        <w:rPr>
          <w:rFonts w:cs="Times New Roman"/>
          <w:color w:val="000000" w:themeColor="text1"/>
          <w:szCs w:val="24"/>
        </w:rPr>
        <w:t xml:space="preserve"> </w:t>
      </w:r>
      <w:r w:rsidR="00C933BB" w:rsidRPr="00344FD1">
        <w:rPr>
          <w:rFonts w:cs="Times New Roman"/>
          <w:color w:val="000000" w:themeColor="text1"/>
          <w:szCs w:val="24"/>
        </w:rPr>
        <w:t>examine the effects of strategic management practices on competitiveness of selected supermarkets in Nairobi City County, Kenya</w:t>
      </w:r>
      <w:r w:rsidR="00D54CAA" w:rsidRPr="00344FD1">
        <w:rPr>
          <w:rFonts w:cs="Times New Roman"/>
          <w:color w:val="000000" w:themeColor="text1"/>
          <w:szCs w:val="24"/>
        </w:rPr>
        <w:t>.</w:t>
      </w:r>
    </w:p>
    <w:p w14:paraId="0B4A0DBC" w14:textId="77777777" w:rsidR="00E448DE" w:rsidRPr="00344FD1" w:rsidRDefault="0054398C" w:rsidP="00F42A52">
      <w:pPr>
        <w:spacing w:line="240" w:lineRule="auto"/>
        <w:rPr>
          <w:rFonts w:cs="Times New Roman"/>
          <w:color w:val="000000" w:themeColor="text1"/>
          <w:szCs w:val="24"/>
        </w:rPr>
      </w:pPr>
      <w:r w:rsidRPr="00344FD1">
        <w:rPr>
          <w:rFonts w:cs="Times New Roman"/>
          <w:color w:val="000000" w:themeColor="text1"/>
          <w:szCs w:val="24"/>
          <w:highlight w:val="yellow"/>
        </w:rPr>
        <w:t>The s</w:t>
      </w:r>
      <w:r w:rsidRPr="00344FD1">
        <w:rPr>
          <w:rFonts w:cs="Times New Roman"/>
          <w:color w:val="000000" w:themeColor="text1"/>
          <w:szCs w:val="24"/>
        </w:rPr>
        <w:t xml:space="preserve">pecific </w:t>
      </w:r>
      <w:r w:rsidRPr="00344FD1">
        <w:rPr>
          <w:rFonts w:cs="Times New Roman"/>
          <w:color w:val="000000" w:themeColor="text1"/>
          <w:szCs w:val="24"/>
          <w:highlight w:val="yellow"/>
        </w:rPr>
        <w:t>o</w:t>
      </w:r>
      <w:r w:rsidRPr="00344FD1">
        <w:rPr>
          <w:rFonts w:cs="Times New Roman"/>
          <w:color w:val="000000" w:themeColor="text1"/>
          <w:szCs w:val="24"/>
        </w:rPr>
        <w:t>bjectives were to</w:t>
      </w:r>
      <w:r w:rsidRPr="00344FD1">
        <w:rPr>
          <w:rFonts w:cs="Times New Roman"/>
          <w:color w:val="000000" w:themeColor="text1"/>
          <w:szCs w:val="24"/>
          <w:highlight w:val="yellow"/>
        </w:rPr>
        <w:t>:</w:t>
      </w:r>
      <w:r w:rsidR="00784B96" w:rsidRPr="00344FD1">
        <w:rPr>
          <w:rFonts w:cs="Times New Roman"/>
          <w:color w:val="000000" w:themeColor="text1"/>
          <w:szCs w:val="24"/>
        </w:rPr>
        <w:t xml:space="preserve"> </w:t>
      </w:r>
    </w:p>
    <w:p w14:paraId="32FDA596"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strategic planning on the competitiveness of selected supermarkets in Nairobi City County, Kenya.</w:t>
      </w:r>
    </w:p>
    <w:p w14:paraId="47C63F7D"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strategic leadership on the competitiveness of selected supermarkets in Nairobi City County, Kenya.</w:t>
      </w:r>
    </w:p>
    <w:p w14:paraId="1B7E69A4" w14:textId="77777777" w:rsidR="00ED1179"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resource allocation on the competitiveness of selected supermarkets in Nairobi City County, Kenya.</w:t>
      </w:r>
    </w:p>
    <w:p w14:paraId="5BA77A24" w14:textId="77777777" w:rsidR="003A4F31" w:rsidRPr="00344FD1" w:rsidRDefault="00ED1179" w:rsidP="00ED1179">
      <w:pPr>
        <w:pStyle w:val="ListParagraph"/>
        <w:numPr>
          <w:ilvl w:val="0"/>
          <w:numId w:val="23"/>
        </w:numPr>
        <w:rPr>
          <w:rFonts w:ascii="Times New Roman" w:hAnsi="Times New Roman"/>
          <w:sz w:val="24"/>
          <w:szCs w:val="28"/>
        </w:rPr>
      </w:pPr>
      <w:r w:rsidRPr="00344FD1">
        <w:rPr>
          <w:rFonts w:ascii="Times New Roman" w:hAnsi="Times New Roman"/>
          <w:sz w:val="24"/>
          <w:szCs w:val="28"/>
        </w:rPr>
        <w:t>To assess the influence of positioning strategies on the competitiveness of selected supermarkets in Nairobi City County, Kenya</w:t>
      </w:r>
      <w:r w:rsidR="003A4F31" w:rsidRPr="00344FD1">
        <w:rPr>
          <w:rFonts w:ascii="Times New Roman" w:hAnsi="Times New Roman"/>
          <w:sz w:val="24"/>
          <w:szCs w:val="28"/>
        </w:rPr>
        <w:t>.</w:t>
      </w:r>
    </w:p>
    <w:p w14:paraId="43058E72" w14:textId="77777777" w:rsidR="00055D83" w:rsidRPr="00344FD1" w:rsidRDefault="00055D83" w:rsidP="00055D83">
      <w:pPr>
        <w:pStyle w:val="ListParagraph"/>
        <w:autoSpaceDE w:val="0"/>
        <w:autoSpaceDN w:val="0"/>
        <w:adjustRightInd w:val="0"/>
        <w:spacing w:before="480" w:after="240" w:line="240" w:lineRule="auto"/>
        <w:ind w:left="0"/>
        <w:rPr>
          <w:rFonts w:ascii="Times New Roman" w:hAnsi="Times New Roman"/>
          <w:b/>
          <w:color w:val="000000" w:themeColor="text1"/>
          <w:sz w:val="28"/>
          <w:szCs w:val="28"/>
          <w:lang w:val="en-GB"/>
        </w:rPr>
      </w:pPr>
      <w:r w:rsidRPr="00344FD1">
        <w:rPr>
          <w:rFonts w:ascii="Times New Roman" w:hAnsi="Times New Roman"/>
          <w:b/>
          <w:color w:val="000000" w:themeColor="text1"/>
          <w:sz w:val="28"/>
          <w:szCs w:val="28"/>
          <w:lang w:val="en-GB"/>
        </w:rPr>
        <w:lastRenderedPageBreak/>
        <w:t xml:space="preserve">2.0 LITERATURE REVIEW  </w:t>
      </w:r>
    </w:p>
    <w:p w14:paraId="47367D50" w14:textId="77777777" w:rsidR="00070A96" w:rsidRPr="00344FD1" w:rsidRDefault="00001A44" w:rsidP="00070A96">
      <w:pPr>
        <w:spacing w:before="0" w:after="160" w:line="259" w:lineRule="auto"/>
        <w:rPr>
          <w:rFonts w:cs="Times New Roman"/>
          <w:b/>
          <w:i/>
          <w:iCs/>
          <w:color w:val="000000" w:themeColor="text1"/>
          <w:kern w:val="2"/>
          <w:szCs w:val="24"/>
          <w:lang w:val="en-GB"/>
        </w:rPr>
      </w:pPr>
      <w:r w:rsidRPr="00344FD1">
        <w:rPr>
          <w:rFonts w:cs="Times New Roman"/>
          <w:b/>
          <w:i/>
          <w:iCs/>
          <w:color w:val="000000" w:themeColor="text1"/>
          <w:kern w:val="2"/>
          <w:szCs w:val="24"/>
          <w:lang w:val="en-GB"/>
        </w:rPr>
        <w:t>Theoretical Review</w:t>
      </w:r>
    </w:p>
    <w:p w14:paraId="10722DFF" w14:textId="77777777" w:rsidR="00070A96" w:rsidRPr="00344FD1" w:rsidRDefault="00071FCE"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Leadership Theory</w:t>
      </w:r>
    </w:p>
    <w:p w14:paraId="075B5181"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Strategic leadership research considers how organisational leaders shape direction, learning, strategic decisions, and change (Boal &amp; Hooijberg, 2000; Finkelstein et al., 2009). Strategic leaders can facilitate innovation and align organisational effort with strategic priorities (Cortes &amp; Herrmann, 2021; Kurzhals et al., 2020). Research on Kenyan organisational leadership also identifies strategic direction, communication, and human capital development as relevant to performance (Kiptoo &amp; Jeptoo Sawe, 2022). However, the influence of strategic leadership may depend on organisational structures and context. This perspective informs the assessment of strategic decision-making and competitiveness in Nairobi supermarkets.</w:t>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
    <w:p w14:paraId="55526860"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557B12A6" w14:textId="77777777"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Fit Theory</w:t>
      </w:r>
    </w:p>
    <w:p w14:paraId="6D875A18"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7C984B38"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Strategic fit concerns the alignment of organisational objectives, capabilities, and activities with strategic priorities and environmental demands. Venkatraman et al. (1993) examined continuous strategic alignment through information-technology capabilities, while Ghonim et al. (2022) demonstrated links between dimensions of strategic alignment and decision effectiveness in an Egyptian public-sector setting. Apaydin et al. (2021) further showed that fit between corporate social-responsibility activities and industry value chains can matter for performance outcomes. These findings suggest that strategic fit is context-dependent rather than a single static condition. In the present study, this perspective informs the analysis of planning, leadership, resource allocation, and positioning.</w:t>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p>
    <w:p w14:paraId="798A90F6"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53E823AE" w14:textId="77777777"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Dynamic Capabilities Theory</w:t>
      </w:r>
    </w:p>
    <w:p w14:paraId="0BAD9CDC"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1E6764D0" w14:textId="77777777" w:rsidR="00070A96" w:rsidRPr="00344FD1" w:rsidRDefault="00070A96" w:rsidP="00070A96">
      <w:pPr>
        <w:spacing w:before="0" w:after="160" w:line="259" w:lineRule="auto"/>
        <w:rPr>
          <w:rFonts w:cs="Times New Roman"/>
          <w:bCs/>
          <w:color w:val="000000" w:themeColor="text1"/>
          <w:kern w:val="2"/>
          <w:szCs w:val="24"/>
          <w:lang w:val="en-GB"/>
        </w:rPr>
      </w:pPr>
      <w:r w:rsidRPr="00344FD1">
        <w:rPr>
          <w:rFonts w:cs="Times New Roman"/>
          <w:bCs/>
          <w:color w:val="000000" w:themeColor="text1"/>
          <w:kern w:val="2"/>
          <w:szCs w:val="24"/>
          <w:lang w:val="en-GB"/>
        </w:rPr>
        <w:t>The dynamic capabilities perspective explains how firms sense changing conditions, mobilise resources, and reconfigure competences to sustain performance (Teece, 2023; Bogers et al., 2019). Research connects dynamic capabilities and market orientation with firm performance (Chiarelli, 2021; Correia et al., 2021). Schilke et al. (2018) noted important challenges in the conceptualisation and measurement of dynamic capabilities. Sustainability-oriented innovation and technological transformation also illustrate ways firms may develop and adapt capabilities (Gohr &amp; Rodrigues, 2025; Das et al., 2025). This perspective informs the analysis of how supermarkets adapt their planning and resource allocation to changing customer preferences and technology.</w:t>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lang w:val="en-GB"/>
        </w:rPr>
      </w:r>
      <w:r w:rsidRPr="00344FD1">
        <w:rPr>
          <w:rFonts w:cs="Times New Roman"/>
          <w:bCs/>
          <w:color w:val="000000" w:themeColor="text1"/>
          <w:kern w:val="2"/>
          <w:szCs w:val="24"/>
          <w:highlight w:val="yellow"/>
          <w:lang w:val="en-GB"/>
        </w:rPr>
      </w:r>
      <w:r w:rsidRPr="00344FD1">
        <w:rPr>
          <w:rFonts w:cs="Times New Roman"/>
          <w:bCs/>
          <w:color w:val="000000" w:themeColor="text1"/>
          <w:kern w:val="2"/>
          <w:szCs w:val="24"/>
          <w:lang w:val="en-GB"/>
        </w:rPr>
      </w:r>
    </w:p>
    <w:p w14:paraId="7F933E93"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4ED48463" w14:textId="77777777" w:rsidR="00070A96" w:rsidRPr="00344FD1" w:rsidRDefault="00070A96" w:rsidP="00070A96">
      <w:pPr>
        <w:spacing w:before="0" w:after="160" w:line="259" w:lineRule="auto"/>
        <w:rPr>
          <w:rFonts w:cs="Times New Roman"/>
          <w:b/>
          <w:bCs/>
          <w:color w:val="000000" w:themeColor="text1"/>
          <w:kern w:val="2"/>
          <w:szCs w:val="24"/>
          <w:lang w:val="en-GB"/>
        </w:rPr>
      </w:pPr>
      <w:r w:rsidRPr="00344FD1">
        <w:rPr>
          <w:rFonts w:cs="Times New Roman"/>
          <w:b/>
          <w:bCs/>
          <w:color w:val="000000" w:themeColor="text1"/>
          <w:kern w:val="2"/>
          <w:szCs w:val="24"/>
          <w:lang w:val="en-GB"/>
        </w:rPr>
        <w:t>Strategic Agility Theory</w:t>
      </w:r>
    </w:p>
    <w:p w14:paraId="49E7B4E3" w14:textId="77777777" w:rsidR="00070A96" w:rsidRPr="00344FD1" w:rsidRDefault="00070A96" w:rsidP="00070A96">
      <w:pPr>
        <w:spacing w:before="0" w:after="160" w:line="259" w:lineRule="auto"/>
        <w:rPr>
          <w:rFonts w:cs="Times New Roman"/>
          <w:bCs/>
          <w:color w:val="000000" w:themeColor="text1"/>
          <w:kern w:val="2"/>
          <w:szCs w:val="24"/>
          <w:lang w:val="en-GB"/>
        </w:rPr>
      </w:pPr>
    </w:p>
    <w:p w14:paraId="59134A05" w14:textId="77777777" w:rsidR="00B449E1" w:rsidRPr="00344FD1" w:rsidRDefault="00070A96" w:rsidP="00070A96">
      <w:pPr>
        <w:spacing w:before="0" w:after="160" w:line="259" w:lineRule="auto"/>
        <w:rPr>
          <w:rFonts w:cs="Times New Roman"/>
          <w:bCs/>
          <w:color w:val="000000" w:themeColor="text1"/>
          <w:szCs w:val="24"/>
        </w:rPr>
      </w:pPr>
      <w:r w:rsidRPr="00344FD1">
        <w:rPr>
          <w:rFonts w:cs="Times New Roman"/>
          <w:bCs/>
          <w:color w:val="000000" w:themeColor="text1"/>
          <w:kern w:val="2"/>
          <w:szCs w:val="24"/>
          <w:lang w:val="en-GB"/>
        </w:rPr>
        <w:t>Strategic agility describes the capacity to sense change, make coordinated decisions, and redeploy resources quickly (Doz &amp; Kosonen, 2008). Its frequently discussed dimensions include strategic sensitivity, leadership unity, and resource fluidity (Mueller-Saegebrecht &amp; Walter, 2025). Reed (2021) examined strategic agility among SMEs and found that its relationship with performance varied with environmental turbulence, indicating that agility can also involve costs. This highlights the need to consider the conditions under which faster decision-making and resource reconfiguration are beneficial. These concepts provide a basis for examining responses to changing market conditions among Nairobi supermarkets.</w:t>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roofErr w:type="gramStart"/>
      <w:r w:rsidRPr="00344FD1">
        <w:rPr>
          <w:rFonts w:cs="Times New Roman"/>
          <w:bCs/>
          <w:color w:val="000000" w:themeColor="text1"/>
          <w:kern w:val="2"/>
          <w:szCs w:val="24"/>
          <w:lang w:val="en-GB"/>
        </w:rPr>
      </w:r>
      <w:proofErr w:type="gramEnd"/>
      <w:r w:rsidRPr="00344FD1">
        <w:rPr>
          <w:rFonts w:cs="Times New Roman"/>
          <w:bCs/>
          <w:color w:val="000000" w:themeColor="text1"/>
          <w:kern w:val="2"/>
          <w:szCs w:val="24"/>
          <w:lang w:val="en-GB"/>
        </w:rPr>
      </w:r>
      <w:proofErr w:type="spellStart"/>
      <w:r w:rsidRPr="00344FD1">
        <w:rPr>
          <w:rFonts w:cs="Times New Roman"/>
          <w:bCs/>
          <w:color w:val="000000" w:themeColor="text1"/>
          <w:kern w:val="2"/>
          <w:szCs w:val="24"/>
          <w:lang w:val="en-GB"/>
        </w:rPr>
      </w:r>
      <w:proofErr w:type="spellEnd"/>
      <w:r w:rsidRPr="00344FD1">
        <w:rPr>
          <w:rFonts w:cs="Times New Roman"/>
          <w:bCs/>
          <w:color w:val="000000" w:themeColor="text1"/>
          <w:kern w:val="2"/>
          <w:szCs w:val="24"/>
          <w:lang w:val="en-GB"/>
        </w:rPr>
      </w:r>
    </w:p>
    <w:p w14:paraId="540B8EB0" w14:textId="77777777" w:rsidR="00001A44" w:rsidRPr="00344FD1" w:rsidRDefault="00001A44" w:rsidP="00151266">
      <w:pPr>
        <w:spacing w:before="0" w:after="160" w:line="259" w:lineRule="auto"/>
        <w:rPr>
          <w:rFonts w:cs="Times New Roman"/>
          <w:b/>
          <w:bCs/>
          <w:i/>
          <w:iCs/>
          <w:color w:val="000000" w:themeColor="text1"/>
          <w:sz w:val="28"/>
          <w:szCs w:val="28"/>
        </w:rPr>
      </w:pPr>
      <w:r w:rsidRPr="00344FD1">
        <w:rPr>
          <w:rFonts w:cs="Times New Roman"/>
          <w:b/>
          <w:bCs/>
          <w:i/>
          <w:iCs/>
          <w:color w:val="000000" w:themeColor="text1"/>
          <w:sz w:val="28"/>
          <w:szCs w:val="28"/>
        </w:rPr>
        <w:t xml:space="preserve">Empirical Review </w:t>
      </w:r>
    </w:p>
    <w:p w14:paraId="5A6DCCDA" w14:textId="77777777" w:rsidR="00A32436" w:rsidRPr="006B3FDA" w:rsidRDefault="00A32436" w:rsidP="00A32436">
      <w:pPr>
        <w:pStyle w:val="NormalWeb"/>
        <w:jc w:val="both"/>
        <w:rPr>
          <w:highlight w:val="green"/>
        </w:rPr>
      </w:pPr>
      <w:r w:rsidRPr="00344FD1">
        <w:t>Strategic planning can provide organisational direction and strengthen coordination among strategic priorities, resources, and performance goals (Fuertes et al., 2020; Tarifi, 2021). Soomro et al. (2021) examined strategic factors, organisational innovation, learning, and performance and reported positive relationships among several of these constructs. In Kenya, Kanano and Wanjira (2021) found that strategy formulation, implementation, and evaluation were positively associated with supermarket performance in Nakuru County. Evidence from Nairobi City County further indicates that implementation, rather than formulation or evaluation alone, was significantly associated with operational performance (Nyary &amp; Wainaina, 2025). This study examines strategic planning specifically in relation to competitiveness among selected Nairobi supermarkets.</w:t>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r w:rsidRPr="006B3FDA">
        <w:rPr>
          <w:highlight w:val="yellow"/>
        </w:rPr>
      </w:r>
      <w:r w:rsidRPr="006B3FDA">
        <w:rPr>
          <w:highlight w:val="green"/>
        </w:rPr>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r w:rsidR="006B3FDA" w:rsidRPr="006B3FDA">
        <w:rPr>
          <w:highlight w:val="green"/>
        </w:rPr>
      </w:r>
      <w:r w:rsidRPr="006B3FDA">
        <w:rPr>
          <w:highlight w:val="green"/>
        </w:rPr>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r w:rsidRPr="006B3FDA">
        <w:rPr>
          <w:highlight w:val="yellow"/>
        </w:rPr>
      </w:r>
      <w:r w:rsidRPr="006B3FDA">
        <w:rPr>
          <w:highlight w:val="green"/>
        </w:rPr>
      </w:r>
    </w:p>
    <w:p w14:paraId="4158BC02" w14:textId="77777777" w:rsidR="00A32436" w:rsidRPr="006B3FDA" w:rsidRDefault="00A32436" w:rsidP="00A32436">
      <w:pPr>
        <w:pStyle w:val="NormalWeb"/>
        <w:jc w:val="both"/>
        <w:rPr>
          <w:highlight w:val="green"/>
        </w:rPr>
      </w:pPr>
      <w:proofErr w:type="spellStart"/>
      <w:r w:rsidRPr="006B3FDA">
        <w:rPr>
          <w:highlight w:val="green"/>
        </w:rPr>
        <w:t>Tarifi (2021) reviewed the theoretical links between strategic planning and firm performance, including the role of clear strategic direction, goal alignment, and environmental scanning. Kanano and Wanjira (2021) provide supermarket-specific evidence from Kenya, while Nyary and Wainaina (2025) distinguish the effects of strategy formulation, implementation, and evaluation on operational performance. Together, these studies justify treating strategic planning as a separate dimension of strategic management in the present analysis.</w:t>
      </w:r>
      <w:proofErr w:type="spellEnd"/>
      <w:r w:rsidRPr="006B3FDA">
        <w:rPr>
          <w:highlight w:val="green"/>
        </w:rPr>
      </w:r>
      <w:r w:rsidR="006B3FDA" w:rsidRPr="006B3FDA">
        <w:rPr>
          <w:highlight w:val="green"/>
        </w:rPr>
      </w:r>
      <w:proofErr w:type="spellStart"/>
      <w:r w:rsidRPr="006B3FDA">
        <w:rPr>
          <w:highlight w:val="green"/>
        </w:rPr>
      </w:r>
      <w:proofErr w:type="spellEnd"/>
      <w:r w:rsidRPr="006B3FDA">
        <w:rPr>
          <w:highlight w:val="green"/>
        </w:rPr>
      </w:r>
    </w:p>
    <w:p w14:paraId="04317963" w14:textId="77777777" w:rsidR="00A32436" w:rsidRPr="006B3FDA" w:rsidRDefault="00A32436" w:rsidP="00A32436">
      <w:pPr>
        <w:pStyle w:val="NormalWeb"/>
        <w:jc w:val="both"/>
        <w:rPr>
          <w:highlight w:val="green"/>
        </w:rPr>
      </w:pPr>
      <w:r w:rsidRPr="006B3FDA">
        <w:rPr>
          <w:highlight w:val="green"/>
        </w:rPr>
        <w:t>Strategic leadership can shape organisational direction, decisions, and the implementation of strategic initiatives (Ali &amp; Anwar, 2021; Cortes &amp; Herrmann, 2021). Kiptoo and Jeptoo Sawe (2022) reported that strategic direction, core competence, human capital development, and organisational culture were important in their study of the Kenya Ports Authority. Kurzhals et al. (2020) reviewed links between strategic leadership and technological innovation. Lai et al. (2020) also found that work engagement mediated the relationship between transformational leadership and job performance. The present study therefore examines goal-oriented leadership, decision-making capacity, and employee motivation as strategic leadership practices.</w:t>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proofErr w:type="spellStart"/>
      <w:r w:rsidRPr="006B3FDA">
        <w:rPr>
          <w:highlight w:val="green"/>
        </w:rPr>
      </w:r>
      <w:proofErr w:type="spellEnd"/>
      <w:r w:rsidRPr="006B3FDA">
        <w:rPr>
          <w:highlight w:val="green"/>
        </w:rPr>
      </w:r>
      <w:proofErr w:type="spellStart"/>
      <w:r w:rsidRPr="006B3FDA">
        <w:rPr>
          <w:highlight w:val="green"/>
        </w:rPr>
      </w:r>
      <w:proofErr w:type="spellEnd"/>
      <w:r w:rsidRPr="006B3FDA">
        <w:rPr>
          <w:highlight w:val="green"/>
        </w:rPr>
      </w:r>
      <w:r w:rsidR="006B3FDA" w:rsidRPr="006B3FDA">
        <w:rPr>
          <w:highlight w:val="green"/>
        </w:rPr>
      </w:r>
      <w:r w:rsidRPr="006B3FDA">
        <w:rPr>
          <w:highlight w:val="green"/>
        </w:rPr>
      </w:r>
      <w:r w:rsidR="006B3FDA" w:rsidRPr="006B3FDA">
        <w:rPr>
          <w:highlight w:val="green"/>
        </w:rPr>
      </w:r>
      <w:r w:rsidRPr="006B3FDA">
        <w:rPr>
          <w:highlight w:val="green"/>
        </w:rPr>
      </w:r>
      <w:r w:rsidRPr="006B3FDA">
        <w:rPr>
          <w:highlight w:val="yellow"/>
        </w:rPr>
      </w:r>
      <w:r w:rsidRPr="006B3FDA">
        <w:rPr>
          <w:highlight w:val="green"/>
        </w:rPr>
      </w:r>
      <w:r w:rsidRPr="006B3FDA">
        <w:rPr>
          <w:highlight w:val="yellow"/>
        </w:rPr>
      </w:r>
      <w:r w:rsidRPr="006B3FDA">
        <w:rPr>
          <w:highlight w:val="green"/>
        </w:rPr>
      </w:r>
    </w:p>
    <w:p w14:paraId="790A8A93" w14:textId="77777777" w:rsidR="00A32436" w:rsidRPr="006B3FDA" w:rsidRDefault="00A32436" w:rsidP="00A32436">
      <w:pPr>
        <w:pStyle w:val="NormalWeb"/>
        <w:jc w:val="both"/>
        <w:rPr>
          <w:highlight w:val="green"/>
        </w:rPr>
      </w:pPr>
      <w:r w:rsidRPr="006B3FDA">
        <w:rPr>
          <w:highlight w:val="green"/>
        </w:rPr>
        <w:t>Strategic leadership can assist firms in setting priorities, communicating direction, and mobilising employees (Ali &amp; Anwar, 2021; Kiptoo &amp; Jeptoo Sawe, 2022). This study assesses decision-making capacity through indicators such as approval speed and the use of sales and inventory information. Resource allocation concerns how financial, human, technological, and physical resources are prioritised and deployed. Achieng et al. (2020) examined the roles of organisational resources and advanced manufacturing technology in organisational performance, providing a basis for considering resource alignment across sectors.</w:t>
      </w:r>
      <w:r w:rsidR="006B3FDA" w:rsidRPr="006B3FDA">
        <w:rPr>
          <w:highlight w:val="green"/>
        </w:rPr>
      </w:r>
      <w:r w:rsidRPr="006B3FDA">
        <w:rPr>
          <w:highlight w:val="green"/>
        </w:rPr>
      </w:r>
      <w:r w:rsidR="006B3FDA" w:rsidRPr="006B3FDA">
        <w:rPr>
          <w:highlight w:val="green"/>
        </w:rPr>
      </w:r>
      <w:r w:rsidRPr="006B3FDA">
        <w:rPr>
          <w:highlight w:val="green"/>
        </w:rPr>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r w:rsidRPr="006B3FDA">
        <w:rPr>
          <w:highlight w:val="yellow"/>
        </w:rPr>
      </w:r>
      <w:r w:rsidRPr="006B3FDA">
        <w:rPr>
          <w:highlight w:val="green"/>
        </w:rPr>
      </w:r>
    </w:p>
    <w:p w14:paraId="247331C6" w14:textId="77777777" w:rsidR="00A32436" w:rsidRPr="006B3FDA" w:rsidRDefault="00A32436" w:rsidP="00A32436">
      <w:pPr>
        <w:pStyle w:val="NormalWeb"/>
        <w:jc w:val="both"/>
        <w:rPr>
          <w:highlight w:val="green"/>
        </w:rPr>
      </w:pPr>
      <w:r w:rsidRPr="006B3FDA">
        <w:rPr>
          <w:highlight w:val="green"/>
        </w:rPr>
        <w:t>Strategic investments in digital capabilities and operational systems can contribute to competitiveness when they reflect organisational priorities. Research on technology adoption in retail indicates that digital technology can strengthen the relationship between omnichannel practices and sustainable retail performance (Vhatkar et al., 2024). Similarly, digital orientation and value-creation emphasis have been linked with brand competitiveness (Manjunath et al., 2024). Zhang and Zhu (2021) examined relationships among social-media strategic capability, organisational unlearning, and disruptive innovation in SMEs. The present study applies this broader resource-capability perspective to financial planning, technology investment, and workforce deployment in supermarkets.</w:t>
      </w:r>
      <w:r w:rsidR="006B3FDA" w:rsidRPr="006B3FDA">
        <w:rPr>
          <w:highlight w:val="green"/>
        </w:rPr>
      </w:r>
      <w:r w:rsidRPr="006B3FDA">
        <w:rPr>
          <w:highlight w:val="green"/>
        </w:rPr>
      </w:r>
      <w:r w:rsidR="006B3FDA" w:rsidRPr="006B3FDA">
        <w:rPr>
          <w:highlight w:val="green"/>
        </w:rPr>
      </w:r>
      <w:r w:rsidRPr="006B3FDA">
        <w:rPr>
          <w:highlight w:val="green"/>
        </w:rPr>
      </w:r>
    </w:p>
    <w:p w14:paraId="724942E2" w14:textId="77777777" w:rsidR="00A32436" w:rsidRPr="006B3FDA" w:rsidRDefault="00A32436" w:rsidP="00A32436">
      <w:pPr>
        <w:pStyle w:val="NormalWeb"/>
        <w:jc w:val="both"/>
        <w:rPr>
          <w:highlight w:val="green"/>
        </w:rPr>
      </w:pPr>
      <w:r w:rsidRPr="006B3FDA">
        <w:rPr>
          <w:highlight w:val="green"/>
        </w:rPr>
        <w:t>Organisational resources and partnerships provide mechanisms through which firms can implement competitive strategies (Achieng et al., 2020; Cheboi et al., 2022). Supermarket sustainability research in Nairobi also points to the relevance of marketing strategies and technology adoption (Masika et al., 2025). Positioning strategies enable firms to differentiate their offerings and establish distinctive value in customers’ minds. Iyer et al. (2019) analysed market orientation, positioning strategy, and brand performance, while Keller and Swaminathan (2020) explain how customer-based brand equity is built and managed. Kotabe and Helsen (2020) likewise discuss how international marketing decisions must respond to differences in consumers and competitive conditions.</w:t>
      </w:r>
      <w:r w:rsidRPr="006B3FDA">
        <w:rPr>
          <w:highlight w:val="yellow"/>
        </w:rPr>
      </w:r>
      <w:r w:rsidRPr="006B3FDA">
        <w:rPr>
          <w:highlight w:val="green"/>
        </w:rPr>
      </w:r>
      <w:r w:rsidRPr="006B3FDA">
        <w:rPr>
          <w:highlight w:val="yellow"/>
        </w:rPr>
      </w:r>
      <w:r w:rsidRPr="006B3FDA">
        <w:rPr>
          <w:highlight w:val="green"/>
        </w:rPr>
      </w:r>
      <w:r w:rsidR="006B3FDA" w:rsidRPr="006B3FDA">
        <w:rPr>
          <w:highlight w:val="green"/>
        </w:rPr>
      </w:r>
      <w:r w:rsidRPr="006B3FDA">
        <w:rPr>
          <w:highlight w:val="green"/>
        </w:rPr>
      </w:r>
      <w:r w:rsidRPr="006B3FDA">
        <w:rPr>
          <w:highlight w:val="yellow"/>
        </w:rPr>
      </w:r>
      <w:r w:rsidRPr="006B3FDA">
        <w:rPr>
          <w:highlight w:val="green"/>
        </w:rPr>
      </w:r>
      <w:r w:rsidRPr="006B3FDA">
        <w:rPr>
          <w:highlight w:val="yellow"/>
        </w:rPr>
      </w:r>
      <w:r w:rsidRPr="006B3FDA">
        <w:rPr>
          <w:highlight w:val="green"/>
        </w:rPr>
      </w:r>
      <w:proofErr w:type="spellStart"/>
      <w:r w:rsidRPr="006B3FDA">
        <w:rPr>
          <w:highlight w:val="green"/>
        </w:rPr>
      </w:r>
      <w:proofErr w:type="spellEnd"/>
      <w:r w:rsidRPr="006B3FDA">
        <w:rPr>
          <w:highlight w:val="green"/>
        </w:rPr>
      </w:r>
    </w:p>
    <w:p w14:paraId="7F97BCA7" w14:textId="77777777" w:rsidR="00A32436" w:rsidRPr="006B3FDA" w:rsidRDefault="00A32436" w:rsidP="00A32436">
      <w:pPr>
        <w:pStyle w:val="NormalWeb"/>
        <w:jc w:val="both"/>
        <w:rPr>
          <w:highlight w:val="green"/>
        </w:rPr>
      </w:pPr>
      <w:r w:rsidRPr="006B3FDA">
        <w:rPr>
          <w:highlight w:val="green"/>
        </w:rPr>
        <w:t>In a study of five-star hotels in Nairobi, Miano and Wamalwa (2021) examined differentiation through service, pricing, brand image, and personnel as potential sources of sustainable competitive advantage. Although hospitality differs from supermarket retailing, this provides a contextually relevant basis for examining product and service differentiation.</w:t>
      </w:r>
    </w:p>
    <w:p w14:paraId="7B2D49E0" w14:textId="77777777" w:rsidR="00A32436" w:rsidRPr="00344FD1" w:rsidRDefault="00A32436" w:rsidP="00A32436">
      <w:pPr>
        <w:pStyle w:val="NormalWeb"/>
        <w:jc w:val="both"/>
      </w:pPr>
      <w:r w:rsidRPr="006B3FDA">
        <w:rPr>
          <w:highlight w:val="green"/>
        </w:rPr>
        <w:t>Iyer et al. (2019) examined links between market orientation, positioning strategy, and brand performance. Manjunath et al. (2024) found that digital orientation was associated with brand competitiveness, particularly where firms emphasised value creation. Using listed Vietnamese firms, Le et al. (2024) reported that stronger competition was associated with greater adoption of differentiation strategies. Evidence from Nairobi hospitality also points to service and brand-image differentiation as dimensions of competitive advantage (Miano &amp; Wamalwa, 2021). The present study considers how comparable dimensions of positioning relate to supermarket competitiveness, while recognising the contextual differences among studies.</w:t>
      </w:r>
      <w:r w:rsidR="006B3FDA" w:rsidRPr="006B3FDA">
        <w:rPr>
          <w:highlight w:val="green"/>
        </w:rPr>
      </w:r>
      <w:proofErr w:type="spellStart"/>
      <w:r w:rsidRPr="006B3FDA">
        <w:rPr>
          <w:highlight w:val="green"/>
        </w:rPr>
      </w:r>
      <w:proofErr w:type="spellEnd"/>
      <w:r w:rsidRPr="006B3FDA">
        <w:rPr>
          <w:highlight w:val="green"/>
        </w:rPr>
      </w:r>
      <w:r w:rsidRPr="006B3FDA">
        <w:rPr>
          <w:highlight w:val="yellow"/>
        </w:rPr>
      </w:r>
      <w:r w:rsidRPr="006B3FDA">
        <w:rPr>
          <w:highlight w:val="green"/>
        </w:rPr>
      </w:r>
      <w:r w:rsidRPr="006B3FDA">
        <w:rPr>
          <w:highlight w:val="yellow"/>
        </w:rPr>
      </w:r>
      <w:r w:rsidRPr="006B3FDA">
        <w:rPr>
          <w:highlight w:val="green"/>
        </w:rPr>
      </w:r>
      <w:proofErr w:type="spellStart"/>
      <w:r w:rsidRPr="006B3FDA">
        <w:rPr>
          <w:highlight w:val="green"/>
        </w:rPr>
      </w:r>
      <w:proofErr w:type="spellEnd"/>
      <w:r w:rsidRPr="006B3FDA">
        <w:rPr>
          <w:highlight w:val="green"/>
        </w:rPr>
      </w:r>
      <w:r w:rsidR="006B3FDA" w:rsidRPr="006B3FDA">
        <w:rPr>
          <w:highlight w:val="green"/>
        </w:rPr>
      </w:r>
      <w:r w:rsidRPr="006B3FDA">
        <w:rPr>
          <w:highlight w:val="green"/>
        </w:rPr>
      </w:r>
      <w:proofErr w:type="spellStart"/>
      <w:r w:rsidRPr="006B3FDA">
        <w:rPr>
          <w:highlight w:val="green"/>
        </w:rPr>
      </w:r>
      <w:r w:rsidRPr="006B3FDA">
        <w:rPr>
          <w:highlight w:val="yellow"/>
        </w:rPr>
      </w:r>
      <w:r w:rsidRPr="006B3FDA">
        <w:rPr>
          <w:highlight w:val="green"/>
        </w:rPr>
      </w:r>
      <w:proofErr w:type="spellEnd"/>
      <w:r w:rsidRPr="006B3FDA">
        <w:rPr>
          <w:highlight w:val="green"/>
        </w:rPr>
      </w:r>
      <w:r w:rsidRPr="006B3FDA">
        <w:rPr>
          <w:highlight w:val="yellow"/>
        </w:rPr>
      </w:r>
      <w:r w:rsidRPr="006B3FDA">
        <w:rPr>
          <w:highlight w:val="green"/>
        </w:rPr>
      </w:r>
      <w:r w:rsidRPr="00344FD1"/>
    </w:p>
    <w:p w14:paraId="13781648" w14:textId="77777777" w:rsidR="00C003DF" w:rsidRPr="00344FD1" w:rsidRDefault="00055D83" w:rsidP="008A3771">
      <w:pPr>
        <w:spacing w:line="240" w:lineRule="auto"/>
        <w:rPr>
          <w:rFonts w:cs="Times New Roman"/>
          <w:b/>
          <w:bCs/>
          <w:color w:val="000000" w:themeColor="text1"/>
          <w:sz w:val="28"/>
          <w:szCs w:val="28"/>
        </w:rPr>
      </w:pPr>
      <w:r w:rsidRPr="00344FD1">
        <w:rPr>
          <w:rFonts w:cs="Times New Roman"/>
          <w:b/>
          <w:bCs/>
          <w:color w:val="000000" w:themeColor="text1"/>
          <w:sz w:val="28"/>
          <w:szCs w:val="28"/>
        </w:rPr>
        <w:t>3.0 RESEARCH METHODOLOGY</w:t>
      </w:r>
    </w:p>
    <w:p w14:paraId="00FB7E09"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Research design specifies the overall approach used to obtain and analyse evidence (Creswell &amp; Creswell, 2018). The study adopted a descriptive design to collect information about respondents’ perceptions without manipulating the independent variables. Mugenda and Mugenda (2019) discuss the use of quantitative, qualitative, and mixed-methods approaches in social-science research. The approach was suitable for systematically describing variables relevant to the study objectives.</w:t>
      </w:r>
      <w:proofErr w:type="spellStart"/>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
    <w:p w14:paraId="4B1EC362" w14:textId="77777777" w:rsidR="00C003DF" w:rsidRPr="00344FD1" w:rsidRDefault="00C003DF" w:rsidP="00C003DF">
      <w:pPr>
        <w:spacing w:after="160" w:line="259" w:lineRule="auto"/>
        <w:rPr>
          <w:rFonts w:cs="Times New Roman"/>
          <w:color w:val="000000" w:themeColor="text1"/>
          <w:szCs w:val="24"/>
        </w:rPr>
      </w:pPr>
    </w:p>
    <w:p w14:paraId="763A7592"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 xml:space="preserve">The target population comprised employees of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xml:space="preserve">, and Carrefour supermarkets. Respondents were drawn from top-, middle-, and lower-level management to ensure representation across </w:t>
      </w:r>
      <w:proofErr w:type="spellStart"/>
      <w:r w:rsidRPr="00344FD1">
        <w:rPr>
          <w:rFonts w:cs="Times New Roman"/>
          <w:color w:val="000000" w:themeColor="text1"/>
          <w:szCs w:val="24"/>
        </w:rPr>
        <w:t>organi</w:t>
      </w:r>
      <w:r w:rsidRPr="00344FD1">
        <w:rPr>
          <w:rFonts w:cs="Times New Roman"/>
          <w:color w:val="000000" w:themeColor="text1"/>
          <w:szCs w:val="24"/>
          <w:highlight w:val="yellow"/>
        </w:rPr>
        <w:t>s</w:t>
      </w:r>
      <w:r w:rsidRPr="00344FD1">
        <w:rPr>
          <w:rFonts w:cs="Times New Roman"/>
          <w:color w:val="000000" w:themeColor="text1"/>
          <w:szCs w:val="24"/>
        </w:rPr>
        <w:t>ational</w:t>
      </w:r>
      <w:proofErr w:type="spellEnd"/>
      <w:r w:rsidRPr="00344FD1">
        <w:rPr>
          <w:rFonts w:cs="Times New Roman"/>
          <w:color w:val="000000" w:themeColor="text1"/>
          <w:szCs w:val="24"/>
        </w:rPr>
        <w:t xml:space="preserve"> levels. Each supermarket contributed 50 respondents, resulting in a total target population of 150 employees.</w:t>
      </w:r>
    </w:p>
    <w:p w14:paraId="3BBD47B8" w14:textId="77777777" w:rsidR="00C003DF" w:rsidRPr="00344FD1" w:rsidRDefault="00C003DF" w:rsidP="00C003DF">
      <w:pPr>
        <w:spacing w:after="160" w:line="259" w:lineRule="auto"/>
        <w:rPr>
          <w:rFonts w:cs="Times New Roman"/>
          <w:color w:val="000000" w:themeColor="text1"/>
          <w:szCs w:val="24"/>
        </w:rPr>
      </w:pPr>
    </w:p>
    <w:p w14:paraId="6775240D"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Cluster sampling was used to divide the population into groups based on management levels, after which simple random sampling was employed to select participants. The intended aim was to secure representation across management levels (Creswell &amp; Creswell, 2018). Using the formula of Yamane (1967), with a population of 150 and a 5% sampling error, the study obtained a sample size of 109 respondents:</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roofErr w:type="spellStart"/>
      <w:r w:rsidRPr="00344FD1">
        <w:rPr>
          <w:rFonts w:cs="Times New Roman"/>
          <w:color w:val="000000" w:themeColor="text1"/>
          <w:szCs w:val="24"/>
        </w:rPr>
      </w:r>
      <w:proofErr w:type="spellEnd"/>
      <w:r w:rsidRPr="00344FD1">
        <w:rPr>
          <w:rFonts w:cs="Times New Roman"/>
          <w:color w:val="000000" w:themeColor="text1"/>
          <w:szCs w:val="24"/>
        </w:rPr>
      </w:r>
    </w:p>
    <w:p w14:paraId="13F4E822" w14:textId="77777777" w:rsidR="00C003DF" w:rsidRPr="00344FD1" w:rsidRDefault="00C003DF" w:rsidP="00C003DF">
      <w:pPr>
        <w:spacing w:after="160" w:line="259" w:lineRule="auto"/>
        <w:rPr>
          <w:rFonts w:cs="Times New Roman"/>
          <w:color w:val="000000" w:themeColor="text1"/>
          <w:szCs w:val="24"/>
        </w:rPr>
      </w:pPr>
    </w:p>
    <w:p w14:paraId="357A18EC"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n = N</w:t>
      </w:r>
      <w:proofErr w:type="gramStart"/>
      <w:r w:rsidRPr="00344FD1">
        <w:rPr>
          <w:rFonts w:cs="Times New Roman"/>
          <w:color w:val="000000" w:themeColor="text1"/>
          <w:szCs w:val="24"/>
        </w:rPr>
        <w:t>/[</w:t>
      </w:r>
      <w:proofErr w:type="gramEnd"/>
      <w:r w:rsidRPr="00344FD1">
        <w:rPr>
          <w:rFonts w:cs="Times New Roman"/>
          <w:color w:val="000000" w:themeColor="text1"/>
          <w:szCs w:val="24"/>
        </w:rPr>
        <w:t>1 + N(e)²]</w:t>
      </w:r>
      <w:r w:rsidR="008A3771" w:rsidRPr="00344FD1">
        <w:rPr>
          <w:rFonts w:cs="Times New Roman"/>
          <w:color w:val="000000" w:themeColor="text1"/>
          <w:szCs w:val="24"/>
        </w:rPr>
        <w:t xml:space="preserve"> = 150</w:t>
      </w:r>
      <w:proofErr w:type="gramStart"/>
      <w:r w:rsidR="008A3771" w:rsidRPr="00344FD1">
        <w:rPr>
          <w:rFonts w:cs="Times New Roman"/>
          <w:color w:val="000000" w:themeColor="text1"/>
          <w:szCs w:val="24"/>
        </w:rPr>
        <w:t>/[</w:t>
      </w:r>
      <w:proofErr w:type="gramEnd"/>
      <w:r w:rsidR="008A3771" w:rsidRPr="00344FD1">
        <w:rPr>
          <w:rFonts w:cs="Times New Roman"/>
          <w:color w:val="000000" w:themeColor="text1"/>
          <w:szCs w:val="24"/>
        </w:rPr>
        <w:t>1 + 150(</w:t>
      </w:r>
      <w:proofErr w:type="gramStart"/>
      <w:r w:rsidR="008A3771" w:rsidRPr="00344FD1">
        <w:rPr>
          <w:rFonts w:cs="Times New Roman"/>
          <w:color w:val="000000" w:themeColor="text1"/>
          <w:szCs w:val="24"/>
        </w:rPr>
        <w:t>0.05)²</w:t>
      </w:r>
      <w:proofErr w:type="gramEnd"/>
      <w:r w:rsidR="008A3771" w:rsidRPr="00344FD1">
        <w:rPr>
          <w:rFonts w:cs="Times New Roman"/>
          <w:color w:val="000000" w:themeColor="text1"/>
          <w:szCs w:val="24"/>
        </w:rPr>
        <w:t>] = 109.</w:t>
      </w:r>
    </w:p>
    <w:p w14:paraId="281AF4E5" w14:textId="77777777" w:rsidR="00C003DF" w:rsidRPr="00344FD1" w:rsidRDefault="00C003DF" w:rsidP="00C003DF">
      <w:pPr>
        <w:spacing w:after="160" w:line="259" w:lineRule="auto"/>
        <w:rPr>
          <w:rFonts w:cs="Times New Roman"/>
          <w:color w:val="000000" w:themeColor="text1"/>
          <w:szCs w:val="24"/>
        </w:rPr>
      </w:pPr>
    </w:p>
    <w:p w14:paraId="2D31C2E5"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 xml:space="preserve">The sample comprised 37 respondents from </w:t>
      </w:r>
      <w:proofErr w:type="spellStart"/>
      <w:r w:rsidRPr="00344FD1">
        <w:rPr>
          <w:rFonts w:cs="Times New Roman"/>
          <w:color w:val="000000" w:themeColor="text1"/>
          <w:szCs w:val="24"/>
        </w:rPr>
        <w:t>Naivas</w:t>
      </w:r>
      <w:proofErr w:type="spellEnd"/>
      <w:r w:rsidRPr="00344FD1">
        <w:rPr>
          <w:rFonts w:cs="Times New Roman"/>
          <w:color w:val="000000" w:themeColor="text1"/>
          <w:szCs w:val="24"/>
        </w:rPr>
        <w:t xml:space="preserve">, 36 from </w:t>
      </w:r>
      <w:proofErr w:type="spellStart"/>
      <w:r w:rsidRPr="00344FD1">
        <w:rPr>
          <w:rFonts w:cs="Times New Roman"/>
          <w:color w:val="000000" w:themeColor="text1"/>
          <w:szCs w:val="24"/>
        </w:rPr>
        <w:t>Quickmart</w:t>
      </w:r>
      <w:proofErr w:type="spellEnd"/>
      <w:r w:rsidRPr="00344FD1">
        <w:rPr>
          <w:rFonts w:cs="Times New Roman"/>
          <w:color w:val="000000" w:themeColor="text1"/>
          <w:szCs w:val="24"/>
        </w:rPr>
        <w:t>, and 36 from Carrefour.</w:t>
      </w:r>
    </w:p>
    <w:p w14:paraId="690E8C87" w14:textId="77777777" w:rsidR="00C003DF" w:rsidRPr="00344FD1" w:rsidRDefault="00C003DF" w:rsidP="00C003DF">
      <w:pPr>
        <w:spacing w:after="160" w:line="259" w:lineRule="auto"/>
        <w:rPr>
          <w:rFonts w:cs="Times New Roman"/>
          <w:color w:val="000000" w:themeColor="text1"/>
          <w:szCs w:val="24"/>
        </w:rPr>
      </w:pPr>
    </w:p>
    <w:p w14:paraId="6E31FFDD"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Primary data were collected using a structured questionnaire, a common approach to the systematic collection of respondent perceptions (Creswell &amp; Creswell, 2018; Mugenda &amp; Mugenda, 2019). The instrument contained closed- and open-ended questions and employed a five-point Likert scale. It consisted of five sections covering background information and the four study objectives. A pilot study involving 11 respondents, representing approximately 10% of the sample, was conducted, and the participants were excluded from the main study.</w:t>
      </w:r>
      <w:proofErr w:type="spellStart"/>
      <w:r w:rsidRPr="00344FD1">
        <w:rPr>
          <w:rFonts w:cs="Times New Roman"/>
          <w:color w:val="000000" w:themeColor="text1"/>
          <w:szCs w:val="24"/>
        </w:rPr>
      </w:r>
      <w:r w:rsidRPr="00344FD1">
        <w:rPr>
          <w:rFonts w:cs="Times New Roman"/>
          <w:color w:val="000000" w:themeColor="text1"/>
          <w:szCs w:val="24"/>
          <w:highlight w:val="yellow"/>
        </w:rPr>
      </w:r>
      <w:r w:rsidRPr="00344FD1">
        <w:rPr>
          <w:rFonts w:cs="Times New Roman"/>
          <w:color w:val="000000" w:themeColor="text1"/>
          <w:szCs w:val="24"/>
        </w:rPr>
      </w:r>
      <w:proofErr w:type="spellEnd"/>
      <w:r w:rsidRPr="00344FD1">
        <w:rPr>
          <w:rFonts w:cs="Times New Roman"/>
          <w:color w:val="000000" w:themeColor="text1"/>
          <w:szCs w:val="24"/>
        </w:rPr>
      </w:r>
    </w:p>
    <w:p w14:paraId="0F31C5E9" w14:textId="77777777" w:rsidR="00C003DF" w:rsidRPr="00344FD1" w:rsidRDefault="00C003DF" w:rsidP="00C003DF">
      <w:pPr>
        <w:spacing w:after="160" w:line="259" w:lineRule="auto"/>
        <w:rPr>
          <w:rFonts w:cs="Times New Roman"/>
          <w:color w:val="000000" w:themeColor="text1"/>
          <w:szCs w:val="24"/>
        </w:rPr>
      </w:pPr>
    </w:p>
    <w:p w14:paraId="0382429B" w14:textId="77777777" w:rsidR="00C003DF" w:rsidRPr="00344FD1" w:rsidRDefault="00C003DF" w:rsidP="00C003DF">
      <w:pPr>
        <w:spacing w:after="160" w:line="259" w:lineRule="auto"/>
        <w:rPr>
          <w:rFonts w:cs="Times New Roman"/>
          <w:color w:val="000000" w:themeColor="text1"/>
          <w:szCs w:val="24"/>
        </w:rPr>
      </w:pPr>
      <w:r w:rsidRPr="00344FD1">
        <w:rPr>
          <w:rFonts w:cs="Times New Roman"/>
          <w:color w:val="000000" w:themeColor="text1"/>
          <w:szCs w:val="24"/>
        </w:rPr>
        <w:t>Validity was established through expert judgement and pre-testing during the pilot study. Ambiguous items were revised to enhance clarity, relevance, and accuracy (Creswell &amp; Creswell, 2018). Reliability was assessed using Cronbach’s alpha coefficient, with a minimum threshold of 0.70 considered acceptable for the instrument (Mugenda &amp; Mugenda, 2019).</w:t>
      </w:r>
    </w:p>
    <w:p w14:paraId="3741E84F" w14:textId="77777777" w:rsidR="00C003DF" w:rsidRPr="00344FD1" w:rsidRDefault="00C003DF" w:rsidP="00C003DF">
      <w:pPr>
        <w:spacing w:after="160" w:line="259" w:lineRule="auto"/>
        <w:rPr>
          <w:rFonts w:cs="Times New Roman"/>
          <w:color w:val="000000" w:themeColor="text1"/>
          <w:szCs w:val="24"/>
        </w:rPr>
      </w:pPr>
    </w:p>
    <w:p w14:paraId="7679FAC8" w14:textId="77777777" w:rsidR="009B3203" w:rsidRPr="00344FD1" w:rsidRDefault="00C003DF" w:rsidP="00C003DF">
      <w:pPr>
        <w:spacing w:after="160" w:line="259" w:lineRule="auto"/>
        <w:rPr>
          <w:rFonts w:cs="Times New Roman"/>
          <w:color w:val="000000" w:themeColor="text1"/>
          <w:szCs w:val="24"/>
        </w:rPr>
      </w:pPr>
      <w:r w:rsidRPr="0004407B">
        <w:rPr>
          <w:rFonts w:cs="Times New Roman"/>
          <w:color w:val="000000" w:themeColor="text1"/>
          <w:szCs w:val="24"/>
          <w:highlight w:val="green"/>
        </w:rPr>
        <w:t>Following approval from the graduate school and</w:t>
      </w:r>
      <w:r w:rsidRPr="0004407B">
        <w:rPr>
          <w:rFonts w:cs="Times New Roman"/>
          <w:color w:val="000000" w:themeColor="text1"/>
          <w:szCs w:val="24"/>
          <w:highlight w:val="yellow"/>
        </w:rPr>
        <w:t xml:space="preserve"> the</w:t>
      </w:r>
      <w:r w:rsidRPr="0004407B">
        <w:rPr>
          <w:rFonts w:cs="Times New Roman"/>
          <w:color w:val="000000" w:themeColor="text1"/>
          <w:szCs w:val="24"/>
          <w:highlight w:val="green"/>
        </w:rPr>
        <w:t xml:space="preserve"> acquisition of a NACOSTI permit, questionnaires were administered using a drop-and-pick-later approach. Data were coded and </w:t>
      </w:r>
      <w:proofErr w:type="spellStart"/>
      <w:r w:rsidRPr="0004407B">
        <w:rPr>
          <w:rFonts w:cs="Times New Roman"/>
          <w:color w:val="000000" w:themeColor="text1"/>
          <w:szCs w:val="24"/>
          <w:highlight w:val="green"/>
        </w:rPr>
        <w:t>analysed</w:t>
      </w:r>
      <w:proofErr w:type="spellEnd"/>
      <w:r w:rsidRPr="0004407B">
        <w:rPr>
          <w:rFonts w:cs="Times New Roman"/>
          <w:color w:val="000000" w:themeColor="text1"/>
          <w:szCs w:val="24"/>
          <w:highlight w:val="green"/>
        </w:rPr>
        <w:t xml:space="preserve"> using SPSS version 21 and presented through tables, figures, and bar charts. Inferential analysis employed multiple regression to examine the relationship between strategic planning, strategic leadership, resource allocation, positioning strategies, and supermarket competitiveness. Ethical considerations included informed consent, confidentiality, anonymity, privacy, intellectual property, legal complian</w:t>
      </w:r>
      <w:r w:rsidR="008A3771" w:rsidRPr="0004407B">
        <w:rPr>
          <w:rFonts w:cs="Times New Roman"/>
          <w:color w:val="000000" w:themeColor="text1"/>
          <w:szCs w:val="24"/>
          <w:highlight w:val="green"/>
        </w:rPr>
        <w:t>ce, and voluntary participation</w:t>
      </w:r>
      <w:r w:rsidR="00CD35B1" w:rsidRPr="0004407B">
        <w:rPr>
          <w:rFonts w:cs="Times New Roman"/>
          <w:color w:val="000000" w:themeColor="text1"/>
          <w:szCs w:val="24"/>
          <w:highlight w:val="green"/>
        </w:rPr>
        <w:t>.</w:t>
      </w:r>
    </w:p>
    <w:p w14:paraId="4096D3ED" w14:textId="77777777" w:rsidR="00012AEB" w:rsidRPr="00344FD1" w:rsidRDefault="00012AEB" w:rsidP="00CD35B1">
      <w:pPr>
        <w:spacing w:after="160" w:line="259" w:lineRule="auto"/>
        <w:rPr>
          <w:rFonts w:cs="Times New Roman"/>
          <w:color w:val="000000" w:themeColor="text1"/>
          <w:szCs w:val="24"/>
        </w:rPr>
      </w:pPr>
    </w:p>
    <w:p w14:paraId="754CFBF1" w14:textId="77777777" w:rsidR="0045178A" w:rsidRPr="00344FD1" w:rsidRDefault="0045178A" w:rsidP="00CD35B1">
      <w:pPr>
        <w:spacing w:after="160" w:line="259" w:lineRule="auto"/>
        <w:rPr>
          <w:rFonts w:cs="Times New Roman"/>
          <w:color w:val="000000" w:themeColor="text1"/>
          <w:szCs w:val="24"/>
        </w:rPr>
      </w:pPr>
    </w:p>
    <w:p w14:paraId="256A4C61" w14:textId="77777777" w:rsidR="00012AEB" w:rsidRPr="00344FD1" w:rsidRDefault="00012AEB" w:rsidP="00CD35B1">
      <w:pPr>
        <w:spacing w:after="160" w:line="259" w:lineRule="auto"/>
        <w:rPr>
          <w:rFonts w:cs="Times New Roman"/>
          <w:color w:val="000000" w:themeColor="text1"/>
          <w:szCs w:val="24"/>
        </w:rPr>
      </w:pPr>
    </w:p>
    <w:p w14:paraId="7A00FA94" w14:textId="77777777" w:rsidR="00055D83" w:rsidRPr="00344FD1" w:rsidRDefault="002B2D3C" w:rsidP="00711AB4">
      <w:pPr>
        <w:spacing w:before="0"/>
        <w:rPr>
          <w:b/>
          <w:bCs/>
          <w:color w:val="000000" w:themeColor="text1"/>
          <w:sz w:val="28"/>
          <w:szCs w:val="24"/>
        </w:rPr>
      </w:pPr>
      <w:r w:rsidRPr="00344FD1">
        <w:rPr>
          <w:b/>
          <w:bCs/>
          <w:color w:val="000000" w:themeColor="text1"/>
          <w:sz w:val="28"/>
          <w:szCs w:val="24"/>
        </w:rPr>
        <w:t xml:space="preserve">4.0 </w:t>
      </w:r>
      <w:r w:rsidR="00055D83" w:rsidRPr="00344FD1">
        <w:rPr>
          <w:b/>
          <w:bCs/>
          <w:color w:val="000000" w:themeColor="text1"/>
          <w:sz w:val="28"/>
          <w:szCs w:val="24"/>
        </w:rPr>
        <w:t xml:space="preserve">RESULTS </w:t>
      </w:r>
      <w:r w:rsidR="00307DE7" w:rsidRPr="00344FD1">
        <w:rPr>
          <w:b/>
          <w:bCs/>
          <w:color w:val="000000" w:themeColor="text1"/>
          <w:sz w:val="28"/>
          <w:szCs w:val="24"/>
        </w:rPr>
        <w:t>AND DISCUSSION</w:t>
      </w:r>
    </w:p>
    <w:p w14:paraId="1299FBB3" w14:textId="77777777" w:rsidR="007B652A" w:rsidRPr="00344FD1" w:rsidRDefault="006A2D8F" w:rsidP="00711AB4">
      <w:pPr>
        <w:spacing w:before="0" w:line="240" w:lineRule="auto"/>
        <w:rPr>
          <w:b/>
          <w:bCs/>
          <w:i/>
          <w:iCs/>
          <w:color w:val="000000" w:themeColor="text1"/>
          <w:sz w:val="28"/>
          <w:szCs w:val="24"/>
        </w:rPr>
      </w:pPr>
      <w:r w:rsidRPr="00344FD1">
        <w:rPr>
          <w:b/>
          <w:bCs/>
          <w:i/>
          <w:iCs/>
          <w:color w:val="000000" w:themeColor="text1"/>
          <w:sz w:val="28"/>
          <w:szCs w:val="24"/>
        </w:rPr>
        <w:t>Response Rate</w:t>
      </w:r>
    </w:p>
    <w:p w14:paraId="3859C64A" w14:textId="77777777" w:rsidR="002203E3" w:rsidRPr="00344FD1" w:rsidRDefault="002203E3" w:rsidP="002203E3">
      <w:pPr>
        <w:spacing w:before="100" w:beforeAutospacing="1" w:after="100" w:afterAutospacing="1" w:line="240" w:lineRule="auto"/>
        <w:rPr>
          <w:rFonts w:eastAsia="Times New Roman" w:cs="Times New Roman"/>
          <w:color w:val="auto"/>
          <w:szCs w:val="24"/>
          <w14:ligatures w14:val="none"/>
        </w:rPr>
      </w:pPr>
      <w:r w:rsidRPr="00344FD1">
        <w:rPr>
          <w:rFonts w:eastAsia="Times New Roman" w:cs="Times New Roman"/>
          <w:color w:val="auto"/>
          <w:szCs w:val="24"/>
          <w14:ligatures w14:val="none"/>
        </w:rPr>
        <w:t xml:space="preserve">The study distributed 109 questionnaires across </w:t>
      </w:r>
      <w:proofErr w:type="spellStart"/>
      <w:r w:rsidRPr="00344FD1">
        <w:rPr>
          <w:rFonts w:eastAsia="Times New Roman" w:cs="Times New Roman"/>
          <w:color w:val="auto"/>
          <w:szCs w:val="24"/>
          <w14:ligatures w14:val="none"/>
        </w:rPr>
        <w:t>Naivas</w:t>
      </w:r>
      <w:proofErr w:type="spellEnd"/>
      <w:r w:rsidRPr="00344FD1">
        <w:rPr>
          <w:rFonts w:eastAsia="Times New Roman" w:cs="Times New Roman"/>
          <w:color w:val="auto"/>
          <w:szCs w:val="24"/>
          <w14:ligatures w14:val="none"/>
        </w:rPr>
        <w:t xml:space="preserve">, </w:t>
      </w:r>
      <w:proofErr w:type="spellStart"/>
      <w:r w:rsidRPr="00344FD1">
        <w:rPr>
          <w:rFonts w:eastAsia="Times New Roman" w:cs="Times New Roman"/>
          <w:color w:val="auto"/>
          <w:szCs w:val="24"/>
          <w14:ligatures w14:val="none"/>
        </w:rPr>
        <w:t>Quickmart</w:t>
      </w:r>
      <w:proofErr w:type="spellEnd"/>
      <w:r w:rsidRPr="00344FD1">
        <w:rPr>
          <w:rFonts w:eastAsia="Times New Roman" w:cs="Times New Roman"/>
          <w:color w:val="auto"/>
          <w:szCs w:val="24"/>
          <w14:ligatures w14:val="none"/>
        </w:rPr>
        <w:t>, and Carrefour supermarkets using cluster sampling stratified by management level. Of these, 100</w:t>
      </w:r>
      <w:r w:rsidRPr="00344FD1">
        <w:rPr>
          <w:rFonts w:eastAsia="Times New Roman" w:cs="Times New Roman"/>
          <w:color w:val="auto"/>
          <w:szCs w:val="24"/>
          <w:highlight w:val="yellow"/>
          <w14:ligatures w14:val="none"/>
        </w:rPr>
        <w:t xml:space="preserve"> questionnaires</w:t>
      </w:r>
      <w:r w:rsidRPr="00344FD1">
        <w:rPr>
          <w:rFonts w:eastAsia="Times New Roman" w:cs="Times New Roman"/>
          <w:color w:val="auto"/>
          <w:szCs w:val="24"/>
          <w14:ligatures w14:val="none"/>
        </w:rPr>
        <w:t xml:space="preserve"> were returned, yielding an overall response rate of 92%. </w:t>
      </w:r>
      <w:proofErr w:type="spellStart"/>
      <w:r w:rsidRPr="00344FD1">
        <w:rPr>
          <w:rFonts w:eastAsia="Times New Roman" w:cs="Times New Roman"/>
          <w:color w:val="auto"/>
          <w:szCs w:val="24"/>
          <w14:ligatures w14:val="none"/>
        </w:rPr>
        <w:t>Naivas</w:t>
      </w:r>
      <w:proofErr w:type="spellEnd"/>
      <w:r w:rsidRPr="00344FD1">
        <w:rPr>
          <w:rFonts w:eastAsia="Times New Roman" w:cs="Times New Roman"/>
          <w:color w:val="auto"/>
          <w:szCs w:val="24"/>
          <w14:ligatures w14:val="none"/>
        </w:rPr>
        <w:t xml:space="preserve"> recorded the highest response rate (97%), followed by </w:t>
      </w:r>
      <w:proofErr w:type="spellStart"/>
      <w:r w:rsidRPr="00344FD1">
        <w:rPr>
          <w:rFonts w:eastAsia="Times New Roman" w:cs="Times New Roman"/>
          <w:color w:val="auto"/>
          <w:szCs w:val="24"/>
          <w14:ligatures w14:val="none"/>
        </w:rPr>
        <w:t>Quickmart</w:t>
      </w:r>
      <w:proofErr w:type="spellEnd"/>
      <w:r w:rsidRPr="00344FD1">
        <w:rPr>
          <w:rFonts w:eastAsia="Times New Roman" w:cs="Times New Roman"/>
          <w:color w:val="auto"/>
          <w:szCs w:val="24"/>
          <w14:ligatures w14:val="none"/>
        </w:rPr>
        <w:t xml:space="preserve"> (92%) and Carrefour (86%). The relatively lower respons</w:t>
      </w:r>
      <w:r w:rsidRPr="00344FD1">
        <w:rPr>
          <w:rFonts w:eastAsia="Times New Roman" w:cs="Times New Roman"/>
          <w:color w:val="auto"/>
          <w:szCs w:val="24"/>
          <w:highlight w:val="yellow"/>
          <w14:ligatures w14:val="none"/>
        </w:rPr>
        <w:t>e rat</w:t>
      </w:r>
      <w:r w:rsidRPr="00344FD1">
        <w:rPr>
          <w:rFonts w:eastAsia="Times New Roman" w:cs="Times New Roman"/>
          <w:color w:val="auto"/>
          <w:szCs w:val="24"/>
          <w14:ligatures w14:val="none"/>
        </w:rPr>
        <w:t>e at Carrefour was attributed to stricter access controls and demanding management shift schedules during data collection. All supermarkets achieved response rates above the 70% minimum recommended for social science research by Mugenda and Mugenda (2019), confirming the adequacy of the responses for analysis.</w:t>
      </w:r>
    </w:p>
    <w:p w14:paraId="6718CA90" w14:textId="77777777" w:rsidR="002203E3" w:rsidRPr="00344FD1" w:rsidRDefault="002203E3" w:rsidP="002203E3">
      <w:pPr>
        <w:spacing w:before="100" w:beforeAutospacing="1" w:after="100" w:afterAutospacing="1" w:line="240" w:lineRule="auto"/>
        <w:jc w:val="left"/>
        <w:rPr>
          <w:rFonts w:eastAsia="Times New Roman" w:cs="Times New Roman"/>
          <w:color w:val="auto"/>
          <w:szCs w:val="24"/>
          <w14:ligatures w14:val="none"/>
        </w:rPr>
      </w:pPr>
      <w:r w:rsidRPr="00344FD1">
        <w:rPr>
          <w:rFonts w:eastAsia="Times New Roman" w:cs="Times New Roman"/>
          <w:b/>
          <w:bCs/>
          <w:color w:val="auto"/>
          <w:szCs w:val="24"/>
          <w14:ligatures w14:val="none"/>
        </w:rPr>
        <w:t>Table 1: Response Rate</w:t>
      </w:r>
    </w:p>
    <w:tbl>
      <w:tblPr>
        <w:tblStyle w:val="TableGrid1"/>
        <w:tblW w:w="0" w:type="auto"/>
        <w:tblLook w:val="04A0" w:firstRow="1" w:lastRow="0" w:firstColumn="1" w:lastColumn="0" w:noHBand="0" w:noVBand="1"/>
      </w:tblPr>
      <w:tblGrid>
        <w:gridCol w:w="1576"/>
        <w:gridCol w:w="1390"/>
        <w:gridCol w:w="1190"/>
        <w:gridCol w:w="1623"/>
        <w:gridCol w:w="456"/>
      </w:tblGrid>
      <w:tr w:rsidR="002203E3" w:rsidRPr="00344FD1" w14:paraId="3F862EC3" w14:textId="77777777" w:rsidTr="002203E3">
        <w:tc>
          <w:tcPr>
            <w:tcW w:w="0" w:type="auto"/>
            <w:hideMark/>
          </w:tcPr>
          <w:p w14:paraId="3D1FF3AB" w14:textId="77777777" w:rsidR="002203E3" w:rsidRPr="00344FD1" w:rsidRDefault="002203E3" w:rsidP="002203E3">
            <w:pPr>
              <w:spacing w:before="0" w:line="240" w:lineRule="auto"/>
              <w:jc w:val="center"/>
              <w:rPr>
                <w:rFonts w:eastAsia="Times New Roman" w:cs="Times New Roman"/>
                <w:b/>
                <w:bCs/>
                <w:color w:val="auto"/>
                <w:szCs w:val="24"/>
              </w:rPr>
            </w:pPr>
            <w:r w:rsidRPr="00344FD1">
              <w:rPr>
                <w:rFonts w:eastAsia="Times New Roman" w:cs="Times New Roman"/>
                <w:b/>
                <w:bCs/>
                <w:color w:val="auto"/>
                <w:szCs w:val="24"/>
              </w:rPr>
              <w:t>Supermarket</w:t>
            </w:r>
          </w:p>
        </w:tc>
        <w:tc>
          <w:tcPr>
            <w:tcW w:w="0" w:type="auto"/>
            <w:hideMark/>
          </w:tcPr>
          <w:p w14:paraId="0DD3BC8B"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Distributed</w:t>
            </w:r>
          </w:p>
        </w:tc>
        <w:tc>
          <w:tcPr>
            <w:tcW w:w="0" w:type="auto"/>
            <w:hideMark/>
          </w:tcPr>
          <w:p w14:paraId="0EF4D6AC"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Returned</w:t>
            </w:r>
          </w:p>
        </w:tc>
        <w:tc>
          <w:tcPr>
            <w:tcW w:w="0" w:type="auto"/>
            <w:hideMark/>
          </w:tcPr>
          <w:p w14:paraId="61DC4479"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Not Returned</w:t>
            </w:r>
          </w:p>
        </w:tc>
        <w:tc>
          <w:tcPr>
            <w:tcW w:w="0" w:type="auto"/>
            <w:hideMark/>
          </w:tcPr>
          <w:p w14:paraId="5A3BB471" w14:textId="77777777" w:rsidR="002203E3" w:rsidRPr="00344FD1" w:rsidRDefault="002203E3" w:rsidP="002203E3">
            <w:pPr>
              <w:spacing w:before="0" w:line="240" w:lineRule="auto"/>
              <w:jc w:val="right"/>
              <w:rPr>
                <w:rFonts w:eastAsia="Times New Roman" w:cs="Times New Roman"/>
                <w:b/>
                <w:bCs/>
                <w:color w:val="auto"/>
                <w:szCs w:val="24"/>
              </w:rPr>
            </w:pPr>
            <w:r w:rsidRPr="00344FD1">
              <w:rPr>
                <w:rFonts w:eastAsia="Times New Roman" w:cs="Times New Roman"/>
                <w:b/>
                <w:bCs/>
                <w:color w:val="auto"/>
                <w:szCs w:val="24"/>
              </w:rPr>
              <w:t>%</w:t>
            </w:r>
          </w:p>
        </w:tc>
      </w:tr>
      <w:tr w:rsidR="002203E3" w:rsidRPr="00344FD1" w14:paraId="5A27D843" w14:textId="77777777" w:rsidTr="002203E3">
        <w:tc>
          <w:tcPr>
            <w:tcW w:w="0" w:type="auto"/>
            <w:hideMark/>
          </w:tcPr>
          <w:p w14:paraId="19BCD545" w14:textId="77777777" w:rsidR="002203E3" w:rsidRPr="00344FD1" w:rsidRDefault="002203E3" w:rsidP="002203E3">
            <w:pPr>
              <w:spacing w:before="0" w:line="240" w:lineRule="auto"/>
              <w:jc w:val="left"/>
              <w:rPr>
                <w:rFonts w:eastAsia="Times New Roman" w:cs="Times New Roman"/>
                <w:color w:val="auto"/>
                <w:szCs w:val="24"/>
              </w:rPr>
            </w:pPr>
            <w:proofErr w:type="spellStart"/>
            <w:r w:rsidRPr="00344FD1">
              <w:rPr>
                <w:rFonts w:eastAsia="Times New Roman" w:cs="Times New Roman"/>
                <w:color w:val="auto"/>
                <w:szCs w:val="24"/>
              </w:rPr>
              <w:t>Naivas</w:t>
            </w:r>
            <w:proofErr w:type="spellEnd"/>
          </w:p>
        </w:tc>
        <w:tc>
          <w:tcPr>
            <w:tcW w:w="0" w:type="auto"/>
            <w:hideMark/>
          </w:tcPr>
          <w:p w14:paraId="7C4E7727"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37</w:t>
            </w:r>
          </w:p>
        </w:tc>
        <w:tc>
          <w:tcPr>
            <w:tcW w:w="0" w:type="auto"/>
            <w:hideMark/>
          </w:tcPr>
          <w:p w14:paraId="693E111F"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0D23B924"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1</w:t>
            </w:r>
          </w:p>
        </w:tc>
        <w:tc>
          <w:tcPr>
            <w:tcW w:w="0" w:type="auto"/>
            <w:hideMark/>
          </w:tcPr>
          <w:p w14:paraId="2E825C9E"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97</w:t>
            </w:r>
          </w:p>
        </w:tc>
      </w:tr>
      <w:tr w:rsidR="002203E3" w:rsidRPr="00344FD1" w14:paraId="54DE389A" w14:textId="77777777" w:rsidTr="002203E3">
        <w:tc>
          <w:tcPr>
            <w:tcW w:w="0" w:type="auto"/>
            <w:hideMark/>
          </w:tcPr>
          <w:p w14:paraId="45A06B64" w14:textId="77777777" w:rsidR="002203E3" w:rsidRPr="00344FD1" w:rsidRDefault="002203E3" w:rsidP="002203E3">
            <w:pPr>
              <w:spacing w:before="0" w:line="240" w:lineRule="auto"/>
              <w:jc w:val="left"/>
              <w:rPr>
                <w:rFonts w:eastAsia="Times New Roman" w:cs="Times New Roman"/>
                <w:color w:val="auto"/>
                <w:szCs w:val="24"/>
              </w:rPr>
            </w:pPr>
            <w:proofErr w:type="spellStart"/>
            <w:r w:rsidRPr="00344FD1">
              <w:rPr>
                <w:rFonts w:eastAsia="Times New Roman" w:cs="Times New Roman"/>
                <w:color w:val="auto"/>
                <w:szCs w:val="24"/>
              </w:rPr>
              <w:t>Quickmart</w:t>
            </w:r>
            <w:proofErr w:type="spellEnd"/>
          </w:p>
        </w:tc>
        <w:tc>
          <w:tcPr>
            <w:tcW w:w="0" w:type="auto"/>
            <w:hideMark/>
          </w:tcPr>
          <w:p w14:paraId="3644A821"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02F2DACD"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33</w:t>
            </w:r>
          </w:p>
        </w:tc>
        <w:tc>
          <w:tcPr>
            <w:tcW w:w="0" w:type="auto"/>
            <w:hideMark/>
          </w:tcPr>
          <w:p w14:paraId="39C091A9"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w:t>
            </w:r>
          </w:p>
        </w:tc>
        <w:tc>
          <w:tcPr>
            <w:tcW w:w="0" w:type="auto"/>
            <w:hideMark/>
          </w:tcPr>
          <w:p w14:paraId="2BA0DA2A"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92</w:t>
            </w:r>
          </w:p>
        </w:tc>
      </w:tr>
      <w:tr w:rsidR="002203E3" w:rsidRPr="00344FD1" w14:paraId="20E5FB3B" w14:textId="77777777" w:rsidTr="002203E3">
        <w:tc>
          <w:tcPr>
            <w:tcW w:w="0" w:type="auto"/>
            <w:hideMark/>
          </w:tcPr>
          <w:p w14:paraId="6C2E4063" w14:textId="77777777" w:rsidR="002203E3" w:rsidRPr="00344FD1" w:rsidRDefault="002203E3" w:rsidP="002203E3">
            <w:pPr>
              <w:spacing w:before="0" w:line="240" w:lineRule="auto"/>
              <w:jc w:val="left"/>
              <w:rPr>
                <w:rFonts w:eastAsia="Times New Roman" w:cs="Times New Roman"/>
                <w:color w:val="auto"/>
                <w:szCs w:val="24"/>
              </w:rPr>
            </w:pPr>
            <w:r w:rsidRPr="00344FD1">
              <w:rPr>
                <w:rFonts w:eastAsia="Times New Roman" w:cs="Times New Roman"/>
                <w:color w:val="auto"/>
                <w:szCs w:val="24"/>
              </w:rPr>
              <w:t>Carrefour</w:t>
            </w:r>
          </w:p>
        </w:tc>
        <w:tc>
          <w:tcPr>
            <w:tcW w:w="0" w:type="auto"/>
            <w:hideMark/>
          </w:tcPr>
          <w:p w14:paraId="45690B01"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36</w:t>
            </w:r>
          </w:p>
        </w:tc>
        <w:tc>
          <w:tcPr>
            <w:tcW w:w="0" w:type="auto"/>
            <w:hideMark/>
          </w:tcPr>
          <w:p w14:paraId="69D7F4B6"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31</w:t>
            </w:r>
          </w:p>
        </w:tc>
        <w:tc>
          <w:tcPr>
            <w:tcW w:w="0" w:type="auto"/>
            <w:hideMark/>
          </w:tcPr>
          <w:p w14:paraId="1CD3D1AC"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5</w:t>
            </w:r>
          </w:p>
        </w:tc>
        <w:tc>
          <w:tcPr>
            <w:tcW w:w="0" w:type="auto"/>
            <w:hideMark/>
          </w:tcPr>
          <w:p w14:paraId="051F6803"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color w:val="auto"/>
                <w:szCs w:val="24"/>
              </w:rPr>
              <w:t>86</w:t>
            </w:r>
          </w:p>
        </w:tc>
      </w:tr>
      <w:tr w:rsidR="002203E3" w:rsidRPr="00344FD1" w14:paraId="7224FE82" w14:textId="77777777" w:rsidTr="002203E3">
        <w:tc>
          <w:tcPr>
            <w:tcW w:w="0" w:type="auto"/>
            <w:hideMark/>
          </w:tcPr>
          <w:p w14:paraId="31E3CC7E" w14:textId="77777777" w:rsidR="002203E3" w:rsidRPr="00344FD1" w:rsidRDefault="002203E3" w:rsidP="002203E3">
            <w:pPr>
              <w:spacing w:before="0" w:line="240" w:lineRule="auto"/>
              <w:jc w:val="left"/>
              <w:rPr>
                <w:rFonts w:eastAsia="Times New Roman" w:cs="Times New Roman"/>
                <w:color w:val="auto"/>
                <w:szCs w:val="24"/>
              </w:rPr>
            </w:pPr>
            <w:r w:rsidRPr="00344FD1">
              <w:rPr>
                <w:rFonts w:eastAsia="Times New Roman" w:cs="Times New Roman"/>
                <w:b/>
                <w:bCs/>
                <w:color w:val="auto"/>
                <w:szCs w:val="24"/>
              </w:rPr>
              <w:t>Total</w:t>
            </w:r>
          </w:p>
        </w:tc>
        <w:tc>
          <w:tcPr>
            <w:tcW w:w="0" w:type="auto"/>
            <w:hideMark/>
          </w:tcPr>
          <w:p w14:paraId="0B28D13F"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109</w:t>
            </w:r>
          </w:p>
        </w:tc>
        <w:tc>
          <w:tcPr>
            <w:tcW w:w="0" w:type="auto"/>
            <w:hideMark/>
          </w:tcPr>
          <w:p w14:paraId="37F01EB3"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100</w:t>
            </w:r>
          </w:p>
        </w:tc>
        <w:tc>
          <w:tcPr>
            <w:tcW w:w="0" w:type="auto"/>
            <w:hideMark/>
          </w:tcPr>
          <w:p w14:paraId="11D69771"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9</w:t>
            </w:r>
          </w:p>
        </w:tc>
        <w:tc>
          <w:tcPr>
            <w:tcW w:w="0" w:type="auto"/>
            <w:hideMark/>
          </w:tcPr>
          <w:p w14:paraId="707C786E" w14:textId="77777777" w:rsidR="002203E3" w:rsidRPr="00344FD1" w:rsidRDefault="002203E3" w:rsidP="002203E3">
            <w:pPr>
              <w:spacing w:before="0" w:line="240" w:lineRule="auto"/>
              <w:jc w:val="right"/>
              <w:rPr>
                <w:rFonts w:eastAsia="Times New Roman" w:cs="Times New Roman"/>
                <w:color w:val="auto"/>
                <w:szCs w:val="24"/>
              </w:rPr>
            </w:pPr>
            <w:r w:rsidRPr="00344FD1">
              <w:rPr>
                <w:rFonts w:eastAsia="Times New Roman" w:cs="Times New Roman"/>
                <w:b/>
                <w:bCs/>
                <w:color w:val="auto"/>
                <w:szCs w:val="24"/>
              </w:rPr>
              <w:t>92</w:t>
            </w:r>
          </w:p>
        </w:tc>
      </w:tr>
    </w:tbl>
    <w:p w14:paraId="1044A675" w14:textId="77777777" w:rsidR="002203E3" w:rsidRPr="00344FD1" w:rsidRDefault="002203E3" w:rsidP="002203E3">
      <w:pPr>
        <w:spacing w:before="100" w:beforeAutospacing="1" w:after="100" w:afterAutospacing="1" w:line="240" w:lineRule="auto"/>
        <w:jc w:val="left"/>
        <w:rPr>
          <w:rFonts w:eastAsia="Times New Roman" w:cs="Times New Roman"/>
          <w:color w:val="auto"/>
          <w:szCs w:val="24"/>
          <w14:ligatures w14:val="none"/>
        </w:rPr>
      </w:pPr>
      <w:r w:rsidRPr="00344FD1">
        <w:rPr>
          <w:rFonts w:eastAsia="Times New Roman" w:cs="Times New Roman"/>
          <w:i/>
          <w:iCs/>
          <w:color w:val="auto"/>
          <w:szCs w:val="24"/>
          <w14:ligatures w14:val="none"/>
        </w:rPr>
        <w:t>Source: Survey Data (2026)</w:t>
      </w:r>
    </w:p>
    <w:p w14:paraId="34B29944" w14:textId="77777777" w:rsidR="00C852EB" w:rsidRPr="00344FD1" w:rsidRDefault="00C852EB" w:rsidP="00C852EB">
      <w:pPr>
        <w:spacing w:after="120" w:line="240" w:lineRule="auto"/>
        <w:jc w:val="left"/>
        <w:outlineLvl w:val="1"/>
        <w:rPr>
          <w:rFonts w:eastAsia="Times New Roman" w:cs="Times New Roman"/>
          <w:b/>
          <w:bCs/>
          <w:szCs w:val="24"/>
        </w:rPr>
      </w:pPr>
      <w:r w:rsidRPr="00344FD1">
        <w:rPr>
          <w:rFonts w:eastAsia="Times New Roman" w:cs="Times New Roman"/>
          <w:b/>
          <w:bCs/>
          <w:szCs w:val="24"/>
        </w:rPr>
        <w:lastRenderedPageBreak/>
        <w:t>Reliability Analysis</w:t>
      </w:r>
    </w:p>
    <w:p w14:paraId="42AE9979" w14:textId="77777777" w:rsidR="00C852EB" w:rsidRPr="00344FD1" w:rsidRDefault="00C852EB" w:rsidP="00C852EB">
      <w:pPr>
        <w:spacing w:before="120" w:after="120"/>
        <w:rPr>
          <w:rFonts w:eastAsia="Times New Roman" w:cs="Times New Roman"/>
          <w:szCs w:val="24"/>
        </w:rPr>
      </w:pPr>
      <w:r w:rsidRPr="00344FD1">
        <w:rPr>
          <w:rFonts w:eastAsia="Times New Roman" w:cs="Times New Roman"/>
          <w:szCs w:val="24"/>
        </w:rPr>
        <w:t xml:space="preserve">A pilot test </w:t>
      </w:r>
      <w:r w:rsidRPr="00344FD1">
        <w:rPr>
          <w:rFonts w:eastAsia="Times New Roman" w:cs="Times New Roman"/>
          <w:szCs w:val="24"/>
          <w:highlight w:val="yellow"/>
        </w:rPr>
        <w:t>inv</w:t>
      </w:r>
      <w:r w:rsidRPr="00344FD1">
        <w:rPr>
          <w:rFonts w:eastAsia="Times New Roman" w:cs="Times New Roman"/>
          <w:szCs w:val="24"/>
        </w:rPr>
        <w:t>o</w:t>
      </w:r>
      <w:r w:rsidRPr="00344FD1">
        <w:rPr>
          <w:rFonts w:eastAsia="Times New Roman" w:cs="Times New Roman"/>
          <w:szCs w:val="24"/>
          <w:highlight w:val="yellow"/>
        </w:rPr>
        <w:t>lving</w:t>
      </w:r>
      <w:r w:rsidRPr="00344FD1">
        <w:rPr>
          <w:rFonts w:eastAsia="Times New Roman" w:cs="Times New Roman"/>
          <w:szCs w:val="24"/>
        </w:rPr>
        <w:t xml:space="preserve"> 11 respondents, </w:t>
      </w:r>
      <w:r w:rsidRPr="00344FD1">
        <w:rPr>
          <w:rFonts w:eastAsia="Times New Roman" w:cs="Times New Roman"/>
          <w:szCs w:val="24"/>
          <w:highlight w:val="yellow"/>
        </w:rPr>
        <w:t>r</w:t>
      </w:r>
      <w:r w:rsidRPr="00344FD1">
        <w:rPr>
          <w:rFonts w:eastAsia="Times New Roman" w:cs="Times New Roman"/>
          <w:szCs w:val="24"/>
        </w:rPr>
        <w:t>ep</w:t>
      </w:r>
      <w:r w:rsidRPr="00344FD1">
        <w:rPr>
          <w:rFonts w:eastAsia="Times New Roman" w:cs="Times New Roman"/>
          <w:szCs w:val="24"/>
          <w:highlight w:val="yellow"/>
        </w:rPr>
        <w:t>resenting</w:t>
      </w:r>
      <w:r w:rsidRPr="00344FD1">
        <w:rPr>
          <w:rFonts w:eastAsia="Times New Roman" w:cs="Times New Roman"/>
          <w:szCs w:val="24"/>
        </w:rPr>
        <w:t xml:space="preserve"> 10% of the </w:t>
      </w:r>
      <w:r w:rsidRPr="00344FD1">
        <w:rPr>
          <w:rFonts w:eastAsia="Times New Roman" w:cs="Times New Roman"/>
          <w:szCs w:val="24"/>
          <w:highlight w:val="yellow"/>
        </w:rPr>
        <w:t>sampl</w:t>
      </w:r>
      <w:r w:rsidRPr="00344FD1">
        <w:rPr>
          <w:rFonts w:eastAsia="Times New Roman" w:cs="Times New Roman"/>
          <w:szCs w:val="24"/>
        </w:rPr>
        <w:t>e</w:t>
      </w:r>
      <w:r w:rsidRPr="00344FD1">
        <w:rPr>
          <w:rFonts w:eastAsia="Times New Roman" w:cs="Times New Roman"/>
          <w:szCs w:val="24"/>
          <w:highlight w:val="yellow"/>
        </w:rPr>
        <w:t>, wa</w:t>
      </w:r>
      <w:r w:rsidRPr="00344FD1">
        <w:rPr>
          <w:rFonts w:eastAsia="Times New Roman" w:cs="Times New Roman"/>
          <w:szCs w:val="24"/>
        </w:rPr>
        <w:t>s</w:t>
      </w:r>
      <w:r w:rsidRPr="00344FD1">
        <w:rPr>
          <w:rFonts w:eastAsia="Times New Roman" w:cs="Times New Roman"/>
          <w:szCs w:val="24"/>
          <w:highlight w:val="yellow"/>
        </w:rPr>
        <w:t xml:space="preserve"> c</w:t>
      </w:r>
      <w:r w:rsidRPr="00344FD1">
        <w:rPr>
          <w:rFonts w:eastAsia="Times New Roman" w:cs="Times New Roman"/>
          <w:szCs w:val="24"/>
        </w:rPr>
        <w:t>ond</w:t>
      </w:r>
      <w:r w:rsidRPr="00344FD1">
        <w:rPr>
          <w:rFonts w:eastAsia="Times New Roman" w:cs="Times New Roman"/>
          <w:szCs w:val="24"/>
          <w:highlight w:val="yellow"/>
        </w:rPr>
        <w:t>uct</w:t>
      </w:r>
      <w:r w:rsidRPr="00344FD1">
        <w:rPr>
          <w:rFonts w:eastAsia="Times New Roman" w:cs="Times New Roman"/>
          <w:szCs w:val="24"/>
        </w:rPr>
        <w:t xml:space="preserve">ed before the main </w:t>
      </w:r>
      <w:r w:rsidRPr="00344FD1">
        <w:rPr>
          <w:rFonts w:eastAsia="Times New Roman" w:cs="Times New Roman"/>
          <w:szCs w:val="24"/>
          <w:highlight w:val="yellow"/>
        </w:rPr>
        <w:t xml:space="preserve">study. These </w:t>
      </w:r>
      <w:r w:rsidRPr="00344FD1">
        <w:rPr>
          <w:rFonts w:eastAsia="Times New Roman" w:cs="Times New Roman"/>
          <w:szCs w:val="24"/>
        </w:rPr>
        <w:t>res</w:t>
      </w:r>
      <w:r w:rsidRPr="00344FD1">
        <w:rPr>
          <w:rFonts w:eastAsia="Times New Roman" w:cs="Times New Roman"/>
          <w:szCs w:val="24"/>
          <w:highlight w:val="yellow"/>
        </w:rPr>
        <w:t>po</w:t>
      </w:r>
      <w:r w:rsidRPr="00344FD1">
        <w:rPr>
          <w:rFonts w:eastAsia="Times New Roman" w:cs="Times New Roman"/>
          <w:szCs w:val="24"/>
        </w:rPr>
        <w:t>nd</w:t>
      </w:r>
      <w:r w:rsidRPr="00344FD1">
        <w:rPr>
          <w:rFonts w:eastAsia="Times New Roman" w:cs="Times New Roman"/>
          <w:szCs w:val="24"/>
          <w:highlight w:val="yellow"/>
        </w:rPr>
        <w:t>ents</w:t>
      </w:r>
      <w:r w:rsidRPr="00344FD1">
        <w:rPr>
          <w:rFonts w:eastAsia="Times New Roman" w:cs="Times New Roman"/>
          <w:szCs w:val="24"/>
        </w:rPr>
        <w:t xml:space="preserve"> </w:t>
      </w:r>
      <w:r w:rsidRPr="00344FD1">
        <w:rPr>
          <w:rFonts w:eastAsia="Times New Roman" w:cs="Times New Roman"/>
          <w:szCs w:val="24"/>
          <w:highlight w:val="yellow"/>
        </w:rPr>
        <w:t>we</w:t>
      </w:r>
      <w:r w:rsidRPr="00344FD1">
        <w:rPr>
          <w:rFonts w:eastAsia="Times New Roman" w:cs="Times New Roman"/>
          <w:szCs w:val="24"/>
        </w:rPr>
        <w:t>r</w:t>
      </w:r>
      <w:r w:rsidRPr="00344FD1">
        <w:rPr>
          <w:rFonts w:eastAsia="Times New Roman" w:cs="Times New Roman"/>
          <w:szCs w:val="24"/>
          <w:highlight w:val="yellow"/>
        </w:rPr>
        <w:t>e exclud</w:t>
      </w:r>
      <w:r w:rsidRPr="00344FD1">
        <w:rPr>
          <w:rFonts w:eastAsia="Times New Roman" w:cs="Times New Roman"/>
          <w:szCs w:val="24"/>
        </w:rPr>
        <w:t xml:space="preserve">ed </w:t>
      </w:r>
      <w:r w:rsidRPr="00344FD1">
        <w:rPr>
          <w:rFonts w:eastAsia="Times New Roman" w:cs="Times New Roman"/>
          <w:szCs w:val="24"/>
          <w:highlight w:val="yellow"/>
        </w:rPr>
        <w:t>from the m</w:t>
      </w:r>
      <w:r w:rsidRPr="00344FD1">
        <w:rPr>
          <w:rFonts w:eastAsia="Times New Roman" w:cs="Times New Roman"/>
          <w:szCs w:val="24"/>
        </w:rPr>
        <w:t>a</w:t>
      </w:r>
      <w:r w:rsidRPr="00344FD1">
        <w:rPr>
          <w:rFonts w:eastAsia="Times New Roman" w:cs="Times New Roman"/>
          <w:szCs w:val="24"/>
          <w:highlight w:val="yellow"/>
        </w:rPr>
        <w:t>in s</w:t>
      </w:r>
      <w:r w:rsidRPr="00344FD1">
        <w:rPr>
          <w:rFonts w:eastAsia="Times New Roman" w:cs="Times New Roman"/>
          <w:szCs w:val="24"/>
        </w:rPr>
        <w:t>t</w:t>
      </w:r>
      <w:r w:rsidRPr="00344FD1">
        <w:rPr>
          <w:rFonts w:eastAsia="Times New Roman" w:cs="Times New Roman"/>
          <w:szCs w:val="24"/>
          <w:highlight w:val="yellow"/>
        </w:rPr>
        <w:t>udy</w:t>
      </w:r>
      <w:r w:rsidRPr="00344FD1">
        <w:rPr>
          <w:rFonts w:eastAsia="Times New Roman" w:cs="Times New Roman"/>
          <w:szCs w:val="24"/>
        </w:rPr>
        <w:t xml:space="preserve"> to a</w:t>
      </w:r>
      <w:r w:rsidRPr="00344FD1">
        <w:rPr>
          <w:rFonts w:eastAsia="Times New Roman" w:cs="Times New Roman"/>
          <w:szCs w:val="24"/>
          <w:highlight w:val="yellow"/>
        </w:rPr>
        <w:t>ss</w:t>
      </w:r>
      <w:r w:rsidRPr="00344FD1">
        <w:rPr>
          <w:rFonts w:eastAsia="Times New Roman" w:cs="Times New Roman"/>
          <w:szCs w:val="24"/>
        </w:rPr>
        <w:t>e</w:t>
      </w:r>
      <w:r w:rsidRPr="00344FD1">
        <w:rPr>
          <w:rFonts w:eastAsia="Times New Roman" w:cs="Times New Roman"/>
          <w:szCs w:val="24"/>
          <w:highlight w:val="yellow"/>
        </w:rPr>
        <w:t>ss</w:t>
      </w:r>
      <w:r w:rsidRPr="00344FD1">
        <w:rPr>
          <w:rFonts w:eastAsia="Times New Roman" w:cs="Times New Roman"/>
          <w:szCs w:val="24"/>
        </w:rPr>
        <w:t xml:space="preserve"> the reliability of the research instrument. Cronbach's </w:t>
      </w:r>
      <w:r w:rsidRPr="00344FD1">
        <w:rPr>
          <w:rFonts w:eastAsia="Times New Roman" w:cs="Times New Roman"/>
          <w:szCs w:val="24"/>
          <w:highlight w:val="yellow"/>
        </w:rPr>
        <w:t>a</w:t>
      </w:r>
      <w:r w:rsidRPr="00344FD1">
        <w:rPr>
          <w:rFonts w:eastAsia="Times New Roman" w:cs="Times New Roman"/>
          <w:szCs w:val="24"/>
        </w:rPr>
        <w:t xml:space="preserve">lpha </w:t>
      </w:r>
      <w:r w:rsidRPr="00344FD1">
        <w:rPr>
          <w:rFonts w:eastAsia="Times New Roman" w:cs="Times New Roman"/>
          <w:szCs w:val="24"/>
          <w:highlight w:val="yellow"/>
        </w:rPr>
        <w:t>c</w:t>
      </w:r>
      <w:r w:rsidRPr="00344FD1">
        <w:rPr>
          <w:rFonts w:eastAsia="Times New Roman" w:cs="Times New Roman"/>
          <w:szCs w:val="24"/>
        </w:rPr>
        <w:t>oefficient</w:t>
      </w:r>
      <w:r w:rsidRPr="00344FD1">
        <w:rPr>
          <w:rFonts w:eastAsia="Times New Roman" w:cs="Times New Roman"/>
          <w:szCs w:val="24"/>
          <w:highlight w:val="yellow"/>
        </w:rPr>
        <w:t xml:space="preserve"> was used</w:t>
      </w:r>
      <w:r w:rsidRPr="00344FD1">
        <w:rPr>
          <w:rFonts w:eastAsia="Times New Roman" w:cs="Times New Roman"/>
          <w:szCs w:val="24"/>
        </w:rPr>
        <w:t xml:space="preserve">, with a threshold of 0.7 </w:t>
      </w:r>
      <w:r w:rsidRPr="00344FD1">
        <w:rPr>
          <w:rFonts w:eastAsia="Times New Roman" w:cs="Times New Roman"/>
          <w:szCs w:val="24"/>
          <w:highlight w:val="yellow"/>
        </w:rPr>
        <w:t>or</w:t>
      </w:r>
      <w:r w:rsidRPr="00344FD1">
        <w:rPr>
          <w:rFonts w:eastAsia="Times New Roman" w:cs="Times New Roman"/>
          <w:szCs w:val="24"/>
        </w:rPr>
        <w:t xml:space="preserve"> above considered acceptable (Mugenda &amp; Mugenda, 2019)</w:t>
      </w:r>
      <w:r w:rsidRPr="00344FD1">
        <w:rPr>
          <w:rFonts w:eastAsia="Times New Roman" w:cs="Times New Roman"/>
          <w:szCs w:val="24"/>
          <w:highlight w:val="yellow"/>
        </w:rPr>
        <w:t>,</w:t>
      </w:r>
      <w:r w:rsidRPr="00344FD1">
        <w:rPr>
          <w:rFonts w:eastAsia="Times New Roman" w:cs="Times New Roman"/>
          <w:szCs w:val="24"/>
        </w:rPr>
        <w:t xml:space="preserve"> as</w:t>
      </w:r>
      <w:r w:rsidRPr="00344FD1">
        <w:rPr>
          <w:rFonts w:eastAsia="Times New Roman" w:cs="Times New Roman"/>
          <w:szCs w:val="24"/>
          <w:highlight w:val="yellow"/>
        </w:rPr>
        <w:t xml:space="preserve"> shown</w:t>
      </w:r>
      <w:r w:rsidRPr="00344FD1">
        <w:rPr>
          <w:rFonts w:eastAsia="Times New Roman" w:cs="Times New Roman"/>
          <w:szCs w:val="24"/>
        </w:rPr>
        <w:t xml:space="preserve"> in Table 2.</w:t>
      </w:r>
    </w:p>
    <w:p w14:paraId="3F4293A5" w14:textId="77777777" w:rsidR="00C852EB" w:rsidRPr="00344FD1" w:rsidRDefault="00C852EB" w:rsidP="00C852EB">
      <w:bookmarkStart w:id="2" w:name="_Toc230361170"/>
      <w:r w:rsidRPr="00344FD1">
        <w:t>Table 2: Cronbach's Alpha Reliability Coefficients</w:t>
      </w:r>
      <w:bookmarkEnd w:id="2"/>
    </w:p>
    <w:tbl>
      <w:tblPr>
        <w:tblStyle w:val="PlainTable21"/>
        <w:tblW w:w="7200" w:type="dxa"/>
        <w:tblLook w:val="04A0" w:firstRow="1" w:lastRow="0" w:firstColumn="1" w:lastColumn="0" w:noHBand="0" w:noVBand="1"/>
      </w:tblPr>
      <w:tblGrid>
        <w:gridCol w:w="3600"/>
        <w:gridCol w:w="1800"/>
        <w:gridCol w:w="1800"/>
      </w:tblGrid>
      <w:tr w:rsidR="00C852EB" w:rsidRPr="00344FD1" w14:paraId="29517124" w14:textId="77777777" w:rsidTr="00DB2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7826EEDD" w14:textId="77777777" w:rsidR="00C852EB" w:rsidRPr="00344FD1" w:rsidRDefault="00C852EB" w:rsidP="00C852EB">
            <w:pPr>
              <w:spacing w:before="0" w:line="240" w:lineRule="auto"/>
              <w:jc w:val="left"/>
            </w:pPr>
            <w:r w:rsidRPr="00344FD1">
              <w:t>Variable</w:t>
            </w:r>
          </w:p>
        </w:tc>
        <w:tc>
          <w:tcPr>
            <w:tcW w:w="1800" w:type="dxa"/>
          </w:tcPr>
          <w:p w14:paraId="08A690E5" w14:textId="77777777" w:rsidR="00C852EB" w:rsidRPr="00344FD1" w:rsidRDefault="00C852EB" w:rsidP="00C852EB">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344FD1">
              <w:t>No. of Items</w:t>
            </w:r>
          </w:p>
        </w:tc>
        <w:tc>
          <w:tcPr>
            <w:tcW w:w="1800" w:type="dxa"/>
          </w:tcPr>
          <w:p w14:paraId="7911575D" w14:textId="77777777" w:rsidR="00C852EB" w:rsidRPr="00344FD1" w:rsidRDefault="00C852EB" w:rsidP="00C852EB">
            <w:pPr>
              <w:spacing w:before="0" w:line="240" w:lineRule="auto"/>
              <w:jc w:val="center"/>
              <w:cnfStyle w:val="100000000000" w:firstRow="1" w:lastRow="0" w:firstColumn="0" w:lastColumn="0" w:oddVBand="0" w:evenVBand="0" w:oddHBand="0" w:evenHBand="0" w:firstRowFirstColumn="0" w:firstRowLastColumn="0" w:lastRowFirstColumn="0" w:lastRowLastColumn="0"/>
            </w:pPr>
            <w:r w:rsidRPr="00344FD1">
              <w:t>Cronbach's Alpha</w:t>
            </w:r>
          </w:p>
        </w:tc>
      </w:tr>
      <w:tr w:rsidR="00C852EB" w:rsidRPr="00344FD1" w14:paraId="58C8F45A"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346E2A5A" w14:textId="77777777" w:rsidR="00C852EB" w:rsidRPr="00344FD1" w:rsidRDefault="00C852EB" w:rsidP="00C852EB">
            <w:pPr>
              <w:spacing w:before="0" w:line="240" w:lineRule="auto"/>
              <w:jc w:val="left"/>
            </w:pPr>
            <w:r w:rsidRPr="00344FD1">
              <w:t>Strategic Planning</w:t>
            </w:r>
          </w:p>
        </w:tc>
        <w:tc>
          <w:tcPr>
            <w:tcW w:w="1800" w:type="dxa"/>
          </w:tcPr>
          <w:p w14:paraId="015B81FC"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8</w:t>
            </w:r>
          </w:p>
        </w:tc>
        <w:tc>
          <w:tcPr>
            <w:tcW w:w="1800" w:type="dxa"/>
          </w:tcPr>
          <w:p w14:paraId="2E96585F"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0.812</w:t>
            </w:r>
          </w:p>
        </w:tc>
      </w:tr>
      <w:tr w:rsidR="00C852EB" w:rsidRPr="00344FD1" w14:paraId="5EE09B47" w14:textId="77777777" w:rsidTr="00DB295D">
        <w:tc>
          <w:tcPr>
            <w:cnfStyle w:val="001000000000" w:firstRow="0" w:lastRow="0" w:firstColumn="1" w:lastColumn="0" w:oddVBand="0" w:evenVBand="0" w:oddHBand="0" w:evenHBand="0" w:firstRowFirstColumn="0" w:firstRowLastColumn="0" w:lastRowFirstColumn="0" w:lastRowLastColumn="0"/>
            <w:tcW w:w="3600" w:type="dxa"/>
          </w:tcPr>
          <w:p w14:paraId="3052FCBF" w14:textId="77777777" w:rsidR="00C852EB" w:rsidRPr="00344FD1" w:rsidRDefault="00C852EB" w:rsidP="00C852EB">
            <w:pPr>
              <w:spacing w:before="0" w:line="240" w:lineRule="auto"/>
              <w:jc w:val="left"/>
            </w:pPr>
            <w:r w:rsidRPr="00344FD1">
              <w:t>Strategic Leadership</w:t>
            </w:r>
          </w:p>
        </w:tc>
        <w:tc>
          <w:tcPr>
            <w:tcW w:w="1800" w:type="dxa"/>
          </w:tcPr>
          <w:p w14:paraId="7AB6F7A9"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9</w:t>
            </w:r>
          </w:p>
        </w:tc>
        <w:tc>
          <w:tcPr>
            <w:tcW w:w="1800" w:type="dxa"/>
          </w:tcPr>
          <w:p w14:paraId="58480B26"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0.834</w:t>
            </w:r>
          </w:p>
        </w:tc>
      </w:tr>
      <w:tr w:rsidR="00C852EB" w:rsidRPr="00344FD1" w14:paraId="4C08A652"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69B1D0E7" w14:textId="77777777" w:rsidR="00C852EB" w:rsidRPr="00344FD1" w:rsidRDefault="00C852EB" w:rsidP="00C852EB">
            <w:pPr>
              <w:spacing w:before="0" w:line="240" w:lineRule="auto"/>
              <w:jc w:val="left"/>
            </w:pPr>
            <w:r w:rsidRPr="00344FD1">
              <w:t>Resource Allocation</w:t>
            </w:r>
          </w:p>
        </w:tc>
        <w:tc>
          <w:tcPr>
            <w:tcW w:w="1800" w:type="dxa"/>
          </w:tcPr>
          <w:p w14:paraId="65A80D26"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9</w:t>
            </w:r>
          </w:p>
        </w:tc>
        <w:tc>
          <w:tcPr>
            <w:tcW w:w="1800" w:type="dxa"/>
          </w:tcPr>
          <w:p w14:paraId="7B0D65D5"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pPr>
            <w:r w:rsidRPr="00344FD1">
              <w:t>0.798</w:t>
            </w:r>
          </w:p>
        </w:tc>
      </w:tr>
      <w:tr w:rsidR="00C852EB" w:rsidRPr="00344FD1" w14:paraId="6075DC84" w14:textId="77777777" w:rsidTr="00DB295D">
        <w:tc>
          <w:tcPr>
            <w:cnfStyle w:val="001000000000" w:firstRow="0" w:lastRow="0" w:firstColumn="1" w:lastColumn="0" w:oddVBand="0" w:evenVBand="0" w:oddHBand="0" w:evenHBand="0" w:firstRowFirstColumn="0" w:firstRowLastColumn="0" w:lastRowFirstColumn="0" w:lastRowLastColumn="0"/>
            <w:tcW w:w="3600" w:type="dxa"/>
          </w:tcPr>
          <w:p w14:paraId="02E18111" w14:textId="77777777" w:rsidR="00C852EB" w:rsidRPr="00344FD1" w:rsidRDefault="00C852EB" w:rsidP="00C852EB">
            <w:pPr>
              <w:spacing w:before="0" w:line="240" w:lineRule="auto"/>
              <w:jc w:val="left"/>
            </w:pPr>
            <w:r w:rsidRPr="00344FD1">
              <w:t>Positioning Strategies</w:t>
            </w:r>
          </w:p>
        </w:tc>
        <w:tc>
          <w:tcPr>
            <w:tcW w:w="1800" w:type="dxa"/>
          </w:tcPr>
          <w:p w14:paraId="20212485"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9</w:t>
            </w:r>
          </w:p>
        </w:tc>
        <w:tc>
          <w:tcPr>
            <w:tcW w:w="1800" w:type="dxa"/>
          </w:tcPr>
          <w:p w14:paraId="3282D6C4" w14:textId="77777777" w:rsidR="00C852EB" w:rsidRPr="00344FD1" w:rsidRDefault="00C852EB" w:rsidP="00C852EB">
            <w:pPr>
              <w:spacing w:before="0" w:line="240" w:lineRule="auto"/>
              <w:jc w:val="center"/>
              <w:cnfStyle w:val="000000000000" w:firstRow="0" w:lastRow="0" w:firstColumn="0" w:lastColumn="0" w:oddVBand="0" w:evenVBand="0" w:oddHBand="0" w:evenHBand="0" w:firstRowFirstColumn="0" w:firstRowLastColumn="0" w:lastRowFirstColumn="0" w:lastRowLastColumn="0"/>
            </w:pPr>
            <w:r w:rsidRPr="00344FD1">
              <w:t>0.821</w:t>
            </w:r>
          </w:p>
        </w:tc>
      </w:tr>
      <w:tr w:rsidR="00C852EB" w:rsidRPr="00344FD1" w14:paraId="1B7E9B0E" w14:textId="77777777" w:rsidTr="00DB2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0" w:type="dxa"/>
          </w:tcPr>
          <w:p w14:paraId="2499A074" w14:textId="77777777" w:rsidR="00C852EB" w:rsidRPr="00344FD1" w:rsidRDefault="00C852EB" w:rsidP="00C852EB">
            <w:pPr>
              <w:spacing w:before="0" w:line="240" w:lineRule="auto"/>
              <w:jc w:val="left"/>
            </w:pPr>
            <w:r w:rsidRPr="00344FD1">
              <w:t>Competitiveness</w:t>
            </w:r>
          </w:p>
        </w:tc>
        <w:tc>
          <w:tcPr>
            <w:tcW w:w="1800" w:type="dxa"/>
          </w:tcPr>
          <w:p w14:paraId="34AD3638"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rPr>
                <w:b/>
              </w:rPr>
            </w:pPr>
            <w:r w:rsidRPr="00344FD1">
              <w:rPr>
                <w:b/>
              </w:rPr>
              <w:t>10</w:t>
            </w:r>
          </w:p>
        </w:tc>
        <w:tc>
          <w:tcPr>
            <w:tcW w:w="1800" w:type="dxa"/>
          </w:tcPr>
          <w:p w14:paraId="7405BF08" w14:textId="77777777" w:rsidR="00C852EB" w:rsidRPr="00344FD1" w:rsidRDefault="00C852EB" w:rsidP="00C852EB">
            <w:pPr>
              <w:spacing w:before="0" w:line="240" w:lineRule="auto"/>
              <w:jc w:val="center"/>
              <w:cnfStyle w:val="000000100000" w:firstRow="0" w:lastRow="0" w:firstColumn="0" w:lastColumn="0" w:oddVBand="0" w:evenVBand="0" w:oddHBand="1" w:evenHBand="0" w:firstRowFirstColumn="0" w:firstRowLastColumn="0" w:lastRowFirstColumn="0" w:lastRowLastColumn="0"/>
              <w:rPr>
                <w:b/>
              </w:rPr>
            </w:pPr>
            <w:r w:rsidRPr="00344FD1">
              <w:rPr>
                <w:b/>
              </w:rPr>
              <w:t>0.846</w:t>
            </w:r>
          </w:p>
        </w:tc>
      </w:tr>
    </w:tbl>
    <w:p w14:paraId="630F3962" w14:textId="77777777" w:rsidR="00C852EB" w:rsidRPr="00344FD1" w:rsidRDefault="00C852EB" w:rsidP="00C852EB">
      <w:pPr>
        <w:spacing w:before="60" w:after="160" w:line="240" w:lineRule="auto"/>
        <w:jc w:val="left"/>
        <w:rPr>
          <w:rFonts w:eastAsia="Times New Roman" w:cs="Times New Roman"/>
          <w:szCs w:val="24"/>
        </w:rPr>
      </w:pPr>
      <w:r w:rsidRPr="00344FD1">
        <w:rPr>
          <w:rFonts w:eastAsia="Times New Roman" w:cs="Times New Roman"/>
          <w:i/>
          <w:iCs/>
          <w:szCs w:val="24"/>
        </w:rPr>
        <w:t>Source: Survey Data (2026)</w:t>
      </w:r>
    </w:p>
    <w:p w14:paraId="5A194183" w14:textId="77777777" w:rsidR="00BF3783" w:rsidRPr="00344FD1" w:rsidRDefault="00BF3783" w:rsidP="00BF3783">
      <w:pPr>
        <w:spacing w:before="0" w:line="240" w:lineRule="auto"/>
      </w:pPr>
    </w:p>
    <w:p w14:paraId="15F3216C" w14:textId="77777777" w:rsidR="00C852EB" w:rsidRPr="00344FD1" w:rsidRDefault="00C852EB" w:rsidP="0030195B">
      <w:pPr>
        <w:rPr>
          <w:b/>
        </w:rPr>
      </w:pPr>
      <w:r w:rsidRPr="00344FD1">
        <w:rPr>
          <w:b/>
        </w:rPr>
        <w:t>Correlation Analysis</w:t>
      </w:r>
    </w:p>
    <w:p w14:paraId="2B55F61E" w14:textId="77777777" w:rsidR="00C852EB" w:rsidRPr="00344FD1" w:rsidRDefault="00C852EB" w:rsidP="00C852EB">
      <w:pPr>
        <w:pStyle w:val="NormalWeb"/>
      </w:pPr>
      <w:r w:rsidRPr="00344FD1">
        <w:t>Pearson correlation analysis was conducted to establish the strength and direction of relationships between strategic planning, strategic leadership, resource allocation, positioning strategies, and competitiveness. As shown in Table 3, all four independent variables had positive and statistically significant relationships with competitiveness at the 0.01 level. Positioning strategies recorded the strongest correlation with competitiveness (r = 0.712), followed by strategic planning (r = 0.693), strategic leadership (r = 0.671), and resource allocation (r = 0.648). These findings demonstrate that the strategic management practices were associated with supermarket competitiveness. The planning-related findings are broadly consistent with evidence from Kenyan supermarkets (Kanano &amp; Wanjira, 2021; Nyary &amp; Wainaina, 2025). Such associations should not, however, be interpreted as establishing causality.</w:t>
      </w:r>
      <w:r w:rsidR="0030195B" w:rsidRPr="00344FD1"/>
      <w:r w:rsidRPr="00344FD1"/>
      <w:proofErr w:type="spellStart"/>
      <w:r w:rsidRPr="00344FD1"/>
      <w:proofErr w:type="spellEnd"/>
      <w:r w:rsidRPr="00344FD1"/>
      <w:proofErr w:type="spellStart"/>
      <w:r w:rsidRPr="00344FD1"/>
      <w:r w:rsidRPr="00344FD1">
        <w:rPr>
          <w:highlight w:val="yellow"/>
        </w:rPr>
      </w:r>
      <w:r w:rsidRPr="00344FD1"/>
      <w:proofErr w:type="spellEnd"/>
      <w:r w:rsidRPr="00344FD1"/>
    </w:p>
    <w:p w14:paraId="1BCF9420" w14:textId="77777777" w:rsidR="00C852EB" w:rsidRPr="00344FD1" w:rsidRDefault="00C852EB" w:rsidP="00C852EB">
      <w:pPr>
        <w:pStyle w:val="NormalWeb"/>
      </w:pPr>
      <w:r w:rsidRPr="00344FD1">
        <w:rPr>
          <w:rStyle w:val="Strong"/>
        </w:rPr>
        <w:t xml:space="preserve">Table </w:t>
      </w:r>
      <w:r w:rsidR="0030195B" w:rsidRPr="00344FD1">
        <w:rPr>
          <w:rStyle w:val="Strong"/>
        </w:rPr>
        <w:t>3</w:t>
      </w:r>
      <w:r w:rsidRPr="00344FD1">
        <w:rPr>
          <w:rStyle w:val="Strong"/>
        </w:rPr>
        <w:t>: Pearson Correlation Matrix</w:t>
      </w:r>
    </w:p>
    <w:tbl>
      <w:tblPr>
        <w:tblStyle w:val="TableGrid1"/>
        <w:tblW w:w="0" w:type="auto"/>
        <w:tblLook w:val="04A0" w:firstRow="1" w:lastRow="0" w:firstColumn="1" w:lastColumn="0" w:noHBand="0" w:noVBand="1"/>
      </w:tblPr>
      <w:tblGrid>
        <w:gridCol w:w="2316"/>
        <w:gridCol w:w="876"/>
        <w:gridCol w:w="876"/>
        <w:gridCol w:w="876"/>
        <w:gridCol w:w="876"/>
        <w:gridCol w:w="756"/>
      </w:tblGrid>
      <w:tr w:rsidR="00C852EB" w:rsidRPr="00344FD1" w14:paraId="68946B6F" w14:textId="77777777" w:rsidTr="0030195B">
        <w:tc>
          <w:tcPr>
            <w:tcW w:w="0" w:type="auto"/>
            <w:hideMark/>
          </w:tcPr>
          <w:p w14:paraId="05723E16" w14:textId="77777777" w:rsidR="00C852EB" w:rsidRPr="00344FD1" w:rsidRDefault="00C852EB" w:rsidP="0030195B">
            <w:pPr>
              <w:spacing w:line="240" w:lineRule="auto"/>
              <w:jc w:val="center"/>
              <w:rPr>
                <w:b/>
                <w:bCs/>
              </w:rPr>
            </w:pPr>
            <w:r w:rsidRPr="00344FD1">
              <w:rPr>
                <w:b/>
                <w:bCs/>
              </w:rPr>
              <w:t>Variable</w:t>
            </w:r>
          </w:p>
        </w:tc>
        <w:tc>
          <w:tcPr>
            <w:tcW w:w="0" w:type="auto"/>
            <w:hideMark/>
          </w:tcPr>
          <w:p w14:paraId="0AC476C9" w14:textId="77777777" w:rsidR="00C852EB" w:rsidRPr="00344FD1" w:rsidRDefault="00C852EB" w:rsidP="0030195B">
            <w:pPr>
              <w:spacing w:line="240" w:lineRule="auto"/>
              <w:jc w:val="right"/>
              <w:rPr>
                <w:b/>
                <w:bCs/>
              </w:rPr>
            </w:pPr>
            <w:r w:rsidRPr="00344FD1">
              <w:rPr>
                <w:b/>
                <w:bCs/>
                <w:sz w:val="17"/>
              </w:rPr>
              <w:t>1</w:t>
            </w:r>
          </w:p>
        </w:tc>
        <w:tc>
          <w:tcPr>
            <w:tcW w:w="0" w:type="auto"/>
            <w:hideMark/>
          </w:tcPr>
          <w:p w14:paraId="2E0DB79D" w14:textId="77777777" w:rsidR="00C852EB" w:rsidRPr="00344FD1" w:rsidRDefault="00C852EB" w:rsidP="0030195B">
            <w:pPr>
              <w:spacing w:line="240" w:lineRule="auto"/>
              <w:jc w:val="right"/>
              <w:rPr>
                <w:b/>
                <w:bCs/>
              </w:rPr>
            </w:pPr>
            <w:r w:rsidRPr="00344FD1">
              <w:rPr>
                <w:b/>
                <w:bCs/>
                <w:sz w:val="17"/>
              </w:rPr>
              <w:t>2</w:t>
            </w:r>
          </w:p>
        </w:tc>
        <w:tc>
          <w:tcPr>
            <w:tcW w:w="0" w:type="auto"/>
            <w:hideMark/>
          </w:tcPr>
          <w:p w14:paraId="5F49DD85" w14:textId="77777777" w:rsidR="00C852EB" w:rsidRPr="00344FD1" w:rsidRDefault="00C852EB" w:rsidP="0030195B">
            <w:pPr>
              <w:spacing w:line="240" w:lineRule="auto"/>
              <w:jc w:val="right"/>
              <w:rPr>
                <w:b/>
                <w:bCs/>
              </w:rPr>
            </w:pPr>
            <w:r w:rsidRPr="00344FD1">
              <w:rPr>
                <w:b/>
                <w:bCs/>
                <w:sz w:val="17"/>
              </w:rPr>
              <w:t>3</w:t>
            </w:r>
          </w:p>
        </w:tc>
        <w:tc>
          <w:tcPr>
            <w:tcW w:w="0" w:type="auto"/>
            <w:hideMark/>
          </w:tcPr>
          <w:p w14:paraId="2FC42F34" w14:textId="77777777" w:rsidR="00C852EB" w:rsidRPr="00344FD1" w:rsidRDefault="00C852EB" w:rsidP="0030195B">
            <w:pPr>
              <w:spacing w:line="240" w:lineRule="auto"/>
              <w:jc w:val="right"/>
              <w:rPr>
                <w:b/>
                <w:bCs/>
              </w:rPr>
            </w:pPr>
            <w:r w:rsidRPr="00344FD1">
              <w:rPr>
                <w:b/>
                <w:bCs/>
                <w:sz w:val="17"/>
              </w:rPr>
              <w:t>4</w:t>
            </w:r>
          </w:p>
        </w:tc>
        <w:tc>
          <w:tcPr>
            <w:tcW w:w="0" w:type="auto"/>
            <w:hideMark/>
          </w:tcPr>
          <w:p w14:paraId="1453A959" w14:textId="77777777" w:rsidR="00C852EB" w:rsidRPr="00344FD1" w:rsidRDefault="00C852EB" w:rsidP="0030195B">
            <w:pPr>
              <w:spacing w:line="240" w:lineRule="auto"/>
              <w:jc w:val="right"/>
              <w:rPr>
                <w:b/>
                <w:bCs/>
              </w:rPr>
            </w:pPr>
            <w:r w:rsidRPr="00344FD1">
              <w:rPr>
                <w:b/>
                <w:bCs/>
                <w:sz w:val="17"/>
              </w:rPr>
              <w:t>5</w:t>
            </w:r>
          </w:p>
        </w:tc>
      </w:tr>
      <w:tr w:rsidR="00C852EB" w:rsidRPr="00344FD1" w14:paraId="190DBFD9" w14:textId="77777777" w:rsidTr="0030195B">
        <w:tc>
          <w:tcPr>
            <w:tcW w:w="0" w:type="auto"/>
            <w:hideMark/>
          </w:tcPr>
          <w:p w14:paraId="20EA72B1" w14:textId="77777777" w:rsidR="00C852EB" w:rsidRPr="00344FD1" w:rsidRDefault="00C852EB" w:rsidP="0030195B">
            <w:pPr>
              <w:spacing w:line="240" w:lineRule="auto"/>
              <w:jc w:val="left"/>
            </w:pPr>
            <w:r w:rsidRPr="00344FD1">
              <w:t>Strategic Planning</w:t>
            </w:r>
          </w:p>
        </w:tc>
        <w:tc>
          <w:tcPr>
            <w:tcW w:w="0" w:type="auto"/>
            <w:noWrap/>
            <w:hideMark/>
          </w:tcPr>
          <w:p w14:paraId="5D3EC352" w14:textId="77777777" w:rsidR="00C852EB" w:rsidRPr="00344FD1" w:rsidRDefault="00C852EB" w:rsidP="0030195B">
            <w:pPr>
              <w:spacing w:line="240" w:lineRule="auto"/>
              <w:jc w:val="right"/>
            </w:pPr>
            <w:r w:rsidRPr="00344FD1">
              <w:rPr>
                <w:sz w:val="17"/>
              </w:rPr>
              <w:t>1.000</w:t>
            </w:r>
          </w:p>
        </w:tc>
        <w:tc>
          <w:tcPr>
            <w:tcW w:w="0" w:type="auto"/>
            <w:hideMark/>
          </w:tcPr>
          <w:p w14:paraId="4BD80485" w14:textId="77777777" w:rsidR="00C852EB" w:rsidRPr="00344FD1" w:rsidRDefault="00C852EB" w:rsidP="0030195B">
            <w:pPr>
              <w:spacing w:line="240" w:lineRule="auto"/>
              <w:jc w:val="right"/>
            </w:pPr>
          </w:p>
        </w:tc>
        <w:tc>
          <w:tcPr>
            <w:tcW w:w="0" w:type="auto"/>
            <w:hideMark/>
          </w:tcPr>
          <w:p w14:paraId="39323317" w14:textId="77777777" w:rsidR="00C852EB" w:rsidRPr="00344FD1" w:rsidRDefault="00C852EB" w:rsidP="0030195B">
            <w:pPr>
              <w:spacing w:line="240" w:lineRule="auto"/>
              <w:jc w:val="right"/>
              <w:rPr>
                <w:sz w:val="20"/>
              </w:rPr>
            </w:pPr>
          </w:p>
        </w:tc>
        <w:tc>
          <w:tcPr>
            <w:tcW w:w="0" w:type="auto"/>
            <w:hideMark/>
          </w:tcPr>
          <w:p w14:paraId="55DECBDA" w14:textId="77777777" w:rsidR="00C852EB" w:rsidRPr="00344FD1" w:rsidRDefault="00C852EB" w:rsidP="0030195B">
            <w:pPr>
              <w:spacing w:line="240" w:lineRule="auto"/>
              <w:jc w:val="right"/>
              <w:rPr>
                <w:sz w:val="20"/>
              </w:rPr>
            </w:pPr>
          </w:p>
        </w:tc>
        <w:tc>
          <w:tcPr>
            <w:tcW w:w="0" w:type="auto"/>
            <w:hideMark/>
          </w:tcPr>
          <w:p w14:paraId="5F3F4382" w14:textId="77777777" w:rsidR="00C852EB" w:rsidRPr="00344FD1" w:rsidRDefault="00C852EB" w:rsidP="0030195B">
            <w:pPr>
              <w:spacing w:line="240" w:lineRule="auto"/>
              <w:jc w:val="right"/>
              <w:rPr>
                <w:sz w:val="20"/>
              </w:rPr>
            </w:pPr>
          </w:p>
        </w:tc>
      </w:tr>
      <w:tr w:rsidR="00C852EB" w:rsidRPr="00344FD1" w14:paraId="49D2DD80" w14:textId="77777777" w:rsidTr="0030195B">
        <w:tc>
          <w:tcPr>
            <w:tcW w:w="0" w:type="auto"/>
            <w:hideMark/>
          </w:tcPr>
          <w:p w14:paraId="3F85B7B5" w14:textId="77777777" w:rsidR="00C852EB" w:rsidRPr="00344FD1" w:rsidRDefault="00C852EB" w:rsidP="0030195B">
            <w:pPr>
              <w:spacing w:line="240" w:lineRule="auto"/>
              <w:jc w:val="left"/>
              <w:rPr>
                <w:szCs w:val="24"/>
              </w:rPr>
            </w:pPr>
            <w:r w:rsidRPr="00344FD1">
              <w:t>Strategic Leadership</w:t>
            </w:r>
          </w:p>
        </w:tc>
        <w:tc>
          <w:tcPr>
            <w:tcW w:w="0" w:type="auto"/>
            <w:noWrap/>
            <w:hideMark/>
          </w:tcPr>
          <w:p w14:paraId="07E5665C" w14:textId="77777777" w:rsidR="00C852EB" w:rsidRPr="00344FD1" w:rsidRDefault="00C852EB" w:rsidP="0030195B">
            <w:pPr>
              <w:spacing w:line="240" w:lineRule="auto"/>
              <w:jc w:val="right"/>
            </w:pPr>
            <w:r w:rsidRPr="00344FD1">
              <w:rPr>
                <w:sz w:val="17"/>
              </w:rPr>
              <w:t>.614**</w:t>
            </w:r>
          </w:p>
        </w:tc>
        <w:tc>
          <w:tcPr>
            <w:tcW w:w="0" w:type="auto"/>
            <w:noWrap/>
            <w:hideMark/>
          </w:tcPr>
          <w:p w14:paraId="06949577" w14:textId="77777777" w:rsidR="00C852EB" w:rsidRPr="00344FD1" w:rsidRDefault="00C852EB" w:rsidP="0030195B">
            <w:pPr>
              <w:spacing w:line="240" w:lineRule="auto"/>
              <w:jc w:val="right"/>
            </w:pPr>
            <w:r w:rsidRPr="00344FD1">
              <w:rPr>
                <w:sz w:val="17"/>
              </w:rPr>
              <w:t>1.000</w:t>
            </w:r>
          </w:p>
        </w:tc>
        <w:tc>
          <w:tcPr>
            <w:tcW w:w="0" w:type="auto"/>
            <w:hideMark/>
          </w:tcPr>
          <w:p w14:paraId="0D36B8FF" w14:textId="77777777" w:rsidR="00C852EB" w:rsidRPr="00344FD1" w:rsidRDefault="00C852EB" w:rsidP="0030195B">
            <w:pPr>
              <w:spacing w:line="240" w:lineRule="auto"/>
              <w:jc w:val="right"/>
            </w:pPr>
          </w:p>
        </w:tc>
        <w:tc>
          <w:tcPr>
            <w:tcW w:w="0" w:type="auto"/>
            <w:hideMark/>
          </w:tcPr>
          <w:p w14:paraId="0763BC0C" w14:textId="77777777" w:rsidR="00C852EB" w:rsidRPr="00344FD1" w:rsidRDefault="00C852EB" w:rsidP="0030195B">
            <w:pPr>
              <w:spacing w:line="240" w:lineRule="auto"/>
              <w:jc w:val="right"/>
              <w:rPr>
                <w:sz w:val="20"/>
              </w:rPr>
            </w:pPr>
          </w:p>
        </w:tc>
        <w:tc>
          <w:tcPr>
            <w:tcW w:w="0" w:type="auto"/>
            <w:hideMark/>
          </w:tcPr>
          <w:p w14:paraId="1831CEAF" w14:textId="77777777" w:rsidR="00C852EB" w:rsidRPr="00344FD1" w:rsidRDefault="00C852EB" w:rsidP="0030195B">
            <w:pPr>
              <w:spacing w:line="240" w:lineRule="auto"/>
              <w:jc w:val="right"/>
              <w:rPr>
                <w:sz w:val="20"/>
              </w:rPr>
            </w:pPr>
          </w:p>
        </w:tc>
      </w:tr>
      <w:tr w:rsidR="00C852EB" w:rsidRPr="00344FD1" w14:paraId="0E8B8234" w14:textId="77777777" w:rsidTr="0030195B">
        <w:tc>
          <w:tcPr>
            <w:tcW w:w="0" w:type="auto"/>
            <w:hideMark/>
          </w:tcPr>
          <w:p w14:paraId="39884DBE" w14:textId="77777777" w:rsidR="00C852EB" w:rsidRPr="00344FD1" w:rsidRDefault="00C852EB" w:rsidP="0030195B">
            <w:pPr>
              <w:spacing w:line="240" w:lineRule="auto"/>
              <w:jc w:val="left"/>
              <w:rPr>
                <w:szCs w:val="24"/>
              </w:rPr>
            </w:pPr>
            <w:r w:rsidRPr="00344FD1">
              <w:t>Resource Allocation</w:t>
            </w:r>
          </w:p>
        </w:tc>
        <w:tc>
          <w:tcPr>
            <w:tcW w:w="0" w:type="auto"/>
            <w:noWrap/>
            <w:hideMark/>
          </w:tcPr>
          <w:p w14:paraId="3D1B4E7C" w14:textId="77777777" w:rsidR="00C852EB" w:rsidRPr="00344FD1" w:rsidRDefault="00C852EB" w:rsidP="0030195B">
            <w:pPr>
              <w:spacing w:line="240" w:lineRule="auto"/>
              <w:jc w:val="right"/>
            </w:pPr>
            <w:r w:rsidRPr="00344FD1">
              <w:rPr>
                <w:sz w:val="17"/>
              </w:rPr>
              <w:t>.589**</w:t>
            </w:r>
          </w:p>
        </w:tc>
        <w:tc>
          <w:tcPr>
            <w:tcW w:w="0" w:type="auto"/>
            <w:noWrap/>
            <w:hideMark/>
          </w:tcPr>
          <w:p w14:paraId="5B9ECA6E" w14:textId="77777777" w:rsidR="00C852EB" w:rsidRPr="00344FD1" w:rsidRDefault="00C852EB" w:rsidP="0030195B">
            <w:pPr>
              <w:spacing w:line="240" w:lineRule="auto"/>
              <w:jc w:val="right"/>
            </w:pPr>
            <w:r w:rsidRPr="00344FD1">
              <w:rPr>
                <w:sz w:val="17"/>
              </w:rPr>
              <w:t>.571**</w:t>
            </w:r>
          </w:p>
        </w:tc>
        <w:tc>
          <w:tcPr>
            <w:tcW w:w="0" w:type="auto"/>
            <w:noWrap/>
            <w:hideMark/>
          </w:tcPr>
          <w:p w14:paraId="75C8C090" w14:textId="77777777" w:rsidR="00C852EB" w:rsidRPr="00344FD1" w:rsidRDefault="00C852EB" w:rsidP="0030195B">
            <w:pPr>
              <w:spacing w:line="240" w:lineRule="auto"/>
              <w:jc w:val="right"/>
            </w:pPr>
            <w:r w:rsidRPr="00344FD1">
              <w:rPr>
                <w:sz w:val="17"/>
              </w:rPr>
              <w:t>1.000</w:t>
            </w:r>
          </w:p>
        </w:tc>
        <w:tc>
          <w:tcPr>
            <w:tcW w:w="0" w:type="auto"/>
            <w:hideMark/>
          </w:tcPr>
          <w:p w14:paraId="31905604" w14:textId="77777777" w:rsidR="00C852EB" w:rsidRPr="00344FD1" w:rsidRDefault="00C852EB" w:rsidP="0030195B">
            <w:pPr>
              <w:spacing w:line="240" w:lineRule="auto"/>
              <w:jc w:val="right"/>
            </w:pPr>
          </w:p>
        </w:tc>
        <w:tc>
          <w:tcPr>
            <w:tcW w:w="0" w:type="auto"/>
            <w:hideMark/>
          </w:tcPr>
          <w:p w14:paraId="09409B1E" w14:textId="77777777" w:rsidR="00C852EB" w:rsidRPr="00344FD1" w:rsidRDefault="00C852EB" w:rsidP="0030195B">
            <w:pPr>
              <w:spacing w:line="240" w:lineRule="auto"/>
              <w:jc w:val="right"/>
              <w:rPr>
                <w:sz w:val="20"/>
              </w:rPr>
            </w:pPr>
          </w:p>
        </w:tc>
      </w:tr>
      <w:tr w:rsidR="00C852EB" w:rsidRPr="00344FD1" w14:paraId="61FAD86F" w14:textId="77777777" w:rsidTr="0030195B">
        <w:tc>
          <w:tcPr>
            <w:tcW w:w="0" w:type="auto"/>
            <w:hideMark/>
          </w:tcPr>
          <w:p w14:paraId="190EB021" w14:textId="77777777" w:rsidR="00C852EB" w:rsidRPr="00344FD1" w:rsidRDefault="00C852EB" w:rsidP="0030195B">
            <w:pPr>
              <w:spacing w:line="240" w:lineRule="auto"/>
              <w:jc w:val="left"/>
              <w:rPr>
                <w:szCs w:val="24"/>
              </w:rPr>
            </w:pPr>
            <w:r w:rsidRPr="00344FD1">
              <w:lastRenderedPageBreak/>
              <w:t>Positioning Strategies</w:t>
            </w:r>
          </w:p>
        </w:tc>
        <w:tc>
          <w:tcPr>
            <w:tcW w:w="0" w:type="auto"/>
            <w:noWrap/>
            <w:hideMark/>
          </w:tcPr>
          <w:p w14:paraId="63878E0B" w14:textId="77777777" w:rsidR="00C852EB" w:rsidRPr="00344FD1" w:rsidRDefault="00C852EB" w:rsidP="0030195B">
            <w:pPr>
              <w:spacing w:line="240" w:lineRule="auto"/>
              <w:jc w:val="right"/>
            </w:pPr>
            <w:r w:rsidRPr="00344FD1">
              <w:rPr>
                <w:sz w:val="17"/>
              </w:rPr>
              <w:t>.627**</w:t>
            </w:r>
          </w:p>
        </w:tc>
        <w:tc>
          <w:tcPr>
            <w:tcW w:w="0" w:type="auto"/>
            <w:noWrap/>
            <w:hideMark/>
          </w:tcPr>
          <w:p w14:paraId="626134B4" w14:textId="77777777" w:rsidR="00C852EB" w:rsidRPr="00344FD1" w:rsidRDefault="00C852EB" w:rsidP="0030195B">
            <w:pPr>
              <w:spacing w:line="240" w:lineRule="auto"/>
              <w:jc w:val="right"/>
            </w:pPr>
            <w:r w:rsidRPr="00344FD1">
              <w:rPr>
                <w:sz w:val="17"/>
              </w:rPr>
              <w:t>.598**</w:t>
            </w:r>
          </w:p>
        </w:tc>
        <w:tc>
          <w:tcPr>
            <w:tcW w:w="0" w:type="auto"/>
            <w:noWrap/>
            <w:hideMark/>
          </w:tcPr>
          <w:p w14:paraId="462FCF22" w14:textId="77777777" w:rsidR="00C852EB" w:rsidRPr="00344FD1" w:rsidRDefault="00C852EB" w:rsidP="0030195B">
            <w:pPr>
              <w:spacing w:line="240" w:lineRule="auto"/>
              <w:jc w:val="right"/>
            </w:pPr>
            <w:r w:rsidRPr="00344FD1">
              <w:rPr>
                <w:sz w:val="17"/>
              </w:rPr>
              <w:t>.541**</w:t>
            </w:r>
          </w:p>
        </w:tc>
        <w:tc>
          <w:tcPr>
            <w:tcW w:w="0" w:type="auto"/>
            <w:noWrap/>
            <w:hideMark/>
          </w:tcPr>
          <w:p w14:paraId="332A1ADA" w14:textId="77777777" w:rsidR="00C852EB" w:rsidRPr="00344FD1" w:rsidRDefault="00C852EB" w:rsidP="0030195B">
            <w:pPr>
              <w:spacing w:line="240" w:lineRule="auto"/>
              <w:jc w:val="right"/>
            </w:pPr>
            <w:r w:rsidRPr="00344FD1">
              <w:rPr>
                <w:sz w:val="17"/>
              </w:rPr>
              <w:t>1.000</w:t>
            </w:r>
          </w:p>
        </w:tc>
        <w:tc>
          <w:tcPr>
            <w:tcW w:w="0" w:type="auto"/>
            <w:hideMark/>
          </w:tcPr>
          <w:p w14:paraId="7154EC51" w14:textId="77777777" w:rsidR="00C852EB" w:rsidRPr="00344FD1" w:rsidRDefault="00C852EB" w:rsidP="0030195B">
            <w:pPr>
              <w:spacing w:line="240" w:lineRule="auto"/>
              <w:jc w:val="right"/>
            </w:pPr>
          </w:p>
        </w:tc>
      </w:tr>
      <w:tr w:rsidR="00C852EB" w:rsidRPr="00344FD1" w14:paraId="4A7FAAD5" w14:textId="77777777" w:rsidTr="0030195B">
        <w:tc>
          <w:tcPr>
            <w:tcW w:w="0" w:type="auto"/>
            <w:hideMark/>
          </w:tcPr>
          <w:p w14:paraId="6F4E01A6" w14:textId="77777777" w:rsidR="00C852EB" w:rsidRPr="00344FD1" w:rsidRDefault="00C852EB" w:rsidP="0030195B">
            <w:pPr>
              <w:spacing w:line="240" w:lineRule="auto"/>
              <w:jc w:val="left"/>
              <w:rPr>
                <w:szCs w:val="24"/>
              </w:rPr>
            </w:pPr>
            <w:r w:rsidRPr="00344FD1">
              <w:t>Competitiveness</w:t>
            </w:r>
          </w:p>
        </w:tc>
        <w:tc>
          <w:tcPr>
            <w:tcW w:w="0" w:type="auto"/>
            <w:noWrap/>
            <w:hideMark/>
          </w:tcPr>
          <w:p w14:paraId="1EA229A7" w14:textId="77777777" w:rsidR="00C852EB" w:rsidRPr="00344FD1" w:rsidRDefault="00C852EB" w:rsidP="0030195B">
            <w:pPr>
              <w:spacing w:line="240" w:lineRule="auto"/>
              <w:jc w:val="right"/>
            </w:pPr>
            <w:r w:rsidRPr="00344FD1">
              <w:rPr>
                <w:sz w:val="17"/>
              </w:rPr>
              <w:t>.693**</w:t>
            </w:r>
          </w:p>
        </w:tc>
        <w:tc>
          <w:tcPr>
            <w:tcW w:w="0" w:type="auto"/>
            <w:noWrap/>
            <w:hideMark/>
          </w:tcPr>
          <w:p w14:paraId="4E24B852" w14:textId="77777777" w:rsidR="00C852EB" w:rsidRPr="00344FD1" w:rsidRDefault="00C852EB" w:rsidP="0030195B">
            <w:pPr>
              <w:spacing w:line="240" w:lineRule="auto"/>
              <w:jc w:val="right"/>
            </w:pPr>
            <w:r w:rsidRPr="00344FD1">
              <w:rPr>
                <w:sz w:val="17"/>
              </w:rPr>
              <w:t>.671**</w:t>
            </w:r>
          </w:p>
        </w:tc>
        <w:tc>
          <w:tcPr>
            <w:tcW w:w="0" w:type="auto"/>
            <w:noWrap/>
            <w:hideMark/>
          </w:tcPr>
          <w:p w14:paraId="71BFF4A8" w14:textId="77777777" w:rsidR="00C852EB" w:rsidRPr="00344FD1" w:rsidRDefault="00C852EB" w:rsidP="0030195B">
            <w:pPr>
              <w:spacing w:line="240" w:lineRule="auto"/>
              <w:jc w:val="right"/>
            </w:pPr>
            <w:r w:rsidRPr="00344FD1">
              <w:rPr>
                <w:sz w:val="17"/>
              </w:rPr>
              <w:t>.648**</w:t>
            </w:r>
          </w:p>
        </w:tc>
        <w:tc>
          <w:tcPr>
            <w:tcW w:w="0" w:type="auto"/>
            <w:noWrap/>
            <w:hideMark/>
          </w:tcPr>
          <w:p w14:paraId="6C19CD2F" w14:textId="77777777" w:rsidR="00C852EB" w:rsidRPr="00344FD1" w:rsidRDefault="00C852EB" w:rsidP="0030195B">
            <w:pPr>
              <w:spacing w:line="240" w:lineRule="auto"/>
              <w:jc w:val="right"/>
            </w:pPr>
            <w:r w:rsidRPr="00344FD1">
              <w:rPr>
                <w:sz w:val="17"/>
              </w:rPr>
              <w:t>.712**</w:t>
            </w:r>
          </w:p>
        </w:tc>
        <w:tc>
          <w:tcPr>
            <w:tcW w:w="0" w:type="auto"/>
            <w:noWrap/>
            <w:hideMark/>
          </w:tcPr>
          <w:p w14:paraId="34E18387" w14:textId="77777777" w:rsidR="00C852EB" w:rsidRPr="00344FD1" w:rsidRDefault="00C852EB" w:rsidP="0030195B">
            <w:pPr>
              <w:spacing w:line="240" w:lineRule="auto"/>
              <w:jc w:val="right"/>
            </w:pPr>
            <w:r w:rsidRPr="00344FD1">
              <w:rPr>
                <w:sz w:val="17"/>
              </w:rPr>
              <w:t>1.000</w:t>
            </w:r>
          </w:p>
        </w:tc>
      </w:tr>
    </w:tbl>
    <w:p w14:paraId="1EC99096" w14:textId="77777777" w:rsidR="00C852EB" w:rsidRPr="00344FD1" w:rsidRDefault="00C852EB" w:rsidP="00C852EB">
      <w:pPr>
        <w:pStyle w:val="NormalWeb"/>
      </w:pPr>
      <w:r w:rsidRPr="00344FD1">
        <w:rPr>
          <w:rStyle w:val="Strong"/>
        </w:rPr>
        <w:t>Note:</w:t>
      </w:r>
      <w:r w:rsidRPr="00344FD1">
        <w:t xml:space="preserve"> ** Correlation is significant at the 0.01 level (2-tailed).</w:t>
      </w:r>
      <w:r w:rsidRPr="00344FD1">
        <w:br/>
      </w:r>
      <w:r w:rsidRPr="00344FD1">
        <w:rPr>
          <w:rStyle w:val="Strong"/>
        </w:rPr>
        <w:t>Source:</w:t>
      </w:r>
      <w:r w:rsidRPr="00344FD1">
        <w:t xml:space="preserve"> Survey Data (2026)</w:t>
      </w:r>
    </w:p>
    <w:p w14:paraId="35BC90DA" w14:textId="77777777" w:rsidR="00C852EB" w:rsidRPr="00344FD1" w:rsidRDefault="00C852EB" w:rsidP="0030195B">
      <w:pPr>
        <w:rPr>
          <w:b/>
        </w:rPr>
      </w:pPr>
      <w:r w:rsidRPr="00344FD1">
        <w:rPr>
          <w:b/>
        </w:rPr>
        <w:t>Regression Analysis</w:t>
      </w:r>
    </w:p>
    <w:p w14:paraId="1E0DC42E" w14:textId="77777777" w:rsidR="00C852EB" w:rsidRPr="00344FD1" w:rsidRDefault="00C852EB" w:rsidP="00C852EB">
      <w:pPr>
        <w:pStyle w:val="NormalWeb"/>
      </w:pPr>
      <w:r w:rsidRPr="00344FD1">
        <w:t>Multiple linear regression was subsequently conducted to determine the collective and individual effects of the predictors on competitiveness. The model specified competitiveness as a function of strategic planning, strategic leadership, resource allocation, and positioning strategies. Table 4 indicates an R value of 0.841, demonstrating a strong multiple correlation. The R-squared value of 0.707 shows that the four predictors jointly explained 70.7% of the variance in competitiveness, while the adjusted R-squared of 0.694 confirmed substantial explanatory power after accounting for the number of predictors.</w:t>
      </w:r>
    </w:p>
    <w:p w14:paraId="112BC90B" w14:textId="77777777" w:rsidR="00C852EB" w:rsidRPr="00344FD1" w:rsidRDefault="00C852EB" w:rsidP="00C852EB">
      <w:pPr>
        <w:pStyle w:val="NormalWeb"/>
      </w:pPr>
      <w:r w:rsidRPr="00344FD1">
        <w:rPr>
          <w:rStyle w:val="Strong"/>
        </w:rPr>
        <w:t>Table 4: Model Summary</w:t>
      </w:r>
    </w:p>
    <w:tbl>
      <w:tblPr>
        <w:tblStyle w:val="TableGrid1"/>
        <w:tblW w:w="0" w:type="auto"/>
        <w:tblLook w:val="04A0" w:firstRow="1" w:lastRow="0" w:firstColumn="1" w:lastColumn="0" w:noHBand="0" w:noVBand="1"/>
      </w:tblPr>
      <w:tblGrid>
        <w:gridCol w:w="636"/>
        <w:gridCol w:w="1183"/>
        <w:gridCol w:w="2177"/>
        <w:gridCol w:w="2509"/>
      </w:tblGrid>
      <w:tr w:rsidR="00C852EB" w:rsidRPr="00344FD1" w14:paraId="04B44360" w14:textId="77777777" w:rsidTr="0030195B">
        <w:tc>
          <w:tcPr>
            <w:tcW w:w="0" w:type="auto"/>
            <w:hideMark/>
          </w:tcPr>
          <w:p w14:paraId="57CC648A" w14:textId="77777777" w:rsidR="00C852EB" w:rsidRPr="00344FD1" w:rsidRDefault="00C852EB">
            <w:pPr>
              <w:jc w:val="right"/>
              <w:rPr>
                <w:b/>
                <w:bCs/>
              </w:rPr>
            </w:pPr>
            <w:r w:rsidRPr="00344FD1">
              <w:rPr>
                <w:b/>
                <w:bCs/>
              </w:rPr>
              <w:t>R</w:t>
            </w:r>
          </w:p>
        </w:tc>
        <w:tc>
          <w:tcPr>
            <w:tcW w:w="0" w:type="auto"/>
            <w:hideMark/>
          </w:tcPr>
          <w:p w14:paraId="5739EF27" w14:textId="77777777" w:rsidR="00C852EB" w:rsidRPr="00344FD1" w:rsidRDefault="00C852EB">
            <w:pPr>
              <w:jc w:val="right"/>
              <w:rPr>
                <w:b/>
                <w:bCs/>
              </w:rPr>
            </w:pPr>
            <w:r w:rsidRPr="00344FD1">
              <w:rPr>
                <w:b/>
                <w:bCs/>
              </w:rPr>
              <w:t>R Square</w:t>
            </w:r>
          </w:p>
        </w:tc>
        <w:tc>
          <w:tcPr>
            <w:tcW w:w="0" w:type="auto"/>
            <w:hideMark/>
          </w:tcPr>
          <w:p w14:paraId="64989005" w14:textId="77777777" w:rsidR="00C852EB" w:rsidRPr="00344FD1" w:rsidRDefault="00C852EB">
            <w:pPr>
              <w:jc w:val="right"/>
              <w:rPr>
                <w:b/>
                <w:bCs/>
              </w:rPr>
            </w:pPr>
            <w:r w:rsidRPr="00344FD1">
              <w:rPr>
                <w:b/>
                <w:bCs/>
              </w:rPr>
              <w:t>Adjusted R Square</w:t>
            </w:r>
          </w:p>
        </w:tc>
        <w:tc>
          <w:tcPr>
            <w:tcW w:w="0" w:type="auto"/>
            <w:hideMark/>
          </w:tcPr>
          <w:p w14:paraId="4BD9FC63" w14:textId="77777777" w:rsidR="00C852EB" w:rsidRPr="00344FD1" w:rsidRDefault="00C852EB">
            <w:pPr>
              <w:jc w:val="right"/>
              <w:rPr>
                <w:b/>
                <w:bCs/>
              </w:rPr>
            </w:pPr>
            <w:r w:rsidRPr="00344FD1">
              <w:rPr>
                <w:b/>
                <w:bCs/>
              </w:rPr>
              <w:t>Std. Error of Estimate</w:t>
            </w:r>
          </w:p>
        </w:tc>
      </w:tr>
      <w:tr w:rsidR="00C852EB" w:rsidRPr="00344FD1" w14:paraId="187F0045" w14:textId="77777777" w:rsidTr="0030195B">
        <w:tc>
          <w:tcPr>
            <w:tcW w:w="0" w:type="auto"/>
            <w:hideMark/>
          </w:tcPr>
          <w:p w14:paraId="12897273" w14:textId="77777777" w:rsidR="00C852EB" w:rsidRPr="00344FD1" w:rsidRDefault="00C852EB">
            <w:pPr>
              <w:jc w:val="right"/>
            </w:pPr>
            <w:r w:rsidRPr="00344FD1">
              <w:t>.841</w:t>
            </w:r>
          </w:p>
        </w:tc>
        <w:tc>
          <w:tcPr>
            <w:tcW w:w="0" w:type="auto"/>
            <w:hideMark/>
          </w:tcPr>
          <w:p w14:paraId="3DF85E93" w14:textId="77777777" w:rsidR="00C852EB" w:rsidRPr="00344FD1" w:rsidRDefault="00C852EB">
            <w:pPr>
              <w:jc w:val="right"/>
            </w:pPr>
            <w:r w:rsidRPr="00344FD1">
              <w:t>.707</w:t>
            </w:r>
          </w:p>
        </w:tc>
        <w:tc>
          <w:tcPr>
            <w:tcW w:w="0" w:type="auto"/>
            <w:hideMark/>
          </w:tcPr>
          <w:p w14:paraId="7C50FB1A" w14:textId="77777777" w:rsidR="00C852EB" w:rsidRPr="00344FD1" w:rsidRDefault="00C852EB">
            <w:pPr>
              <w:jc w:val="right"/>
            </w:pPr>
            <w:r w:rsidRPr="00344FD1">
              <w:t>.694</w:t>
            </w:r>
          </w:p>
        </w:tc>
        <w:tc>
          <w:tcPr>
            <w:tcW w:w="0" w:type="auto"/>
            <w:hideMark/>
          </w:tcPr>
          <w:p w14:paraId="49BDFC25" w14:textId="77777777" w:rsidR="00C852EB" w:rsidRPr="00344FD1" w:rsidRDefault="00C852EB">
            <w:pPr>
              <w:jc w:val="right"/>
            </w:pPr>
            <w:r w:rsidRPr="00344FD1">
              <w:t>.31242</w:t>
            </w:r>
          </w:p>
        </w:tc>
      </w:tr>
    </w:tbl>
    <w:p w14:paraId="5B3A0EF6" w14:textId="77777777" w:rsidR="00C852EB" w:rsidRPr="00344FD1" w:rsidRDefault="00C852EB" w:rsidP="00C852EB">
      <w:pPr>
        <w:pStyle w:val="NormalWeb"/>
      </w:pPr>
      <w:r w:rsidRPr="00344FD1">
        <w:rPr>
          <w:rStyle w:val="Strong"/>
        </w:rPr>
        <w:t>Source:</w:t>
      </w:r>
      <w:r w:rsidRPr="00344FD1">
        <w:t xml:space="preserve"> Survey Data (2026)</w:t>
      </w:r>
    </w:p>
    <w:p w14:paraId="5D5CE089" w14:textId="77777777" w:rsidR="00C852EB" w:rsidRPr="00344FD1" w:rsidRDefault="00C852EB" w:rsidP="00C852EB">
      <w:pPr>
        <w:pStyle w:val="NormalWeb"/>
      </w:pPr>
      <w:r w:rsidRPr="00344FD1">
        <w:t xml:space="preserve">The ANOVA results in Table </w:t>
      </w:r>
      <w:r w:rsidR="0030195B" w:rsidRPr="00344FD1">
        <w:t>5</w:t>
      </w:r>
      <w:r w:rsidRPr="00344FD1">
        <w:t xml:space="preserve"> show that the regression model was statistically significant, </w:t>
      </w:r>
      <w:proofErr w:type="gramStart"/>
      <w:r w:rsidRPr="00344FD1">
        <w:t>F(</w:t>
      </w:r>
      <w:proofErr w:type="gramEnd"/>
      <w:r w:rsidRPr="00344FD1">
        <w:t>4,95) = 56.012, p &lt; 0.001. Thus, the predictors jointly explained significant variation in supermarket competitiveness, confirming the suitability of the model for statistical inference.</w:t>
      </w:r>
    </w:p>
    <w:p w14:paraId="4F1EDA8F" w14:textId="77777777" w:rsidR="00C852EB" w:rsidRPr="00344FD1" w:rsidRDefault="00C852EB" w:rsidP="00C852EB">
      <w:pPr>
        <w:pStyle w:val="NormalWeb"/>
      </w:pPr>
      <w:r w:rsidRPr="00344FD1">
        <w:rPr>
          <w:rStyle w:val="Strong"/>
        </w:rPr>
        <w:t xml:space="preserve">Table </w:t>
      </w:r>
      <w:r w:rsidR="0030195B" w:rsidRPr="00344FD1">
        <w:rPr>
          <w:rStyle w:val="Strong"/>
        </w:rPr>
        <w:t>5</w:t>
      </w:r>
      <w:r w:rsidRPr="00344FD1">
        <w:rPr>
          <w:rStyle w:val="Strong"/>
        </w:rPr>
        <w:t>: ANOVA Results</w:t>
      </w:r>
    </w:p>
    <w:tbl>
      <w:tblPr>
        <w:tblStyle w:val="TableGrid1"/>
        <w:tblW w:w="0" w:type="auto"/>
        <w:tblLayout w:type="fixed"/>
        <w:tblLook w:val="04A0" w:firstRow="1" w:lastRow="0" w:firstColumn="1" w:lastColumn="0" w:noHBand="0" w:noVBand="1"/>
      </w:tblPr>
      <w:tblGrid>
        <w:gridCol w:w="1283"/>
        <w:gridCol w:w="1630"/>
        <w:gridCol w:w="456"/>
        <w:gridCol w:w="1396"/>
        <w:gridCol w:w="1276"/>
        <w:gridCol w:w="636"/>
      </w:tblGrid>
      <w:tr w:rsidR="00C852EB" w:rsidRPr="00344FD1" w14:paraId="4FDAD155" w14:textId="77777777" w:rsidTr="0030195B">
        <w:tc>
          <w:tcPr>
            <w:tcW w:w="1283" w:type="dxa"/>
            <w:hideMark/>
          </w:tcPr>
          <w:p w14:paraId="6DB38447" w14:textId="77777777" w:rsidR="00C852EB" w:rsidRPr="00344FD1" w:rsidRDefault="00C852EB">
            <w:pPr>
              <w:jc w:val="center"/>
              <w:rPr>
                <w:b/>
                <w:bCs/>
              </w:rPr>
            </w:pPr>
            <w:r w:rsidRPr="00344FD1">
              <w:rPr>
                <w:b/>
                <w:bCs/>
              </w:rPr>
              <w:t>Model</w:t>
            </w:r>
          </w:p>
        </w:tc>
        <w:tc>
          <w:tcPr>
            <w:tcW w:w="1630" w:type="dxa"/>
            <w:hideMark/>
          </w:tcPr>
          <w:p w14:paraId="1AE679F4" w14:textId="77777777" w:rsidR="00C852EB" w:rsidRPr="00344FD1" w:rsidRDefault="00C852EB">
            <w:pPr>
              <w:jc w:val="right"/>
              <w:rPr>
                <w:b/>
                <w:bCs/>
              </w:rPr>
            </w:pPr>
            <w:r w:rsidRPr="00344FD1">
              <w:rPr>
                <w:b/>
                <w:bCs/>
              </w:rPr>
              <w:t>Sum of Squares</w:t>
            </w:r>
          </w:p>
        </w:tc>
        <w:tc>
          <w:tcPr>
            <w:tcW w:w="456" w:type="dxa"/>
            <w:hideMark/>
          </w:tcPr>
          <w:p w14:paraId="16E13752" w14:textId="77777777" w:rsidR="00C852EB" w:rsidRPr="00344FD1" w:rsidRDefault="00C852EB">
            <w:pPr>
              <w:jc w:val="right"/>
              <w:rPr>
                <w:b/>
                <w:bCs/>
              </w:rPr>
            </w:pPr>
            <w:proofErr w:type="spellStart"/>
            <w:r w:rsidRPr="00344FD1">
              <w:rPr>
                <w:b/>
                <w:bCs/>
              </w:rPr>
              <w:t>df</w:t>
            </w:r>
            <w:proofErr w:type="spellEnd"/>
          </w:p>
        </w:tc>
        <w:tc>
          <w:tcPr>
            <w:tcW w:w="1396" w:type="dxa"/>
            <w:hideMark/>
          </w:tcPr>
          <w:p w14:paraId="591408AC" w14:textId="77777777" w:rsidR="00C852EB" w:rsidRPr="00344FD1" w:rsidRDefault="00C852EB">
            <w:pPr>
              <w:jc w:val="right"/>
              <w:rPr>
                <w:b/>
                <w:bCs/>
              </w:rPr>
            </w:pPr>
            <w:r w:rsidRPr="00344FD1">
              <w:rPr>
                <w:b/>
                <w:bCs/>
              </w:rPr>
              <w:t>Mean Square</w:t>
            </w:r>
          </w:p>
        </w:tc>
        <w:tc>
          <w:tcPr>
            <w:tcW w:w="1276" w:type="dxa"/>
            <w:hideMark/>
          </w:tcPr>
          <w:p w14:paraId="709D9E0D" w14:textId="77777777" w:rsidR="00C852EB" w:rsidRPr="00344FD1" w:rsidRDefault="00C852EB">
            <w:pPr>
              <w:jc w:val="right"/>
              <w:rPr>
                <w:b/>
                <w:bCs/>
              </w:rPr>
            </w:pPr>
            <w:r w:rsidRPr="00344FD1">
              <w:rPr>
                <w:b/>
                <w:bCs/>
              </w:rPr>
              <w:t>F</w:t>
            </w:r>
          </w:p>
        </w:tc>
        <w:tc>
          <w:tcPr>
            <w:tcW w:w="636" w:type="dxa"/>
            <w:hideMark/>
          </w:tcPr>
          <w:p w14:paraId="69C54451" w14:textId="77777777" w:rsidR="00C852EB" w:rsidRPr="00344FD1" w:rsidRDefault="00C852EB">
            <w:pPr>
              <w:jc w:val="right"/>
              <w:rPr>
                <w:b/>
                <w:bCs/>
              </w:rPr>
            </w:pPr>
            <w:r w:rsidRPr="00344FD1">
              <w:rPr>
                <w:b/>
                <w:bCs/>
              </w:rPr>
              <w:t>Sig.</w:t>
            </w:r>
          </w:p>
        </w:tc>
      </w:tr>
      <w:tr w:rsidR="00C852EB" w:rsidRPr="00344FD1" w14:paraId="67C9CF12" w14:textId="77777777" w:rsidTr="0030195B">
        <w:tc>
          <w:tcPr>
            <w:tcW w:w="1283" w:type="dxa"/>
            <w:hideMark/>
          </w:tcPr>
          <w:p w14:paraId="189D9807" w14:textId="77777777" w:rsidR="00C852EB" w:rsidRPr="00344FD1" w:rsidRDefault="00C852EB">
            <w:pPr>
              <w:jc w:val="left"/>
            </w:pPr>
            <w:r w:rsidRPr="00344FD1">
              <w:t>Regression</w:t>
            </w:r>
          </w:p>
        </w:tc>
        <w:tc>
          <w:tcPr>
            <w:tcW w:w="1630" w:type="dxa"/>
            <w:noWrap/>
            <w:hideMark/>
          </w:tcPr>
          <w:p w14:paraId="70DDF877" w14:textId="77777777" w:rsidR="00C852EB" w:rsidRPr="00344FD1" w:rsidRDefault="00C852EB">
            <w:pPr>
              <w:jc w:val="right"/>
            </w:pPr>
            <w:r w:rsidRPr="00344FD1">
              <w:t>21.847</w:t>
            </w:r>
          </w:p>
        </w:tc>
        <w:tc>
          <w:tcPr>
            <w:tcW w:w="456" w:type="dxa"/>
            <w:noWrap/>
            <w:hideMark/>
          </w:tcPr>
          <w:p w14:paraId="0E91E8B7" w14:textId="77777777" w:rsidR="00C852EB" w:rsidRPr="00344FD1" w:rsidRDefault="00C852EB">
            <w:pPr>
              <w:jc w:val="right"/>
            </w:pPr>
            <w:r w:rsidRPr="00344FD1">
              <w:t>4</w:t>
            </w:r>
          </w:p>
        </w:tc>
        <w:tc>
          <w:tcPr>
            <w:tcW w:w="1396" w:type="dxa"/>
            <w:noWrap/>
            <w:hideMark/>
          </w:tcPr>
          <w:p w14:paraId="0E997526" w14:textId="77777777" w:rsidR="00C852EB" w:rsidRPr="00344FD1" w:rsidRDefault="00C852EB">
            <w:pPr>
              <w:jc w:val="right"/>
            </w:pPr>
            <w:r w:rsidRPr="00344FD1">
              <w:t>5.462</w:t>
            </w:r>
          </w:p>
        </w:tc>
        <w:tc>
          <w:tcPr>
            <w:tcW w:w="1276" w:type="dxa"/>
            <w:noWrap/>
            <w:hideMark/>
          </w:tcPr>
          <w:p w14:paraId="302FDCEA" w14:textId="77777777" w:rsidR="00C852EB" w:rsidRPr="00344FD1" w:rsidRDefault="00C852EB">
            <w:pPr>
              <w:jc w:val="right"/>
            </w:pPr>
            <w:r w:rsidRPr="00344FD1">
              <w:t>56.012</w:t>
            </w:r>
          </w:p>
        </w:tc>
        <w:tc>
          <w:tcPr>
            <w:tcW w:w="636" w:type="dxa"/>
            <w:noWrap/>
            <w:hideMark/>
          </w:tcPr>
          <w:p w14:paraId="373AD9FF" w14:textId="77777777" w:rsidR="00C852EB" w:rsidRPr="00344FD1" w:rsidRDefault="00C852EB">
            <w:pPr>
              <w:jc w:val="right"/>
            </w:pPr>
            <w:r w:rsidRPr="00344FD1">
              <w:t>.000</w:t>
            </w:r>
          </w:p>
        </w:tc>
      </w:tr>
      <w:tr w:rsidR="00C852EB" w:rsidRPr="00344FD1" w14:paraId="4701AE68" w14:textId="77777777" w:rsidTr="0030195B">
        <w:tc>
          <w:tcPr>
            <w:tcW w:w="1283" w:type="dxa"/>
            <w:hideMark/>
          </w:tcPr>
          <w:p w14:paraId="4419D1A9" w14:textId="77777777" w:rsidR="00C852EB" w:rsidRPr="00344FD1" w:rsidRDefault="00C852EB">
            <w:pPr>
              <w:jc w:val="left"/>
            </w:pPr>
            <w:r w:rsidRPr="00344FD1">
              <w:t>Residual</w:t>
            </w:r>
          </w:p>
        </w:tc>
        <w:tc>
          <w:tcPr>
            <w:tcW w:w="1630" w:type="dxa"/>
            <w:noWrap/>
            <w:hideMark/>
          </w:tcPr>
          <w:p w14:paraId="2D8D1E5B" w14:textId="77777777" w:rsidR="00C852EB" w:rsidRPr="00344FD1" w:rsidRDefault="00C852EB">
            <w:pPr>
              <w:jc w:val="right"/>
            </w:pPr>
            <w:r w:rsidRPr="00344FD1">
              <w:t>9.074</w:t>
            </w:r>
          </w:p>
        </w:tc>
        <w:tc>
          <w:tcPr>
            <w:tcW w:w="456" w:type="dxa"/>
            <w:noWrap/>
            <w:hideMark/>
          </w:tcPr>
          <w:p w14:paraId="19D25A5C" w14:textId="77777777" w:rsidR="00C852EB" w:rsidRPr="00344FD1" w:rsidRDefault="00C852EB">
            <w:pPr>
              <w:jc w:val="right"/>
            </w:pPr>
            <w:r w:rsidRPr="00344FD1">
              <w:t>95</w:t>
            </w:r>
          </w:p>
        </w:tc>
        <w:tc>
          <w:tcPr>
            <w:tcW w:w="1396" w:type="dxa"/>
            <w:noWrap/>
            <w:hideMark/>
          </w:tcPr>
          <w:p w14:paraId="35E131F8" w14:textId="77777777" w:rsidR="00C852EB" w:rsidRPr="00344FD1" w:rsidRDefault="00C852EB">
            <w:pPr>
              <w:jc w:val="right"/>
            </w:pPr>
            <w:r w:rsidRPr="00344FD1">
              <w:t>.0955</w:t>
            </w:r>
          </w:p>
        </w:tc>
        <w:tc>
          <w:tcPr>
            <w:tcW w:w="1276" w:type="dxa"/>
            <w:hideMark/>
          </w:tcPr>
          <w:p w14:paraId="1B46D9ED" w14:textId="77777777" w:rsidR="00C852EB" w:rsidRPr="00344FD1" w:rsidRDefault="00C852EB">
            <w:pPr>
              <w:jc w:val="right"/>
            </w:pPr>
          </w:p>
        </w:tc>
        <w:tc>
          <w:tcPr>
            <w:tcW w:w="636" w:type="dxa"/>
            <w:hideMark/>
          </w:tcPr>
          <w:p w14:paraId="082322FB" w14:textId="77777777" w:rsidR="00C852EB" w:rsidRPr="00344FD1" w:rsidRDefault="00C852EB">
            <w:pPr>
              <w:jc w:val="right"/>
              <w:rPr>
                <w:sz w:val="20"/>
              </w:rPr>
            </w:pPr>
          </w:p>
        </w:tc>
      </w:tr>
      <w:tr w:rsidR="00C852EB" w:rsidRPr="00344FD1" w14:paraId="45E5BAD4" w14:textId="77777777" w:rsidTr="0030195B">
        <w:tc>
          <w:tcPr>
            <w:tcW w:w="1283" w:type="dxa"/>
            <w:hideMark/>
          </w:tcPr>
          <w:p w14:paraId="268CA09A" w14:textId="77777777" w:rsidR="00C852EB" w:rsidRPr="00344FD1" w:rsidRDefault="00C852EB">
            <w:pPr>
              <w:jc w:val="left"/>
              <w:rPr>
                <w:szCs w:val="24"/>
              </w:rPr>
            </w:pPr>
            <w:r w:rsidRPr="00344FD1">
              <w:t>Total</w:t>
            </w:r>
          </w:p>
        </w:tc>
        <w:tc>
          <w:tcPr>
            <w:tcW w:w="1630" w:type="dxa"/>
            <w:noWrap/>
            <w:hideMark/>
          </w:tcPr>
          <w:p w14:paraId="7BF9FF18" w14:textId="77777777" w:rsidR="00C852EB" w:rsidRPr="00344FD1" w:rsidRDefault="00C852EB">
            <w:pPr>
              <w:jc w:val="right"/>
            </w:pPr>
            <w:r w:rsidRPr="00344FD1">
              <w:t>30.921</w:t>
            </w:r>
          </w:p>
        </w:tc>
        <w:tc>
          <w:tcPr>
            <w:tcW w:w="456" w:type="dxa"/>
            <w:noWrap/>
            <w:hideMark/>
          </w:tcPr>
          <w:p w14:paraId="40BC430A" w14:textId="77777777" w:rsidR="00C852EB" w:rsidRPr="00344FD1" w:rsidRDefault="00C852EB">
            <w:pPr>
              <w:jc w:val="right"/>
            </w:pPr>
            <w:r w:rsidRPr="00344FD1">
              <w:t>99</w:t>
            </w:r>
          </w:p>
        </w:tc>
        <w:tc>
          <w:tcPr>
            <w:tcW w:w="1396" w:type="dxa"/>
            <w:hideMark/>
          </w:tcPr>
          <w:p w14:paraId="1164B246" w14:textId="77777777" w:rsidR="00C852EB" w:rsidRPr="00344FD1" w:rsidRDefault="00C852EB">
            <w:pPr>
              <w:jc w:val="right"/>
            </w:pPr>
          </w:p>
        </w:tc>
        <w:tc>
          <w:tcPr>
            <w:tcW w:w="1276" w:type="dxa"/>
            <w:hideMark/>
          </w:tcPr>
          <w:p w14:paraId="5F17E086" w14:textId="77777777" w:rsidR="00C852EB" w:rsidRPr="00344FD1" w:rsidRDefault="00C852EB">
            <w:pPr>
              <w:jc w:val="right"/>
              <w:rPr>
                <w:sz w:val="20"/>
              </w:rPr>
            </w:pPr>
          </w:p>
        </w:tc>
        <w:tc>
          <w:tcPr>
            <w:tcW w:w="636" w:type="dxa"/>
            <w:hideMark/>
          </w:tcPr>
          <w:p w14:paraId="320D5E41" w14:textId="77777777" w:rsidR="00C852EB" w:rsidRPr="00344FD1" w:rsidRDefault="00C852EB">
            <w:pPr>
              <w:jc w:val="right"/>
              <w:rPr>
                <w:sz w:val="20"/>
              </w:rPr>
            </w:pPr>
          </w:p>
        </w:tc>
      </w:tr>
    </w:tbl>
    <w:p w14:paraId="193D4157" w14:textId="77777777" w:rsidR="00C852EB" w:rsidRPr="00344FD1" w:rsidRDefault="00C852EB" w:rsidP="00C852EB">
      <w:pPr>
        <w:pStyle w:val="NormalWeb"/>
      </w:pPr>
      <w:r w:rsidRPr="00344FD1">
        <w:rPr>
          <w:rStyle w:val="Strong"/>
        </w:rPr>
        <w:lastRenderedPageBreak/>
        <w:t>Predictors:</w:t>
      </w:r>
      <w:r w:rsidRPr="00344FD1">
        <w:t xml:space="preserve"> (Constant), Strategic Planning, Strategic Leadership, Resource Allocation, Positioning Strategies.</w:t>
      </w:r>
      <w:r w:rsidRPr="00344FD1">
        <w:br/>
      </w:r>
      <w:r w:rsidRPr="00344FD1">
        <w:rPr>
          <w:rStyle w:val="Strong"/>
        </w:rPr>
        <w:t>Dependent Variable:</w:t>
      </w:r>
      <w:r w:rsidRPr="00344FD1">
        <w:t xml:space="preserve"> Competitiveness.</w:t>
      </w:r>
      <w:r w:rsidRPr="00344FD1">
        <w:br/>
      </w:r>
      <w:r w:rsidRPr="00344FD1">
        <w:rPr>
          <w:rStyle w:val="Strong"/>
        </w:rPr>
        <w:t>Source:</w:t>
      </w:r>
      <w:r w:rsidRPr="00344FD1">
        <w:t xml:space="preserve"> Survey Data (2026)</w:t>
      </w:r>
    </w:p>
    <w:p w14:paraId="5E0076C7" w14:textId="77777777" w:rsidR="00C852EB" w:rsidRPr="00344FD1" w:rsidRDefault="00C852EB" w:rsidP="00C852EB">
      <w:pPr>
        <w:pStyle w:val="NormalWeb"/>
      </w:pPr>
      <w:r w:rsidRPr="00344FD1">
        <w:t>Table 5 shows that all four predictors made statistically significant positive contributions. Positioning strategies had the largest standardised coefficient (β = 0.303, p &lt; 0.001), followed by strategic planning (β = 0.281, p &lt; 0.001), strategic leadership (β = 0.254, p &lt; 0.001), and resource allocation (β = 0.226, p = 0.001). The resulting regression equation was Y = 0.312 + 0.274X1 + 0.248X2 + 0.221X3 + 0.296X4. The unstandardized coefficients indicate positive changes in competitiveness associated with each predictor, holding other variables constant. The positioning finding is consistent with research on positioning strategy and brand performance (Iyer et al., 2019) and digital orientation and brand competitiveness (Manjunath et al., 2024). The planning effect can be considered alongside Kenyan supermarket research on strategy formulation and implementation (Kanano &amp; Wanjira, 2021; Nyary &amp; Wainaina, 2025). Evidence on strategic alliances further suggests that access to resources and partnerships is relevant to supermarket competitiveness (Cheboi et al., 2022).</w:t>
      </w:r>
      <w:r w:rsidR="00844748" w:rsidRPr="00344FD1"/>
      <w:r w:rsidRPr="00344FD1"/>
      <w:proofErr w:type="spellStart"/>
      <w:r w:rsidRPr="00344FD1"/>
      <w:r w:rsidRPr="00344FD1">
        <w:rPr>
          <w:highlight w:val="yellow"/>
        </w:rPr>
      </w:r>
      <w:r w:rsidRPr="00344FD1"/>
      <w:proofErr w:type="spellEnd"/>
      <w:r w:rsidRPr="00344FD1"/>
    </w:p>
    <w:p w14:paraId="52D997C5" w14:textId="77777777" w:rsidR="00C852EB" w:rsidRPr="00344FD1" w:rsidRDefault="00C852EB" w:rsidP="00C852EB">
      <w:pPr>
        <w:pStyle w:val="NormalWeb"/>
      </w:pPr>
      <w:r w:rsidRPr="00344FD1">
        <w:t xml:space="preserve">The findings further indicate that the predictors complemented one another rather than operating independently. Correlation alone did not establish causality; however, regression results demonstrated that each predictor retained a significant positive contribution after controlling for the others. This strengthens the evidence that competitiveness was associated with coordinated strategic practices. The combined explanatory capacity also suggests that competitiveness was influenced by several </w:t>
      </w:r>
      <w:proofErr w:type="spellStart"/>
      <w:r w:rsidRPr="00344FD1">
        <w:t>organi</w:t>
      </w:r>
      <w:r w:rsidRPr="00344FD1">
        <w:rPr>
          <w:highlight w:val="yellow"/>
        </w:rPr>
        <w:t>s</w:t>
      </w:r>
      <w:r w:rsidRPr="00344FD1">
        <w:t>ational</w:t>
      </w:r>
      <w:proofErr w:type="spellEnd"/>
      <w:r w:rsidRPr="00344FD1">
        <w:t xml:space="preserve"> and market-oriented practices rather than a single strategic factor. The remaining unexplained variance may reflect other </w:t>
      </w:r>
      <w:proofErr w:type="spellStart"/>
      <w:r w:rsidRPr="00344FD1">
        <w:t>organi</w:t>
      </w:r>
      <w:r w:rsidRPr="00344FD1">
        <w:rPr>
          <w:highlight w:val="yellow"/>
        </w:rPr>
        <w:t>s</w:t>
      </w:r>
      <w:r w:rsidRPr="00344FD1">
        <w:t>ational</w:t>
      </w:r>
      <w:proofErr w:type="spellEnd"/>
      <w:r w:rsidRPr="00344FD1">
        <w:t xml:space="preserve"> and environmental factors. These results provide an integrated basis for understanding supermarket competitiveness within a strategic management </w:t>
      </w:r>
      <w:proofErr w:type="gramStart"/>
      <w:r w:rsidRPr="00344FD1">
        <w:t>perspective .</w:t>
      </w:r>
      <w:proofErr w:type="gramEnd"/>
    </w:p>
    <w:p w14:paraId="00A0347E" w14:textId="77777777" w:rsidR="00055D83" w:rsidRPr="00344FD1" w:rsidRDefault="00055D83" w:rsidP="00055D83">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 xml:space="preserve">5.0 CONCLUSIONS </w:t>
      </w:r>
    </w:p>
    <w:p w14:paraId="1D0A63AC" w14:textId="77777777" w:rsidR="00497EB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t>The study concludes that strategic planning significantly and positively influences the competitiveness of selected supermarkets in Nairobi City County. Supermarkets with documented, actionable and well-communicated strategic plans, measurable targets, and alignment between departmental and corporate objectives demonstrate stronger competitive positions. Continuous environmental analysis enables supermarkets to anticipate competitive pressures, align resources with emerging priorities, and respond effectively to changing consumer preferences.</w:t>
      </w:r>
    </w:p>
    <w:p w14:paraId="329E832C" w14:textId="77777777" w:rsidR="00497EB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t xml:space="preserve">Strategic leadership also significantly contributes to supermarket competitiveness. Leaders who establish clear customer-oriented goals, empower employees to make timely operational decisions, and invest in human capital development promote </w:t>
      </w:r>
      <w:proofErr w:type="spellStart"/>
      <w:r w:rsidRPr="00344FD1">
        <w:rPr>
          <w:rFonts w:cs="Times New Roman"/>
          <w:color w:val="000000" w:themeColor="text1"/>
          <w:szCs w:val="24"/>
        </w:rPr>
        <w:t>organi</w:t>
      </w:r>
      <w:r w:rsidRPr="00344FD1">
        <w:rPr>
          <w:rFonts w:cs="Times New Roman"/>
          <w:color w:val="000000" w:themeColor="text1"/>
          <w:szCs w:val="24"/>
          <w:highlight w:val="yellow"/>
        </w:rPr>
        <w:t>s</w:t>
      </w:r>
      <w:r w:rsidRPr="00344FD1">
        <w:rPr>
          <w:rFonts w:cs="Times New Roman"/>
          <w:color w:val="000000" w:themeColor="text1"/>
          <w:szCs w:val="24"/>
        </w:rPr>
        <w:t>ational</w:t>
      </w:r>
      <w:proofErr w:type="spellEnd"/>
      <w:r w:rsidRPr="00344FD1">
        <w:rPr>
          <w:rFonts w:cs="Times New Roman"/>
          <w:color w:val="000000" w:themeColor="text1"/>
          <w:szCs w:val="24"/>
        </w:rPr>
        <w:t xml:space="preserve"> agility and responsiveness. However, relatively low ratings for employee recognition and reward systems indicate the need to strengthen performance management practices to </w:t>
      </w:r>
      <w:proofErr w:type="spellStart"/>
      <w:r w:rsidRPr="00344FD1">
        <w:rPr>
          <w:rFonts w:cs="Times New Roman"/>
          <w:color w:val="000000" w:themeColor="text1"/>
          <w:szCs w:val="24"/>
        </w:rPr>
        <w:t>maximi</w:t>
      </w:r>
      <w:r w:rsidRPr="00344FD1">
        <w:rPr>
          <w:rFonts w:cs="Times New Roman"/>
          <w:color w:val="000000" w:themeColor="text1"/>
          <w:szCs w:val="24"/>
          <w:highlight w:val="yellow"/>
        </w:rPr>
        <w:t>s</w:t>
      </w:r>
      <w:r w:rsidRPr="00344FD1">
        <w:rPr>
          <w:rFonts w:cs="Times New Roman"/>
          <w:color w:val="000000" w:themeColor="text1"/>
          <w:szCs w:val="24"/>
        </w:rPr>
        <w:t>e</w:t>
      </w:r>
      <w:proofErr w:type="spellEnd"/>
      <w:r w:rsidRPr="00344FD1">
        <w:rPr>
          <w:rFonts w:cs="Times New Roman"/>
          <w:color w:val="000000" w:themeColor="text1"/>
          <w:szCs w:val="24"/>
        </w:rPr>
        <w:t xml:space="preserve"> the benefits of strategic leadership.</w:t>
      </w:r>
    </w:p>
    <w:p w14:paraId="061AEB1E" w14:textId="77777777" w:rsidR="00766A2F" w:rsidRPr="00344FD1" w:rsidRDefault="00497EBF" w:rsidP="00497EBF">
      <w:pPr>
        <w:spacing w:line="240" w:lineRule="auto"/>
        <w:rPr>
          <w:rFonts w:cs="Times New Roman"/>
          <w:color w:val="000000" w:themeColor="text1"/>
          <w:szCs w:val="24"/>
        </w:rPr>
      </w:pPr>
      <w:r w:rsidRPr="00344FD1">
        <w:rPr>
          <w:rFonts w:cs="Times New Roman"/>
          <w:color w:val="000000" w:themeColor="text1"/>
          <w:szCs w:val="24"/>
        </w:rPr>
        <w:t>Resource allocation significantly enhances competitiveness when financial, technological, and human resources are aligned with strategic priorities. The use of data systems for operational decision-making and investment in digital technologies contribute to stronger competitive outcomes. Nevertheless, inadequate training and limited investment in human capital remain important concerns requir</w:t>
      </w:r>
      <w:r w:rsidRPr="00344FD1">
        <w:rPr>
          <w:rFonts w:cs="Times New Roman"/>
          <w:color w:val="000000" w:themeColor="text1"/>
          <w:szCs w:val="24"/>
          <w:highlight w:val="yellow"/>
        </w:rPr>
        <w:t>ing</w:t>
      </w:r>
      <w:r w:rsidRPr="00344FD1">
        <w:rPr>
          <w:rFonts w:cs="Times New Roman"/>
          <w:color w:val="000000" w:themeColor="text1"/>
          <w:szCs w:val="24"/>
        </w:rPr>
        <w:t xml:space="preserve"> sustained attention to maintain competitiveness</w:t>
      </w:r>
      <w:r w:rsidR="00E27800" w:rsidRPr="00344FD1">
        <w:rPr>
          <w:rFonts w:cs="Times New Roman"/>
          <w:color w:val="000000" w:themeColor="text1"/>
          <w:szCs w:val="24"/>
        </w:rPr>
        <w:t>.</w:t>
      </w:r>
      <w:r w:rsidR="00E05059" w:rsidRPr="00344FD1">
        <w:rPr>
          <w:rFonts w:cs="Times New Roman"/>
          <w:color w:val="000000" w:themeColor="text1"/>
          <w:szCs w:val="24"/>
        </w:rPr>
        <w:t xml:space="preserve"> </w:t>
      </w:r>
    </w:p>
    <w:p w14:paraId="51BA9B9A" w14:textId="77777777" w:rsidR="00055D83" w:rsidRPr="00344FD1" w:rsidRDefault="00055D83" w:rsidP="00D26C8B">
      <w:pPr>
        <w:spacing w:line="240" w:lineRule="auto"/>
        <w:rPr>
          <w:rFonts w:cs="Times New Roman"/>
          <w:b/>
          <w:bCs/>
          <w:color w:val="000000" w:themeColor="text1"/>
          <w:sz w:val="28"/>
          <w:szCs w:val="28"/>
        </w:rPr>
      </w:pPr>
      <w:r w:rsidRPr="00344FD1">
        <w:rPr>
          <w:rFonts w:cs="Times New Roman"/>
          <w:b/>
          <w:bCs/>
          <w:color w:val="000000" w:themeColor="text1"/>
          <w:sz w:val="28"/>
          <w:szCs w:val="28"/>
        </w:rPr>
        <w:t>6.0 RECOMMENDATIONS</w:t>
      </w:r>
    </w:p>
    <w:p w14:paraId="7EF03FE4" w14:textId="77777777" w:rsidR="0045178A" w:rsidRPr="00344FD1" w:rsidRDefault="0045178A" w:rsidP="0045178A">
      <w:pPr>
        <w:spacing w:before="0" w:line="240" w:lineRule="auto"/>
      </w:pPr>
    </w:p>
    <w:p w14:paraId="61D0075C" w14:textId="77777777" w:rsidR="003F1DA1" w:rsidRPr="00344FD1" w:rsidRDefault="003F1DA1" w:rsidP="003F1DA1">
      <w:pPr>
        <w:spacing w:before="0" w:line="240" w:lineRule="auto"/>
      </w:pPr>
      <w:r w:rsidRPr="00344FD1">
        <w:t xml:space="preserve">Positioning strategies have the strongest influence on supermarket competitiveness. Supermarkets that establish </w:t>
      </w:r>
      <w:proofErr w:type="spellStart"/>
      <w:r w:rsidRPr="00344FD1">
        <w:t>recogni</w:t>
      </w:r>
      <w:r w:rsidRPr="00344FD1">
        <w:rPr>
          <w:highlight w:val="yellow"/>
        </w:rPr>
        <w:t>s</w:t>
      </w:r>
      <w:r w:rsidRPr="00344FD1">
        <w:t>able</w:t>
      </w:r>
      <w:proofErr w:type="spellEnd"/>
      <w:r w:rsidRPr="00344FD1">
        <w:t>, consistent, and customer-responsive market positions through competitive pricing, differentiated product assortments, and effective brand communication achieve stronger competitive outcomes. Given the price sensitivity of Nairobi consumers, competitive pricing remains particularly important, while sustained investment in brand identity is necessary for differentiation and customer loyalty.</w:t>
      </w:r>
    </w:p>
    <w:p w14:paraId="04B7463E" w14:textId="77777777" w:rsidR="003F1DA1" w:rsidRPr="00344FD1" w:rsidRDefault="003F1DA1" w:rsidP="003F1DA1">
      <w:pPr>
        <w:spacing w:before="0" w:line="240" w:lineRule="auto"/>
      </w:pPr>
    </w:p>
    <w:p w14:paraId="060E68A2" w14:textId="77777777" w:rsidR="003F1DA1" w:rsidRPr="00344FD1" w:rsidRDefault="003F1DA1" w:rsidP="003F1DA1">
      <w:pPr>
        <w:spacing w:before="0" w:line="240" w:lineRule="auto"/>
      </w:pPr>
      <w:r w:rsidRPr="00344FD1">
        <w:lastRenderedPageBreak/>
        <w:t xml:space="preserve">At the policy level, the Competition Authority of Kenya (CAK) should develop guidelines encouraging formal retail outlets to adopt transparent and documented strategic planning frameworks. The Ministry of Trade should consider developing a Retail Sector Strategic Management Framework </w:t>
      </w:r>
      <w:r w:rsidRPr="00344FD1">
        <w:rPr>
          <w:highlight w:val="yellow"/>
        </w:rPr>
        <w:t xml:space="preserve">that </w:t>
      </w:r>
      <w:r w:rsidRPr="00344FD1">
        <w:t>provid</w:t>
      </w:r>
      <w:r w:rsidRPr="00344FD1">
        <w:rPr>
          <w:highlight w:val="yellow"/>
        </w:rPr>
        <w:t>es</w:t>
      </w:r>
      <w:r w:rsidRPr="00344FD1">
        <w:t xml:space="preserve"> benchmarks for strategic planning, leadership, resource management, and market positioning. The Kenya National Qualifications Authority (KNQA), in collaboration with relevant trade bodies, should develop </w:t>
      </w:r>
      <w:proofErr w:type="spellStart"/>
      <w:r w:rsidRPr="00344FD1">
        <w:t>standardi</w:t>
      </w:r>
      <w:r w:rsidRPr="00344FD1">
        <w:rPr>
          <w:highlight w:val="yellow"/>
        </w:rPr>
        <w:t>s</w:t>
      </w:r>
      <w:r w:rsidRPr="00344FD1">
        <w:t>ed</w:t>
      </w:r>
      <w:proofErr w:type="spellEnd"/>
      <w:r w:rsidRPr="00344FD1">
        <w:t xml:space="preserve"> competency frameworks emphasizing digital proficiency and strategic decision-making among retail employees.</w:t>
      </w:r>
    </w:p>
    <w:p w14:paraId="71D0B37D" w14:textId="77777777" w:rsidR="003F1DA1" w:rsidRPr="00344FD1" w:rsidRDefault="003F1DA1" w:rsidP="003F1DA1">
      <w:pPr>
        <w:spacing w:before="0" w:line="240" w:lineRule="auto"/>
      </w:pPr>
    </w:p>
    <w:p w14:paraId="6E82BBCB" w14:textId="77777777" w:rsidR="003F1DA1" w:rsidRPr="00344FD1" w:rsidRDefault="003F1DA1" w:rsidP="003F1DA1">
      <w:pPr>
        <w:spacing w:before="0" w:line="240" w:lineRule="auto"/>
      </w:pPr>
      <w:r w:rsidRPr="00344FD1">
        <w:t xml:space="preserve">In practice, supermarket managers should institutionalize annual strategic planning and quarterly environmental scanning involving middle-level managers. Store and departmental leaders should receive clearer decision-making authority, while recognition and reward systems should be strengthened. Supermarkets should also increase investment in employee training on POS systems, ERP platforms, and data analytics, supported by structured training calendars and planned infrastructure renewal. Regarding positioning, long-term brand communication, loyalty </w:t>
      </w:r>
      <w:proofErr w:type="spellStart"/>
      <w:r w:rsidRPr="00344FD1">
        <w:t>programmes</w:t>
      </w:r>
      <w:proofErr w:type="spellEnd"/>
      <w:r w:rsidRPr="00344FD1">
        <w:t>, customer feedback mechanisms, and differentiated product assortments should be strengthened to improve customer retention and brand identity.</w:t>
      </w:r>
    </w:p>
    <w:p w14:paraId="286B3E7A" w14:textId="77777777" w:rsidR="003F1DA1" w:rsidRPr="00344FD1" w:rsidRDefault="003F1DA1" w:rsidP="003F1DA1">
      <w:pPr>
        <w:spacing w:before="0" w:line="240" w:lineRule="auto"/>
      </w:pPr>
    </w:p>
    <w:p w14:paraId="35489F2B" w14:textId="77777777" w:rsidR="00D16476" w:rsidRPr="00344FD1" w:rsidRDefault="003F1DA1" w:rsidP="003F1DA1">
      <w:pPr>
        <w:spacing w:before="0" w:line="240" w:lineRule="auto"/>
      </w:pPr>
      <w:r w:rsidRPr="00344FD1">
        <w:t xml:space="preserve">Future studies should employ longitudinal designs to examine changes in strategic management practices and competitiveness over time. Research should also extend to supermarkets in counties such as Mombasa, Nakuru, and Kisumu to improve </w:t>
      </w:r>
      <w:proofErr w:type="spellStart"/>
      <w:r w:rsidRPr="00344FD1">
        <w:t>generali</w:t>
      </w:r>
      <w:r w:rsidRPr="00344FD1">
        <w:rPr>
          <w:highlight w:val="yellow"/>
        </w:rPr>
        <w:t>s</w:t>
      </w:r>
      <w:r w:rsidRPr="00344FD1">
        <w:t>ability</w:t>
      </w:r>
      <w:proofErr w:type="spellEnd"/>
      <w:r w:rsidRPr="00344FD1">
        <w:t>. Incorporating consumer perspectives, including customer satisfaction measures alongside employee responses, would further provide a comprehensive understanding of how strategic practices translate into competitive outcomes</w:t>
      </w:r>
      <w:r w:rsidR="00E207BA" w:rsidRPr="00344FD1">
        <w:t>.</w:t>
      </w:r>
    </w:p>
    <w:p w14:paraId="3E0F0E16" w14:textId="77777777" w:rsidR="007A56B8" w:rsidRDefault="007A56B8">
      <w:pPr>
        <w:spacing w:before="0" w:after="160" w:line="259" w:lineRule="auto"/>
        <w:jc w:val="left"/>
        <w:rPr>
          <w:rFonts w:eastAsia="Times New Roman" w:cs="Times New Roman"/>
          <w:b/>
          <w:bCs/>
          <w:color w:val="000000" w:themeColor="text1"/>
          <w:sz w:val="28"/>
          <w:szCs w:val="28"/>
        </w:rPr>
      </w:pPr>
    </w:p>
    <w:p w14:paraId="54A9EE41" w14:textId="6EE057A9" w:rsidR="00CF5317" w:rsidRPr="00CF5317" w:rsidRDefault="00CF5317" w:rsidP="00CF5317">
      <w:pPr>
        <w:spacing w:before="0" w:after="160" w:line="259" w:lineRule="auto"/>
        <w:jc w:val="left"/>
        <w:rPr>
          <w:rFonts w:eastAsia="Times New Roman" w:cs="Times New Roman"/>
          <w:b/>
          <w:bCs/>
          <w:color w:val="000000" w:themeColor="text1"/>
          <w:sz w:val="28"/>
          <w:szCs w:val="28"/>
        </w:rPr>
      </w:pPr>
      <w:r w:rsidRPr="00CF5317">
        <w:rPr>
          <w:rFonts w:eastAsia="Times New Roman" w:cs="Times New Roman"/>
          <w:b/>
          <w:bCs/>
          <w:color w:val="000000" w:themeColor="text1"/>
          <w:sz w:val="28"/>
          <w:szCs w:val="28"/>
        </w:rPr>
        <w:t xml:space="preserve">Limitations of the Study </w:t>
      </w:r>
    </w:p>
    <w:p w14:paraId="551E5723" w14:textId="16261BB1" w:rsidR="00CF5317" w:rsidRPr="00CF5317" w:rsidRDefault="00CF5317" w:rsidP="00CF5317">
      <w:pPr>
        <w:spacing w:before="0" w:after="160" w:line="259" w:lineRule="auto"/>
        <w:rPr>
          <w:rFonts w:eastAsia="Times New Roman" w:cs="Times New Roman"/>
          <w:color w:val="000000" w:themeColor="text1"/>
          <w:sz w:val="28"/>
          <w:szCs w:val="28"/>
        </w:rPr>
      </w:pPr>
      <w:r w:rsidRPr="00CF5317">
        <w:rPr>
          <w:rFonts w:eastAsia="Times New Roman" w:cs="Times New Roman"/>
          <w:color w:val="000000" w:themeColor="text1"/>
          <w:sz w:val="28"/>
          <w:szCs w:val="28"/>
        </w:rPr>
        <w:t>The study was limited to employees of three selected supermarket chains in Nairobi City County. Consequently, its findings may not fully represent other supermarkets or geographical markets. The descriptive survey captured respondents’ perceptions during one period, restricting conclusions about changes over time and causal relationships. Competitiveness was assessed using the specified market share and sales and revenue indicators rather than a broader set of objective performance measures. Future research could include additional locations, longitudinal observations and consumer perspectives to examine the consistency of these associations.</w:t>
      </w:r>
    </w:p>
    <w:p w14:paraId="629C372F" w14:textId="77777777" w:rsidR="00DF7169" w:rsidRPr="00344FD1" w:rsidRDefault="00DF7169">
      <w:pPr>
        <w:spacing w:before="0" w:after="160" w:line="259" w:lineRule="auto"/>
        <w:jc w:val="left"/>
        <w:rPr>
          <w:rFonts w:eastAsia="Times New Roman" w:cs="Times New Roman"/>
          <w:b/>
          <w:bCs/>
          <w:color w:val="000000" w:themeColor="text1"/>
          <w:sz w:val="28"/>
          <w:szCs w:val="28"/>
        </w:rPr>
      </w:pPr>
    </w:p>
    <w:p w14:paraId="1DFDF412" w14:textId="77777777" w:rsidR="00DF7169" w:rsidRPr="00344FD1" w:rsidRDefault="00DF7169" w:rsidP="00DF7169">
      <w:pPr>
        <w:spacing w:before="0" w:line="240" w:lineRule="auto"/>
        <w:jc w:val="left"/>
        <w:rPr>
          <w:rFonts w:ascii="Arial" w:hAnsi="Arial" w:cs="Arial"/>
          <w:b/>
          <w:color w:val="auto"/>
          <w:sz w:val="20"/>
          <w:szCs w:val="20"/>
          <w14:ligatures w14:val="none"/>
        </w:rPr>
      </w:pPr>
      <w:bookmarkStart w:id="3" w:name="_Hlk238550938"/>
      <w:bookmarkStart w:id="4" w:name="_Hlk237856463"/>
      <w:r w:rsidRPr="00344FD1">
        <w:rPr>
          <w:rFonts w:ascii="Arial" w:hAnsi="Arial" w:cs="Arial"/>
          <w:b/>
          <w:color w:val="auto"/>
          <w:sz w:val="20"/>
          <w:szCs w:val="20"/>
          <w14:ligatures w14:val="none"/>
        </w:rPr>
        <w:t>Declaration of AI Use</w:t>
      </w:r>
    </w:p>
    <w:p w14:paraId="328922E4" w14:textId="77777777" w:rsidR="00DF7169" w:rsidRPr="00344FD1" w:rsidRDefault="00DF7169" w:rsidP="00DF7169">
      <w:pPr>
        <w:spacing w:before="0" w:line="240" w:lineRule="auto"/>
        <w:jc w:val="left"/>
        <w:rPr>
          <w:rFonts w:ascii="Arial" w:hAnsi="Arial" w:cs="Arial"/>
          <w:color w:val="auto"/>
          <w:sz w:val="20"/>
          <w:szCs w:val="20"/>
          <w14:ligatures w14:val="none"/>
        </w:rPr>
      </w:pPr>
      <w:bookmarkStart w:id="5" w:name="_Hlk239068730"/>
    </w:p>
    <w:p w14:paraId="520C6230" w14:textId="77777777" w:rsidR="00DF7169" w:rsidRDefault="00DF7169" w:rsidP="00DF7169">
      <w:pPr>
        <w:spacing w:before="0" w:line="240" w:lineRule="auto"/>
        <w:jc w:val="left"/>
        <w:rPr>
          <w:rFonts w:ascii="Arial" w:hAnsi="Arial" w:cs="Arial"/>
          <w:color w:val="auto"/>
          <w:sz w:val="20"/>
          <w:szCs w:val="20"/>
          <w14:ligatures w14:val="none"/>
        </w:rPr>
      </w:pPr>
      <w:bookmarkStart w:id="6" w:name="_Hlk237862032"/>
      <w:r w:rsidRPr="00344FD1">
        <w:rPr>
          <w:rFonts w:ascii="Arial" w:hAnsi="Arial" w:cs="Arial"/>
          <w:color w:val="auto"/>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r w:rsidRPr="00344FD1">
        <w:rPr>
          <w:rFonts w:ascii="Arial" w:hAnsi="Arial" w:cs="Arial"/>
          <w:color w:val="auto"/>
          <w:sz w:val="20"/>
          <w:szCs w:val="20"/>
          <w14:ligatures w14:val="none"/>
        </w:rPr>
        <w:t>.</w:t>
      </w:r>
    </w:p>
    <w:p w14:paraId="401FB1B7" w14:textId="77777777" w:rsidR="00CD4F87" w:rsidRDefault="00CD4F87" w:rsidP="00DF7169">
      <w:pPr>
        <w:spacing w:before="0" w:line="240" w:lineRule="auto"/>
        <w:jc w:val="left"/>
        <w:rPr>
          <w:rFonts w:ascii="Arial" w:hAnsi="Arial" w:cs="Arial"/>
          <w:color w:val="auto"/>
          <w:sz w:val="20"/>
          <w:szCs w:val="20"/>
          <w14:ligatures w14:val="none"/>
        </w:rPr>
      </w:pPr>
    </w:p>
    <w:p w14:paraId="1AF19100" w14:textId="77777777" w:rsidR="00A242ED" w:rsidRDefault="00A242ED" w:rsidP="00CD4F87">
      <w:pPr>
        <w:spacing w:before="0" w:line="240" w:lineRule="auto"/>
        <w:jc w:val="left"/>
        <w:rPr>
          <w:rFonts w:ascii="Arial" w:hAnsi="Arial" w:cs="Arial"/>
          <w:color w:val="auto"/>
          <w:sz w:val="20"/>
          <w:szCs w:val="20"/>
          <w14:ligatures w14:val="none"/>
        </w:rPr>
      </w:pPr>
    </w:p>
    <w:p w14:paraId="40546678" w14:textId="77777777" w:rsidR="00A242ED" w:rsidRDefault="00A242ED" w:rsidP="00CD4F87">
      <w:pPr>
        <w:spacing w:before="0" w:line="240" w:lineRule="auto"/>
        <w:jc w:val="left"/>
        <w:rPr>
          <w:rFonts w:ascii="Arial" w:hAnsi="Arial" w:cs="Arial"/>
          <w:color w:val="auto"/>
          <w:sz w:val="20"/>
          <w:szCs w:val="20"/>
          <w14:ligatures w14:val="none"/>
        </w:rPr>
      </w:pPr>
    </w:p>
    <w:p w14:paraId="00EBEFA6" w14:textId="77777777" w:rsidR="00CD4F87" w:rsidRPr="00CD4F87" w:rsidRDefault="00CD4F87" w:rsidP="00CD4F87">
      <w:pPr>
        <w:spacing w:before="0" w:line="240" w:lineRule="auto"/>
        <w:jc w:val="left"/>
        <w:rPr>
          <w:rFonts w:ascii="Arial" w:hAnsi="Arial" w:cs="Arial"/>
          <w:color w:val="auto"/>
          <w:sz w:val="20"/>
          <w:szCs w:val="20"/>
          <w14:ligatures w14:val="none"/>
        </w:rPr>
      </w:pPr>
      <w:r w:rsidRPr="00CD4F87">
        <w:rPr>
          <w:rFonts w:ascii="Arial" w:hAnsi="Arial" w:cs="Arial"/>
          <w:color w:val="auto"/>
          <w:sz w:val="20"/>
          <w:szCs w:val="20"/>
          <w14:ligatures w14:val="none"/>
        </w:rPr>
        <w:t>COMPETING INTERESTS DISCLAIMER:</w:t>
      </w:r>
    </w:p>
    <w:p w14:paraId="765575EA" w14:textId="77777777" w:rsidR="00CD4F87" w:rsidRPr="00344FD1" w:rsidRDefault="00CD4F87" w:rsidP="00CD4F87">
      <w:pPr>
        <w:spacing w:before="0" w:line="240" w:lineRule="auto"/>
        <w:jc w:val="left"/>
        <w:rPr>
          <w:rFonts w:ascii="Arial" w:hAnsi="Arial" w:cs="Arial"/>
          <w:color w:val="auto"/>
          <w:sz w:val="20"/>
          <w:szCs w:val="20"/>
          <w14:ligatures w14:val="none"/>
        </w:rPr>
      </w:pPr>
      <w:r w:rsidRPr="00CD4F87">
        <w:rPr>
          <w:rFonts w:ascii="Arial" w:hAnsi="Arial" w:cs="Arial"/>
          <w:color w:val="auto"/>
          <w:sz w:val="20"/>
          <w:szCs w:val="20"/>
          <w14:ligatures w14:val="none"/>
        </w:rPr>
        <w:t>Authors have declared that they have no known competing financial interests OR non-financial interests OR personal relationships that could have appeared to influence the work reported in this paper.</w:t>
      </w:r>
    </w:p>
    <w:bookmarkEnd w:id="4"/>
    <w:bookmarkEnd w:id="5"/>
    <w:bookmarkEnd w:id="6"/>
    <w:p w14:paraId="47997E35" w14:textId="77777777" w:rsidR="00DF7169" w:rsidRPr="00344FD1" w:rsidRDefault="00DF7169">
      <w:pPr>
        <w:spacing w:before="0" w:after="160" w:line="259" w:lineRule="auto"/>
        <w:jc w:val="left"/>
        <w:rPr>
          <w:rFonts w:eastAsia="Times New Roman" w:cs="Times New Roman"/>
          <w:b/>
          <w:bCs/>
          <w:color w:val="000000" w:themeColor="text1"/>
          <w:sz w:val="28"/>
          <w:szCs w:val="28"/>
        </w:rPr>
      </w:pPr>
    </w:p>
    <w:p w14:paraId="668B815B" w14:textId="77777777" w:rsidR="00B55CEF" w:rsidRPr="00344FD1" w:rsidRDefault="00055D83" w:rsidP="002151BA">
      <w:pPr>
        <w:shd w:val="clear" w:color="auto" w:fill="FFFFFF"/>
        <w:spacing w:line="240" w:lineRule="auto"/>
        <w:rPr>
          <w:rFonts w:eastAsia="Times New Roman" w:cs="Times New Roman"/>
          <w:b/>
          <w:bCs/>
          <w:color w:val="000000" w:themeColor="text1"/>
          <w:sz w:val="28"/>
          <w:szCs w:val="28"/>
        </w:rPr>
      </w:pPr>
      <w:r w:rsidRPr="00344FD1">
        <w:rPr>
          <w:rFonts w:eastAsia="Times New Roman" w:cs="Times New Roman"/>
          <w:b/>
          <w:bCs/>
          <w:color w:val="000000" w:themeColor="text1"/>
          <w:sz w:val="28"/>
          <w:szCs w:val="28"/>
        </w:rPr>
        <w:t>REFERENCES</w:t>
      </w:r>
    </w:p>
    <w:p>
      <w:pPr>
        <w:spacing w:after="120" w:line="240" w:lineRule="auto"/>
        <w:ind w:left="480" w:hanging="480"/>
      </w:pPr>
      <w:r>
        <w:rPr>
          <w:sz w:val="20"/>
        </w:rPr>
        <w:t xml:space="preserve">Achieng, M. E., Awino, Z. B., K’Obonyo, P., &amp; Kitiabi, R. (2020). Advanced manufacturing technology, organizational resources and performance of large manufacturing companies in Kenya. </w:t>
      </w:r>
      <w:r>
        <w:rPr>
          <w:i/>
          <w:sz w:val="20"/>
        </w:rPr>
        <w:t>DBA Africa Management Review, 10</w:t>
      </w:r>
      <w:r>
        <w:rPr>
          <w:sz w:val="20"/>
        </w:rPr>
        <w:t xml:space="preserve">(2), 1–33. </w:t>
      </w:r>
      <w:hyperlink r:id="rId32">
        <w:r>
          <w:rPr>
            <w:color w:val="0563C1"/>
            <w:u w:val="single"/>
          </w:rPr>
          <w:t>https://doi.org/10.66563/xf7x9k96</w:t>
        </w:r>
      </w:hyperlink>
    </w:p>
    <w:p>
      <w:pPr>
        <w:spacing w:after="120" w:line="240" w:lineRule="auto"/>
        <w:ind w:left="480" w:hanging="480"/>
      </w:pPr>
      <w:r>
        <w:rPr>
          <w:sz w:val="20"/>
        </w:rPr>
        <w:t xml:space="preserve">Ali, B. J., &amp; Anwar, G. (2021). Strategic leadership effectiveness and its influence on organizational effectiveness. </w:t>
      </w:r>
      <w:r>
        <w:rPr>
          <w:i/>
          <w:sz w:val="20"/>
        </w:rPr>
        <w:t>International Journal of Electrical, Electronics and Computers, 6</w:t>
      </w:r>
      <w:r>
        <w:rPr>
          <w:sz w:val="20"/>
        </w:rPr>
        <w:t xml:space="preserve">(2), 11–24. </w:t>
      </w:r>
      <w:hyperlink r:id="rId33">
        <w:r>
          <w:rPr>
            <w:color w:val="0563C1"/>
            <w:u w:val="single"/>
          </w:rPr>
          <w:t>https://doi.org/10.22161/eec.62.2</w:t>
        </w:r>
      </w:hyperlink>
    </w:p>
    <w:p>
      <w:pPr>
        <w:spacing w:after="120" w:line="240" w:lineRule="auto"/>
        <w:ind w:left="480" w:hanging="480"/>
      </w:pPr>
      <w:r>
        <w:rPr>
          <w:sz w:val="20"/>
        </w:rPr>
        <w:t xml:space="preserve">Apaydin, M., Jiang, G. F., Demirbag, M., &amp; Jamali, D. (2021). The importance of corporate social responsibility strategic fit and times of economic hardship. </w:t>
      </w:r>
      <w:r>
        <w:rPr>
          <w:i/>
          <w:sz w:val="20"/>
        </w:rPr>
        <w:t>British Journal of Management, 32</w:t>
      </w:r>
      <w:r>
        <w:rPr>
          <w:sz w:val="20"/>
        </w:rPr>
        <w:t xml:space="preserve">(2), 399–415. </w:t>
      </w:r>
      <w:hyperlink r:id="rId34">
        <w:r>
          <w:rPr>
            <w:color w:val="0563C1"/>
            <w:u w:val="single"/>
          </w:rPr>
          <w:t>https://doi.org/10.1111/1467-8551.12402</w:t>
        </w:r>
      </w:hyperlink>
    </w:p>
    <w:p>
      <w:pPr>
        <w:spacing w:after="120" w:line="240" w:lineRule="auto"/>
        <w:ind w:left="480" w:hanging="480"/>
      </w:pPr>
      <w:r>
        <w:rPr>
          <w:sz w:val="20"/>
        </w:rPr>
        <w:t xml:space="preserve">Boal, K. B., &amp; Hooijberg, R. (2000). Strategic leadership research: Moving on. </w:t>
      </w:r>
      <w:r>
        <w:rPr>
          <w:i/>
          <w:sz w:val="20"/>
        </w:rPr>
        <w:t>The Leadership Quarterly, 11</w:t>
      </w:r>
      <w:r>
        <w:rPr>
          <w:sz w:val="20"/>
        </w:rPr>
        <w:t xml:space="preserve">(4), 515–549. </w:t>
      </w:r>
      <w:hyperlink r:id="rId35">
        <w:r>
          <w:rPr>
            <w:color w:val="0563C1"/>
            <w:u w:val="single"/>
          </w:rPr>
          <w:t>https://doi.org/10.1016/S1048-9843(00)00057-6</w:t>
        </w:r>
      </w:hyperlink>
    </w:p>
    <w:p>
      <w:pPr>
        <w:spacing w:after="120" w:line="240" w:lineRule="auto"/>
        <w:ind w:left="480" w:hanging="480"/>
      </w:pPr>
      <w:r>
        <w:rPr>
          <w:sz w:val="20"/>
        </w:rPr>
        <w:t xml:space="preserve">Bogers, M., Chesbrough, H., Heaton, S., &amp; Teece, D. J. (2019). Strategic management of open innovation: A dynamic capabilities perspective. </w:t>
      </w:r>
      <w:r>
        <w:rPr>
          <w:i/>
          <w:sz w:val="20"/>
        </w:rPr>
        <w:t>California Management Review, 62</w:t>
      </w:r>
      <w:r>
        <w:rPr>
          <w:sz w:val="20"/>
        </w:rPr>
        <w:t xml:space="preserve">(1), 77–94. </w:t>
      </w:r>
      <w:hyperlink r:id="rId7">
        <w:r>
          <w:rPr>
            <w:color w:val="0563C1"/>
            <w:u w:val="single"/>
          </w:rPr>
          <w:t>https://doi.org/10.1177/0008125619885150</w:t>
        </w:r>
      </w:hyperlink>
    </w:p>
    <w:p>
      <w:pPr>
        <w:spacing w:after="120" w:line="240" w:lineRule="auto"/>
        <w:ind w:left="480" w:hanging="480"/>
      </w:pPr>
      <w:r>
        <w:rPr>
          <w:sz w:val="20"/>
        </w:rPr>
        <w:t xml:space="preserve">Cheboi, D. J., Mulili, B., &amp; Nyiva, M. (2022). Strategic alliances and firm competitiveness: A survey of supermarkets in Nairobi-Kenya. </w:t>
      </w:r>
      <w:r>
        <w:rPr>
          <w:i/>
          <w:sz w:val="20"/>
        </w:rPr>
        <w:t>Journal of Strategic Management, 6</w:t>
      </w:r>
      <w:r>
        <w:rPr>
          <w:sz w:val="20"/>
        </w:rPr>
        <w:t xml:space="preserve">(2), 11–24. </w:t>
      </w:r>
      <w:hyperlink r:id="rId36">
        <w:r>
          <w:rPr>
            <w:color w:val="0563C1"/>
            <w:u w:val="single"/>
          </w:rPr>
          <w:t>https://doi.org/10.53819/81018102t2046</w:t>
        </w:r>
      </w:hyperlink>
    </w:p>
    <w:p>
      <w:pPr>
        <w:spacing w:after="120" w:line="240" w:lineRule="auto"/>
        <w:ind w:left="480" w:hanging="480"/>
      </w:pPr>
      <w:r>
        <w:rPr>
          <w:sz w:val="20"/>
        </w:rPr>
        <w:t xml:space="preserve">Chenarides, L., Gómez, M. I., Richards, T. J., &amp; Yonezawa, K. (2024). Retail markups and discount-store entry. </w:t>
      </w:r>
      <w:r>
        <w:rPr>
          <w:i/>
          <w:sz w:val="20"/>
        </w:rPr>
        <w:t>Review of Industrial Organization, 64</w:t>
      </w:r>
      <w:r>
        <w:rPr>
          <w:sz w:val="20"/>
        </w:rPr>
        <w:t xml:space="preserve">, 147–181. </w:t>
      </w:r>
      <w:hyperlink r:id="rId8">
        <w:r>
          <w:rPr>
            <w:color w:val="0563C1"/>
            <w:u w:val="single"/>
          </w:rPr>
          <w:t>https://doi.org/10.1007/s11151-023-09926-w</w:t>
        </w:r>
      </w:hyperlink>
    </w:p>
    <w:p>
      <w:pPr>
        <w:spacing w:after="120" w:line="240" w:lineRule="auto"/>
        <w:ind w:left="480" w:hanging="480"/>
      </w:pPr>
      <w:r>
        <w:rPr>
          <w:sz w:val="20"/>
        </w:rPr>
        <w:t xml:space="preserve">Chiarelli, A. (2021). The impact of dynamic capabilities and market orientation on firm performance: A case study of higher education consulting firms. </w:t>
      </w:r>
      <w:r>
        <w:rPr>
          <w:i/>
          <w:sz w:val="20"/>
        </w:rPr>
        <w:t>Small Business International Review, 5</w:t>
      </w:r>
      <w:r>
        <w:rPr>
          <w:sz w:val="20"/>
        </w:rPr>
        <w:t xml:space="preserve">(1), Article e312. </w:t>
      </w:r>
      <w:hyperlink r:id="rId37">
        <w:r>
          <w:rPr>
            <w:color w:val="0563C1"/>
            <w:u w:val="single"/>
          </w:rPr>
          <w:t>https://doi.org/10.26784/sbir.v5i1.312</w:t>
        </w:r>
      </w:hyperlink>
    </w:p>
    <w:p>
      <w:pPr>
        <w:spacing w:after="120" w:line="240" w:lineRule="auto"/>
        <w:ind w:left="480" w:hanging="480"/>
      </w:pPr>
      <w:r>
        <w:rPr>
          <w:sz w:val="20"/>
        </w:rPr>
        <w:t xml:space="preserve">Chikán, A., Czakó, E., Kiss-Dobronyi, B., &amp; Losonci, D. (2022). Firm competitiveness: A general model and a manufacturing application. </w:t>
      </w:r>
      <w:r>
        <w:rPr>
          <w:i/>
          <w:sz w:val="20"/>
        </w:rPr>
        <w:t>International Journal of Production Economics, 243</w:t>
      </w:r>
      <w:r>
        <w:rPr>
          <w:sz w:val="20"/>
        </w:rPr>
        <w:t xml:space="preserve">, Article 108316. </w:t>
      </w:r>
      <w:hyperlink r:id="rId9">
        <w:r>
          <w:rPr>
            <w:color w:val="0563C1"/>
            <w:u w:val="single"/>
          </w:rPr>
          <w:t>https://doi.org/10.1016/j.ijpe.2021.108316</w:t>
        </w:r>
      </w:hyperlink>
    </w:p>
    <w:p>
      <w:pPr>
        <w:spacing w:after="120" w:line="240" w:lineRule="auto"/>
        <w:ind w:left="480" w:hanging="480"/>
      </w:pPr>
      <w:r>
        <w:rPr>
          <w:sz w:val="20"/>
        </w:rPr>
        <w:t xml:space="preserve">Correia, R. J., Dias, J. G., &amp; Teixeira, M. S. (2021). Dynamic capabilities and competitive advantages as mediator variables between market orientation and business performance. </w:t>
      </w:r>
      <w:r>
        <w:rPr>
          <w:i/>
          <w:sz w:val="20"/>
        </w:rPr>
        <w:t>Journal of Strategy and Management, 14</w:t>
      </w:r>
      <w:r>
        <w:rPr>
          <w:sz w:val="20"/>
        </w:rPr>
        <w:t xml:space="preserve">(2), 187–206. </w:t>
      </w:r>
      <w:hyperlink r:id="rId10">
        <w:r>
          <w:rPr>
            <w:color w:val="0563C1"/>
            <w:u w:val="single"/>
          </w:rPr>
          <w:t>https://doi.org/10.1108/JSMA-12-2019-0223</w:t>
        </w:r>
      </w:hyperlink>
    </w:p>
    <w:p>
      <w:pPr>
        <w:spacing w:after="120" w:line="240" w:lineRule="auto"/>
        <w:ind w:left="480" w:hanging="480"/>
      </w:pPr>
      <w:r>
        <w:rPr>
          <w:sz w:val="20"/>
        </w:rPr>
        <w:t xml:space="preserve">Cortes, A. F., &amp; Herrmann, P. (2021). Strategic leadership of innovation: A framework for future research. </w:t>
      </w:r>
      <w:r>
        <w:rPr>
          <w:i/>
          <w:sz w:val="20"/>
        </w:rPr>
        <w:t>International Journal of Management Reviews, 23</w:t>
      </w:r>
      <w:r>
        <w:rPr>
          <w:sz w:val="20"/>
        </w:rPr>
        <w:t xml:space="preserve">(2), 224–243. </w:t>
      </w:r>
      <w:hyperlink r:id="rId38">
        <w:r>
          <w:rPr>
            <w:color w:val="0563C1"/>
            <w:u w:val="single"/>
          </w:rPr>
          <w:t>https://doi.org/10.1111/ijmr.12246</w:t>
        </w:r>
      </w:hyperlink>
    </w:p>
    <w:p>
      <w:pPr>
        <w:spacing w:after="120" w:line="240" w:lineRule="auto"/>
        <w:ind w:left="480" w:hanging="480"/>
      </w:pPr>
      <w:r>
        <w:rPr>
          <w:sz w:val="20"/>
        </w:rPr>
        <w:t xml:space="preserve">Creswell, J. W., &amp; Creswell, J. D. (2018). </w:t>
      </w:r>
      <w:r>
        <w:rPr>
          <w:i/>
          <w:sz w:val="20"/>
        </w:rPr>
        <w:t>Research design: Qualitative, quantitative, and mixed methods approaches</w:t>
      </w:r>
      <w:r>
        <w:rPr>
          <w:sz w:val="20"/>
        </w:rPr>
        <w:t xml:space="preserve"> (5th ed.). SAGE Publications. </w:t>
      </w:r>
      <w:hyperlink r:id="rId39">
        <w:r>
          <w:rPr>
            <w:color w:val="0563C1"/>
            <w:u w:val="single"/>
          </w:rPr>
          <w:t>https://library.strathmore.edu/Record/311633</w:t>
        </w:r>
      </w:hyperlink>
    </w:p>
    <w:p>
      <w:pPr>
        <w:spacing w:after="120" w:line="240" w:lineRule="auto"/>
        <w:ind w:left="480" w:hanging="480"/>
      </w:pPr>
      <w:r>
        <w:rPr>
          <w:sz w:val="20"/>
        </w:rPr>
        <w:t xml:space="preserve">Das, P., Perera, S., Senaratne, S., &amp; Osei-Kyei, R. (2025). A smart modern construction enterprise maturity model for business scenarios leading to Industry 4.0. </w:t>
      </w:r>
      <w:r>
        <w:rPr>
          <w:i/>
          <w:sz w:val="20"/>
        </w:rPr>
        <w:t>Smart and Sustainable Built Environment, 14</w:t>
      </w:r>
      <w:r>
        <w:rPr>
          <w:sz w:val="20"/>
        </w:rPr>
        <w:t xml:space="preserve">(1), 23–49. </w:t>
      </w:r>
      <w:hyperlink r:id="rId40">
        <w:r>
          <w:rPr>
            <w:color w:val="0563C1"/>
            <w:u w:val="single"/>
          </w:rPr>
          <w:t>https://doi.org/10.1108/SASBE-09-2022-0205</w:t>
        </w:r>
      </w:hyperlink>
    </w:p>
    <w:p>
      <w:pPr>
        <w:spacing w:after="120" w:line="240" w:lineRule="auto"/>
        <w:ind w:left="480" w:hanging="480"/>
      </w:pPr>
      <w:r>
        <w:rPr>
          <w:sz w:val="20"/>
        </w:rPr>
        <w:t xml:space="preserve">Doz, Y. L., &amp; Kosonen, M. (2008). </w:t>
      </w:r>
      <w:r>
        <w:rPr>
          <w:i/>
          <w:sz w:val="20"/>
        </w:rPr>
        <w:t>Fast strategy: How strategic agility will help you stay ahead of the game</w:t>
      </w:r>
      <w:r>
        <w:rPr>
          <w:sz w:val="20"/>
        </w:rPr>
        <w:t xml:space="preserve">. Wharton School Publishing. </w:t>
      </w:r>
      <w:hyperlink r:id="rId41">
        <w:r>
          <w:rPr>
            <w:color w:val="0563C1"/>
            <w:u w:val="single"/>
          </w:rPr>
          <w:t>https://www.insead.edu/news/fast-strategy</w:t>
        </w:r>
      </w:hyperlink>
    </w:p>
    <w:p>
      <w:pPr>
        <w:spacing w:after="120" w:line="240" w:lineRule="auto"/>
        <w:ind w:left="480" w:hanging="480"/>
      </w:pPr>
      <w:r>
        <w:rPr>
          <w:sz w:val="20"/>
        </w:rPr>
        <w:t xml:space="preserve">Druhova, O. S., Mosumova, A. K., Dai, B., &amp; Tong, Q. (2024). Competitiveness as a key factor in successful strategic business management. </w:t>
      </w:r>
      <w:r>
        <w:rPr>
          <w:i/>
          <w:sz w:val="20"/>
        </w:rPr>
        <w:t>Business Inform, 8</w:t>
      </w:r>
      <w:r>
        <w:rPr>
          <w:sz w:val="20"/>
        </w:rPr>
        <w:t xml:space="preserve">, 439–445. </w:t>
      </w:r>
      <w:hyperlink r:id="rId12">
        <w:r>
          <w:rPr>
            <w:color w:val="0563C1"/>
            <w:u w:val="single"/>
          </w:rPr>
          <w:t>https://doi.org/10.32983/2222-4459-2024-8-439-445</w:t>
        </w:r>
      </w:hyperlink>
    </w:p>
    <w:p>
      <w:pPr>
        <w:spacing w:after="120" w:line="240" w:lineRule="auto"/>
        <w:ind w:left="480" w:hanging="480"/>
      </w:pPr>
      <w:r>
        <w:rPr>
          <w:sz w:val="20"/>
        </w:rPr>
        <w:t xml:space="preserve">Ferlie, E., &amp; Ongaro, E. (2022). </w:t>
      </w:r>
      <w:r>
        <w:rPr>
          <w:i/>
          <w:sz w:val="20"/>
        </w:rPr>
        <w:t>Strategic management in public services organizations: Concepts, schools and contemporary issues</w:t>
      </w:r>
      <w:r>
        <w:rPr>
          <w:sz w:val="20"/>
        </w:rPr>
        <w:t xml:space="preserve"> (2nd ed.). Routledge. </w:t>
      </w:r>
      <w:hyperlink r:id="rId42">
        <w:r>
          <w:rPr>
            <w:color w:val="0563C1"/>
            <w:u w:val="single"/>
          </w:rPr>
          <w:t>https://doi.org/10.4324/9781003054917</w:t>
        </w:r>
      </w:hyperlink>
    </w:p>
    <w:p>
      <w:pPr>
        <w:spacing w:after="120" w:line="240" w:lineRule="auto"/>
        <w:ind w:left="480" w:hanging="480"/>
      </w:pPr>
      <w:r>
        <w:rPr>
          <w:sz w:val="20"/>
        </w:rPr>
        <w:t xml:space="preserve">Finkelstein, S., Hambrick, D. C., &amp; Cannella, A. A. (2009). </w:t>
      </w:r>
      <w:r>
        <w:rPr>
          <w:i/>
          <w:sz w:val="20"/>
        </w:rPr>
        <w:t>Strategic leadership: Theory and research on executives, top management teams, and boards</w:t>
      </w:r>
      <w:r>
        <w:rPr>
          <w:sz w:val="20"/>
        </w:rPr>
        <w:t xml:space="preserve">. Oxford University Press. </w:t>
      </w:r>
      <w:hyperlink r:id="rId43">
        <w:r>
          <w:rPr>
            <w:color w:val="0563C1"/>
            <w:u w:val="single"/>
          </w:rPr>
          <w:t>https://doi.org/10.1093/acprof:oso/9780195162073.001.0001</w:t>
        </w:r>
      </w:hyperlink>
    </w:p>
    <w:p>
      <w:pPr>
        <w:spacing w:after="120" w:line="240" w:lineRule="auto"/>
        <w:ind w:left="480" w:hanging="480"/>
      </w:pPr>
      <w:r>
        <w:rPr>
          <w:sz w:val="20"/>
        </w:rPr>
        <w:t xml:space="preserve">Fuertes, G., Alfaro, M., Vargas, M., Gutierrez, S., Ternero, R., &amp; Sabattin, J. (2020). Conceptual framework for the strategic management: A literature review—Descriptive. </w:t>
      </w:r>
      <w:r>
        <w:rPr>
          <w:i/>
          <w:sz w:val="20"/>
        </w:rPr>
        <w:t>Journal of Engineering, 2020</w:t>
      </w:r>
      <w:r>
        <w:rPr>
          <w:sz w:val="20"/>
        </w:rPr>
        <w:t xml:space="preserve">, Article 6253013. </w:t>
      </w:r>
      <w:hyperlink r:id="rId44">
        <w:r>
          <w:rPr>
            <w:color w:val="0563C1"/>
            <w:u w:val="single"/>
          </w:rPr>
          <w:t>https://doi.org/10.1155/2020/6253013</w:t>
        </w:r>
      </w:hyperlink>
    </w:p>
    <w:p>
      <w:pPr>
        <w:spacing w:after="120" w:line="240" w:lineRule="auto"/>
        <w:ind w:left="480" w:hanging="480"/>
      </w:pPr>
      <w:r>
        <w:rPr>
          <w:sz w:val="20"/>
        </w:rPr>
        <w:t xml:space="preserve">Ghonim, M. A., Khashaba, N. M., Al-Najaar, H. M., &amp; Khashan, M. A. (2022). Strategic alignment and its impact on decision effectiveness: A comprehensive model. </w:t>
      </w:r>
      <w:r>
        <w:rPr>
          <w:i/>
          <w:sz w:val="20"/>
        </w:rPr>
        <w:t>International Journal of Emerging Markets, 17</w:t>
      </w:r>
      <w:r>
        <w:rPr>
          <w:sz w:val="20"/>
        </w:rPr>
        <w:t xml:space="preserve">(1), 198–218. </w:t>
      </w:r>
      <w:hyperlink r:id="rId45">
        <w:r>
          <w:rPr>
            <w:color w:val="0563C1"/>
            <w:u w:val="single"/>
          </w:rPr>
          <w:t>https://doi.org/10.1108/IJOEM-04-2020-0364</w:t>
        </w:r>
      </w:hyperlink>
    </w:p>
    <w:p>
      <w:pPr>
        <w:spacing w:after="120" w:line="240" w:lineRule="auto"/>
        <w:ind w:left="480" w:hanging="480"/>
      </w:pPr>
      <w:r>
        <w:rPr>
          <w:sz w:val="20"/>
        </w:rPr>
        <w:t xml:space="preserve">Gohr, C. F., &amp; Rodrigues, B. C. B. (2025). Dynamic capabilities as enablers for sustainability-oriented innovation: A case study in a footwear industry. </w:t>
      </w:r>
      <w:r>
        <w:rPr>
          <w:i/>
          <w:sz w:val="20"/>
        </w:rPr>
        <w:t>Business Strategy and the Environment, 34</w:t>
      </w:r>
      <w:r>
        <w:rPr>
          <w:sz w:val="20"/>
        </w:rPr>
        <w:t xml:space="preserve">(3), 3114–3140. </w:t>
      </w:r>
      <w:hyperlink r:id="rId46">
        <w:r>
          <w:rPr>
            <w:color w:val="0563C1"/>
            <w:u w:val="single"/>
          </w:rPr>
          <w:t>https://doi.org/10.1002/bse.4141</w:t>
        </w:r>
      </w:hyperlink>
    </w:p>
    <w:p>
      <w:pPr>
        <w:spacing w:after="120" w:line="240" w:lineRule="auto"/>
        <w:ind w:left="480" w:hanging="480"/>
      </w:pPr>
      <w:r>
        <w:rPr>
          <w:sz w:val="20"/>
        </w:rPr>
        <w:t xml:space="preserve">Henry, A. (2021). </w:t>
      </w:r>
      <w:r>
        <w:rPr>
          <w:i/>
          <w:sz w:val="20"/>
        </w:rPr>
        <w:t>Understanding strategic management</w:t>
      </w:r>
      <w:r>
        <w:rPr>
          <w:sz w:val="20"/>
        </w:rPr>
        <w:t xml:space="preserve"> (4th ed.). Oxford University Press. </w:t>
      </w:r>
      <w:hyperlink r:id="rId47">
        <w:r>
          <w:rPr>
            <w:color w:val="0563C1"/>
            <w:u w:val="single"/>
          </w:rPr>
          <w:t>https://research.aston.ac.uk/en/publications/understanding-strategic-management/</w:t>
        </w:r>
      </w:hyperlink>
    </w:p>
    <w:p>
      <w:pPr>
        <w:spacing w:after="120" w:line="240" w:lineRule="auto"/>
        <w:ind w:left="480" w:hanging="480"/>
      </w:pPr>
      <w:r>
        <w:rPr>
          <w:sz w:val="20"/>
        </w:rPr>
        <w:t xml:space="preserve">Iyer, P., Davari, A., Zolfagharian, M., &amp; Paswan, A. (2019). Market orientation, positioning strategy and brand performance. </w:t>
      </w:r>
      <w:r>
        <w:rPr>
          <w:i/>
          <w:sz w:val="20"/>
        </w:rPr>
        <w:t>Industrial Marketing Management, 81</w:t>
      </w:r>
      <w:r>
        <w:rPr>
          <w:sz w:val="20"/>
        </w:rPr>
        <w:t xml:space="preserve">, 16–29. </w:t>
      </w:r>
      <w:hyperlink r:id="rId13">
        <w:r>
          <w:rPr>
            <w:color w:val="0563C1"/>
            <w:u w:val="single"/>
          </w:rPr>
          <w:t>https://doi.org/10.1016/j.indmarman.2018.11.004</w:t>
        </w:r>
      </w:hyperlink>
    </w:p>
    <w:p>
      <w:pPr>
        <w:spacing w:after="120" w:line="240" w:lineRule="auto"/>
        <w:ind w:left="480" w:hanging="480"/>
      </w:pPr>
      <w:r>
        <w:rPr>
          <w:sz w:val="20"/>
        </w:rPr>
        <w:t xml:space="preserve">Kanano, A. G., &amp; Wanjira, J. (2021). Strategic management practices and performance of supermarkets in Nakuru County, Kenya. </w:t>
      </w:r>
      <w:r>
        <w:rPr>
          <w:i/>
          <w:sz w:val="20"/>
        </w:rPr>
        <w:t>International Academic Journal of Human Resource and Business Administration, 3</w:t>
      </w:r>
      <w:r>
        <w:rPr>
          <w:sz w:val="20"/>
        </w:rPr>
        <w:t xml:space="preserve">(9), 385–399. </w:t>
      </w:r>
      <w:hyperlink r:id="rId48">
        <w:r>
          <w:rPr>
            <w:color w:val="0563C1"/>
            <w:u w:val="single"/>
          </w:rPr>
          <w:t>https://www.iajournals.org/index.php/8-articles/890-iajhrba-v3-i9-385-399</w:t>
        </w:r>
      </w:hyperlink>
    </w:p>
    <w:p>
      <w:pPr>
        <w:spacing w:after="120" w:line="240" w:lineRule="auto"/>
        <w:ind w:left="480" w:hanging="480"/>
      </w:pPr>
      <w:r>
        <w:rPr>
          <w:sz w:val="20"/>
        </w:rPr>
        <w:t xml:space="preserve">Keller, K. L., &amp; Swaminathan, V. (2020). </w:t>
      </w:r>
      <w:r>
        <w:rPr>
          <w:i/>
          <w:sz w:val="20"/>
        </w:rPr>
        <w:t>Strategic brand management: Building, measuring, and managing brand equity</w:t>
      </w:r>
      <w:r>
        <w:rPr>
          <w:sz w:val="20"/>
        </w:rPr>
        <w:t xml:space="preserve"> (5th ed.). Pearson. </w:t>
      </w:r>
      <w:hyperlink r:id="rId49">
        <w:r>
          <w:rPr>
            <w:color w:val="0563C1"/>
            <w:u w:val="single"/>
          </w:rPr>
          <w:t>https://katalog.bibliothek.kit.edu/bib/1196755</w:t>
        </w:r>
      </w:hyperlink>
    </w:p>
    <w:p>
      <w:pPr>
        <w:spacing w:after="120" w:line="240" w:lineRule="auto"/>
        <w:ind w:left="480" w:hanging="480"/>
      </w:pPr>
      <w:r>
        <w:rPr>
          <w:sz w:val="20"/>
        </w:rPr>
        <w:t xml:space="preserve">Kiptoo, I., &amp; Jeptoo Sawe, C. (2022). Strategic leadership practices on organizational performance: A case study of Kenya Ports Authority. </w:t>
      </w:r>
      <w:r>
        <w:rPr>
          <w:i/>
          <w:sz w:val="20"/>
        </w:rPr>
        <w:t>Asian Journal of Economics, Business and Accounting, 22</w:t>
      </w:r>
      <w:r>
        <w:rPr>
          <w:sz w:val="20"/>
        </w:rPr>
        <w:t xml:space="preserve">(7), 27–43. </w:t>
      </w:r>
      <w:hyperlink r:id="rId50">
        <w:r>
          <w:rPr>
            <w:color w:val="0563C1"/>
            <w:u w:val="single"/>
          </w:rPr>
          <w:t>https://doi.org/10.9734/ajeba/2022/v22i730576</w:t>
        </w:r>
      </w:hyperlink>
    </w:p>
    <w:p>
      <w:pPr>
        <w:spacing w:after="120" w:line="240" w:lineRule="auto"/>
        <w:ind w:left="480" w:hanging="480"/>
      </w:pPr>
      <w:r>
        <w:rPr>
          <w:sz w:val="20"/>
        </w:rPr>
        <w:t xml:space="preserve">Kotabe, M., &amp; Helsen, K. (2020). </w:t>
      </w:r>
      <w:r>
        <w:rPr>
          <w:i/>
          <w:sz w:val="20"/>
        </w:rPr>
        <w:t>Global marketing management</w:t>
      </w:r>
      <w:r>
        <w:rPr>
          <w:sz w:val="20"/>
        </w:rPr>
        <w:t xml:space="preserve"> (8th ed.). Wiley. </w:t>
      </w:r>
      <w:hyperlink r:id="rId51">
        <w:r>
          <w:rPr>
            <w:color w:val="0563C1"/>
            <w:u w:val="single"/>
          </w:rPr>
          <w:t>https://www.klnce.edu/circular/2020-21/Curriculam_Syllabus_KLNCE-R2020/MBA_KLNCE2020.pdf</w:t>
        </w:r>
      </w:hyperlink>
    </w:p>
    <w:p>
      <w:pPr>
        <w:spacing w:after="120" w:line="240" w:lineRule="auto"/>
        <w:ind w:left="480" w:hanging="480"/>
      </w:pPr>
      <w:r>
        <w:rPr>
          <w:sz w:val="20"/>
        </w:rPr>
        <w:t xml:space="preserve">Kurzhals, C., Graf-Vlachy, L., &amp; König, A. (2020). Strategic leadership and technological innovation: A comprehensive review and research agenda. </w:t>
      </w:r>
      <w:r>
        <w:rPr>
          <w:i/>
          <w:sz w:val="20"/>
        </w:rPr>
        <w:t>Corporate Governance: An International Review, 28</w:t>
      </w:r>
      <w:r>
        <w:rPr>
          <w:sz w:val="20"/>
        </w:rPr>
        <w:t xml:space="preserve">(6), 437–464. </w:t>
      </w:r>
      <w:hyperlink r:id="rId52">
        <w:r>
          <w:rPr>
            <w:color w:val="0563C1"/>
            <w:u w:val="single"/>
          </w:rPr>
          <w:t>https://doi.org/10.1111/corg.12351</w:t>
        </w:r>
      </w:hyperlink>
    </w:p>
    <w:p>
      <w:pPr>
        <w:spacing w:after="120" w:line="240" w:lineRule="auto"/>
        <w:ind w:left="480" w:hanging="480"/>
      </w:pPr>
      <w:r>
        <w:rPr>
          <w:sz w:val="20"/>
        </w:rPr>
        <w:t xml:space="preserve">Lai, F.-Y., Tang, H.-C., Lu, S.-C., Lee, Y.-C., &amp; Lin, C.-C. (2020). Transformational leadership and job performance: The mediating role of work engagement. </w:t>
      </w:r>
      <w:r>
        <w:rPr>
          <w:i/>
          <w:sz w:val="20"/>
        </w:rPr>
        <w:t>SAGE Open, 10</w:t>
      </w:r>
      <w:r>
        <w:rPr>
          <w:sz w:val="20"/>
        </w:rPr>
        <w:t xml:space="preserve">(1), Article 2158244019899085. </w:t>
      </w:r>
      <w:hyperlink r:id="rId53">
        <w:r>
          <w:rPr>
            <w:color w:val="0563C1"/>
            <w:u w:val="single"/>
          </w:rPr>
          <w:t>https://doi.org/10.1177/2158244019899085</w:t>
        </w:r>
      </w:hyperlink>
    </w:p>
    <w:p>
      <w:pPr>
        <w:spacing w:after="120" w:line="240" w:lineRule="auto"/>
        <w:ind w:left="480" w:hanging="480"/>
      </w:pPr>
      <w:r>
        <w:rPr>
          <w:sz w:val="20"/>
        </w:rPr>
        <w:t xml:space="preserve">Le, T. T., Thuy, V. T. N., &amp; Long, T. T. (2024). Does market competition make a difference in business strategy for listed companies? </w:t>
      </w:r>
      <w:r>
        <w:rPr>
          <w:i/>
          <w:sz w:val="20"/>
        </w:rPr>
        <w:t>Cogent Business &amp; Management, 11</w:t>
      </w:r>
      <w:r>
        <w:rPr>
          <w:sz w:val="20"/>
        </w:rPr>
        <w:t xml:space="preserve">(1), Article 2312591. </w:t>
      </w:r>
      <w:hyperlink r:id="rId54">
        <w:r>
          <w:rPr>
            <w:color w:val="0563C1"/>
            <w:u w:val="single"/>
          </w:rPr>
          <w:t>https://doi.org/10.1080/23311975.2024.2312591</w:t>
        </w:r>
      </w:hyperlink>
    </w:p>
    <w:p>
      <w:pPr>
        <w:spacing w:after="120" w:line="240" w:lineRule="auto"/>
        <w:ind w:left="480" w:hanging="480"/>
      </w:pPr>
      <w:r>
        <w:rPr>
          <w:sz w:val="20"/>
        </w:rPr>
        <w:t xml:space="preserve">Manjunath, C., Padigar, M., &amp; Pedada, K. (2024). The role of digital orientation and strategic emphasis in creating brand competitiveness. </w:t>
      </w:r>
      <w:r>
        <w:rPr>
          <w:i/>
          <w:sz w:val="20"/>
        </w:rPr>
        <w:t>Journal of Retailing and Consumer Services, 80</w:t>
      </w:r>
      <w:r>
        <w:rPr>
          <w:sz w:val="20"/>
        </w:rPr>
        <w:t xml:space="preserve">, Article 103906. </w:t>
      </w:r>
      <w:hyperlink r:id="rId15">
        <w:r>
          <w:rPr>
            <w:color w:val="0563C1"/>
            <w:u w:val="single"/>
          </w:rPr>
          <w:t>https://doi.org/10.1016/j.jretconser.2024.103906</w:t>
        </w:r>
      </w:hyperlink>
    </w:p>
    <w:p>
      <w:pPr>
        <w:spacing w:after="120" w:line="240" w:lineRule="auto"/>
        <w:ind w:left="480" w:hanging="480"/>
      </w:pPr>
      <w:r>
        <w:rPr>
          <w:sz w:val="20"/>
        </w:rPr>
        <w:t xml:space="preserve">Masika, O. S., Mathuva, E., &amp; Mwenda, P. K. (2025). Strategic drivers of supermarket sustainability: Evidence from Nairobi County. </w:t>
      </w:r>
      <w:r>
        <w:rPr>
          <w:i/>
          <w:sz w:val="20"/>
        </w:rPr>
        <w:t>Asian Journal of Economics, Business and Accounting, 25</w:t>
      </w:r>
      <w:r>
        <w:rPr>
          <w:sz w:val="20"/>
        </w:rPr>
        <w:t xml:space="preserve">(10), 360–372. </w:t>
      </w:r>
      <w:hyperlink r:id="rId16">
        <w:r>
          <w:rPr>
            <w:color w:val="0563C1"/>
            <w:u w:val="single"/>
          </w:rPr>
          <w:t>https://doi.org/10.9734/ajeba/2025/v25i102021</w:t>
        </w:r>
      </w:hyperlink>
    </w:p>
    <w:p>
      <w:pPr>
        <w:spacing w:after="120" w:line="240" w:lineRule="auto"/>
        <w:ind w:left="480" w:hanging="480"/>
      </w:pPr>
      <w:r>
        <w:rPr>
          <w:sz w:val="20"/>
        </w:rPr>
        <w:t xml:space="preserve">Miano, C., &amp; Wamalwa, L. (2021). Effect of differentiation strategies on sustainable competitive advantage of five-star hotels in Nairobi, Kenya. </w:t>
      </w:r>
      <w:r>
        <w:rPr>
          <w:i/>
          <w:sz w:val="20"/>
        </w:rPr>
        <w:t>Journal of International Business, Innovation and Strategic Management, 5</w:t>
      </w:r>
      <w:r>
        <w:rPr>
          <w:sz w:val="20"/>
        </w:rPr>
        <w:t xml:space="preserve">(2), 102–116. </w:t>
      </w:r>
      <w:hyperlink r:id="rId55">
        <w:r>
          <w:rPr>
            <w:color w:val="0563C1"/>
            <w:u w:val="single"/>
          </w:rPr>
          <w:t>https://jibism.org/core_files/index.php/JIBISM/article/view/154</w:t>
        </w:r>
      </w:hyperlink>
    </w:p>
    <w:p>
      <w:pPr>
        <w:spacing w:after="120" w:line="240" w:lineRule="auto"/>
        <w:ind w:left="480" w:hanging="480"/>
      </w:pPr>
      <w:r>
        <w:rPr>
          <w:sz w:val="20"/>
        </w:rPr>
        <w:t xml:space="preserve">Mueller-Saegebrecht, S., &amp; Walter, A.-T. (2025). Strategic agility—An urgent capability for successful business model innovation? A conceptual process model and theoretical framework. </w:t>
      </w:r>
      <w:r>
        <w:rPr>
          <w:i/>
          <w:sz w:val="20"/>
        </w:rPr>
        <w:t>Strategic Change, 34</w:t>
      </w:r>
      <w:r>
        <w:rPr>
          <w:sz w:val="20"/>
        </w:rPr>
        <w:t xml:space="preserve">(3), 407–428. </w:t>
      </w:r>
      <w:hyperlink r:id="rId56">
        <w:r>
          <w:rPr>
            <w:color w:val="0563C1"/>
            <w:u w:val="single"/>
          </w:rPr>
          <w:t>https://doi.org/10.1002/jsc.2645</w:t>
        </w:r>
      </w:hyperlink>
    </w:p>
    <w:p>
      <w:pPr>
        <w:spacing w:after="120" w:line="240" w:lineRule="auto"/>
        <w:ind w:left="480" w:hanging="480"/>
      </w:pPr>
      <w:r>
        <w:rPr>
          <w:sz w:val="20"/>
        </w:rPr>
        <w:t xml:space="preserve">Mugenda, O. M., &amp; Mugenda, A. G. (2019). </w:t>
      </w:r>
      <w:r>
        <w:rPr>
          <w:i/>
          <w:sz w:val="20"/>
        </w:rPr>
        <w:t>Research methods: Quantitative, qualitative &amp; mixed methods approaches</w:t>
      </w:r>
      <w:r>
        <w:rPr>
          <w:sz w:val="20"/>
        </w:rPr>
        <w:t xml:space="preserve"> (3rd ed.). Centre for Innovative Leadership &amp; Governance. </w:t>
      </w:r>
      <w:hyperlink r:id="rId57">
        <w:r>
          <w:rPr>
            <w:color w:val="0563C1"/>
            <w:u w:val="single"/>
          </w:rPr>
          <w:t>https://opac.ueab.ac.ke/bib/43702</w:t>
        </w:r>
      </w:hyperlink>
    </w:p>
    <w:p>
      <w:pPr>
        <w:spacing w:after="120" w:line="240" w:lineRule="auto"/>
        <w:ind w:left="480" w:hanging="480"/>
      </w:pPr>
      <w:r>
        <w:rPr>
          <w:sz w:val="20"/>
        </w:rPr>
        <w:t xml:space="preserve">Mutisya, C. M. (2025). </w:t>
      </w:r>
      <w:r>
        <w:rPr>
          <w:i/>
          <w:sz w:val="20"/>
        </w:rPr>
        <w:t>Strategic objectives and performance of selected Quickmart supermarkets in Nairobi City County, Kenya</w:t>
      </w:r>
      <w:r>
        <w:rPr>
          <w:sz w:val="20"/>
        </w:rPr>
        <w:t xml:space="preserve"> [Master’s research project, Kenyatta University]. </w:t>
      </w:r>
      <w:hyperlink r:id="rId58">
        <w:r>
          <w:rPr>
            <w:color w:val="0563C1"/>
            <w:u w:val="single"/>
          </w:rPr>
          <w:t>https://repository.ku.ac.ke/items/3771683c-25d0-455a-a9e9-f04de40f85c8</w:t>
        </w:r>
      </w:hyperlink>
    </w:p>
    <w:p>
      <w:pPr>
        <w:spacing w:after="120" w:line="240" w:lineRule="auto"/>
        <w:ind w:left="480" w:hanging="480"/>
      </w:pPr>
      <w:r>
        <w:rPr>
          <w:sz w:val="20"/>
        </w:rPr>
        <w:t xml:space="preserve">Mutisya, C. M., &amp; Maende, C. (2025). Organisational performance as outcome of strategic partnerships in the context of selected Quickmart supermarkets in Nairobi City County, Kenya. </w:t>
      </w:r>
      <w:r>
        <w:rPr>
          <w:i/>
          <w:sz w:val="20"/>
        </w:rPr>
        <w:t>Journal of Strategic Management, 5</w:t>
      </w:r>
      <w:r>
        <w:rPr>
          <w:sz w:val="20"/>
        </w:rPr>
        <w:t xml:space="preserve">(2), 1–9. </w:t>
      </w:r>
      <w:hyperlink r:id="rId18">
        <w:r>
          <w:rPr>
            <w:color w:val="0563C1"/>
            <w:u w:val="single"/>
          </w:rPr>
          <w:t>https://doi.org/10.70619/vol5iss2pp1-9</w:t>
        </w:r>
      </w:hyperlink>
    </w:p>
    <w:p>
      <w:pPr>
        <w:spacing w:after="120" w:line="240" w:lineRule="auto"/>
        <w:ind w:left="480" w:hanging="480"/>
      </w:pPr>
      <w:r>
        <w:rPr>
          <w:sz w:val="20"/>
        </w:rPr>
        <w:t xml:space="preserve">Nyary, A. Z., &amp; Wainaina, L. (2025). Strategic management practices and operational performance of selected supermarkets in Nairobi City County, Kenya. </w:t>
      </w:r>
      <w:r>
        <w:rPr>
          <w:i/>
          <w:sz w:val="20"/>
        </w:rPr>
        <w:t>Asian Journal of Economics, Finance and Management, 7</w:t>
      </w:r>
      <w:r>
        <w:rPr>
          <w:sz w:val="20"/>
        </w:rPr>
        <w:t xml:space="preserve">(1), 886–900. </w:t>
      </w:r>
      <w:hyperlink r:id="rId19">
        <w:r>
          <w:rPr>
            <w:color w:val="0563C1"/>
            <w:u w:val="single"/>
          </w:rPr>
          <w:t>https://doi.org/10.56557/ajefm/2025/v7i1318</w:t>
        </w:r>
      </w:hyperlink>
    </w:p>
    <w:p>
      <w:pPr>
        <w:spacing w:after="120" w:line="240" w:lineRule="auto"/>
        <w:ind w:left="480" w:hanging="480"/>
      </w:pPr>
      <w:r>
        <w:rPr>
          <w:sz w:val="20"/>
        </w:rPr>
        <w:t xml:space="preserve">Reed, J. H. (2021). Strategic agility in the SME: Use it before you lose it. </w:t>
      </w:r>
      <w:r>
        <w:rPr>
          <w:i/>
          <w:sz w:val="20"/>
        </w:rPr>
        <w:t>Journal of Small Business Strategy, 31</w:t>
      </w:r>
      <w:r>
        <w:rPr>
          <w:sz w:val="20"/>
        </w:rPr>
        <w:t xml:space="preserve">(3), 33–46. </w:t>
      </w:r>
      <w:hyperlink r:id="rId59">
        <w:r>
          <w:rPr>
            <w:color w:val="0563C1"/>
            <w:u w:val="single"/>
          </w:rPr>
          <w:t>https://doi.org/10.53703/001c.29734</w:t>
        </w:r>
      </w:hyperlink>
    </w:p>
    <w:p>
      <w:pPr>
        <w:spacing w:after="120" w:line="240" w:lineRule="auto"/>
        <w:ind w:left="480" w:hanging="480"/>
      </w:pPr>
      <w:r>
        <w:rPr>
          <w:sz w:val="20"/>
        </w:rPr>
        <w:t xml:space="preserve">Schilke, O., Hu, S., &amp; Helfat, C. E. (2018). Quo vadis, dynamic capabilities? A content-analytic review of the current state of knowledge and recommendations for future research. </w:t>
      </w:r>
      <w:r>
        <w:rPr>
          <w:i/>
          <w:sz w:val="20"/>
        </w:rPr>
        <w:t>Academy of Management Annals, 12</w:t>
      </w:r>
      <w:r>
        <w:rPr>
          <w:sz w:val="20"/>
        </w:rPr>
        <w:t xml:space="preserve">(1), 390–439. </w:t>
      </w:r>
      <w:hyperlink r:id="rId20">
        <w:r>
          <w:rPr>
            <w:color w:val="0563C1"/>
            <w:u w:val="single"/>
          </w:rPr>
          <w:t>https://doi.org/10.5465/annals.2016.0014</w:t>
        </w:r>
      </w:hyperlink>
    </w:p>
    <w:p>
      <w:pPr>
        <w:spacing w:after="120" w:line="240" w:lineRule="auto"/>
        <w:ind w:left="480" w:hanging="480"/>
      </w:pPr>
      <w:r>
        <w:rPr>
          <w:sz w:val="20"/>
        </w:rPr>
        <w:t xml:space="preserve">Soomro, B. A., Mangi, S., &amp; Shah, N. (2021). Strategic factors and significance of organizational innovation and organizational learning in organizational performance. </w:t>
      </w:r>
      <w:r>
        <w:rPr>
          <w:i/>
          <w:sz w:val="20"/>
        </w:rPr>
        <w:t>European Journal of Innovation Management, 24</w:t>
      </w:r>
      <w:r>
        <w:rPr>
          <w:sz w:val="20"/>
        </w:rPr>
        <w:t xml:space="preserve">(2), 481–506. </w:t>
      </w:r>
      <w:hyperlink r:id="rId60">
        <w:r>
          <w:rPr>
            <w:color w:val="0563C1"/>
            <w:u w:val="single"/>
          </w:rPr>
          <w:t>https://doi.org/10.1108/EJIM-05-2019-0114</w:t>
        </w:r>
      </w:hyperlink>
    </w:p>
    <w:p>
      <w:pPr>
        <w:spacing w:after="120" w:line="240" w:lineRule="auto"/>
        <w:ind w:left="480" w:hanging="480"/>
      </w:pPr>
      <w:r>
        <w:rPr>
          <w:sz w:val="20"/>
        </w:rPr>
        <w:t xml:space="preserve">Tarifi, N. (2021). A critical review of theoretical aspects of strategic planning and firm performance. </w:t>
      </w:r>
      <w:r>
        <w:rPr>
          <w:i/>
          <w:sz w:val="20"/>
        </w:rPr>
        <w:t>Open Journal of Business and Management, 9</w:t>
      </w:r>
      <w:r>
        <w:rPr>
          <w:sz w:val="20"/>
        </w:rPr>
        <w:t xml:space="preserve">(4), 1980–1996. </w:t>
      </w:r>
      <w:hyperlink r:id="rId21">
        <w:r>
          <w:rPr>
            <w:color w:val="0563C1"/>
            <w:u w:val="single"/>
          </w:rPr>
          <w:t>https://doi.org/10.4236/ojbm.2021.94107</w:t>
        </w:r>
      </w:hyperlink>
    </w:p>
    <w:p>
      <w:pPr>
        <w:spacing w:after="120" w:line="240" w:lineRule="auto"/>
        <w:ind w:left="480" w:hanging="480"/>
      </w:pPr>
      <w:r>
        <w:rPr>
          <w:sz w:val="20"/>
        </w:rPr>
        <w:t xml:space="preserve">Teece, D. J. (2023). The evolution of the dynamic capabilities framework. In R. Adams, D. Grichnik, A. Pundziene, &amp; C. K. Volkmann (Eds.), </w:t>
      </w:r>
      <w:r>
        <w:rPr>
          <w:i/>
          <w:sz w:val="20"/>
        </w:rPr>
        <w:t>Artificiality and sustainability in entrepreneurship</w:t>
      </w:r>
      <w:r>
        <w:rPr>
          <w:sz w:val="20"/>
        </w:rPr>
        <w:t xml:space="preserve"> (pp. 113–129). Springer. </w:t>
      </w:r>
      <w:hyperlink r:id="rId61">
        <w:r>
          <w:rPr>
            <w:color w:val="0563C1"/>
            <w:u w:val="single"/>
          </w:rPr>
          <w:t>https://doi.org/10.1007/978-3-031-11371-0_6</w:t>
        </w:r>
      </w:hyperlink>
    </w:p>
    <w:p>
      <w:pPr>
        <w:spacing w:after="120" w:line="240" w:lineRule="auto"/>
        <w:ind w:left="480" w:hanging="480"/>
      </w:pPr>
      <w:r>
        <w:rPr>
          <w:sz w:val="20"/>
        </w:rPr>
        <w:t xml:space="preserve">Tien, N. H., Thuy, N. V., &amp; Liem, N. T. (2019). Supermarkets’ brand management: Comparative analysis between AEON and Coop Mart in Vietnam retail market. </w:t>
      </w:r>
      <w:r>
        <w:rPr>
          <w:i/>
          <w:sz w:val="20"/>
        </w:rPr>
        <w:t>International Journal of Research in Marketing Management and Sales, 1</w:t>
      </w:r>
      <w:r>
        <w:rPr>
          <w:sz w:val="20"/>
        </w:rPr>
        <w:t xml:space="preserve">(2), 112–117. </w:t>
      </w:r>
      <w:hyperlink r:id="rId62">
        <w:r>
          <w:rPr>
            <w:color w:val="0563C1"/>
            <w:u w:val="single"/>
          </w:rPr>
          <w:t>https://doi.org/10.33545/26633329.2019.v1.i2b.23</w:t>
        </w:r>
      </w:hyperlink>
    </w:p>
    <w:p>
      <w:pPr>
        <w:spacing w:after="120" w:line="240" w:lineRule="auto"/>
        <w:ind w:left="480" w:hanging="480"/>
      </w:pPr>
      <w:r>
        <w:rPr>
          <w:sz w:val="20"/>
        </w:rPr>
        <w:t xml:space="preserve">Venkatraman, N., Henderson, J. C., &amp; Oldach, S. (1993). Continuous strategic alignment: Exploiting information technology capabilities for competitive success. </w:t>
      </w:r>
      <w:r>
        <w:rPr>
          <w:i/>
          <w:sz w:val="20"/>
        </w:rPr>
        <w:t>European Management Journal, 11</w:t>
      </w:r>
      <w:r>
        <w:rPr>
          <w:sz w:val="20"/>
        </w:rPr>
        <w:t xml:space="preserve">(2), 139–149. </w:t>
      </w:r>
      <w:hyperlink r:id="rId63">
        <w:r>
          <w:rPr>
            <w:color w:val="0563C1"/>
            <w:u w:val="single"/>
          </w:rPr>
          <w:t>https://doi.org/10.1016/0263-2373(93)90037-I</w:t>
        </w:r>
      </w:hyperlink>
    </w:p>
    <w:p>
      <w:pPr>
        <w:spacing w:after="120" w:line="240" w:lineRule="auto"/>
        <w:ind w:left="480" w:hanging="480"/>
      </w:pPr>
      <w:r>
        <w:rPr>
          <w:sz w:val="20"/>
        </w:rPr>
        <w:t xml:space="preserve">Vhatkar, M. S., Raut, R. D., Gokhale, R., Kumar, M., Akarte, M., &amp; Ghoshal, S. (2024). Leveraging digital technology in retailing business: Unboxing synergy between omnichannel retail adoption and sustainable retail performance. </w:t>
      </w:r>
      <w:r>
        <w:rPr>
          <w:i/>
          <w:sz w:val="20"/>
        </w:rPr>
        <w:t>Journal of Retailing and Consumer Services, 81</w:t>
      </w:r>
      <w:r>
        <w:rPr>
          <w:sz w:val="20"/>
        </w:rPr>
        <w:t xml:space="preserve">, Article 104047. </w:t>
      </w:r>
      <w:hyperlink r:id="rId22">
        <w:r>
          <w:rPr>
            <w:color w:val="0563C1"/>
            <w:u w:val="single"/>
          </w:rPr>
          <w:t>https://doi.org/10.1016/j.jretconser.2024.104047</w:t>
        </w:r>
      </w:hyperlink>
    </w:p>
    <w:p>
      <w:pPr>
        <w:spacing w:after="120" w:line="240" w:lineRule="auto"/>
        <w:ind w:left="480" w:hanging="480"/>
      </w:pPr>
      <w:r>
        <w:rPr>
          <w:sz w:val="20"/>
        </w:rPr>
        <w:t xml:space="preserve">Yamane, T. (1967). </w:t>
      </w:r>
      <w:r>
        <w:rPr>
          <w:i/>
          <w:sz w:val="20"/>
        </w:rPr>
        <w:t>Statistics: An introductory analysis</w:t>
      </w:r>
      <w:r>
        <w:rPr>
          <w:sz w:val="20"/>
        </w:rPr>
        <w:t xml:space="preserve"> (2nd ed.). Harper &amp; Row. </w:t>
      </w:r>
      <w:hyperlink r:id="rId64">
        <w:r>
          <w:rPr>
            <w:color w:val="0563C1"/>
            <w:u w:val="single"/>
          </w:rPr>
          <w:t>https://opac.juniv.edu/cgi-bin/koha/opac-detail.pl?biblionumber=31177</w:t>
        </w:r>
      </w:hyperlink>
    </w:p>
    <w:p>
      <w:pPr>
        <w:spacing w:after="120" w:line="240" w:lineRule="auto"/>
        <w:ind w:left="480" w:hanging="480"/>
      </w:pPr>
      <w:r>
        <w:rPr>
          <w:sz w:val="20"/>
        </w:rPr>
        <w:t xml:space="preserve">Zhang, F., &amp; Zhu, L. (2021). Social media strategic capability, organizational unlearning, and disruptive innovation of SMEs: The moderating roles of TMT heterogeneity and environmental dynamism. </w:t>
      </w:r>
      <w:r>
        <w:rPr>
          <w:i/>
          <w:sz w:val="20"/>
        </w:rPr>
        <w:t>Journal of Business Research, 133</w:t>
      </w:r>
      <w:r>
        <w:rPr>
          <w:sz w:val="20"/>
        </w:rPr>
        <w:t xml:space="preserve">, 183–193. </w:t>
      </w:r>
      <w:hyperlink r:id="rId65">
        <w:r>
          <w:rPr>
            <w:color w:val="0563C1"/>
            <w:u w:val="single"/>
          </w:rPr>
          <w:t>https://doi.org/10.1016/j.jbusres.2021.04.071</w:t>
        </w:r>
      </w:hyperlink>
    </w:p>
    <w:sectPr w:rsidR="00B55CEF" w:rsidRPr="00D2350E" w:rsidSect="00055D83">
      <w:headerReference w:type="even" r:id="rId24"/>
      <w:headerReference w:type="default" r:id="rId25"/>
      <w:footerReference w:type="even" r:id="rId26"/>
      <w:footerReference w:type="default" r:id="rId27"/>
      <w:headerReference w:type="first" r:id="rId28"/>
      <w:footerReference w:type="first" r:id="rId29"/>
      <w:pgSz w:w="12240" w:h="15840" w:code="1"/>
      <w:pgMar w:top="1094" w:right="605" w:bottom="605" w:left="605" w:header="34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2536" w14:textId="77777777" w:rsidR="00A76477" w:rsidRDefault="00A76477">
      <w:pPr>
        <w:spacing w:before="0" w:line="240" w:lineRule="auto"/>
      </w:pPr>
      <w:r>
        <w:separator/>
      </w:r>
    </w:p>
  </w:endnote>
  <w:endnote w:type="continuationSeparator" w:id="0">
    <w:p w14:paraId="2B51E085" w14:textId="77777777" w:rsidR="00A76477" w:rsidRDefault="00A764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B911" w14:textId="77777777" w:rsidR="00A242ED" w:rsidRDefault="00A24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236679"/>
      <w:docPartObj>
        <w:docPartGallery w:val="Page Numbers (Bottom of Page)"/>
        <w:docPartUnique/>
      </w:docPartObj>
    </w:sdtPr>
    <w:sdtEndPr>
      <w:rPr>
        <w:noProof/>
        <w:sz w:val="20"/>
        <w:szCs w:val="18"/>
      </w:rPr>
    </w:sdtEndPr>
    <w:sdtContent>
      <w:p w14:paraId="37B58216" w14:textId="77777777" w:rsidR="004A12F4" w:rsidRPr="008A0558" w:rsidRDefault="00556C7C">
        <w:pPr>
          <w:pStyle w:val="Footer"/>
          <w:jc w:val="center"/>
          <w:rPr>
            <w:sz w:val="20"/>
            <w:szCs w:val="18"/>
          </w:rPr>
        </w:pPr>
        <w:r w:rsidRPr="008A0558">
          <w:rPr>
            <w:sz w:val="20"/>
            <w:szCs w:val="18"/>
          </w:rPr>
          <w:fldChar w:fldCharType="begin"/>
        </w:r>
        <w:r w:rsidRPr="008A0558">
          <w:rPr>
            <w:sz w:val="20"/>
            <w:szCs w:val="18"/>
          </w:rPr>
          <w:instrText xml:space="preserve"> PAGE   \* MERGEFORMAT </w:instrText>
        </w:r>
        <w:r w:rsidRPr="008A0558">
          <w:rPr>
            <w:sz w:val="20"/>
            <w:szCs w:val="18"/>
          </w:rPr>
          <w:fldChar w:fldCharType="separate"/>
        </w:r>
        <w:r w:rsidR="00E376B2">
          <w:rPr>
            <w:noProof/>
            <w:sz w:val="20"/>
            <w:szCs w:val="18"/>
          </w:rPr>
          <w:t>1</w:t>
        </w:r>
        <w:r w:rsidRPr="008A0558">
          <w:rPr>
            <w:noProof/>
            <w:sz w:val="20"/>
            <w:szCs w:val="18"/>
          </w:rPr>
          <w:fldChar w:fldCharType="end"/>
        </w:r>
      </w:p>
    </w:sdtContent>
  </w:sdt>
  <w:p w14:paraId="494C66CD" w14:textId="77777777" w:rsidR="004A12F4" w:rsidRDefault="004A1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7BFB" w14:textId="77777777" w:rsidR="00A242ED" w:rsidRDefault="00A24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3105" w14:textId="77777777" w:rsidR="00A76477" w:rsidRDefault="00A76477">
      <w:pPr>
        <w:spacing w:before="0" w:line="240" w:lineRule="auto"/>
      </w:pPr>
      <w:r>
        <w:separator/>
      </w:r>
    </w:p>
  </w:footnote>
  <w:footnote w:type="continuationSeparator" w:id="0">
    <w:p w14:paraId="06A7ED71" w14:textId="77777777" w:rsidR="00A76477" w:rsidRDefault="00A7647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4C54" w14:textId="77777777" w:rsidR="00A242ED" w:rsidRDefault="00000000">
    <w:pPr>
      <w:pStyle w:val="Header"/>
    </w:pPr>
    <w:r>
      <w:rPr>
        <w:noProof/>
      </w:rPr>
      <w:pict w14:anchorId="661CD9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6" o:spid="_x0000_s1026" type="#_x0000_t136" style="position:absolute;left:0;text-align:left;margin-left:0;margin-top:0;width:699.8pt;height:77.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F609" w14:textId="77777777" w:rsidR="00A242ED" w:rsidRDefault="00000000">
    <w:pPr>
      <w:pStyle w:val="Header"/>
    </w:pPr>
    <w:r>
      <w:rPr>
        <w:noProof/>
      </w:rPr>
      <w:pict w14:anchorId="76E98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7" o:spid="_x0000_s1027" type="#_x0000_t136" style="position:absolute;left:0;text-align:left;margin-left:0;margin-top:0;width:699.8pt;height:77.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83F1" w14:textId="77777777" w:rsidR="00A242ED" w:rsidRDefault="00000000">
    <w:pPr>
      <w:pStyle w:val="Header"/>
    </w:pPr>
    <w:r>
      <w:rPr>
        <w:noProof/>
      </w:rPr>
      <w:pict w14:anchorId="1491F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284765" o:spid="_x0000_s1025" type="#_x0000_t136" style="position:absolute;left:0;text-align:left;margin-left:0;margin-top:0;width:699.8pt;height:77.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687400"/>
    <w:multiLevelType w:val="hybridMultilevel"/>
    <w:tmpl w:val="07187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566D1"/>
    <w:multiLevelType w:val="hybridMultilevel"/>
    <w:tmpl w:val="7BAE53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B7C9E"/>
    <w:multiLevelType w:val="multilevel"/>
    <w:tmpl w:val="0C88FA2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14F32EA"/>
    <w:multiLevelType w:val="hybridMultilevel"/>
    <w:tmpl w:val="E7D6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01C5E"/>
    <w:multiLevelType w:val="hybridMultilevel"/>
    <w:tmpl w:val="F65823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33DE"/>
    <w:multiLevelType w:val="hybridMultilevel"/>
    <w:tmpl w:val="1BD88F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56848"/>
    <w:multiLevelType w:val="hybridMultilevel"/>
    <w:tmpl w:val="AD36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C196C"/>
    <w:multiLevelType w:val="hybridMultilevel"/>
    <w:tmpl w:val="E9F03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4A1EAC"/>
    <w:multiLevelType w:val="hybridMultilevel"/>
    <w:tmpl w:val="A7EA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EE5C35"/>
    <w:multiLevelType w:val="hybridMultilevel"/>
    <w:tmpl w:val="4A0AC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1490C"/>
    <w:multiLevelType w:val="hybridMultilevel"/>
    <w:tmpl w:val="30E2D4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B47B39"/>
    <w:multiLevelType w:val="hybridMultilevel"/>
    <w:tmpl w:val="0D0A84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D2ADC"/>
    <w:multiLevelType w:val="hybridMultilevel"/>
    <w:tmpl w:val="390E2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2D3349"/>
    <w:multiLevelType w:val="hybridMultilevel"/>
    <w:tmpl w:val="7B7E2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46DE2"/>
    <w:multiLevelType w:val="hybridMultilevel"/>
    <w:tmpl w:val="C33094B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D63F92"/>
    <w:multiLevelType w:val="hybridMultilevel"/>
    <w:tmpl w:val="0010C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8732FF"/>
    <w:multiLevelType w:val="multilevel"/>
    <w:tmpl w:val="56846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374EA5"/>
    <w:multiLevelType w:val="hybridMultilevel"/>
    <w:tmpl w:val="CAF83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C22F9"/>
    <w:multiLevelType w:val="hybridMultilevel"/>
    <w:tmpl w:val="DDBAC8F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B58F2"/>
    <w:multiLevelType w:val="multilevel"/>
    <w:tmpl w:val="EC12FE2E"/>
    <w:lvl w:ilvl="0">
      <w:start w:val="4"/>
      <w:numFmt w:val="decimal"/>
      <w:lvlText w:val="%1"/>
      <w:lvlJc w:val="left"/>
      <w:pPr>
        <w:ind w:left="375" w:hanging="375"/>
      </w:pPr>
      <w:rPr>
        <w:rFonts w:cs="SimSun" w:hint="default"/>
        <w:color w:val="000000"/>
        <w:sz w:val="24"/>
      </w:rPr>
    </w:lvl>
    <w:lvl w:ilvl="1">
      <w:start w:val="1"/>
      <w:numFmt w:val="decimal"/>
      <w:lvlText w:val="%1.%2"/>
      <w:lvlJc w:val="left"/>
      <w:pPr>
        <w:ind w:left="375" w:hanging="375"/>
      </w:pPr>
      <w:rPr>
        <w:rFonts w:cs="SimSun" w:hint="default"/>
        <w:color w:val="000000"/>
        <w:sz w:val="24"/>
      </w:rPr>
    </w:lvl>
    <w:lvl w:ilvl="2">
      <w:start w:val="1"/>
      <w:numFmt w:val="decimal"/>
      <w:lvlText w:val="%1.%2.%3"/>
      <w:lvlJc w:val="left"/>
      <w:pPr>
        <w:ind w:left="720" w:hanging="720"/>
      </w:pPr>
      <w:rPr>
        <w:rFonts w:cs="SimSun" w:hint="default"/>
        <w:color w:val="000000"/>
        <w:sz w:val="24"/>
      </w:rPr>
    </w:lvl>
    <w:lvl w:ilvl="3">
      <w:start w:val="1"/>
      <w:numFmt w:val="decimal"/>
      <w:lvlText w:val="%1.%2.%3.%4"/>
      <w:lvlJc w:val="left"/>
      <w:pPr>
        <w:ind w:left="720" w:hanging="720"/>
      </w:pPr>
      <w:rPr>
        <w:rFonts w:cs="SimSun" w:hint="default"/>
        <w:color w:val="000000"/>
        <w:sz w:val="24"/>
      </w:rPr>
    </w:lvl>
    <w:lvl w:ilvl="4">
      <w:start w:val="1"/>
      <w:numFmt w:val="decimal"/>
      <w:lvlText w:val="%1.%2.%3.%4.%5"/>
      <w:lvlJc w:val="left"/>
      <w:pPr>
        <w:ind w:left="1080" w:hanging="1080"/>
      </w:pPr>
      <w:rPr>
        <w:rFonts w:cs="SimSun" w:hint="default"/>
        <w:color w:val="000000"/>
        <w:sz w:val="24"/>
      </w:rPr>
    </w:lvl>
    <w:lvl w:ilvl="5">
      <w:start w:val="1"/>
      <w:numFmt w:val="decimal"/>
      <w:lvlText w:val="%1.%2.%3.%4.%5.%6"/>
      <w:lvlJc w:val="left"/>
      <w:pPr>
        <w:ind w:left="1080" w:hanging="1080"/>
      </w:pPr>
      <w:rPr>
        <w:rFonts w:cs="SimSun" w:hint="default"/>
        <w:color w:val="000000"/>
        <w:sz w:val="24"/>
      </w:rPr>
    </w:lvl>
    <w:lvl w:ilvl="6">
      <w:start w:val="1"/>
      <w:numFmt w:val="decimal"/>
      <w:lvlText w:val="%1.%2.%3.%4.%5.%6.%7"/>
      <w:lvlJc w:val="left"/>
      <w:pPr>
        <w:ind w:left="1440" w:hanging="1440"/>
      </w:pPr>
      <w:rPr>
        <w:rFonts w:cs="SimSun" w:hint="default"/>
        <w:color w:val="000000"/>
        <w:sz w:val="24"/>
      </w:rPr>
    </w:lvl>
    <w:lvl w:ilvl="7">
      <w:start w:val="1"/>
      <w:numFmt w:val="decimal"/>
      <w:lvlText w:val="%1.%2.%3.%4.%5.%6.%7.%8"/>
      <w:lvlJc w:val="left"/>
      <w:pPr>
        <w:ind w:left="1440" w:hanging="1440"/>
      </w:pPr>
      <w:rPr>
        <w:rFonts w:cs="SimSun" w:hint="default"/>
        <w:color w:val="000000"/>
        <w:sz w:val="24"/>
      </w:rPr>
    </w:lvl>
    <w:lvl w:ilvl="8">
      <w:start w:val="1"/>
      <w:numFmt w:val="decimal"/>
      <w:lvlText w:val="%1.%2.%3.%4.%5.%6.%7.%8.%9"/>
      <w:lvlJc w:val="left"/>
      <w:pPr>
        <w:ind w:left="1800" w:hanging="1800"/>
      </w:pPr>
      <w:rPr>
        <w:rFonts w:cs="SimSun" w:hint="default"/>
        <w:color w:val="000000"/>
        <w:sz w:val="24"/>
      </w:rPr>
    </w:lvl>
  </w:abstractNum>
  <w:abstractNum w:abstractNumId="21" w15:restartNumberingAfterBreak="0">
    <w:nsid w:val="79B72972"/>
    <w:multiLevelType w:val="hybridMultilevel"/>
    <w:tmpl w:val="4F30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C84D78"/>
    <w:multiLevelType w:val="multilevel"/>
    <w:tmpl w:val="C2EA0EBE"/>
    <w:lvl w:ilvl="0">
      <w:start w:val="4"/>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705"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960" w:hanging="540"/>
      </w:pPr>
      <w:rPr>
        <w:rFonts w:hint="default"/>
        <w:lang w:val="en-US" w:eastAsia="en-US" w:bidi="ar-SA"/>
      </w:rPr>
    </w:lvl>
    <w:lvl w:ilvl="4">
      <w:numFmt w:val="bullet"/>
      <w:lvlText w:val="•"/>
      <w:lvlJc w:val="left"/>
      <w:pPr>
        <w:ind w:left="1090" w:hanging="540"/>
      </w:pPr>
      <w:rPr>
        <w:rFonts w:hint="default"/>
        <w:lang w:val="en-US" w:eastAsia="en-US" w:bidi="ar-SA"/>
      </w:rPr>
    </w:lvl>
    <w:lvl w:ilvl="5">
      <w:numFmt w:val="bullet"/>
      <w:lvlText w:val="•"/>
      <w:lvlJc w:val="left"/>
      <w:pPr>
        <w:ind w:left="1220" w:hanging="540"/>
      </w:pPr>
      <w:rPr>
        <w:rFonts w:hint="default"/>
        <w:lang w:val="en-US" w:eastAsia="en-US" w:bidi="ar-SA"/>
      </w:rPr>
    </w:lvl>
    <w:lvl w:ilvl="6">
      <w:numFmt w:val="bullet"/>
      <w:lvlText w:val="•"/>
      <w:lvlJc w:val="left"/>
      <w:pPr>
        <w:ind w:left="1351" w:hanging="540"/>
      </w:pPr>
      <w:rPr>
        <w:rFonts w:hint="default"/>
        <w:lang w:val="en-US" w:eastAsia="en-US" w:bidi="ar-SA"/>
      </w:rPr>
    </w:lvl>
    <w:lvl w:ilvl="7">
      <w:numFmt w:val="bullet"/>
      <w:lvlText w:val="•"/>
      <w:lvlJc w:val="left"/>
      <w:pPr>
        <w:ind w:left="1481" w:hanging="540"/>
      </w:pPr>
      <w:rPr>
        <w:rFonts w:hint="default"/>
        <w:lang w:val="en-US" w:eastAsia="en-US" w:bidi="ar-SA"/>
      </w:rPr>
    </w:lvl>
    <w:lvl w:ilvl="8">
      <w:numFmt w:val="bullet"/>
      <w:lvlText w:val="•"/>
      <w:lvlJc w:val="left"/>
      <w:pPr>
        <w:ind w:left="1611" w:hanging="540"/>
      </w:pPr>
      <w:rPr>
        <w:rFonts w:hint="default"/>
        <w:lang w:val="en-US" w:eastAsia="en-US" w:bidi="ar-SA"/>
      </w:rPr>
    </w:lvl>
  </w:abstractNum>
  <w:num w:numId="1" w16cid:durableId="731197325">
    <w:abstractNumId w:val="4"/>
  </w:num>
  <w:num w:numId="2" w16cid:durableId="1772312705">
    <w:abstractNumId w:val="16"/>
  </w:num>
  <w:num w:numId="3" w16cid:durableId="1836874916">
    <w:abstractNumId w:val="22"/>
  </w:num>
  <w:num w:numId="4" w16cid:durableId="210699835">
    <w:abstractNumId w:val="21"/>
  </w:num>
  <w:num w:numId="5" w16cid:durableId="1574125428">
    <w:abstractNumId w:val="17"/>
  </w:num>
  <w:num w:numId="6" w16cid:durableId="1416627580">
    <w:abstractNumId w:val="20"/>
  </w:num>
  <w:num w:numId="7" w16cid:durableId="156268507">
    <w:abstractNumId w:val="3"/>
  </w:num>
  <w:num w:numId="8" w16cid:durableId="2106342445">
    <w:abstractNumId w:val="0"/>
  </w:num>
  <w:num w:numId="9" w16cid:durableId="463697700">
    <w:abstractNumId w:val="12"/>
  </w:num>
  <w:num w:numId="10" w16cid:durableId="575481519">
    <w:abstractNumId w:val="5"/>
  </w:num>
  <w:num w:numId="11" w16cid:durableId="1036781862">
    <w:abstractNumId w:val="1"/>
  </w:num>
  <w:num w:numId="12" w16cid:durableId="1953323322">
    <w:abstractNumId w:val="10"/>
  </w:num>
  <w:num w:numId="13" w16cid:durableId="2100976843">
    <w:abstractNumId w:val="14"/>
  </w:num>
  <w:num w:numId="14" w16cid:durableId="1365597443">
    <w:abstractNumId w:val="19"/>
  </w:num>
  <w:num w:numId="15" w16cid:durableId="1548566961">
    <w:abstractNumId w:val="2"/>
  </w:num>
  <w:num w:numId="16" w16cid:durableId="845091047">
    <w:abstractNumId w:val="9"/>
  </w:num>
  <w:num w:numId="17" w16cid:durableId="52430483">
    <w:abstractNumId w:val="7"/>
  </w:num>
  <w:num w:numId="18" w16cid:durableId="1561020185">
    <w:abstractNumId w:val="15"/>
  </w:num>
  <w:num w:numId="19" w16cid:durableId="516311378">
    <w:abstractNumId w:val="13"/>
  </w:num>
  <w:num w:numId="20" w16cid:durableId="315377767">
    <w:abstractNumId w:val="6"/>
  </w:num>
  <w:num w:numId="21" w16cid:durableId="2105344173">
    <w:abstractNumId w:val="8"/>
  </w:num>
  <w:num w:numId="22" w16cid:durableId="895698638">
    <w:abstractNumId w:val="11"/>
  </w:num>
  <w:num w:numId="23" w16cid:durableId="17699629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D83"/>
    <w:rsid w:val="00001A44"/>
    <w:rsid w:val="00005286"/>
    <w:rsid w:val="00012AEB"/>
    <w:rsid w:val="00014726"/>
    <w:rsid w:val="0001490C"/>
    <w:rsid w:val="0003088B"/>
    <w:rsid w:val="00036654"/>
    <w:rsid w:val="000410EC"/>
    <w:rsid w:val="0004407B"/>
    <w:rsid w:val="000443AB"/>
    <w:rsid w:val="000446E8"/>
    <w:rsid w:val="00045AD9"/>
    <w:rsid w:val="00047D61"/>
    <w:rsid w:val="00055D83"/>
    <w:rsid w:val="000577EB"/>
    <w:rsid w:val="0006448B"/>
    <w:rsid w:val="00064933"/>
    <w:rsid w:val="000661F9"/>
    <w:rsid w:val="00070A96"/>
    <w:rsid w:val="00071FCE"/>
    <w:rsid w:val="00073097"/>
    <w:rsid w:val="000747C2"/>
    <w:rsid w:val="000750F8"/>
    <w:rsid w:val="00076BA5"/>
    <w:rsid w:val="00082DAA"/>
    <w:rsid w:val="00087A1D"/>
    <w:rsid w:val="0009733F"/>
    <w:rsid w:val="000A199C"/>
    <w:rsid w:val="000A3BD7"/>
    <w:rsid w:val="000A57EC"/>
    <w:rsid w:val="000A6884"/>
    <w:rsid w:val="000B496D"/>
    <w:rsid w:val="000C037E"/>
    <w:rsid w:val="000C57D5"/>
    <w:rsid w:val="000C5C0E"/>
    <w:rsid w:val="000D075E"/>
    <w:rsid w:val="000D0F56"/>
    <w:rsid w:val="000D1B44"/>
    <w:rsid w:val="000D7152"/>
    <w:rsid w:val="000D7DAA"/>
    <w:rsid w:val="000E11E7"/>
    <w:rsid w:val="000E2349"/>
    <w:rsid w:val="000F4C94"/>
    <w:rsid w:val="00111B62"/>
    <w:rsid w:val="001163C7"/>
    <w:rsid w:val="00130874"/>
    <w:rsid w:val="00131EAA"/>
    <w:rsid w:val="00135580"/>
    <w:rsid w:val="001403AD"/>
    <w:rsid w:val="00142F60"/>
    <w:rsid w:val="001450C8"/>
    <w:rsid w:val="001452A3"/>
    <w:rsid w:val="00147E4C"/>
    <w:rsid w:val="00151266"/>
    <w:rsid w:val="00154669"/>
    <w:rsid w:val="00162029"/>
    <w:rsid w:val="00167079"/>
    <w:rsid w:val="00167C75"/>
    <w:rsid w:val="0017796D"/>
    <w:rsid w:val="0018163F"/>
    <w:rsid w:val="00184E6E"/>
    <w:rsid w:val="00185BCB"/>
    <w:rsid w:val="00185FFD"/>
    <w:rsid w:val="0018600E"/>
    <w:rsid w:val="001938DE"/>
    <w:rsid w:val="001A1E1C"/>
    <w:rsid w:val="001A5880"/>
    <w:rsid w:val="001C0412"/>
    <w:rsid w:val="001C35CA"/>
    <w:rsid w:val="001C4B7D"/>
    <w:rsid w:val="001D0253"/>
    <w:rsid w:val="001D23A9"/>
    <w:rsid w:val="001D4A55"/>
    <w:rsid w:val="001D6A60"/>
    <w:rsid w:val="001E0043"/>
    <w:rsid w:val="001E21F0"/>
    <w:rsid w:val="001E5289"/>
    <w:rsid w:val="001E649F"/>
    <w:rsid w:val="001F024F"/>
    <w:rsid w:val="001F27A6"/>
    <w:rsid w:val="001F2B0E"/>
    <w:rsid w:val="001F51C1"/>
    <w:rsid w:val="001F7468"/>
    <w:rsid w:val="00204AAD"/>
    <w:rsid w:val="00207C41"/>
    <w:rsid w:val="0021142D"/>
    <w:rsid w:val="002151BA"/>
    <w:rsid w:val="00217B45"/>
    <w:rsid w:val="002203E3"/>
    <w:rsid w:val="0022048F"/>
    <w:rsid w:val="0022156B"/>
    <w:rsid w:val="00223099"/>
    <w:rsid w:val="002237C7"/>
    <w:rsid w:val="00223A1A"/>
    <w:rsid w:val="0022500A"/>
    <w:rsid w:val="00231033"/>
    <w:rsid w:val="00243C69"/>
    <w:rsid w:val="0024737A"/>
    <w:rsid w:val="002479E0"/>
    <w:rsid w:val="0025131C"/>
    <w:rsid w:val="0025160E"/>
    <w:rsid w:val="0025635B"/>
    <w:rsid w:val="00260B2D"/>
    <w:rsid w:val="00262277"/>
    <w:rsid w:val="002645C1"/>
    <w:rsid w:val="00270AED"/>
    <w:rsid w:val="00271CF6"/>
    <w:rsid w:val="00274AC6"/>
    <w:rsid w:val="00276CE5"/>
    <w:rsid w:val="002779A5"/>
    <w:rsid w:val="00280B3D"/>
    <w:rsid w:val="00281B4F"/>
    <w:rsid w:val="002856C7"/>
    <w:rsid w:val="002859D4"/>
    <w:rsid w:val="002860AE"/>
    <w:rsid w:val="00291058"/>
    <w:rsid w:val="002B2D3C"/>
    <w:rsid w:val="002B5578"/>
    <w:rsid w:val="002C2F8F"/>
    <w:rsid w:val="002C5E15"/>
    <w:rsid w:val="002C6F25"/>
    <w:rsid w:val="002C72A3"/>
    <w:rsid w:val="002D089D"/>
    <w:rsid w:val="002D1CB2"/>
    <w:rsid w:val="002D32ED"/>
    <w:rsid w:val="002D4259"/>
    <w:rsid w:val="002D7340"/>
    <w:rsid w:val="002E3874"/>
    <w:rsid w:val="002E784F"/>
    <w:rsid w:val="002F03DA"/>
    <w:rsid w:val="002F3573"/>
    <w:rsid w:val="00300BE0"/>
    <w:rsid w:val="0030195B"/>
    <w:rsid w:val="00301FD6"/>
    <w:rsid w:val="003029F0"/>
    <w:rsid w:val="00307DE7"/>
    <w:rsid w:val="003106BE"/>
    <w:rsid w:val="00311377"/>
    <w:rsid w:val="00311DFA"/>
    <w:rsid w:val="003128C6"/>
    <w:rsid w:val="003131D7"/>
    <w:rsid w:val="003140FD"/>
    <w:rsid w:val="00323D68"/>
    <w:rsid w:val="00324548"/>
    <w:rsid w:val="0033028F"/>
    <w:rsid w:val="0033151D"/>
    <w:rsid w:val="00336C6D"/>
    <w:rsid w:val="00337145"/>
    <w:rsid w:val="0034183D"/>
    <w:rsid w:val="00342FD9"/>
    <w:rsid w:val="00343363"/>
    <w:rsid w:val="003436F3"/>
    <w:rsid w:val="00344733"/>
    <w:rsid w:val="00344FD1"/>
    <w:rsid w:val="003518C1"/>
    <w:rsid w:val="003607E2"/>
    <w:rsid w:val="0036344E"/>
    <w:rsid w:val="00370F8B"/>
    <w:rsid w:val="00372DCB"/>
    <w:rsid w:val="00374FD9"/>
    <w:rsid w:val="00376BF4"/>
    <w:rsid w:val="0038103F"/>
    <w:rsid w:val="003851AE"/>
    <w:rsid w:val="003959CD"/>
    <w:rsid w:val="003A22F0"/>
    <w:rsid w:val="003A2387"/>
    <w:rsid w:val="003A4F31"/>
    <w:rsid w:val="003C4227"/>
    <w:rsid w:val="003C581F"/>
    <w:rsid w:val="003C59BB"/>
    <w:rsid w:val="003C7107"/>
    <w:rsid w:val="003D2541"/>
    <w:rsid w:val="003D39AB"/>
    <w:rsid w:val="003D4D6F"/>
    <w:rsid w:val="003D7198"/>
    <w:rsid w:val="003E0D69"/>
    <w:rsid w:val="003E0FAD"/>
    <w:rsid w:val="003F01AE"/>
    <w:rsid w:val="003F1DA1"/>
    <w:rsid w:val="003F72A0"/>
    <w:rsid w:val="0040626D"/>
    <w:rsid w:val="00406845"/>
    <w:rsid w:val="004071F4"/>
    <w:rsid w:val="00407977"/>
    <w:rsid w:val="0041566F"/>
    <w:rsid w:val="00415ABE"/>
    <w:rsid w:val="004165B3"/>
    <w:rsid w:val="00416E73"/>
    <w:rsid w:val="00421CF2"/>
    <w:rsid w:val="0042251A"/>
    <w:rsid w:val="00426617"/>
    <w:rsid w:val="00426CDB"/>
    <w:rsid w:val="00437393"/>
    <w:rsid w:val="00440EF7"/>
    <w:rsid w:val="00442282"/>
    <w:rsid w:val="00442FDE"/>
    <w:rsid w:val="0045178A"/>
    <w:rsid w:val="00455234"/>
    <w:rsid w:val="00462B59"/>
    <w:rsid w:val="00466181"/>
    <w:rsid w:val="00466A4D"/>
    <w:rsid w:val="004737A8"/>
    <w:rsid w:val="004855D1"/>
    <w:rsid w:val="004916BB"/>
    <w:rsid w:val="004963A4"/>
    <w:rsid w:val="00496991"/>
    <w:rsid w:val="00497EBF"/>
    <w:rsid w:val="004A12F4"/>
    <w:rsid w:val="004A3F7C"/>
    <w:rsid w:val="004A5357"/>
    <w:rsid w:val="004B7C71"/>
    <w:rsid w:val="004C3121"/>
    <w:rsid w:val="004C41F7"/>
    <w:rsid w:val="004C4596"/>
    <w:rsid w:val="004C7D5D"/>
    <w:rsid w:val="004D0812"/>
    <w:rsid w:val="004D081D"/>
    <w:rsid w:val="004D5CCD"/>
    <w:rsid w:val="004D6AC0"/>
    <w:rsid w:val="004E03E3"/>
    <w:rsid w:val="004E3D2D"/>
    <w:rsid w:val="004E4A2C"/>
    <w:rsid w:val="004F5A5D"/>
    <w:rsid w:val="00500683"/>
    <w:rsid w:val="00505972"/>
    <w:rsid w:val="0051495F"/>
    <w:rsid w:val="0051797F"/>
    <w:rsid w:val="00517C58"/>
    <w:rsid w:val="0052143B"/>
    <w:rsid w:val="00526412"/>
    <w:rsid w:val="0052667E"/>
    <w:rsid w:val="00531B5F"/>
    <w:rsid w:val="005417F4"/>
    <w:rsid w:val="0054398C"/>
    <w:rsid w:val="00546369"/>
    <w:rsid w:val="005508BF"/>
    <w:rsid w:val="00556C7C"/>
    <w:rsid w:val="00561737"/>
    <w:rsid w:val="00563CE7"/>
    <w:rsid w:val="005666F9"/>
    <w:rsid w:val="00571717"/>
    <w:rsid w:val="00571F99"/>
    <w:rsid w:val="005740B5"/>
    <w:rsid w:val="00575F00"/>
    <w:rsid w:val="00591997"/>
    <w:rsid w:val="00591DBD"/>
    <w:rsid w:val="005926C9"/>
    <w:rsid w:val="00594F68"/>
    <w:rsid w:val="005A1956"/>
    <w:rsid w:val="005B04D7"/>
    <w:rsid w:val="005B0558"/>
    <w:rsid w:val="005C09D0"/>
    <w:rsid w:val="005D3FE1"/>
    <w:rsid w:val="005D72F4"/>
    <w:rsid w:val="005E3D2C"/>
    <w:rsid w:val="005F1DA5"/>
    <w:rsid w:val="005F2F50"/>
    <w:rsid w:val="00603C8F"/>
    <w:rsid w:val="0060683F"/>
    <w:rsid w:val="00610BEF"/>
    <w:rsid w:val="0061111A"/>
    <w:rsid w:val="00615B2D"/>
    <w:rsid w:val="00616E93"/>
    <w:rsid w:val="006177C4"/>
    <w:rsid w:val="006211E5"/>
    <w:rsid w:val="00622E5D"/>
    <w:rsid w:val="00623C02"/>
    <w:rsid w:val="00627228"/>
    <w:rsid w:val="00632E53"/>
    <w:rsid w:val="00652189"/>
    <w:rsid w:val="0065654C"/>
    <w:rsid w:val="00661AAF"/>
    <w:rsid w:val="00675C16"/>
    <w:rsid w:val="006826A1"/>
    <w:rsid w:val="00683F32"/>
    <w:rsid w:val="00685965"/>
    <w:rsid w:val="0068692A"/>
    <w:rsid w:val="006A0520"/>
    <w:rsid w:val="006A2D8F"/>
    <w:rsid w:val="006B1220"/>
    <w:rsid w:val="006B3C88"/>
    <w:rsid w:val="006B3FDA"/>
    <w:rsid w:val="006B4BA6"/>
    <w:rsid w:val="006B5A8E"/>
    <w:rsid w:val="006B5CA2"/>
    <w:rsid w:val="006C3DFD"/>
    <w:rsid w:val="006C41A9"/>
    <w:rsid w:val="006C4D79"/>
    <w:rsid w:val="006D16E8"/>
    <w:rsid w:val="006E1D74"/>
    <w:rsid w:val="006E3F3F"/>
    <w:rsid w:val="006E526B"/>
    <w:rsid w:val="0070085D"/>
    <w:rsid w:val="00707641"/>
    <w:rsid w:val="00711AB4"/>
    <w:rsid w:val="00714562"/>
    <w:rsid w:val="0071731F"/>
    <w:rsid w:val="007173FC"/>
    <w:rsid w:val="007205CE"/>
    <w:rsid w:val="00722A32"/>
    <w:rsid w:val="00723B81"/>
    <w:rsid w:val="007313ED"/>
    <w:rsid w:val="00750F50"/>
    <w:rsid w:val="0076188C"/>
    <w:rsid w:val="007625DB"/>
    <w:rsid w:val="00762807"/>
    <w:rsid w:val="007656A9"/>
    <w:rsid w:val="00766A2F"/>
    <w:rsid w:val="0077042C"/>
    <w:rsid w:val="00772A04"/>
    <w:rsid w:val="00774F84"/>
    <w:rsid w:val="007769D0"/>
    <w:rsid w:val="00777615"/>
    <w:rsid w:val="007846B3"/>
    <w:rsid w:val="00784B96"/>
    <w:rsid w:val="00785F6F"/>
    <w:rsid w:val="00790BF9"/>
    <w:rsid w:val="00795B86"/>
    <w:rsid w:val="00797B58"/>
    <w:rsid w:val="007A0442"/>
    <w:rsid w:val="007A2567"/>
    <w:rsid w:val="007A48D9"/>
    <w:rsid w:val="007A56B8"/>
    <w:rsid w:val="007A602B"/>
    <w:rsid w:val="007A6B64"/>
    <w:rsid w:val="007A7328"/>
    <w:rsid w:val="007A784F"/>
    <w:rsid w:val="007A7BFC"/>
    <w:rsid w:val="007B3AE1"/>
    <w:rsid w:val="007B652A"/>
    <w:rsid w:val="007B75C6"/>
    <w:rsid w:val="007C3182"/>
    <w:rsid w:val="007C6929"/>
    <w:rsid w:val="007D08AC"/>
    <w:rsid w:val="007D4F35"/>
    <w:rsid w:val="007E3458"/>
    <w:rsid w:val="007E5A6C"/>
    <w:rsid w:val="007F1318"/>
    <w:rsid w:val="007F4F3C"/>
    <w:rsid w:val="007F754D"/>
    <w:rsid w:val="007F7A41"/>
    <w:rsid w:val="008003E7"/>
    <w:rsid w:val="00805FDE"/>
    <w:rsid w:val="00814B34"/>
    <w:rsid w:val="0081762C"/>
    <w:rsid w:val="008209F0"/>
    <w:rsid w:val="00822A7E"/>
    <w:rsid w:val="008263C5"/>
    <w:rsid w:val="00844748"/>
    <w:rsid w:val="008456FF"/>
    <w:rsid w:val="00854FF7"/>
    <w:rsid w:val="00857BF9"/>
    <w:rsid w:val="00860F17"/>
    <w:rsid w:val="00864FF4"/>
    <w:rsid w:val="00870856"/>
    <w:rsid w:val="00870B4E"/>
    <w:rsid w:val="008718EE"/>
    <w:rsid w:val="00872612"/>
    <w:rsid w:val="00876501"/>
    <w:rsid w:val="00877BF9"/>
    <w:rsid w:val="00880213"/>
    <w:rsid w:val="00895281"/>
    <w:rsid w:val="008A3771"/>
    <w:rsid w:val="008A5E87"/>
    <w:rsid w:val="008B0097"/>
    <w:rsid w:val="008B4F87"/>
    <w:rsid w:val="008B511B"/>
    <w:rsid w:val="008B630B"/>
    <w:rsid w:val="008B7836"/>
    <w:rsid w:val="008B7A20"/>
    <w:rsid w:val="008B7D65"/>
    <w:rsid w:val="008C2098"/>
    <w:rsid w:val="008C3E27"/>
    <w:rsid w:val="008D43EA"/>
    <w:rsid w:val="008E2312"/>
    <w:rsid w:val="008F4E62"/>
    <w:rsid w:val="00906288"/>
    <w:rsid w:val="00912F66"/>
    <w:rsid w:val="0092006B"/>
    <w:rsid w:val="00923D0A"/>
    <w:rsid w:val="00925466"/>
    <w:rsid w:val="0092720B"/>
    <w:rsid w:val="00935ABF"/>
    <w:rsid w:val="00942EC1"/>
    <w:rsid w:val="00945F70"/>
    <w:rsid w:val="00961903"/>
    <w:rsid w:val="00963A57"/>
    <w:rsid w:val="00973355"/>
    <w:rsid w:val="009841F2"/>
    <w:rsid w:val="00984917"/>
    <w:rsid w:val="009864E7"/>
    <w:rsid w:val="00992C5A"/>
    <w:rsid w:val="00993BED"/>
    <w:rsid w:val="009963FB"/>
    <w:rsid w:val="009A067C"/>
    <w:rsid w:val="009A1D5D"/>
    <w:rsid w:val="009A2D28"/>
    <w:rsid w:val="009B17C5"/>
    <w:rsid w:val="009B2CE5"/>
    <w:rsid w:val="009B3203"/>
    <w:rsid w:val="009B38E7"/>
    <w:rsid w:val="009B7DE4"/>
    <w:rsid w:val="009C0C7F"/>
    <w:rsid w:val="009C11BB"/>
    <w:rsid w:val="009D5CE2"/>
    <w:rsid w:val="009E0B92"/>
    <w:rsid w:val="009E0CF9"/>
    <w:rsid w:val="009E42B6"/>
    <w:rsid w:val="009E457F"/>
    <w:rsid w:val="009E783A"/>
    <w:rsid w:val="009F3871"/>
    <w:rsid w:val="009F5632"/>
    <w:rsid w:val="009F6D2D"/>
    <w:rsid w:val="00A00A05"/>
    <w:rsid w:val="00A0120F"/>
    <w:rsid w:val="00A01B25"/>
    <w:rsid w:val="00A01E19"/>
    <w:rsid w:val="00A22EB7"/>
    <w:rsid w:val="00A242ED"/>
    <w:rsid w:val="00A27439"/>
    <w:rsid w:val="00A31119"/>
    <w:rsid w:val="00A32436"/>
    <w:rsid w:val="00A40F08"/>
    <w:rsid w:val="00A52C12"/>
    <w:rsid w:val="00A57832"/>
    <w:rsid w:val="00A616A9"/>
    <w:rsid w:val="00A6679B"/>
    <w:rsid w:val="00A67F40"/>
    <w:rsid w:val="00A73EDF"/>
    <w:rsid w:val="00A75341"/>
    <w:rsid w:val="00A755D3"/>
    <w:rsid w:val="00A76477"/>
    <w:rsid w:val="00A81F27"/>
    <w:rsid w:val="00A82DFB"/>
    <w:rsid w:val="00A85593"/>
    <w:rsid w:val="00A85B82"/>
    <w:rsid w:val="00A91ACF"/>
    <w:rsid w:val="00A91C98"/>
    <w:rsid w:val="00A94D23"/>
    <w:rsid w:val="00A9586C"/>
    <w:rsid w:val="00A9631D"/>
    <w:rsid w:val="00A96A1E"/>
    <w:rsid w:val="00AC0D69"/>
    <w:rsid w:val="00AD0959"/>
    <w:rsid w:val="00AD4106"/>
    <w:rsid w:val="00AD51A6"/>
    <w:rsid w:val="00AD6429"/>
    <w:rsid w:val="00AE3911"/>
    <w:rsid w:val="00AE4AA5"/>
    <w:rsid w:val="00AE69E8"/>
    <w:rsid w:val="00AF253B"/>
    <w:rsid w:val="00AF38F9"/>
    <w:rsid w:val="00AF46F3"/>
    <w:rsid w:val="00B00FCB"/>
    <w:rsid w:val="00B013C1"/>
    <w:rsid w:val="00B03327"/>
    <w:rsid w:val="00B04E6C"/>
    <w:rsid w:val="00B108BB"/>
    <w:rsid w:val="00B14EAC"/>
    <w:rsid w:val="00B2188D"/>
    <w:rsid w:val="00B22173"/>
    <w:rsid w:val="00B40B7A"/>
    <w:rsid w:val="00B40DD3"/>
    <w:rsid w:val="00B449E1"/>
    <w:rsid w:val="00B44B78"/>
    <w:rsid w:val="00B55CEF"/>
    <w:rsid w:val="00B55DC9"/>
    <w:rsid w:val="00B67158"/>
    <w:rsid w:val="00B717D1"/>
    <w:rsid w:val="00B836B4"/>
    <w:rsid w:val="00B85E42"/>
    <w:rsid w:val="00B87A83"/>
    <w:rsid w:val="00B93488"/>
    <w:rsid w:val="00B9497F"/>
    <w:rsid w:val="00BA58DB"/>
    <w:rsid w:val="00BA790C"/>
    <w:rsid w:val="00BB1899"/>
    <w:rsid w:val="00BB3A83"/>
    <w:rsid w:val="00BC2524"/>
    <w:rsid w:val="00BC4935"/>
    <w:rsid w:val="00BC6A0A"/>
    <w:rsid w:val="00BC7830"/>
    <w:rsid w:val="00BD0E33"/>
    <w:rsid w:val="00BD15A0"/>
    <w:rsid w:val="00BD64EB"/>
    <w:rsid w:val="00BD7BE1"/>
    <w:rsid w:val="00BE1869"/>
    <w:rsid w:val="00BE24E1"/>
    <w:rsid w:val="00BE5008"/>
    <w:rsid w:val="00BE754B"/>
    <w:rsid w:val="00BF3783"/>
    <w:rsid w:val="00BF3C23"/>
    <w:rsid w:val="00BF6F97"/>
    <w:rsid w:val="00C003DF"/>
    <w:rsid w:val="00C01423"/>
    <w:rsid w:val="00C0320B"/>
    <w:rsid w:val="00C03297"/>
    <w:rsid w:val="00C053F5"/>
    <w:rsid w:val="00C06731"/>
    <w:rsid w:val="00C10FCA"/>
    <w:rsid w:val="00C1335A"/>
    <w:rsid w:val="00C237CE"/>
    <w:rsid w:val="00C25488"/>
    <w:rsid w:val="00C32AB8"/>
    <w:rsid w:val="00C4118B"/>
    <w:rsid w:val="00C504A7"/>
    <w:rsid w:val="00C54577"/>
    <w:rsid w:val="00C67694"/>
    <w:rsid w:val="00C852EB"/>
    <w:rsid w:val="00C864EE"/>
    <w:rsid w:val="00C933BB"/>
    <w:rsid w:val="00C9348C"/>
    <w:rsid w:val="00C936A9"/>
    <w:rsid w:val="00C95979"/>
    <w:rsid w:val="00CA2418"/>
    <w:rsid w:val="00CA37C0"/>
    <w:rsid w:val="00CA6BD4"/>
    <w:rsid w:val="00CB397D"/>
    <w:rsid w:val="00CB6E82"/>
    <w:rsid w:val="00CC04B9"/>
    <w:rsid w:val="00CD35B1"/>
    <w:rsid w:val="00CD4F87"/>
    <w:rsid w:val="00CE4C91"/>
    <w:rsid w:val="00CF5317"/>
    <w:rsid w:val="00CF7125"/>
    <w:rsid w:val="00CF7422"/>
    <w:rsid w:val="00D15E77"/>
    <w:rsid w:val="00D16476"/>
    <w:rsid w:val="00D16825"/>
    <w:rsid w:val="00D20B1E"/>
    <w:rsid w:val="00D21679"/>
    <w:rsid w:val="00D2350E"/>
    <w:rsid w:val="00D242AA"/>
    <w:rsid w:val="00D257C4"/>
    <w:rsid w:val="00D257F6"/>
    <w:rsid w:val="00D26C8B"/>
    <w:rsid w:val="00D309F6"/>
    <w:rsid w:val="00D352C1"/>
    <w:rsid w:val="00D35C0E"/>
    <w:rsid w:val="00D36322"/>
    <w:rsid w:val="00D54CAA"/>
    <w:rsid w:val="00D56393"/>
    <w:rsid w:val="00D56DAA"/>
    <w:rsid w:val="00D6298D"/>
    <w:rsid w:val="00D656A4"/>
    <w:rsid w:val="00D665A0"/>
    <w:rsid w:val="00D73F27"/>
    <w:rsid w:val="00D74259"/>
    <w:rsid w:val="00D7477F"/>
    <w:rsid w:val="00D7785F"/>
    <w:rsid w:val="00D85955"/>
    <w:rsid w:val="00D916BC"/>
    <w:rsid w:val="00D94638"/>
    <w:rsid w:val="00DA0813"/>
    <w:rsid w:val="00DB19EB"/>
    <w:rsid w:val="00DB266B"/>
    <w:rsid w:val="00DB408B"/>
    <w:rsid w:val="00DC406B"/>
    <w:rsid w:val="00DC4076"/>
    <w:rsid w:val="00DC411F"/>
    <w:rsid w:val="00DD21C0"/>
    <w:rsid w:val="00DE2430"/>
    <w:rsid w:val="00DE5974"/>
    <w:rsid w:val="00DF126E"/>
    <w:rsid w:val="00DF2A42"/>
    <w:rsid w:val="00DF7169"/>
    <w:rsid w:val="00E05059"/>
    <w:rsid w:val="00E0554F"/>
    <w:rsid w:val="00E05F7C"/>
    <w:rsid w:val="00E07021"/>
    <w:rsid w:val="00E1065F"/>
    <w:rsid w:val="00E1453F"/>
    <w:rsid w:val="00E160F3"/>
    <w:rsid w:val="00E17890"/>
    <w:rsid w:val="00E207BA"/>
    <w:rsid w:val="00E22B03"/>
    <w:rsid w:val="00E22FC8"/>
    <w:rsid w:val="00E236F2"/>
    <w:rsid w:val="00E24AB2"/>
    <w:rsid w:val="00E27800"/>
    <w:rsid w:val="00E31A3E"/>
    <w:rsid w:val="00E3230A"/>
    <w:rsid w:val="00E3709F"/>
    <w:rsid w:val="00E376B2"/>
    <w:rsid w:val="00E41E2F"/>
    <w:rsid w:val="00E448DE"/>
    <w:rsid w:val="00E468EC"/>
    <w:rsid w:val="00E5141C"/>
    <w:rsid w:val="00E54B24"/>
    <w:rsid w:val="00E550A5"/>
    <w:rsid w:val="00E57ADC"/>
    <w:rsid w:val="00E60AE6"/>
    <w:rsid w:val="00E6128C"/>
    <w:rsid w:val="00E63B72"/>
    <w:rsid w:val="00E63DD0"/>
    <w:rsid w:val="00E70601"/>
    <w:rsid w:val="00E728DB"/>
    <w:rsid w:val="00E730D7"/>
    <w:rsid w:val="00E737F5"/>
    <w:rsid w:val="00E73E17"/>
    <w:rsid w:val="00E7572C"/>
    <w:rsid w:val="00E75DCB"/>
    <w:rsid w:val="00E77DD3"/>
    <w:rsid w:val="00E77E87"/>
    <w:rsid w:val="00E819C7"/>
    <w:rsid w:val="00E85394"/>
    <w:rsid w:val="00E85589"/>
    <w:rsid w:val="00E85EDC"/>
    <w:rsid w:val="00E87A78"/>
    <w:rsid w:val="00EA355D"/>
    <w:rsid w:val="00EA6B12"/>
    <w:rsid w:val="00EA7AE3"/>
    <w:rsid w:val="00EA7FA6"/>
    <w:rsid w:val="00EC58C5"/>
    <w:rsid w:val="00ED008A"/>
    <w:rsid w:val="00ED1179"/>
    <w:rsid w:val="00EE0214"/>
    <w:rsid w:val="00EF2DD5"/>
    <w:rsid w:val="00F00D01"/>
    <w:rsid w:val="00F01BA4"/>
    <w:rsid w:val="00F02225"/>
    <w:rsid w:val="00F05D67"/>
    <w:rsid w:val="00F111A2"/>
    <w:rsid w:val="00F12F5E"/>
    <w:rsid w:val="00F14915"/>
    <w:rsid w:val="00F16858"/>
    <w:rsid w:val="00F2302B"/>
    <w:rsid w:val="00F23691"/>
    <w:rsid w:val="00F341B9"/>
    <w:rsid w:val="00F42712"/>
    <w:rsid w:val="00F42A52"/>
    <w:rsid w:val="00F42B0A"/>
    <w:rsid w:val="00F46BA3"/>
    <w:rsid w:val="00F61F6F"/>
    <w:rsid w:val="00F6655B"/>
    <w:rsid w:val="00F74A68"/>
    <w:rsid w:val="00F74BD5"/>
    <w:rsid w:val="00F857CA"/>
    <w:rsid w:val="00F926C6"/>
    <w:rsid w:val="00F933EE"/>
    <w:rsid w:val="00F93EB9"/>
    <w:rsid w:val="00FA3A0A"/>
    <w:rsid w:val="00FA74EF"/>
    <w:rsid w:val="00FB2158"/>
    <w:rsid w:val="00FB2E0F"/>
    <w:rsid w:val="00FB3030"/>
    <w:rsid w:val="00FB4E25"/>
    <w:rsid w:val="00FC34D0"/>
    <w:rsid w:val="00FC3558"/>
    <w:rsid w:val="00FC4A1C"/>
    <w:rsid w:val="00FD3DAC"/>
    <w:rsid w:val="00FD4A02"/>
    <w:rsid w:val="00FE2102"/>
    <w:rsid w:val="00FE5B93"/>
    <w:rsid w:val="00FE6B26"/>
    <w:rsid w:val="00FE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1DDED"/>
  <w15:chartTrackingRefBased/>
  <w15:docId w15:val="{F58B4E4C-2E9A-4CEF-A397-9B648E9CC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83"/>
    <w:pPr>
      <w:spacing w:before="240" w:after="0" w:line="480" w:lineRule="auto"/>
      <w:jc w:val="both"/>
    </w:pPr>
    <w:rPr>
      <w:rFonts w:ascii="Times New Roman" w:eastAsia="Calibri" w:hAnsi="Times New Roman" w:cs="SimSun"/>
      <w:color w:val="000000"/>
      <w:kern w:val="0"/>
      <w:sz w:val="24"/>
    </w:rPr>
  </w:style>
  <w:style w:type="paragraph" w:styleId="Heading1">
    <w:name w:val="heading 1"/>
    <w:basedOn w:val="Normal"/>
    <w:next w:val="Normal"/>
    <w:link w:val="Heading1Char"/>
    <w:autoRedefine/>
    <w:uiPriority w:val="9"/>
    <w:qFormat/>
    <w:rsid w:val="00BF3783"/>
    <w:pPr>
      <w:keepNext/>
      <w:keepLines/>
      <w:spacing w:before="0" w:line="240" w:lineRule="auto"/>
      <w:outlineLvl w:val="0"/>
    </w:pPr>
    <w:rPr>
      <w:rFonts w:eastAsia="Times New Roman" w:cs="Times New Roman"/>
      <w:b/>
      <w:color w:val="000000" w:themeColor="text1"/>
      <w:kern w:val="2"/>
      <w:sz w:val="28"/>
      <w:szCs w:val="28"/>
    </w:rPr>
  </w:style>
  <w:style w:type="paragraph" w:styleId="Heading2">
    <w:name w:val="heading 2"/>
    <w:basedOn w:val="Normal"/>
    <w:next w:val="Normal"/>
    <w:link w:val="Heading2Char"/>
    <w:uiPriority w:val="9"/>
    <w:semiHidden/>
    <w:unhideWhenUsed/>
    <w:qFormat/>
    <w:rsid w:val="0060683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11A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3D719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5D8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783"/>
    <w:rPr>
      <w:rFonts w:ascii="Times New Roman" w:eastAsia="Times New Roman" w:hAnsi="Times New Roman" w:cs="Times New Roman"/>
      <w:b/>
      <w:color w:val="000000" w:themeColor="text1"/>
      <w:sz w:val="28"/>
      <w:szCs w:val="28"/>
    </w:rPr>
  </w:style>
  <w:style w:type="character" w:customStyle="1" w:styleId="Heading5Char">
    <w:name w:val="Heading 5 Char"/>
    <w:basedOn w:val="DefaultParagraphFont"/>
    <w:link w:val="Heading5"/>
    <w:uiPriority w:val="9"/>
    <w:rsid w:val="00055D83"/>
    <w:rPr>
      <w:rFonts w:asciiTheme="majorHAnsi" w:eastAsiaTheme="majorEastAsia" w:hAnsiTheme="majorHAnsi" w:cstheme="majorBidi"/>
      <w:color w:val="2F5496" w:themeColor="accent1" w:themeShade="BF"/>
      <w:kern w:val="0"/>
      <w:sz w:val="24"/>
    </w:rPr>
  </w:style>
  <w:style w:type="character" w:customStyle="1" w:styleId="ListParagraphChar">
    <w:name w:val="List Paragraph Char"/>
    <w:link w:val="ListParagraph"/>
    <w:uiPriority w:val="34"/>
    <w:rsid w:val="00055D83"/>
    <w:rPr>
      <w:rFonts w:ascii="Calibri" w:eastAsia="Calibri" w:hAnsi="Calibri" w:cs="Times New Roman"/>
    </w:rPr>
  </w:style>
  <w:style w:type="paragraph" w:styleId="ListParagraph">
    <w:name w:val="List Paragraph"/>
    <w:basedOn w:val="Normal"/>
    <w:link w:val="ListParagraphChar"/>
    <w:uiPriority w:val="34"/>
    <w:qFormat/>
    <w:rsid w:val="00055D83"/>
    <w:pPr>
      <w:spacing w:before="120" w:after="200"/>
      <w:ind w:left="720"/>
      <w:contextualSpacing/>
    </w:pPr>
    <w:rPr>
      <w:rFonts w:ascii="Calibri" w:hAnsi="Calibri" w:cs="Times New Roman"/>
      <w:color w:val="auto"/>
      <w:kern w:val="2"/>
      <w:sz w:val="22"/>
    </w:rPr>
  </w:style>
  <w:style w:type="paragraph" w:styleId="Footer">
    <w:name w:val="footer"/>
    <w:basedOn w:val="Normal"/>
    <w:link w:val="FooterChar"/>
    <w:uiPriority w:val="99"/>
    <w:unhideWhenUsed/>
    <w:rsid w:val="00055D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55D83"/>
    <w:rPr>
      <w:rFonts w:ascii="Times New Roman" w:eastAsia="Calibri" w:hAnsi="Times New Roman" w:cs="SimSun"/>
      <w:color w:val="000000"/>
      <w:kern w:val="0"/>
      <w:sz w:val="24"/>
    </w:rPr>
  </w:style>
  <w:style w:type="paragraph" w:styleId="BodyText">
    <w:name w:val="Body Text"/>
    <w:basedOn w:val="Normal"/>
    <w:link w:val="BodyTextChar"/>
    <w:uiPriority w:val="1"/>
    <w:qFormat/>
    <w:rsid w:val="00055D83"/>
    <w:pPr>
      <w:widowControl w:val="0"/>
      <w:autoSpaceDE w:val="0"/>
      <w:autoSpaceDN w:val="0"/>
      <w:spacing w:before="0" w:line="240" w:lineRule="auto"/>
      <w:jc w:val="left"/>
    </w:pPr>
    <w:rPr>
      <w:rFonts w:eastAsia="Times New Roman" w:cs="Times New Roman"/>
      <w:color w:val="auto"/>
      <w:szCs w:val="24"/>
      <w:lang w:val="en-GB"/>
      <w14:ligatures w14:val="none"/>
    </w:rPr>
  </w:style>
  <w:style w:type="character" w:customStyle="1" w:styleId="BodyTextChar">
    <w:name w:val="Body Text Char"/>
    <w:basedOn w:val="DefaultParagraphFont"/>
    <w:link w:val="BodyText"/>
    <w:uiPriority w:val="1"/>
    <w:rsid w:val="00055D83"/>
    <w:rPr>
      <w:rFonts w:ascii="Times New Roman" w:eastAsia="Times New Roman" w:hAnsi="Times New Roman" w:cs="Times New Roman"/>
      <w:kern w:val="0"/>
      <w:sz w:val="24"/>
      <w:szCs w:val="24"/>
      <w:lang w:val="en-GB"/>
      <w14:ligatures w14:val="none"/>
    </w:rPr>
  </w:style>
  <w:style w:type="paragraph" w:customStyle="1" w:styleId="Default">
    <w:name w:val="Default"/>
    <w:rsid w:val="00055D83"/>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apple-converted-space">
    <w:name w:val="apple-converted-space"/>
    <w:basedOn w:val="DefaultParagraphFont"/>
    <w:rsid w:val="007F1318"/>
  </w:style>
  <w:style w:type="paragraph" w:customStyle="1" w:styleId="TableParagraph">
    <w:name w:val="Table Paragraph"/>
    <w:basedOn w:val="Normal"/>
    <w:uiPriority w:val="1"/>
    <w:qFormat/>
    <w:rsid w:val="00A6679B"/>
    <w:pPr>
      <w:widowControl w:val="0"/>
      <w:autoSpaceDE w:val="0"/>
      <w:autoSpaceDN w:val="0"/>
      <w:spacing w:before="0" w:line="240" w:lineRule="auto"/>
      <w:jc w:val="left"/>
    </w:pPr>
    <w:rPr>
      <w:rFonts w:eastAsia="Times New Roman" w:cs="Times New Roman"/>
      <w:color w:val="auto"/>
      <w:sz w:val="22"/>
      <w14:ligatures w14:val="none"/>
    </w:rPr>
  </w:style>
  <w:style w:type="character" w:customStyle="1" w:styleId="Heading2Char">
    <w:name w:val="Heading 2 Char"/>
    <w:basedOn w:val="DefaultParagraphFont"/>
    <w:link w:val="Heading2"/>
    <w:uiPriority w:val="9"/>
    <w:semiHidden/>
    <w:rsid w:val="0060683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rsid w:val="003D7198"/>
    <w:rPr>
      <w:rFonts w:asciiTheme="majorHAnsi" w:eastAsiaTheme="majorEastAsia" w:hAnsiTheme="majorHAnsi" w:cstheme="majorBidi"/>
      <w:i/>
      <w:iCs/>
      <w:color w:val="2F5496" w:themeColor="accent1" w:themeShade="BF"/>
      <w:kern w:val="0"/>
      <w:sz w:val="24"/>
    </w:rPr>
  </w:style>
  <w:style w:type="character" w:styleId="Emphasis">
    <w:name w:val="Emphasis"/>
    <w:uiPriority w:val="20"/>
    <w:qFormat/>
    <w:rsid w:val="00E1453F"/>
    <w:rPr>
      <w:i/>
      <w:iCs/>
    </w:rPr>
  </w:style>
  <w:style w:type="character" w:customStyle="1" w:styleId="Heading3Char">
    <w:name w:val="Heading 3 Char"/>
    <w:basedOn w:val="DefaultParagraphFont"/>
    <w:link w:val="Heading3"/>
    <w:uiPriority w:val="9"/>
    <w:qFormat/>
    <w:rsid w:val="00F111A2"/>
    <w:rPr>
      <w:rFonts w:asciiTheme="majorHAnsi" w:eastAsiaTheme="majorEastAsia" w:hAnsiTheme="majorHAnsi" w:cstheme="majorBidi"/>
      <w:color w:val="1F3763" w:themeColor="accent1" w:themeShade="7F"/>
      <w:kern w:val="0"/>
      <w:sz w:val="24"/>
      <w:szCs w:val="24"/>
    </w:rPr>
  </w:style>
  <w:style w:type="paragraph" w:styleId="NoSpacing">
    <w:name w:val="No Spacing"/>
    <w:uiPriority w:val="1"/>
    <w:qFormat/>
    <w:rsid w:val="00BB3A83"/>
    <w:pPr>
      <w:spacing w:after="0" w:line="240" w:lineRule="auto"/>
      <w:jc w:val="center"/>
    </w:pPr>
    <w:rPr>
      <w:rFonts w:ascii="Times New Roman" w:hAnsi="Times New Roman"/>
      <w:b/>
      <w:i/>
      <w:color w:val="000000" w:themeColor="text1"/>
      <w:kern w:val="0"/>
      <w:sz w:val="24"/>
      <w14:ligatures w14:val="none"/>
    </w:rPr>
  </w:style>
  <w:style w:type="table" w:styleId="TableGrid">
    <w:name w:val="Table Grid"/>
    <w:basedOn w:val="TableNormal"/>
    <w:uiPriority w:val="39"/>
    <w:qFormat/>
    <w:rsid w:val="00BB3A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A83"/>
    <w:pPr>
      <w:spacing w:before="0" w:after="200" w:line="240" w:lineRule="auto"/>
    </w:pPr>
    <w:rPr>
      <w:rFonts w:eastAsia="Times New Roman" w:cs="Times New Roman"/>
      <w:b/>
      <w:bCs/>
      <w:color w:val="4472C4" w:themeColor="accent1"/>
      <w:sz w:val="18"/>
      <w:szCs w:val="18"/>
      <w14:ligatures w14:val="none"/>
    </w:rPr>
  </w:style>
  <w:style w:type="character" w:customStyle="1" w:styleId="markedcontent">
    <w:name w:val="markedcontent"/>
    <w:basedOn w:val="DefaultParagraphFont"/>
    <w:rsid w:val="002D7340"/>
  </w:style>
  <w:style w:type="paragraph" w:customStyle="1" w:styleId="Tables">
    <w:name w:val="Tables"/>
    <w:basedOn w:val="Normal"/>
    <w:link w:val="TablesChar"/>
    <w:qFormat/>
    <w:rsid w:val="00076BA5"/>
    <w:pPr>
      <w:spacing w:before="0" w:line="240" w:lineRule="auto"/>
      <w:jc w:val="left"/>
    </w:pPr>
    <w:rPr>
      <w:rFonts w:eastAsiaTheme="minorHAnsi" w:cs="Times New Roman"/>
      <w:b/>
      <w:color w:val="auto"/>
      <w:szCs w:val="24"/>
      <w14:ligatures w14:val="none"/>
    </w:rPr>
  </w:style>
  <w:style w:type="character" w:customStyle="1" w:styleId="TablesChar">
    <w:name w:val="Tables Char"/>
    <w:basedOn w:val="DefaultParagraphFont"/>
    <w:link w:val="Tables"/>
    <w:rsid w:val="00076BA5"/>
    <w:rPr>
      <w:rFonts w:ascii="Times New Roman" w:hAnsi="Times New Roman" w:cs="Times New Roman"/>
      <w:b/>
      <w:kern w:val="0"/>
      <w:sz w:val="24"/>
      <w:szCs w:val="24"/>
      <w14:ligatures w14:val="none"/>
    </w:rPr>
  </w:style>
  <w:style w:type="character" w:styleId="Hyperlink">
    <w:name w:val="Hyperlink"/>
    <w:basedOn w:val="DefaultParagraphFont"/>
    <w:uiPriority w:val="99"/>
    <w:unhideWhenUsed/>
    <w:rsid w:val="001E649F"/>
    <w:rPr>
      <w:color w:val="0563C1" w:themeColor="hyperlink"/>
      <w:u w:val="single"/>
    </w:rPr>
  </w:style>
  <w:style w:type="character" w:customStyle="1" w:styleId="UnresolvedMention1">
    <w:name w:val="Unresolved Mention1"/>
    <w:basedOn w:val="DefaultParagraphFont"/>
    <w:uiPriority w:val="99"/>
    <w:semiHidden/>
    <w:unhideWhenUsed/>
    <w:rsid w:val="001E649F"/>
    <w:rPr>
      <w:color w:val="605E5C"/>
      <w:shd w:val="clear" w:color="auto" w:fill="E1DFDD"/>
    </w:rPr>
  </w:style>
  <w:style w:type="paragraph" w:styleId="NormalWeb">
    <w:name w:val="Normal (Web)"/>
    <w:basedOn w:val="Normal"/>
    <w:uiPriority w:val="99"/>
    <w:unhideWhenUsed/>
    <w:rsid w:val="00D16476"/>
    <w:pPr>
      <w:spacing w:before="100" w:beforeAutospacing="1" w:after="100" w:afterAutospacing="1" w:line="240" w:lineRule="auto"/>
      <w:jc w:val="left"/>
    </w:pPr>
    <w:rPr>
      <w:rFonts w:eastAsia="Times New Roman" w:cs="Times New Roman"/>
      <w:color w:val="auto"/>
      <w:szCs w:val="24"/>
      <w14:ligatures w14:val="none"/>
    </w:rPr>
  </w:style>
  <w:style w:type="paragraph" w:customStyle="1" w:styleId="TABLES0">
    <w:name w:val="TABLES"/>
    <w:basedOn w:val="Normal"/>
    <w:qFormat/>
    <w:rsid w:val="00437393"/>
    <w:pPr>
      <w:spacing w:before="120" w:after="120"/>
    </w:pPr>
    <w:rPr>
      <w:rFonts w:cs="Times New Roman"/>
      <w:b/>
      <w:color w:val="auto"/>
      <w14:ligatures w14:val="none"/>
    </w:rPr>
  </w:style>
  <w:style w:type="table" w:styleId="PlainTable5">
    <w:name w:val="Plain Table 5"/>
    <w:basedOn w:val="TableNormal"/>
    <w:uiPriority w:val="45"/>
    <w:rsid w:val="00C053F5"/>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ofTables">
    <w:name w:val="List of Tables"/>
    <w:basedOn w:val="Caption"/>
    <w:next w:val="Caption"/>
    <w:qFormat/>
    <w:rsid w:val="00860F17"/>
    <w:pPr>
      <w:keepNext/>
      <w:jc w:val="left"/>
    </w:pPr>
    <w:rPr>
      <w:rFonts w:eastAsia="Calibri"/>
      <w:color w:val="auto"/>
      <w:kern w:val="2"/>
      <w:sz w:val="24"/>
      <w:szCs w:val="24"/>
      <w14:ligatures w14:val="standardContextual"/>
    </w:rPr>
  </w:style>
  <w:style w:type="character" w:customStyle="1" w:styleId="UnresolvedMention2">
    <w:name w:val="Unresolved Mention2"/>
    <w:basedOn w:val="DefaultParagraphFont"/>
    <w:uiPriority w:val="99"/>
    <w:semiHidden/>
    <w:unhideWhenUsed/>
    <w:rsid w:val="00790BF9"/>
    <w:rPr>
      <w:color w:val="605E5C"/>
      <w:shd w:val="clear" w:color="auto" w:fill="E1DFDD"/>
    </w:rPr>
  </w:style>
  <w:style w:type="character" w:styleId="Strong">
    <w:name w:val="Strong"/>
    <w:basedOn w:val="DefaultParagraphFont"/>
    <w:uiPriority w:val="22"/>
    <w:qFormat/>
    <w:rsid w:val="001F51C1"/>
    <w:rPr>
      <w:b/>
      <w:bCs/>
    </w:rPr>
  </w:style>
  <w:style w:type="table" w:customStyle="1" w:styleId="TableGrid1">
    <w:name w:val="Table Grid1"/>
    <w:basedOn w:val="TableNormal"/>
    <w:next w:val="TableGrid"/>
    <w:uiPriority w:val="39"/>
    <w:qFormat/>
    <w:rsid w:val="007E3458"/>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916BC"/>
    <w:pPr>
      <w:widowControl w:val="0"/>
      <w:autoSpaceDE w:val="0"/>
      <w:autoSpaceDN w:val="0"/>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D916BC"/>
    <w:pPr>
      <w:spacing w:after="0" w:line="240" w:lineRule="auto"/>
    </w:pPr>
    <w:rPr>
      <w:rFonts w:ascii="Calibri" w:eastAsia="Calibri" w:hAnsi="Calibri" w:cs="SimSun"/>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agerange">
    <w:name w:val="page_range"/>
    <w:basedOn w:val="DefaultParagraphFont"/>
    <w:rsid w:val="009E42B6"/>
  </w:style>
  <w:style w:type="character" w:customStyle="1" w:styleId="UnresolvedMention3">
    <w:name w:val="Unresolved Mention3"/>
    <w:basedOn w:val="DefaultParagraphFont"/>
    <w:uiPriority w:val="99"/>
    <w:semiHidden/>
    <w:unhideWhenUsed/>
    <w:rsid w:val="00FE2102"/>
    <w:rPr>
      <w:color w:val="605E5C"/>
      <w:shd w:val="clear" w:color="auto" w:fill="E1DFDD"/>
    </w:rPr>
  </w:style>
  <w:style w:type="paragraph" w:styleId="Header">
    <w:name w:val="header"/>
    <w:basedOn w:val="Normal"/>
    <w:link w:val="HeaderChar"/>
    <w:uiPriority w:val="99"/>
    <w:unhideWhenUsed/>
    <w:rsid w:val="00A242E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242ED"/>
    <w:rPr>
      <w:rFonts w:ascii="Times New Roman" w:eastAsia="Calibri" w:hAnsi="Times New Roman" w:cs="SimSu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9357">
      <w:bodyDiv w:val="1"/>
      <w:marLeft w:val="0"/>
      <w:marRight w:val="0"/>
      <w:marTop w:val="0"/>
      <w:marBottom w:val="0"/>
      <w:divBdr>
        <w:top w:val="none" w:sz="0" w:space="0" w:color="auto"/>
        <w:left w:val="none" w:sz="0" w:space="0" w:color="auto"/>
        <w:bottom w:val="none" w:sz="0" w:space="0" w:color="auto"/>
        <w:right w:val="none" w:sz="0" w:space="0" w:color="auto"/>
      </w:divBdr>
    </w:div>
    <w:div w:id="340470004">
      <w:bodyDiv w:val="1"/>
      <w:marLeft w:val="0"/>
      <w:marRight w:val="0"/>
      <w:marTop w:val="0"/>
      <w:marBottom w:val="0"/>
      <w:divBdr>
        <w:top w:val="none" w:sz="0" w:space="0" w:color="auto"/>
        <w:left w:val="none" w:sz="0" w:space="0" w:color="auto"/>
        <w:bottom w:val="none" w:sz="0" w:space="0" w:color="auto"/>
        <w:right w:val="none" w:sz="0" w:space="0" w:color="auto"/>
      </w:divBdr>
    </w:div>
    <w:div w:id="385884447">
      <w:bodyDiv w:val="1"/>
      <w:marLeft w:val="0"/>
      <w:marRight w:val="0"/>
      <w:marTop w:val="0"/>
      <w:marBottom w:val="0"/>
      <w:divBdr>
        <w:top w:val="none" w:sz="0" w:space="0" w:color="auto"/>
        <w:left w:val="none" w:sz="0" w:space="0" w:color="auto"/>
        <w:bottom w:val="none" w:sz="0" w:space="0" w:color="auto"/>
        <w:right w:val="none" w:sz="0" w:space="0" w:color="auto"/>
      </w:divBdr>
    </w:div>
    <w:div w:id="566765604">
      <w:bodyDiv w:val="1"/>
      <w:marLeft w:val="0"/>
      <w:marRight w:val="0"/>
      <w:marTop w:val="0"/>
      <w:marBottom w:val="0"/>
      <w:divBdr>
        <w:top w:val="none" w:sz="0" w:space="0" w:color="auto"/>
        <w:left w:val="none" w:sz="0" w:space="0" w:color="auto"/>
        <w:bottom w:val="none" w:sz="0" w:space="0" w:color="auto"/>
        <w:right w:val="none" w:sz="0" w:space="0" w:color="auto"/>
      </w:divBdr>
    </w:div>
    <w:div w:id="583222418">
      <w:bodyDiv w:val="1"/>
      <w:marLeft w:val="0"/>
      <w:marRight w:val="0"/>
      <w:marTop w:val="0"/>
      <w:marBottom w:val="0"/>
      <w:divBdr>
        <w:top w:val="none" w:sz="0" w:space="0" w:color="auto"/>
        <w:left w:val="none" w:sz="0" w:space="0" w:color="auto"/>
        <w:bottom w:val="none" w:sz="0" w:space="0" w:color="auto"/>
        <w:right w:val="none" w:sz="0" w:space="0" w:color="auto"/>
      </w:divBdr>
    </w:div>
    <w:div w:id="618725703">
      <w:bodyDiv w:val="1"/>
      <w:marLeft w:val="0"/>
      <w:marRight w:val="0"/>
      <w:marTop w:val="0"/>
      <w:marBottom w:val="0"/>
      <w:divBdr>
        <w:top w:val="none" w:sz="0" w:space="0" w:color="auto"/>
        <w:left w:val="none" w:sz="0" w:space="0" w:color="auto"/>
        <w:bottom w:val="none" w:sz="0" w:space="0" w:color="auto"/>
        <w:right w:val="none" w:sz="0" w:space="0" w:color="auto"/>
      </w:divBdr>
    </w:div>
    <w:div w:id="684986993">
      <w:bodyDiv w:val="1"/>
      <w:marLeft w:val="0"/>
      <w:marRight w:val="0"/>
      <w:marTop w:val="0"/>
      <w:marBottom w:val="0"/>
      <w:divBdr>
        <w:top w:val="none" w:sz="0" w:space="0" w:color="auto"/>
        <w:left w:val="none" w:sz="0" w:space="0" w:color="auto"/>
        <w:bottom w:val="none" w:sz="0" w:space="0" w:color="auto"/>
        <w:right w:val="none" w:sz="0" w:space="0" w:color="auto"/>
      </w:divBdr>
    </w:div>
    <w:div w:id="947202476">
      <w:bodyDiv w:val="1"/>
      <w:marLeft w:val="0"/>
      <w:marRight w:val="0"/>
      <w:marTop w:val="0"/>
      <w:marBottom w:val="0"/>
      <w:divBdr>
        <w:top w:val="none" w:sz="0" w:space="0" w:color="auto"/>
        <w:left w:val="none" w:sz="0" w:space="0" w:color="auto"/>
        <w:bottom w:val="none" w:sz="0" w:space="0" w:color="auto"/>
        <w:right w:val="none" w:sz="0" w:space="0" w:color="auto"/>
      </w:divBdr>
    </w:div>
    <w:div w:id="1041175574">
      <w:bodyDiv w:val="1"/>
      <w:marLeft w:val="0"/>
      <w:marRight w:val="0"/>
      <w:marTop w:val="0"/>
      <w:marBottom w:val="0"/>
      <w:divBdr>
        <w:top w:val="none" w:sz="0" w:space="0" w:color="auto"/>
        <w:left w:val="none" w:sz="0" w:space="0" w:color="auto"/>
        <w:bottom w:val="none" w:sz="0" w:space="0" w:color="auto"/>
        <w:right w:val="none" w:sz="0" w:space="0" w:color="auto"/>
      </w:divBdr>
    </w:div>
    <w:div w:id="1095251281">
      <w:bodyDiv w:val="1"/>
      <w:marLeft w:val="0"/>
      <w:marRight w:val="0"/>
      <w:marTop w:val="0"/>
      <w:marBottom w:val="0"/>
      <w:divBdr>
        <w:top w:val="none" w:sz="0" w:space="0" w:color="auto"/>
        <w:left w:val="none" w:sz="0" w:space="0" w:color="auto"/>
        <w:bottom w:val="none" w:sz="0" w:space="0" w:color="auto"/>
        <w:right w:val="none" w:sz="0" w:space="0" w:color="auto"/>
      </w:divBdr>
    </w:div>
    <w:div w:id="1208760504">
      <w:bodyDiv w:val="1"/>
      <w:marLeft w:val="0"/>
      <w:marRight w:val="0"/>
      <w:marTop w:val="0"/>
      <w:marBottom w:val="0"/>
      <w:divBdr>
        <w:top w:val="none" w:sz="0" w:space="0" w:color="auto"/>
        <w:left w:val="none" w:sz="0" w:space="0" w:color="auto"/>
        <w:bottom w:val="none" w:sz="0" w:space="0" w:color="auto"/>
        <w:right w:val="none" w:sz="0" w:space="0" w:color="auto"/>
      </w:divBdr>
    </w:div>
    <w:div w:id="1240483030">
      <w:bodyDiv w:val="1"/>
      <w:marLeft w:val="0"/>
      <w:marRight w:val="0"/>
      <w:marTop w:val="0"/>
      <w:marBottom w:val="0"/>
      <w:divBdr>
        <w:top w:val="none" w:sz="0" w:space="0" w:color="auto"/>
        <w:left w:val="none" w:sz="0" w:space="0" w:color="auto"/>
        <w:bottom w:val="none" w:sz="0" w:space="0" w:color="auto"/>
        <w:right w:val="none" w:sz="0" w:space="0" w:color="auto"/>
      </w:divBdr>
    </w:div>
    <w:div w:id="1380744296">
      <w:bodyDiv w:val="1"/>
      <w:marLeft w:val="0"/>
      <w:marRight w:val="0"/>
      <w:marTop w:val="0"/>
      <w:marBottom w:val="0"/>
      <w:divBdr>
        <w:top w:val="none" w:sz="0" w:space="0" w:color="auto"/>
        <w:left w:val="none" w:sz="0" w:space="0" w:color="auto"/>
        <w:bottom w:val="none" w:sz="0" w:space="0" w:color="auto"/>
        <w:right w:val="none" w:sz="0" w:space="0" w:color="auto"/>
      </w:divBdr>
    </w:div>
    <w:div w:id="1542210079">
      <w:bodyDiv w:val="1"/>
      <w:marLeft w:val="0"/>
      <w:marRight w:val="0"/>
      <w:marTop w:val="0"/>
      <w:marBottom w:val="0"/>
      <w:divBdr>
        <w:top w:val="none" w:sz="0" w:space="0" w:color="auto"/>
        <w:left w:val="none" w:sz="0" w:space="0" w:color="auto"/>
        <w:bottom w:val="none" w:sz="0" w:space="0" w:color="auto"/>
        <w:right w:val="none" w:sz="0" w:space="0" w:color="auto"/>
      </w:divBdr>
    </w:div>
    <w:div w:id="1746954200">
      <w:bodyDiv w:val="1"/>
      <w:marLeft w:val="0"/>
      <w:marRight w:val="0"/>
      <w:marTop w:val="0"/>
      <w:marBottom w:val="0"/>
      <w:divBdr>
        <w:top w:val="none" w:sz="0" w:space="0" w:color="auto"/>
        <w:left w:val="none" w:sz="0" w:space="0" w:color="auto"/>
        <w:bottom w:val="none" w:sz="0" w:space="0" w:color="auto"/>
        <w:right w:val="none" w:sz="0" w:space="0" w:color="auto"/>
      </w:divBdr>
    </w:div>
    <w:div w:id="1806503340">
      <w:bodyDiv w:val="1"/>
      <w:marLeft w:val="0"/>
      <w:marRight w:val="0"/>
      <w:marTop w:val="0"/>
      <w:marBottom w:val="0"/>
      <w:divBdr>
        <w:top w:val="none" w:sz="0" w:space="0" w:color="auto"/>
        <w:left w:val="none" w:sz="0" w:space="0" w:color="auto"/>
        <w:bottom w:val="none" w:sz="0" w:space="0" w:color="auto"/>
        <w:right w:val="none" w:sz="0" w:space="0" w:color="auto"/>
      </w:divBdr>
    </w:div>
    <w:div w:id="1830245444">
      <w:bodyDiv w:val="1"/>
      <w:marLeft w:val="0"/>
      <w:marRight w:val="0"/>
      <w:marTop w:val="0"/>
      <w:marBottom w:val="0"/>
      <w:divBdr>
        <w:top w:val="none" w:sz="0" w:space="0" w:color="auto"/>
        <w:left w:val="none" w:sz="0" w:space="0" w:color="auto"/>
        <w:bottom w:val="none" w:sz="0" w:space="0" w:color="auto"/>
        <w:right w:val="none" w:sz="0" w:space="0" w:color="auto"/>
      </w:divBdr>
    </w:div>
    <w:div w:id="20788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151-023-09926-w" TargetMode="External"/><Relationship Id="rId13" Type="http://schemas.openxmlformats.org/officeDocument/2006/relationships/hyperlink" Target="https://doi.org/10.1016/j.indmarman.2018.11.004" TargetMode="External"/><Relationship Id="rId18" Type="http://schemas.openxmlformats.org/officeDocument/2006/relationships/hyperlink" Target="https://doi.org/10.70619/vol5iss2pp1-9"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4236/ojbm.2021.94107" TargetMode="External"/><Relationship Id="rId7" Type="http://schemas.openxmlformats.org/officeDocument/2006/relationships/hyperlink" Target="https://doi.org/10.1177/0008125619885150" TargetMode="External"/><Relationship Id="rId12" Type="http://schemas.openxmlformats.org/officeDocument/2006/relationships/hyperlink" Target="https://doi.org/10.32983/2222-4459-2024-8-439-445" TargetMode="External"/><Relationship Id="rId17" Type="http://schemas.openxmlformats.org/officeDocument/2006/relationships/hyperlink" Target="https://ir-library.ku.ac.ke/items/3771683c-25d0-455a-a9e9-f04de40f85c8"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9734/ajeba/2025/v25i102021" TargetMode="External"/><Relationship Id="rId20" Type="http://schemas.openxmlformats.org/officeDocument/2006/relationships/hyperlink" Target="https://doi.org/10.5465/annals.2016.0014"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ge.sagepub.com/creswellrd5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16/j.jretconser.2024.103906" TargetMode="External"/><Relationship Id="rId23" Type="http://schemas.openxmlformats.org/officeDocument/2006/relationships/hyperlink" Target="https://books.google.com/books/about/Statistics.html?id=KTYkvgAACAAJ" TargetMode="External"/><Relationship Id="rId28" Type="http://schemas.openxmlformats.org/officeDocument/2006/relationships/header" Target="header3.xml"/><Relationship Id="rId10" Type="http://schemas.openxmlformats.org/officeDocument/2006/relationships/hyperlink" Target="https://doi.org/10.1108/JSMA-12-2019-0223" TargetMode="External"/><Relationship Id="rId19" Type="http://schemas.openxmlformats.org/officeDocument/2006/relationships/hyperlink" Target="https://doi.org/10.56557/ajefm/2025/v7i1318"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ijpe.2021.108316" TargetMode="External"/><Relationship Id="rId14" Type="http://schemas.openxmlformats.org/officeDocument/2006/relationships/hyperlink" Target="https://doi.org/10.47604/jbsm.1324" TargetMode="External"/><Relationship Id="rId22" Type="http://schemas.openxmlformats.org/officeDocument/2006/relationships/hyperlink" Target="https://doi.org/10.1016/j.jretconser.2024.104047" TargetMode="External"/><Relationship Id="rId27" Type="http://schemas.openxmlformats.org/officeDocument/2006/relationships/footer" Target="footer2.xml"/><Relationship Id="rId30" Type="http://schemas.openxmlformats.org/officeDocument/2006/relationships/fontTable" Target="fontTable.xml"/><Relationship Id="rId32" Type="http://schemas.openxmlformats.org/officeDocument/2006/relationships/hyperlink" Target="https://doi.org/10.66563/xf7x9k96" TargetMode="External"/><Relationship Id="rId33" Type="http://schemas.openxmlformats.org/officeDocument/2006/relationships/hyperlink" Target="https://doi.org/10.22161/eec.62.2" TargetMode="External"/><Relationship Id="rId34" Type="http://schemas.openxmlformats.org/officeDocument/2006/relationships/hyperlink" Target="https://doi.org/10.1111/1467-8551.12402" TargetMode="External"/><Relationship Id="rId35" Type="http://schemas.openxmlformats.org/officeDocument/2006/relationships/hyperlink" Target="https://doi.org/10.1016/S1048-9843(00)00057-6" TargetMode="External"/><Relationship Id="rId36" Type="http://schemas.openxmlformats.org/officeDocument/2006/relationships/hyperlink" Target="https://doi.org/10.53819/81018102t2046" TargetMode="External"/><Relationship Id="rId37" Type="http://schemas.openxmlformats.org/officeDocument/2006/relationships/hyperlink" Target="https://doi.org/10.26784/sbir.v5i1.312" TargetMode="External"/><Relationship Id="rId38" Type="http://schemas.openxmlformats.org/officeDocument/2006/relationships/hyperlink" Target="https://doi.org/10.1111/ijmr.12246" TargetMode="External"/><Relationship Id="rId39" Type="http://schemas.openxmlformats.org/officeDocument/2006/relationships/hyperlink" Target="https://library.strathmore.edu/Record/311633" TargetMode="External"/><Relationship Id="rId40" Type="http://schemas.openxmlformats.org/officeDocument/2006/relationships/hyperlink" Target="https://doi.org/10.1108/SASBE-09-2022-0205" TargetMode="External"/><Relationship Id="rId41" Type="http://schemas.openxmlformats.org/officeDocument/2006/relationships/hyperlink" Target="https://www.insead.edu/news/fast-strategy" TargetMode="External"/><Relationship Id="rId42" Type="http://schemas.openxmlformats.org/officeDocument/2006/relationships/hyperlink" Target="https://doi.org/10.4324/9781003054917" TargetMode="External"/><Relationship Id="rId43" Type="http://schemas.openxmlformats.org/officeDocument/2006/relationships/hyperlink" Target="https://doi.org/10.1093/acprof:oso/9780195162073.001.0001" TargetMode="External"/><Relationship Id="rId44" Type="http://schemas.openxmlformats.org/officeDocument/2006/relationships/hyperlink" Target="https://doi.org/10.1155/2020/6253013" TargetMode="External"/><Relationship Id="rId45" Type="http://schemas.openxmlformats.org/officeDocument/2006/relationships/hyperlink" Target="https://doi.org/10.1108/IJOEM-04-2020-0364" TargetMode="External"/><Relationship Id="rId46" Type="http://schemas.openxmlformats.org/officeDocument/2006/relationships/hyperlink" Target="https://doi.org/10.1002/bse.4141" TargetMode="External"/><Relationship Id="rId47" Type="http://schemas.openxmlformats.org/officeDocument/2006/relationships/hyperlink" Target="https://research.aston.ac.uk/en/publications/understanding-strategic-management/" TargetMode="External"/><Relationship Id="rId48" Type="http://schemas.openxmlformats.org/officeDocument/2006/relationships/hyperlink" Target="https://www.iajournals.org/index.php/8-articles/890-iajhrba-v3-i9-385-399" TargetMode="External"/><Relationship Id="rId49" Type="http://schemas.openxmlformats.org/officeDocument/2006/relationships/hyperlink" Target="https://katalog.bibliothek.kit.edu/bib/1196755" TargetMode="External"/><Relationship Id="rId50" Type="http://schemas.openxmlformats.org/officeDocument/2006/relationships/hyperlink" Target="https://doi.org/10.9734/ajeba/2022/v22i730576" TargetMode="External"/><Relationship Id="rId51" Type="http://schemas.openxmlformats.org/officeDocument/2006/relationships/hyperlink" Target="https://www.klnce.edu/circular/2020-21/Curriculam_Syllabus_KLNCE-R2020/MBA_KLNCE2020.pdf" TargetMode="External"/><Relationship Id="rId52" Type="http://schemas.openxmlformats.org/officeDocument/2006/relationships/hyperlink" Target="https://doi.org/10.1111/corg.12351" TargetMode="External"/><Relationship Id="rId53" Type="http://schemas.openxmlformats.org/officeDocument/2006/relationships/hyperlink" Target="https://doi.org/10.1177/2158244019899085" TargetMode="External"/><Relationship Id="rId54" Type="http://schemas.openxmlformats.org/officeDocument/2006/relationships/hyperlink" Target="https://doi.org/10.1080/23311975.2024.2312591" TargetMode="External"/><Relationship Id="rId55" Type="http://schemas.openxmlformats.org/officeDocument/2006/relationships/hyperlink" Target="https://jibism.org/core_files/index.php/JIBISM/article/view/154" TargetMode="External"/><Relationship Id="rId56" Type="http://schemas.openxmlformats.org/officeDocument/2006/relationships/hyperlink" Target="https://doi.org/10.1002/jsc.2645" TargetMode="External"/><Relationship Id="rId57" Type="http://schemas.openxmlformats.org/officeDocument/2006/relationships/hyperlink" Target="https://opac.ueab.ac.ke/bib/43702" TargetMode="External"/><Relationship Id="rId58" Type="http://schemas.openxmlformats.org/officeDocument/2006/relationships/hyperlink" Target="https://repository.ku.ac.ke/items/3771683c-25d0-455a-a9e9-f04de40f85c8" TargetMode="External"/><Relationship Id="rId59" Type="http://schemas.openxmlformats.org/officeDocument/2006/relationships/hyperlink" Target="https://doi.org/10.53703/001c.29734" TargetMode="External"/><Relationship Id="rId60" Type="http://schemas.openxmlformats.org/officeDocument/2006/relationships/hyperlink" Target="https://doi.org/10.1108/EJIM-05-2019-0114" TargetMode="External"/><Relationship Id="rId61" Type="http://schemas.openxmlformats.org/officeDocument/2006/relationships/hyperlink" Target="https://doi.org/10.1007/978-3-031-11371-0_6" TargetMode="External"/><Relationship Id="rId62" Type="http://schemas.openxmlformats.org/officeDocument/2006/relationships/hyperlink" Target="https://doi.org/10.33545/26633329.2019.v1.i2b.23" TargetMode="External"/><Relationship Id="rId63" Type="http://schemas.openxmlformats.org/officeDocument/2006/relationships/hyperlink" Target="https://doi.org/10.1016/0263-2373(93)90037-I" TargetMode="External"/><Relationship Id="rId64" Type="http://schemas.openxmlformats.org/officeDocument/2006/relationships/hyperlink" Target="https://opac.juniv.edu/cgi-bin/koha/opac-detail.pl?biblionumber=31177" TargetMode="External"/><Relationship Id="rId65" Type="http://schemas.openxmlformats.org/officeDocument/2006/relationships/hyperlink" Target="https://doi.org/10.1016/j.jbusres.2021.04.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8894</Words>
  <Characters>50700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WUCHERERIA BANCROFTI</dc:creator>
  <cp:keywords/>
  <dc:description/>
  <cp:lastModifiedBy>Editor-1183</cp:lastModifiedBy>
  <cp:revision>3</cp:revision>
  <dcterms:created xsi:type="dcterms:W3CDTF">2026-10-08T11:46:00Z</dcterms:created>
  <dcterms:modified xsi:type="dcterms:W3CDTF">2026-10-10T09:54:00Z</dcterms:modified>
</cp:coreProperties>
</file>